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2026-11</w:t>
      </w:r>
    </w:p>
    <w:sdt>
      <w:sdtPr>
        <w:docPartObj>
          <w:docPartGallery w:val="Table of Contents"/>
          <w:docPartUnique/>
        </w:docPartObj>
      </w:sdtPr>
      <w:sdtContent>
        <w:p>
          <w:pPr>
            <w:pStyle w:val="TOCHeading"/>
          </w:pPr>
          <w:r>
            <w:t xml:space="preserve">Table</w:t>
          </w:r>
          <w:r>
            <w:t xml:space="preserve"> </w:t>
          </w:r>
          <w:r>
            <w:t xml:space="preserve">des</w:t>
          </w:r>
          <w:r>
            <w:t xml:space="preserve"> </w:t>
          </w:r>
          <w:r>
            <w:t xml:space="preserve">matières</w:t>
          </w:r>
        </w:p>
        <w:p>
          <w:r>
            <w:fldChar w:fldCharType="begin" w:dirty="true"/>
            <w:instrText xml:space="preserve">TOC \o "1-2" \h \z \u</w:instrText>
            <w:fldChar w:fldCharType="separate"/>
            <w:fldChar w:fldCharType="end"/>
          </w:r>
        </w:p>
      </w:sdtContent>
    </w:sdt>
    <w:bookmarkStart w:id="20" w:name="mentions-légales"/>
    <w:p>
      <w:pPr>
        <w:pStyle w:val="Heading1"/>
      </w:pPr>
      <w:r>
        <w:t xml:space="preserve">Mentions légales</w:t>
      </w:r>
    </w:p>
    <w:p>
      <w:pPr>
        <w:pStyle w:val="FirstParagraph"/>
      </w:pPr>
      <w:r>
        <w:rPr>
          <w:bCs/>
          <w:b/>
        </w:rPr>
        <w:t xml:space="preserve">Le guide des peptides</w:t>
      </w:r>
      <w:r>
        <w:t xml:space="preserve"> </w:t>
      </w:r>
      <w:r>
        <w:t xml:space="preserve">Toutes les études chez l’humain comparées – effets, risques, statut juridique et perspectives</w:t>
      </w:r>
    </w:p>
    <w:p>
      <w:pPr>
        <w:pStyle w:val="BodyText"/>
      </w:pPr>
      <w:r>
        <w:t xml:space="preserve">© 2026 Josef Gallab. Tous droits réservés.</w:t>
      </w:r>
    </w:p>
    <w:p>
      <w:pPr>
        <w:pStyle w:val="BodyText"/>
      </w:pPr>
      <w:r>
        <w:t xml:space="preserve">Première édition. État des recherches : octobre/novembre 2026. Traduit de l’original allemand.</w:t>
      </w:r>
    </w:p>
    <w:p>
      <w:pPr>
        <w:pStyle w:val="BodyText"/>
      </w:pPr>
      <w:r>
        <w:t xml:space="preserve">Ce livre a un but purement informatif. Il ne remplace ni un avis médical, ni un diagnostic, ni un traitement</w:t>
      </w:r>
      <w:r>
        <w:t xml:space="preserve"> </w:t>
      </w:r>
      <w:r>
        <w:t xml:space="preserve">et ne contient aucune recommandation d’utilisation. Nombre des substances décrites ne sont pas autorisées comme médicaments.</w:t>
      </w:r>
    </w:p>
    <w:p>
      <w:pPr>
        <w:pStyle w:val="BodyText"/>
      </w:pPr>
      <w:r>
        <w:t xml:space="preserve">Couverture : Josef Gallab</w:t>
      </w:r>
    </w:p>
    <w:p>
      <w:pPr>
        <w:pStyle w:val="BodyText"/>
      </w:pPr>
      <w:r>
        <w:t xml:space="preserve">Les informations sur les autorisations, le statut juridique et le statut antidopage reflètent la situation d’octobre/novembre 2026. Elles peuvent changer à tout moment – veuillez les vérifier avant toute décision. Les sources de chaque affirmation figurent dans les notes de bas de page et dans l’index des études.</w:t>
      </w:r>
    </w:p>
    <w:p>
      <w:pPr>
        <w:pStyle w:val="BodyText"/>
      </w:pPr>
      <w:r>
        <w:t xml:space="preserve">Toute reproduction ou diffusion, même partielle, est interdite sans l’autorisation écrite de l’auteur.</w:t>
      </w:r>
    </w:p>
    <w:bookmarkEnd w:id="20"/>
    <w:bookmarkStart w:id="27" w:name="avertissement-important"/>
    <w:p>
      <w:pPr>
        <w:pStyle w:val="Heading1"/>
      </w:pPr>
      <w:r>
        <w:t xml:space="preserve">Avertissement important</w:t>
      </w:r>
    </w:p>
    <w:bookmarkStart w:id="21" w:name="ne-remplace-pas-un-avis-médical"/>
    <w:p>
      <w:pPr>
        <w:pStyle w:val="Heading3"/>
      </w:pPr>
      <w:r>
        <w:t xml:space="preserve">Ne remplace pas un avis médical</w:t>
      </w:r>
    </w:p>
    <w:p>
      <w:pPr>
        <w:pStyle w:val="FirstParagraph"/>
      </w:pPr>
      <w:r>
        <w:t xml:space="preserve">Ce livre a pour seul objet l’information et la formation générales. Il ne remplace ni une consultation médicale, ni un diagnostic, ni un traitement. Avant de prendre des décisions concernant votre santé, de commencer, d’arrêter ou de modifier un médicament, parlez-en à un médecin ou à un pharmacien. En cas de troubles aigus, adressez-vous au service médical d’urgence ou appelez les secours.</w:t>
      </w:r>
    </w:p>
    <w:bookmarkEnd w:id="21"/>
    <w:bookmarkStart w:id="22" w:name="aucune-recommandation-dutilisation"/>
    <w:p>
      <w:pPr>
        <w:pStyle w:val="Heading3"/>
      </w:pPr>
      <w:r>
        <w:t xml:space="preserve">Aucune recommandation d’utilisation</w:t>
      </w:r>
    </w:p>
    <w:p>
      <w:pPr>
        <w:pStyle w:val="FirstParagraph"/>
      </w:pPr>
      <w:r>
        <w:t xml:space="preserve">Ce livre ne contient délibérément aucune recommandation d’utilisation de peptides, aucune posologie, aucun mode d’emploi pour la prise ou l’injection, aucun cycle d’utilisation et aucune recommandation d’association. Lorsqu’une dose est mentionnée dans le texte, elle décrit uniquement ce qui a été étudié dans une étude donnée. Il ne s’agit pas d’une recommandation, et elle ne peut pas être transposée à votre situation personnelle. Pour les médicaments autorisés, ce sont le résumé des caractéristiques du produit, la notice et l’accompagnement médical qui font foi.</w:t>
      </w:r>
    </w:p>
    <w:bookmarkEnd w:id="22"/>
    <w:bookmarkStart w:id="23" w:name="X8c51d35a437fbfe128d03529a7fe1174173c7f8"/>
    <w:p>
      <w:pPr>
        <w:pStyle w:val="Heading3"/>
      </w:pPr>
      <w:r>
        <w:t xml:space="preserve">De nombreuses substances ne sont pas autorisées</w:t>
      </w:r>
    </w:p>
    <w:p>
      <w:pPr>
        <w:pStyle w:val="FirstParagraph"/>
      </w:pPr>
      <w:r>
        <w:t xml:space="preserve">Un grand nombre des peptides décrits dans ce livre ne sont</w:t>
      </w:r>
      <w:r>
        <w:t xml:space="preserve"> </w:t>
      </w:r>
      <w:r>
        <w:rPr>
          <w:bCs/>
          <w:b/>
        </w:rPr>
        <w:t xml:space="preserve">pas</w:t>
      </w:r>
      <w:r>
        <w:t xml:space="preserve"> </w:t>
      </w:r>
      <w:r>
        <w:t xml:space="preserve">autorisés en tant que médicaments dans l’Union européenne, en Autriche, en Allemagne et aux États-Unis. Pour beaucoup d’entre eux, il n’existe que des études chez l’animal ou en laboratoire. La présentation de ces substances dans ce livre ne constitue ni une affirmation sur leur efficacité ou leur sécurité chez l’humain, ni une incitation à les utiliser. Les produits proposés sur Internet comme « Research Peptides » ou « uniquement à des fins de recherche » peuvent être mal dosés, contaminés ou contrefaits. Leur utilisation peut avoir des conséquences sanitaires et juridiques importantes.</w:t>
      </w:r>
    </w:p>
    <w:bookmarkEnd w:id="23"/>
    <w:bookmarkStart w:id="24" w:name="dopage"/>
    <w:p>
      <w:pPr>
        <w:pStyle w:val="Heading3"/>
      </w:pPr>
      <w:r>
        <w:t xml:space="preserve">Dopage</w:t>
      </w:r>
    </w:p>
    <w:p>
      <w:pPr>
        <w:pStyle w:val="FirstParagraph"/>
      </w:pPr>
      <w:r>
        <w:t xml:space="preserve">De nombreux peptides décrits figurent sur la liste des interdictions de l’Agence mondiale antidopage (AMA, en anglais WADA). Leur utilisation peut entraîner des suspensions pour les sportives et sportifs soumis à des contrôles antidopage. En Autriche et en Allemagne, le commerce, la cession et, dans certains cas, la détention de produits dopants peuvent être pénalement sanctionnés.</w:t>
      </w:r>
    </w:p>
    <w:bookmarkEnd w:id="24"/>
    <w:bookmarkStart w:id="25" w:name="mise-à-jour-et-garantie"/>
    <w:p>
      <w:pPr>
        <w:pStyle w:val="Heading3"/>
      </w:pPr>
      <w:r>
        <w:t xml:space="preserve">Mise à jour et garantie</w:t>
      </w:r>
    </w:p>
    <w:p>
      <w:pPr>
        <w:pStyle w:val="FirstParagraph"/>
      </w:pPr>
      <w:r>
        <w:t xml:space="preserve">Les informations de ce livre correspondent à l’</w:t>
      </w:r>
      <w:r>
        <w:rPr>
          <w:bCs/>
          <w:b/>
        </w:rPr>
        <w:t xml:space="preserve">état de novembre 2026</w:t>
      </w:r>
      <w:r>
        <w:t xml:space="preserve">. Les recherches dans les bases de données ont été effectuées en octobre 2026. Les connaissances médicales, les autorisations, les lois et les règles antidopage évoluent en permanence. Toutes les indications ont été rassemblées en toute bonne foi et avec le plus grand soin, mais sans garantie d’exactitude, d’exhaustivité ni d’actualité. La responsabilité de l’auteur pour les dommages résultant de l’utilisation des informations de ce livre est exclue dans la mesure où la loi le permet. La présentation de la situation juridique ne constitue pas un conseil juridique.</w:t>
      </w:r>
    </w:p>
    <w:bookmarkEnd w:id="25"/>
    <w:bookmarkStart w:id="26" w:name="Xfcd433f99af8b48691b0f7594e1c64306d68af3"/>
    <w:p>
      <w:pPr>
        <w:pStyle w:val="Heading3"/>
      </w:pPr>
      <w:r>
        <w:t xml:space="preserve">Transparence : comment ce livre a été réalisé</w:t>
      </w:r>
    </w:p>
    <w:p>
      <w:pPr>
        <w:pStyle w:val="FirstParagraph"/>
      </w:pPr>
      <w:r>
        <w:t xml:space="preserve">Ce livre a été documenté et rédigé avec l’aide de l’intelligence artificielle (IA), puis révisé par l’auteur. L’IA a été utilisée pour rechercher des études dans les bases de données PubMed et ClinicalTrials.gov, analyser les résumés d’études et produire des projets de texte.</w:t>
      </w:r>
    </w:p>
    <w:p>
      <w:pPr>
        <w:pStyle w:val="BodyText"/>
      </w:pPr>
      <w:r>
        <w:t xml:space="preserve">Pour éviter les erreurs, des règles strictes s’appliquent : chaque étude citée est accompagnée de son numéro PubMed (PMID) ou de son numéro d’enregistrement sur ClinicalTrials.gov (numéro NCT). Chaque chiffre provient du résumé de la publication concernée ou de l’entrée du registre. Tous les numéros cités ont en outre été vérifiés automatiquement dans les bases de données. Vous pouvez ainsi consulter vous-même chaque source et vérifier les indications. La section suivante explique comment procéder ; vous trouverez des détails sur la recherche documentaire dans l’annexe « Méthodologie ».</w:t>
      </w:r>
    </w:p>
    <w:bookmarkEnd w:id="26"/>
    <w:bookmarkEnd w:id="27"/>
    <w:bookmarkStart w:id="36" w:name="à-propos-de-ce-livre"/>
    <w:p>
      <w:pPr>
        <w:pStyle w:val="Heading1"/>
      </w:pPr>
      <w:r>
        <w:t xml:space="preserve">À propos de ce livre</w:t>
      </w:r>
    </w:p>
    <w:bookmarkStart w:id="28" w:name="à-quoi-sert-ce-livre"/>
    <w:p>
      <w:pPr>
        <w:pStyle w:val="Heading3"/>
      </w:pPr>
      <w:r>
        <w:t xml:space="preserve">À quoi sert ce livre</w:t>
      </w:r>
    </w:p>
    <w:p>
      <w:pPr>
        <w:pStyle w:val="FirstParagraph"/>
      </w:pPr>
      <w:r>
        <w:t xml:space="preserve">Les peptides sont sur toutes les lèvres. Les « piqûres pour maigrir » comme le sémaglutide et le tirzépatide ont transformé le traitement de l’excès de poids, et des dizaines d’autres peptides sont proposés sur Internet – pour une guérison plus rapide, plus de muscles, une plus belle peau, plus d’énergie ou une vie plus longue. Entre les promesses des forums, des réseaux sociaux et des boutiques en ligne et ce qui a réellement été étudié chez l’humain, l’écart est souvent considérable.</w:t>
      </w:r>
    </w:p>
    <w:p>
      <w:pPr>
        <w:pStyle w:val="BodyText"/>
      </w:pPr>
      <w:r>
        <w:t xml:space="preserve">Ce livre veut rendre cet écart visible. Pour chaque peptide traité, il expose sobrement quelles études chez l’humain existent, ce qu’elles montrent et ce qu’elles ne montrent pas, quels risques sont connus et quelle est la situation juridique. Il compare les peptides entre eux et évalue la solidité des preuves dans chaque cas. Il doit vous aider à examiner les affirmations d’un œil critique et à mener des discussions éclairées avec les médecins et les pharmacies.</w:t>
      </w:r>
    </w:p>
    <w:bookmarkEnd w:id="28"/>
    <w:bookmarkStart w:id="29" w:name="à-qui-sadresse-ce-livre"/>
    <w:p>
      <w:pPr>
        <w:pStyle w:val="Heading3"/>
      </w:pPr>
      <w:r>
        <w:t xml:space="preserve">À qui s’adresse ce livre</w:t>
      </w:r>
    </w:p>
    <w:p>
      <w:pPr>
        <w:numPr>
          <w:ilvl w:val="0"/>
          <w:numId w:val="1001"/>
        </w:numPr>
        <w:pStyle w:val="Compact"/>
      </w:pPr>
      <w:r>
        <w:t xml:space="preserve">Aux</w:t>
      </w:r>
      <w:r>
        <w:t xml:space="preserve"> </w:t>
      </w:r>
      <w:r>
        <w:rPr>
          <w:bCs/>
          <w:b/>
        </w:rPr>
        <w:t xml:space="preserve">profanes intéressés</w:t>
      </w:r>
      <w:r>
        <w:t xml:space="preserve"> </w:t>
      </w:r>
      <w:r>
        <w:t xml:space="preserve">qui veulent savoir ce qui se cache derrière l’engouement pour les peptides.</w:t>
      </w:r>
    </w:p>
    <w:p>
      <w:pPr>
        <w:numPr>
          <w:ilvl w:val="0"/>
          <w:numId w:val="1001"/>
        </w:numPr>
        <w:pStyle w:val="Compact"/>
      </w:pPr>
      <w:r>
        <w:t xml:space="preserve">Aux personnes à qui l’on a prescrit un</w:t>
      </w:r>
      <w:r>
        <w:t xml:space="preserve"> </w:t>
      </w:r>
      <w:r>
        <w:rPr>
          <w:bCs/>
          <w:b/>
        </w:rPr>
        <w:t xml:space="preserve">médicament peptidique autorisé</w:t>
      </w:r>
      <w:r>
        <w:t xml:space="preserve">, ou qui l’envisagent, et qui souhaitent comprendre l’état des études.</w:t>
      </w:r>
    </w:p>
    <w:p>
      <w:pPr>
        <w:numPr>
          <w:ilvl w:val="0"/>
          <w:numId w:val="1001"/>
        </w:numPr>
        <w:pStyle w:val="Compact"/>
      </w:pPr>
      <w:r>
        <w:t xml:space="preserve">Aux</w:t>
      </w:r>
      <w:r>
        <w:t xml:space="preserve"> </w:t>
      </w:r>
      <w:r>
        <w:rPr>
          <w:bCs/>
          <w:b/>
        </w:rPr>
        <w:t xml:space="preserve">sportives et sportifs</w:t>
      </w:r>
      <w:r>
        <w:t xml:space="preserve">, entraîneuses et entraîneurs qui veulent évaluer les promesses publicitaires et les risques de dopage.</w:t>
      </w:r>
    </w:p>
    <w:p>
      <w:pPr>
        <w:numPr>
          <w:ilvl w:val="0"/>
          <w:numId w:val="1001"/>
        </w:numPr>
        <w:pStyle w:val="Compact"/>
      </w:pPr>
      <w:r>
        <w:t xml:space="preserve">Aux</w:t>
      </w:r>
      <w:r>
        <w:t xml:space="preserve"> </w:t>
      </w:r>
      <w:r>
        <w:rPr>
          <w:bCs/>
          <w:b/>
        </w:rPr>
        <w:t xml:space="preserve">professionnels</w:t>
      </w:r>
      <w:r>
        <w:t xml:space="preserve"> </w:t>
      </w:r>
      <w:r>
        <w:t xml:space="preserve">de la pharmacie, de la médecine, de la diététique, de la cosmétique et du journalisme qui recherchent une vue d’ensemble rapide et fondée sur des sources.</w:t>
      </w:r>
    </w:p>
    <w:p>
      <w:pPr>
        <w:pStyle w:val="FirstParagraph"/>
      </w:pPr>
      <w:r>
        <w:t xml:space="preserve">Aucune connaissance préalable n’est nécessaire. Les termes techniques sont expliqués lors de leur première apparition et figurent en outre dans le glossaire.</w:t>
      </w:r>
    </w:p>
    <w:bookmarkEnd w:id="29"/>
    <w:bookmarkStart w:id="30" w:name="comment-le-livre-est-organisé"/>
    <w:p>
      <w:pPr>
        <w:pStyle w:val="Heading3"/>
      </w:pPr>
      <w:r>
        <w:t xml:space="preserve">Comment le livre est organisé</w:t>
      </w:r>
    </w:p>
    <w:p>
      <w:pPr>
        <w:pStyle w:val="FirstParagraph"/>
      </w:pPr>
      <w:r>
        <w:rPr>
          <w:bCs/>
          <w:b/>
        </w:rPr>
        <w:t xml:space="preserve">Partie I – Notions de base</w:t>
      </w:r>
      <w:r>
        <w:t xml:space="preserve"> </w:t>
      </w:r>
      <w:r>
        <w:t xml:space="preserve">explique ce que sont les peptides, comment la médecine peptidique s’est développée, comment les peptides pénètrent dans l’organisme, comment lire les études, ce qui se passe sur le marché gris et quel cadre juridique s’applique. Si ces sujets ne vous sont pas familiers, commencez par là.</w:t>
      </w:r>
    </w:p>
    <w:p>
      <w:pPr>
        <w:pStyle w:val="BodyText"/>
      </w:pPr>
      <w:r>
        <w:rPr>
          <w:bCs/>
          <w:b/>
        </w:rPr>
        <w:t xml:space="preserve">Partie II – Les peptides</w:t>
      </w:r>
      <w:r>
        <w:t xml:space="preserve"> </w:t>
      </w:r>
      <w:r>
        <w:t xml:space="preserve">présente les différentes substances actives en six groupes : métabolisme et poids ; guérison, régénération et système immunitaire ; axe de l’hormone de croissance ; cerveau, sommeil et longévité ; hormones, sexualité et pigmentation ; collagène, nutrition et cosmétique. Chaque chapitre suit la même structure : fiche signalétique, mode d’action, études chez l’humain, études animales et de laboratoire, risques et effets indésirables, statut juridique, études en cours et perspectives, conclusion. Vous pouvez ainsi comparer facilement les peptides entre eux et faire des recherches ciblées.</w:t>
      </w:r>
    </w:p>
    <w:p>
      <w:pPr>
        <w:pStyle w:val="BodyText"/>
      </w:pPr>
      <w:r>
        <w:rPr>
          <w:bCs/>
          <w:b/>
        </w:rPr>
        <w:t xml:space="preserve">Partie III – La grande comparaison</w:t>
      </w:r>
      <w:r>
        <w:t xml:space="preserve"> </w:t>
      </w:r>
      <w:r>
        <w:t xml:space="preserve">met tous les peptides côte à côte et compare directement les médicaments GLP-1.</w:t>
      </w:r>
    </w:p>
    <w:p>
      <w:pPr>
        <w:pStyle w:val="BodyText"/>
      </w:pPr>
      <w:r>
        <w:rPr>
          <w:bCs/>
          <w:b/>
        </w:rPr>
        <w:t xml:space="preserve">Partie IV – Risques</w:t>
      </w:r>
      <w:r>
        <w:t xml:space="preserve"> </w:t>
      </w:r>
      <w:r>
        <w:t xml:space="preserve">résume les effets indésirables, les risques de cancer et les risques immunitaires, les problèmes des produits du marché gris et les groupes à risque particuliers.</w:t>
      </w:r>
    </w:p>
    <w:p>
      <w:pPr>
        <w:pStyle w:val="BodyText"/>
      </w:pPr>
      <w:r>
        <w:rPr>
          <w:bCs/>
          <w:b/>
        </w:rPr>
        <w:t xml:space="preserve">Partie V – Avenir</w:t>
      </w:r>
      <w:r>
        <w:t xml:space="preserve"> </w:t>
      </w:r>
      <w:r>
        <w:t xml:space="preserve">se penche sur les produits en développement, les nouvelles formes galéniques, l’expiration des brevets et les prix. Les faits établis et les estimations y sont clairement distingués.</w:t>
      </w:r>
    </w:p>
    <w:p>
      <w:pPr>
        <w:pStyle w:val="BodyText"/>
      </w:pPr>
      <w:r>
        <w:t xml:space="preserve">Dans l’</w:t>
      </w:r>
      <w:r>
        <w:rPr>
          <w:bCs/>
          <w:b/>
        </w:rPr>
        <w:t xml:space="preserve">annexe</w:t>
      </w:r>
      <w:r>
        <w:t xml:space="preserve">, vous trouverez le glossaire, la méthodologie de la recherche documentaire et la liste des études analysées.</w:t>
      </w:r>
    </w:p>
    <w:bookmarkEnd w:id="30"/>
    <w:bookmarkStart w:id="31" w:name="les-niveaux-de-preuve"/>
    <w:p>
      <w:pPr>
        <w:pStyle w:val="Heading3"/>
      </w:pPr>
      <w:r>
        <w:t xml:space="preserve">Les niveaux de preuve</w:t>
      </w:r>
    </w:p>
    <w:p>
      <w:pPr>
        <w:pStyle w:val="FirstParagraph"/>
      </w:pPr>
      <w:r>
        <w:t xml:space="preserve">Chaque peptide reçoit dans sa fiche signalétique un niveau de preuve. Celui-ci décrit la qualité des données disponibles</w:t>
      </w:r>
      <w:r>
        <w:t xml:space="preserve"> </w:t>
      </w:r>
      <w:r>
        <w:rPr>
          <w:bCs/>
          <w:b/>
        </w:rPr>
        <w:t xml:space="preserve">chez l’humain</w:t>
      </w:r>
      <w:r>
        <w:t xml:space="preserve"> </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Niveau</w:t>
            </w:r>
          </w:p>
        </w:tc>
        <w:tc>
          <w:tcPr/>
          <w:p>
            <w:pPr>
              <w:pStyle w:val="Compact"/>
              <w:jc w:val="left"/>
            </w:pPr>
            <w:r>
              <w:t xml:space="preserve">Signification</w:t>
            </w:r>
          </w:p>
        </w:tc>
      </w:tr>
      <w:tr>
        <w:tc>
          <w:tcPr/>
          <w:p>
            <w:pPr>
              <w:pStyle w:val="Compact"/>
              <w:jc w:val="left"/>
            </w:pPr>
            <w:r>
              <w:t xml:space="preserve">A</w:t>
            </w:r>
          </w:p>
        </w:tc>
        <w:tc>
          <w:tcPr/>
          <w:p>
            <w:pPr>
              <w:pStyle w:val="Compact"/>
              <w:jc w:val="left"/>
            </w:pPr>
            <w:r>
              <w:t xml:space="preserve">plusieurs grandes études randomisées chez l’humain, autorisation en tant que médicament</w:t>
            </w:r>
          </w:p>
        </w:tc>
      </w:tr>
      <w:tr>
        <w:tc>
          <w:tcPr/>
          <w:p>
            <w:pPr>
              <w:pStyle w:val="Compact"/>
              <w:jc w:val="left"/>
            </w:pPr>
            <w:r>
              <w:t xml:space="preserve">B</w:t>
            </w:r>
          </w:p>
        </w:tc>
        <w:tc>
          <w:tcPr/>
          <w:p>
            <w:pPr>
              <w:pStyle w:val="Compact"/>
              <w:jc w:val="left"/>
            </w:pPr>
            <w:r>
              <w:t xml:space="preserve">quelques études randomisées isolées chez l’humain</w:t>
            </w:r>
          </w:p>
        </w:tc>
      </w:tr>
      <w:tr>
        <w:tc>
          <w:tcPr/>
          <w:p>
            <w:pPr>
              <w:pStyle w:val="Compact"/>
              <w:jc w:val="left"/>
            </w:pPr>
            <w:r>
              <w:t xml:space="preserve">C</w:t>
            </w:r>
          </w:p>
        </w:tc>
        <w:tc>
          <w:tcPr/>
          <w:p>
            <w:pPr>
              <w:pStyle w:val="Compact"/>
              <w:jc w:val="left"/>
            </w:pPr>
            <w:r>
              <w:t xml:space="preserve">uniquement des études petites ou non contrôlées chez l’humain</w:t>
            </w:r>
          </w:p>
        </w:tc>
      </w:tr>
      <w:tr>
        <w:tc>
          <w:tcPr/>
          <w:p>
            <w:pPr>
              <w:pStyle w:val="Compact"/>
              <w:jc w:val="left"/>
            </w:pPr>
            <w:r>
              <w:t xml:space="preserve">D</w:t>
            </w:r>
          </w:p>
        </w:tc>
        <w:tc>
          <w:tcPr/>
          <w:p>
            <w:pPr>
              <w:pStyle w:val="Compact"/>
              <w:jc w:val="left"/>
            </w:pPr>
            <w:r>
              <w:t xml:space="preserve">uniquement des études animales et de laboratoire</w:t>
            </w:r>
          </w:p>
        </w:tc>
      </w:tr>
    </w:tbl>
    <w:p>
      <w:pPr>
        <w:pStyle w:val="BodyText"/>
      </w:pPr>
      <w:r>
        <w:t xml:space="preserve">Le niveau de preuve n’est ni une recommandation ni une affirmation sur la sécurité d’une substance. Une substance de niveau A a elle aussi des effets indésirables, et une substance de niveau D n’est pas forcément inefficace – elle n’a simplement pas encore été suffisamment étudiée chez l’humain. Ce que recouvrent les termes « randomisé », « contrôlé » ou « critère de substitution » est expliqué dans le chapitre « Bien lire les études ».</w:t>
      </w:r>
    </w:p>
    <w:bookmarkEnd w:id="31"/>
    <w:bookmarkStart w:id="32" w:name="comment-les-sources-sont-indiquées"/>
    <w:p>
      <w:pPr>
        <w:pStyle w:val="Heading3"/>
      </w:pPr>
      <w:r>
        <w:t xml:space="preserve">Comment les sources sont indiquées</w:t>
      </w:r>
    </w:p>
    <w:p>
      <w:pPr>
        <w:pStyle w:val="FirstParagraph"/>
      </w:pPr>
      <w:r>
        <w:t xml:space="preserve">Pour que le texte reste lisible, les sources figurent en notes de bas de page. Dans le livre numérique, un petit chiffre en exposant apparaît à l’endroit concerné ; il suffit de le toucher pour afficher la source. Chaque note indique le premier auteur ou la première autrice, l’année de publication et le numéro PubMed, par exemple : Wilding 2021, PMID 33567185.</w:t>
      </w:r>
    </w:p>
    <w:p>
      <w:pPr>
        <w:pStyle w:val="BodyText"/>
      </w:pPr>
      <w:r>
        <w:t xml:space="preserve">Les études enregistrées, en particulier celles en cours, sont indiquées avec leur numéro dans le registre américain ClinicalTrials.gov, par exemple NCT03548935. Dans les tableaux, les sources figurent directement dans la première colonne.</w:t>
      </w:r>
    </w:p>
    <w:p>
      <w:pPr>
        <w:pStyle w:val="BodyText"/>
      </w:pPr>
      <w:r>
        <w:t xml:space="preserve">Les notes sont regroupées à la fin de chaque chapitre ; l’index complet des études se trouve en annexe.</w:t>
      </w:r>
    </w:p>
    <w:bookmarkEnd w:id="32"/>
    <w:bookmarkStart w:id="33" w:name="comment-consulter-une-source"/>
    <w:p>
      <w:pPr>
        <w:pStyle w:val="Heading3"/>
      </w:pPr>
      <w:r>
        <w:t xml:space="preserve">Comment consulter une source</w:t>
      </w:r>
    </w:p>
    <w:p>
      <w:pPr>
        <w:pStyle w:val="FirstParagraph"/>
      </w:pPr>
      <w:r>
        <w:rPr>
          <w:bCs/>
          <w:b/>
        </w:rPr>
        <w:t xml:space="preserve">PMID</w:t>
      </w:r>
      <w:r>
        <w:t xml:space="preserve"> </w:t>
      </w:r>
      <w:r>
        <w:t xml:space="preserve">: l’identifiant PubMed est un numéro unique attribué à chaque entrée de PubMed, la base de données bibliographique en libre accès de la National Library of Medicine américaine.</w:t>
      </w:r>
    </w:p>
    <w:p>
      <w:pPr>
        <w:numPr>
          <w:ilvl w:val="0"/>
          <w:numId w:val="1002"/>
        </w:numPr>
        <w:pStyle w:val="Compact"/>
      </w:pPr>
      <w:r>
        <w:t xml:space="preserve">Ouvrez dans votre navigateur la page pubmed.ncbi.nlm.nih.gov.</w:t>
      </w:r>
    </w:p>
    <w:p>
      <w:pPr>
        <w:numPr>
          <w:ilvl w:val="0"/>
          <w:numId w:val="1002"/>
        </w:numPr>
        <w:pStyle w:val="Compact"/>
      </w:pPr>
      <w:r>
        <w:t xml:space="preserve">Saisissez le numéro dans le champ de recherche, par exemple 33567185, et lancez la recherche.</w:t>
      </w:r>
    </w:p>
    <w:p>
      <w:pPr>
        <w:numPr>
          <w:ilvl w:val="0"/>
          <w:numId w:val="1002"/>
        </w:numPr>
        <w:pStyle w:val="Compact"/>
      </w:pPr>
      <w:r>
        <w:t xml:space="preserve">Vous accédez directement à l’entrée avec le titre, les autrices et auteurs, la revue et, le plus souvent, un résumé (abstract).</w:t>
      </w:r>
    </w:p>
    <w:p>
      <w:pPr>
        <w:pStyle w:val="FirstParagraph"/>
      </w:pPr>
      <w:r>
        <w:t xml:space="preserve">Vous pouvez aussi ajouter directement le numéro à l’adresse : pubmed.ncbi.nlm.nih.gov/33567185. De nombreuses entrées contiennent un lien vers le texte intégral, disponible parfois gratuitement, parfois uniquement contre paiement.</w:t>
      </w:r>
    </w:p>
    <w:p>
      <w:pPr>
        <w:pStyle w:val="BodyText"/>
      </w:pPr>
      <w:r>
        <w:rPr>
          <w:bCs/>
          <w:b/>
        </w:rPr>
        <w:t xml:space="preserve">Numéro NCT</w:t>
      </w:r>
      <w:r>
        <w:t xml:space="preserve"> </w:t>
      </w:r>
      <w:r>
        <w:t xml:space="preserve">: vous trouverez les études enregistrées sur le site clinicaltrials.gov en saisissant le numéro dans le champ de recherche ou en l’ajoutant à l’adresse clinicaltrials.gov/study/, par exemple clinicaltrials.gov/study/NCT03548935. Vous y verrez le plan de l’étude, le nombre de participants, les critères d’évaluation et le statut actuel.</w:t>
      </w:r>
    </w:p>
    <w:bookmarkEnd w:id="33"/>
    <w:bookmarkStart w:id="34" w:name="X9ccb35fd5f5f4ef6a6bd55c9bee2b43079f3107"/>
    <w:p>
      <w:pPr>
        <w:pStyle w:val="Heading3"/>
      </w:pPr>
      <w:r>
        <w:t xml:space="preserve">Ce que ce livre ne contient délibérément pas</w:t>
      </w:r>
    </w:p>
    <w:p>
      <w:pPr>
        <w:numPr>
          <w:ilvl w:val="0"/>
          <w:numId w:val="1003"/>
        </w:numPr>
        <w:pStyle w:val="Compact"/>
      </w:pPr>
      <w:r>
        <w:rPr>
          <w:bCs/>
          <w:b/>
        </w:rPr>
        <w:t xml:space="preserve">Aucune posologie ni mode d’emploi.</w:t>
      </w:r>
      <w:r>
        <w:t xml:space="preserve"> </w:t>
      </w:r>
      <w:r>
        <w:t xml:space="preserve">Il n’y a aucune indication sur la quantité, la fréquence ou la durée d’utilisation d’un peptide, aucun mode d’emploi pour la dissolution ou l’injection et aucune association de plusieurs substances. Pour les médicaments autorisés, le livre renvoie au résumé des caractéristiques du produit et à l’accompagnement médical.</w:t>
      </w:r>
    </w:p>
    <w:p>
      <w:pPr>
        <w:numPr>
          <w:ilvl w:val="0"/>
          <w:numId w:val="1003"/>
        </w:numPr>
        <w:pStyle w:val="Compact"/>
      </w:pPr>
      <w:r>
        <w:rPr>
          <w:bCs/>
          <w:b/>
        </w:rPr>
        <w:t xml:space="preserve">Aucune source d’approvisionnement.</w:t>
      </w:r>
      <w:r>
        <w:t xml:space="preserve"> </w:t>
      </w:r>
      <w:r>
        <w:t xml:space="preserve">Aucune boutique, aucun fabricant, aucune pharmacie ni aucun pays où l’on peut se procurer des peptides n’est cité, et aucune indication n’est donnée sur la manière de contourner les contrôles.</w:t>
      </w:r>
    </w:p>
    <w:p>
      <w:pPr>
        <w:numPr>
          <w:ilvl w:val="0"/>
          <w:numId w:val="1003"/>
        </w:numPr>
        <w:pStyle w:val="Compact"/>
      </w:pPr>
      <w:r>
        <w:rPr>
          <w:bCs/>
          <w:b/>
        </w:rPr>
        <w:t xml:space="preserve">Aucune promesse de guérison.</w:t>
      </w:r>
      <w:r>
        <w:t xml:space="preserve"> </w:t>
      </w:r>
      <w:r>
        <w:t xml:space="preserve">Le livre rapporte ce qui a été observé dans les études – et non ce qu’une substance produira chez vous.</w:t>
      </w:r>
    </w:p>
    <w:p>
      <w:pPr>
        <w:numPr>
          <w:ilvl w:val="0"/>
          <w:numId w:val="1003"/>
        </w:numPr>
        <w:pStyle w:val="Compact"/>
      </w:pPr>
      <w:r>
        <w:rPr>
          <w:bCs/>
          <w:b/>
        </w:rPr>
        <w:t xml:space="preserve">Aucune recommandation de produit.</w:t>
      </w:r>
      <w:r>
        <w:t xml:space="preserve"> </w:t>
      </w:r>
      <w:r>
        <w:t xml:space="preserve">Ni marques ni fournisseurs ne sont recommandés. Les noms commerciaux de médicaments autorisés ne sont mentionnés que lorsqu’ils sont nécessaires à la compréhension.</w:t>
      </w:r>
    </w:p>
    <w:bookmarkEnd w:id="34"/>
    <w:bookmarkStart w:id="35" w:name="un-dernier-mot"/>
    <w:p>
      <w:pPr>
        <w:pStyle w:val="Heading3"/>
      </w:pPr>
      <w:r>
        <w:t xml:space="preserve">Un dernier mot</w:t>
      </w:r>
    </w:p>
    <w:p>
      <w:pPr>
        <w:pStyle w:val="FirstParagraph"/>
      </w:pPr>
      <w:r>
        <w:t xml:space="preserve">Ce livre est un outil de réflexion, pas un guide d’automédication. Si vous avez plus de questions après la lecture qu’avant, ce n’est pas mauvais signe : souvent, la réponse la plus honnête à la question « Ce peptide est-il efficace ? » est « Personne ne le sait encore ».</w:t>
      </w:r>
    </w:p>
    <w:bookmarkEnd w:id="35"/>
    <w:bookmarkEnd w:id="36"/>
    <w:bookmarkStart w:id="230" w:name="partie-i-notions-de-base"/>
    <w:p>
      <w:pPr>
        <w:pStyle w:val="Heading1"/>
      </w:pPr>
      <w:r>
        <w:t xml:space="preserve">Partie I – Notions de base</w:t>
      </w:r>
    </w:p>
    <w:p>
      <w:pPr>
        <w:pStyle w:val="FirstParagraph"/>
      </w:pPr>
      <w:r>
        <w:t xml:space="preserve">Avant d’aborder les différentes substances actives dans la partie II, cette partie pose les fondations. Vous y apprendrez ce qu’est réellement un peptide sur le plan chimique, comment un extrait de pancréas de chien est devenu en un siècle l’un des groupes de médicaments les plus rentables au monde, pourquoi la plupart des peptides doivent être injectés, comment lire une étude sans se laisser tromper par les gros titres, ce que contiennent réellement les flacons vendus sur le marché gris et quelles règles juridiques s’appliquent.</w:t>
      </w:r>
    </w:p>
    <w:p>
      <w:pPr>
        <w:pStyle w:val="BodyText"/>
      </w:pPr>
      <w:r>
        <w:t xml:space="preserve">Si vous souhaitez seulement consulter un peptide particulier, vous pouvez passer directement à la partie II. Les chapitres de cette partie expliquent toutefois les notions et les critères qui y sont constamment utilisés – par exemple « randomisé », « critère de substitution », « niveau de preuve B » ou « Research Peptide ». Un bref coup d’œil en vaut donc la peine, même pour les lectrices et lecteurs pressés.</w:t>
      </w:r>
    </w:p>
    <w:bookmarkStart w:id="62" w:name="X5954a58efdbdbf2c81ce46bddc760c76657f029"/>
    <w:p>
      <w:pPr>
        <w:pStyle w:val="Heading2"/>
      </w:pPr>
      <w:r>
        <w:t xml:space="preserve">Ce que sont les peptides – et ce qu’ils ne sont pas</w:t>
      </w:r>
    </w:p>
    <w:p>
      <w:pPr>
        <w:pStyle w:val="FirstParagraph"/>
      </w:pPr>
      <w:r>
        <w:t xml:space="preserve">Le mot « peptide » a fait une carrière étonnante ces dernières années. On le trouve sur les crèmes pour la peau et les poudres protéinées, dans les publicités pour les piqûres amaigrissantes et dans les forums en ligne où l’on discute de « peptides de guérison ». Pourtant, ce terme ne désigne au départ qu’un certain type de construction chimique – ni plus ni moins. Il ne dit rien sur l’efficacité d’une substance, sur sa sécurité ni même sur sa capacité à pénétrer dans l’organisme. Ce chapitre clarifie les notions de base et fait le point sur quelques idées fausses répandues.</w:t>
      </w:r>
    </w:p>
    <w:bookmarkStart w:id="37" w:name="Xe322c9333804d39489a1516ca53e553fc04010a"/>
    <w:p>
      <w:pPr>
        <w:pStyle w:val="Heading3"/>
      </w:pPr>
      <w:r>
        <w:t xml:space="preserve">Les acides aminés : les briques élémentaires</w:t>
      </w:r>
    </w:p>
    <w:p>
      <w:pPr>
        <w:pStyle w:val="FirstParagraph"/>
      </w:pPr>
      <w:r>
        <w:t xml:space="preserve">Tous les peptides et toutes les protéines sont constitués d’acides aminés. Un acide aminé est une petite molécule comportant deux éléments caractéristiques : un groupe amine (qui contient de l’azote) et un groupe acide (groupe carboxyle). Entre les deux se trouve un atome de carbone central auquel est rattachée une chaîne dite latérale. C’est cette chaîne latérale qui distingue les acides aminés entre eux : elle peut être petite et discrète comme dans la glycine, huileuse et hydrophobe comme dans la leucine, chargée électriquement comme dans la lysine ou soufrée comme dans la cystéine.</w:t>
      </w:r>
    </w:p>
    <w:p>
      <w:pPr>
        <w:pStyle w:val="BodyText"/>
      </w:pPr>
      <w:r>
        <w:t xml:space="preserve">Le corps humain construit ses protéines essentiellement à partir de 20 acides aminés standard. Il peut en fabriquer certains lui-même ; d’autres – les acides aminés « essentiels » – doivent être apportés par l’alimentation. Il existe en outre des centaines d’autres acides aminés présents dans la nature ou fabriqués en laboratoire. Pour le développement de médicaments, ces acides aminés « non naturels » sont importants, car ils peuvent rendre un peptide plus stable. Vous en trouverez un exemple plus bas avec le sémaglutide.</w:t>
      </w:r>
    </w:p>
    <w:p>
      <w:pPr>
        <w:pStyle w:val="BodyText"/>
      </w:pPr>
      <w:r>
        <w:t xml:space="preserve">Point important pour comprendre de nombreuses promesses publicitaires : les acides aminés isolés ne sont pas des peptides. Un complément alimentaire à base d’arginine, de glutamine ou de « BCAA » contient des acides aminés libres, c’est-à-dire des briques isolées – pas de peptide.</w:t>
      </w:r>
    </w:p>
    <w:bookmarkEnd w:id="37"/>
    <w:bookmarkStart w:id="38" w:name="la-liaison-peptidique"/>
    <w:p>
      <w:pPr>
        <w:pStyle w:val="Heading3"/>
      </w:pPr>
      <w:r>
        <w:t xml:space="preserve">La liaison peptidique</w:t>
      </w:r>
    </w:p>
    <w:p>
      <w:pPr>
        <w:pStyle w:val="FirstParagraph"/>
      </w:pPr>
      <w:r>
        <w:t xml:space="preserve">Lorsque deux acides aminés s’assemblent, le groupe acide de l’un réagit avec le groupe amine de l’autre. Une molécule d’eau est alors libérée, et il se forme une liaison stable : la liaison peptidique. Le résultat s’appelle un dipeptide. Si l’on ajoute un autre acide aminé, on obtient un tripeptide, puis un tétrapeptide, et ainsi de suite. Une telle chaîne a toujours un sens : elle commence par un groupe amine libre (l’« extrémité N-terminale ») et se termine par un groupe acide libre (l’« extrémité C-terminale »). Dans les articles scientifiques, les acides aminés sont donc toujours écrits de gauche à droite, de l’extrémité N à l’extrémité C – souvent avec des abréviations d’une lettre. Le tripeptide « GHK », par exemple, signifie glycine–histidine–lysine.</w:t>
      </w:r>
    </w:p>
    <w:p>
      <w:pPr>
        <w:pStyle w:val="BodyText"/>
      </w:pPr>
      <w:r>
        <w:t xml:space="preserve">L’ordre des acides aminés s’appelle la séquence ou structure primaire. Il est déterminant : deux peptides composés des mêmes briques dans un ordre différent sont des substances différentes aux propriétés différentes – tout comme « chien » et « niche » sont formés des mêmes lettres.</w:t>
      </w:r>
    </w:p>
    <w:bookmarkEnd w:id="38"/>
    <w:bookmarkStart w:id="41" w:name="X206f4c7e77366d9ca6670f4f10ad4364e0de2e1"/>
    <w:p>
      <w:pPr>
        <w:pStyle w:val="Heading3"/>
      </w:pPr>
      <w:r>
        <w:t xml:space="preserve">Peptide ou protéine ? Une question de longueur</w:t>
      </w:r>
    </w:p>
    <w:p>
      <w:pPr>
        <w:pStyle w:val="FirstParagraph"/>
      </w:pPr>
      <w:r>
        <w:t xml:space="preserve">Il n’existe pas de frontière scientifique nette entre peptides et protéines, mais une convention. En gros :</w:t>
      </w:r>
    </w:p>
    <w:p>
      <w:pPr>
        <w:numPr>
          <w:ilvl w:val="0"/>
          <w:numId w:val="1004"/>
        </w:numPr>
        <w:pStyle w:val="Compact"/>
      </w:pPr>
      <w:r>
        <w:rPr>
          <w:bCs/>
          <w:b/>
        </w:rPr>
        <w:t xml:space="preserve">Oligopeptides</w:t>
      </w:r>
      <w:r>
        <w:t xml:space="preserve"> </w:t>
      </w:r>
      <w:r>
        <w:t xml:space="preserve">: environ 2 à 10 acides aminés, par exemple le tripeptide glutathion ou le dipeptide carnosine.</w:t>
      </w:r>
    </w:p>
    <w:p>
      <w:pPr>
        <w:numPr>
          <w:ilvl w:val="0"/>
          <w:numId w:val="1004"/>
        </w:numPr>
        <w:pStyle w:val="Compact"/>
      </w:pPr>
      <w:r>
        <w:rPr>
          <w:bCs/>
          <w:b/>
        </w:rPr>
        <w:t xml:space="preserve">Polypeptides</w:t>
      </w:r>
      <w:r>
        <w:t xml:space="preserve"> </w:t>
      </w:r>
      <w:r>
        <w:t xml:space="preserve">: chaînes plus longues jusqu’à environ 50 acides aminés.</w:t>
      </w:r>
    </w:p>
    <w:p>
      <w:pPr>
        <w:numPr>
          <w:ilvl w:val="0"/>
          <w:numId w:val="1004"/>
        </w:numPr>
        <w:pStyle w:val="Compact"/>
      </w:pPr>
      <w:r>
        <w:rPr>
          <w:bCs/>
          <w:b/>
        </w:rPr>
        <w:t xml:space="preserve">Protéines</w:t>
      </w:r>
      <w:r>
        <w:t xml:space="preserve"> </w:t>
      </w:r>
      <w:r>
        <w:t xml:space="preserve">: molécules plus grandes, le plus souvent de plus de 50 acides aminés et avec un repliement spatial défini.</w:t>
      </w:r>
    </w:p>
    <w:p>
      <w:pPr>
        <w:pStyle w:val="FirstParagraph"/>
      </w:pPr>
      <w:r>
        <w:t xml:space="preserve">Avec 51 acides aminés, l’insuline se situe exactement à cette limite. Elle est formée de deux chaînes reliées par des ponts disulfure et est qualifiée, selon les manuels, de peptide ou de petite protéine. L’hormone de croissance humaine, en revanche, est clairement une protéine : sa forme la plus fréquente comprend 191 acides aminés et pèse environ 22 000 daltons</w:t>
      </w:r>
      <w:r>
        <w:rPr>
          <w:rStyle w:val="FootnoteReference"/>
        </w:rPr>
        <w:footnoteReference w:id="39"/>
      </w:r>
      <w:r>
        <w:t xml:space="preserve">. Le dalton est l’unité de masse des molécules ; un acide aminé moyen dans une chaîne pèse un peu plus de 100 daltons.</w:t>
      </w:r>
    </w:p>
    <w:p>
      <w:pPr>
        <w:pStyle w:val="BodyText"/>
      </w:pPr>
      <w:r>
        <w:t xml:space="preserve">Quelques exemples tirés de ce livre pour s’orienter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Substance</w:t>
            </w:r>
          </w:p>
        </w:tc>
        <w:tc>
          <w:tcPr/>
          <w:p>
            <w:pPr>
              <w:pStyle w:val="Compact"/>
              <w:jc w:val="left"/>
            </w:pPr>
            <w:r>
              <w:t xml:space="preserve">Longueur</w:t>
            </w:r>
          </w:p>
        </w:tc>
        <w:tc>
          <w:tcPr/>
          <w:p>
            <w:pPr>
              <w:pStyle w:val="Compact"/>
              <w:jc w:val="left"/>
            </w:pPr>
            <w:r>
              <w:t xml:space="preserve">Remarque</w:t>
            </w:r>
          </w:p>
        </w:tc>
      </w:tr>
      <w:tr>
        <w:tc>
          <w:tcPr/>
          <w:p>
            <w:pPr>
              <w:pStyle w:val="Compact"/>
              <w:jc w:val="left"/>
            </w:pPr>
            <w:r>
              <w:t xml:space="preserve">Carnosine</w:t>
            </w:r>
          </w:p>
        </w:tc>
        <w:tc>
          <w:tcPr/>
          <w:p>
            <w:pPr>
              <w:pStyle w:val="Compact"/>
              <w:jc w:val="left"/>
            </w:pPr>
            <w:r>
              <w:t xml:space="preserve">2 acides aminés</w:t>
            </w:r>
          </w:p>
        </w:tc>
        <w:tc>
          <w:tcPr/>
          <w:p>
            <w:pPr>
              <w:pStyle w:val="Compact"/>
              <w:jc w:val="left"/>
            </w:pPr>
            <w:r>
              <w:t xml:space="preserve">présente dans les muscles</w:t>
            </w:r>
          </w:p>
        </w:tc>
      </w:tr>
      <w:tr>
        <w:tc>
          <w:tcPr/>
          <w:p>
            <w:pPr>
              <w:pStyle w:val="Compact"/>
              <w:jc w:val="left"/>
            </w:pPr>
            <w:r>
              <w:t xml:space="preserve">Glutathion</w:t>
            </w:r>
          </w:p>
        </w:tc>
        <w:tc>
          <w:tcPr/>
          <w:p>
            <w:pPr>
              <w:pStyle w:val="Compact"/>
              <w:jc w:val="left"/>
            </w:pPr>
            <w:r>
              <w:t xml:space="preserve">3 acides aminés</w:t>
            </w:r>
          </w:p>
        </w:tc>
        <w:tc>
          <w:tcPr/>
          <w:p>
            <w:pPr>
              <w:pStyle w:val="Compact"/>
              <w:jc w:val="left"/>
            </w:pPr>
            <w:r>
              <w:t xml:space="preserve">molécule protectrice produite par l’organisme</w:t>
            </w:r>
          </w:p>
        </w:tc>
      </w:tr>
      <w:tr>
        <w:tc>
          <w:tcPr/>
          <w:p>
            <w:pPr>
              <w:pStyle w:val="Compact"/>
              <w:jc w:val="left"/>
            </w:pPr>
            <w:r>
              <w:t xml:space="preserve">Ocytocine</w:t>
            </w:r>
          </w:p>
        </w:tc>
        <w:tc>
          <w:tcPr/>
          <w:p>
            <w:pPr>
              <w:pStyle w:val="Compact"/>
              <w:jc w:val="left"/>
            </w:pPr>
            <w:r>
              <w:t xml:space="preserve">9 acides aminés</w:t>
            </w:r>
          </w:p>
        </w:tc>
        <w:tc>
          <w:tcPr/>
          <w:p>
            <w:pPr>
              <w:pStyle w:val="Compact"/>
              <w:jc w:val="left"/>
            </w:pPr>
            <w:r>
              <w:t xml:space="preserve">hormone, structure cyclique</w:t>
            </w:r>
          </w:p>
        </w:tc>
      </w:tr>
      <w:tr>
        <w:tc>
          <w:tcPr/>
          <w:p>
            <w:pPr>
              <w:pStyle w:val="Compact"/>
              <w:jc w:val="left"/>
            </w:pPr>
            <w:r>
              <w:t xml:space="preserve">GLP-1 (forme active)</w:t>
            </w:r>
          </w:p>
        </w:tc>
        <w:tc>
          <w:tcPr/>
          <w:p>
            <w:pPr>
              <w:pStyle w:val="Compact"/>
              <w:jc w:val="left"/>
            </w:pPr>
            <w:r>
              <w:t xml:space="preserve">30 acides aminés</w:t>
            </w:r>
          </w:p>
        </w:tc>
        <w:tc>
          <w:tcPr/>
          <w:p>
            <w:pPr>
              <w:pStyle w:val="Compact"/>
              <w:jc w:val="left"/>
            </w:pPr>
            <w:r>
              <w:t xml:space="preserve">hormone intestinale</w:t>
            </w:r>
          </w:p>
        </w:tc>
      </w:tr>
      <w:tr>
        <w:tc>
          <w:tcPr/>
          <w:p>
            <w:pPr>
              <w:pStyle w:val="Compact"/>
              <w:jc w:val="left"/>
            </w:pPr>
            <w:r>
              <w:t xml:space="preserve">Exendine-4 (exénatide)</w:t>
            </w:r>
          </w:p>
        </w:tc>
        <w:tc>
          <w:tcPr/>
          <w:p>
            <w:pPr>
              <w:pStyle w:val="Compact"/>
              <w:jc w:val="left"/>
            </w:pPr>
            <w:r>
              <w:t xml:space="preserve">39 acides aminés</w:t>
            </w:r>
          </w:p>
        </w:tc>
        <w:tc>
          <w:tcPr/>
          <w:p>
            <w:pPr>
              <w:pStyle w:val="Compact"/>
              <w:jc w:val="left"/>
            </w:pPr>
            <w:r>
              <w:t xml:space="preserve">issue du venin d’un lézard</w:t>
            </w:r>
          </w:p>
        </w:tc>
      </w:tr>
      <w:tr>
        <w:tc>
          <w:tcPr/>
          <w:p>
            <w:pPr>
              <w:pStyle w:val="Compact"/>
              <w:jc w:val="left"/>
            </w:pPr>
            <w:r>
              <w:t xml:space="preserve">Insuline</w:t>
            </w:r>
          </w:p>
        </w:tc>
        <w:tc>
          <w:tcPr/>
          <w:p>
            <w:pPr>
              <w:pStyle w:val="Compact"/>
              <w:jc w:val="left"/>
            </w:pPr>
            <w:r>
              <w:t xml:space="preserve">51 acides aminés</w:t>
            </w:r>
          </w:p>
        </w:tc>
        <w:tc>
          <w:tcPr/>
          <w:p>
            <w:pPr>
              <w:pStyle w:val="Compact"/>
              <w:jc w:val="left"/>
            </w:pPr>
            <w:r>
              <w:t xml:space="preserve">deux chaînes</w:t>
            </w:r>
          </w:p>
        </w:tc>
      </w:tr>
      <w:tr>
        <w:tc>
          <w:tcPr/>
          <w:p>
            <w:pPr>
              <w:pStyle w:val="Compact"/>
              <w:jc w:val="left"/>
            </w:pPr>
            <w:r>
              <w:t xml:space="preserve">Hormone de croissance</w:t>
            </w:r>
          </w:p>
        </w:tc>
        <w:tc>
          <w:tcPr/>
          <w:p>
            <w:pPr>
              <w:pStyle w:val="Compact"/>
              <w:jc w:val="left"/>
            </w:pPr>
            <w:r>
              <w:t xml:space="preserve">191 acides aminés</w:t>
            </w:r>
          </w:p>
        </w:tc>
        <w:tc>
          <w:tcPr/>
          <w:p>
            <w:pPr>
              <w:pStyle w:val="Compact"/>
              <w:jc w:val="left"/>
            </w:pPr>
            <w:r>
              <w:t xml:space="preserve">protéine</w:t>
            </w:r>
          </w:p>
        </w:tc>
      </w:tr>
    </w:tbl>
    <w:p>
      <w:pPr>
        <w:pStyle w:val="BodyText"/>
      </w:pPr>
      <w:r>
        <w:t xml:space="preserve">La longueur de l’exendine-4 est indiquée dans sa première description</w:t>
      </w:r>
      <w:r>
        <w:rPr>
          <w:rStyle w:val="FootnoteReference"/>
        </w:rPr>
        <w:footnoteReference w:id="40"/>
      </w:r>
      <w:r>
        <w:t xml:space="preserve"> </w:t>
      </w:r>
      <w:r>
        <w:t xml:space="preserve">; les autres données correspondent aux connaissances des manuels.</w:t>
      </w:r>
    </w:p>
    <w:p>
      <w:pPr>
        <w:pStyle w:val="BodyText"/>
      </w:pPr>
      <w:r>
        <w:t xml:space="preserve">En pratique, la longueur importe pour plusieurs raisons. Les peptides courts sont plus simples et moins chers à fabriquer chimiquement. Les longues chaînes se replient en formes complexes qui peuvent être indispensables à leur action. Et plus une molécule est grande, plus elle a du mal à traverser la peau ou la paroi intestinale – nous y reviendrons dans le chapitre sur les formes galéniques.</w:t>
      </w:r>
    </w:p>
    <w:bookmarkEnd w:id="41"/>
    <w:bookmarkStart w:id="43" w:name="Xbb47c10b08af7de11ab08054a050e9b290a0044"/>
    <w:p>
      <w:pPr>
        <w:pStyle w:val="Heading3"/>
      </w:pPr>
      <w:r>
        <w:t xml:space="preserve">Comment les peptides agissent dans l’organisme</w:t>
      </w:r>
    </w:p>
    <w:p>
      <w:pPr>
        <w:pStyle w:val="FirstParagraph"/>
      </w:pPr>
      <w:r>
        <w:t xml:space="preserve">Le corps humain utilise les peptides avant tout comme messagers. Une hormone peptidique est produite dans une cellule, libérée dans le sang ou dans les tissus, puis se fixe sur une autre cellule à un récepteur adapté. Les récepteurs sont des molécules protéiques de la membrane cellulaire qui fonctionnent comme une serrure : seule la bonne clé déclenche un signal à l’intérieur de la cellule.</w:t>
      </w:r>
    </w:p>
    <w:p>
      <w:pPr>
        <w:pStyle w:val="BodyText"/>
      </w:pPr>
      <w:r>
        <w:t xml:space="preserve">Comme les peptides sont le plus souvent trop grands et trop hydrosolubles pour traverser la membrane cellulaire grasse, la plupart agissent par l’intermédiaire de récepteurs situés à la surface des cellules. Beaucoup d’entre eux appartiennent à la grande famille des récepteurs couplés aux protéines G. Le récepteur du GLP-1, par lequel agissent le sémaglutide ou le liraglutide, est l’un de ces récepteurs. On le trouve non seulement dans le pancréas, mais aussi dans le tube digestif, le cœur, les poumons, les reins et le cerveau</w:t>
      </w:r>
      <w:r>
        <w:rPr>
          <w:rStyle w:val="FootnoteReference"/>
        </w:rPr>
        <w:footnoteReference w:id="42"/>
      </w:r>
      <w:r>
        <w:t xml:space="preserve"> </w:t>
      </w:r>
      <w:r>
        <w:t xml:space="preserve">– ce qui explique pourquoi ces substances ont des effets si variés.</w:t>
      </w:r>
    </w:p>
    <w:p>
      <w:pPr>
        <w:pStyle w:val="BodyText"/>
      </w:pPr>
      <w:r>
        <w:t xml:space="preserve">Les peptides remplissent des fonctions très diverses dans l’organisme :</w:t>
      </w:r>
    </w:p>
    <w:p>
      <w:pPr>
        <w:numPr>
          <w:ilvl w:val="0"/>
          <w:numId w:val="1005"/>
        </w:numPr>
        <w:pStyle w:val="Compact"/>
      </w:pPr>
      <w:r>
        <w:t xml:space="preserve">Les</w:t>
      </w:r>
      <w:r>
        <w:t xml:space="preserve"> </w:t>
      </w:r>
      <w:r>
        <w:rPr>
          <w:bCs/>
          <w:b/>
        </w:rPr>
        <w:t xml:space="preserve">hormones</w:t>
      </w:r>
      <w:r>
        <w:t xml:space="preserve"> </w:t>
      </w:r>
      <w:r>
        <w:t xml:space="preserve">comme l’insuline, le glucagon, le GLP-1, l’ocytocine ou la vasopressine régulent le métabolisme, l’équilibre hydrique et la reproduction.</w:t>
      </w:r>
    </w:p>
    <w:p>
      <w:pPr>
        <w:numPr>
          <w:ilvl w:val="0"/>
          <w:numId w:val="1005"/>
        </w:numPr>
        <w:pStyle w:val="Compact"/>
      </w:pPr>
      <w:r>
        <w:t xml:space="preserve">Les</w:t>
      </w:r>
      <w:r>
        <w:t xml:space="preserve"> </w:t>
      </w:r>
      <w:r>
        <w:rPr>
          <w:bCs/>
          <w:b/>
        </w:rPr>
        <w:t xml:space="preserve">facteurs de libération</w:t>
      </w:r>
      <w:r>
        <w:t xml:space="preserve"> </w:t>
      </w:r>
      <w:r>
        <w:t xml:space="preserve">de l’hypothalamus, comme la gonadolibérine (GnRH), donnent des ordres à l’hypophyse.</w:t>
      </w:r>
    </w:p>
    <w:p>
      <w:pPr>
        <w:numPr>
          <w:ilvl w:val="0"/>
          <w:numId w:val="1005"/>
        </w:numPr>
        <w:pStyle w:val="Compact"/>
      </w:pPr>
      <w:r>
        <w:t xml:space="preserve">Les</w:t>
      </w:r>
      <w:r>
        <w:t xml:space="preserve"> </w:t>
      </w:r>
      <w:r>
        <w:rPr>
          <w:bCs/>
          <w:b/>
        </w:rPr>
        <w:t xml:space="preserve">neuropeptides</w:t>
      </w:r>
      <w:r>
        <w:t xml:space="preserve"> </w:t>
      </w:r>
      <w:r>
        <w:t xml:space="preserve">comme les endorphines agissent comme substances de signalisation dans le système nerveux.</w:t>
      </w:r>
    </w:p>
    <w:p>
      <w:pPr>
        <w:numPr>
          <w:ilvl w:val="0"/>
          <w:numId w:val="1005"/>
        </w:numPr>
        <w:pStyle w:val="Compact"/>
      </w:pPr>
      <w:r>
        <w:t xml:space="preserve">Les</w:t>
      </w:r>
      <w:r>
        <w:t xml:space="preserve"> </w:t>
      </w:r>
      <w:r>
        <w:rPr>
          <w:bCs/>
          <w:b/>
        </w:rPr>
        <w:t xml:space="preserve">peptides antimicrobiens</w:t>
      </w:r>
      <w:r>
        <w:t xml:space="preserve"> </w:t>
      </w:r>
      <w:r>
        <w:t xml:space="preserve">comme LL-37 font partie de l’immunité innée.</w:t>
      </w:r>
    </w:p>
    <w:p>
      <w:pPr>
        <w:numPr>
          <w:ilvl w:val="0"/>
          <w:numId w:val="1005"/>
        </w:numPr>
        <w:pStyle w:val="Compact"/>
      </w:pPr>
      <w:r>
        <w:rPr>
          <w:bCs/>
          <w:b/>
        </w:rPr>
        <w:t xml:space="preserve">Éléments structurels et produits de dégradation</w:t>
      </w:r>
      <w:r>
        <w:t xml:space="preserve"> </w:t>
      </w:r>
      <w:r>
        <w:t xml:space="preserve">: lors de la digestion du collagène ou des protéines du lait, il se forme de courts peptides, dont certains sont détectables dans le sang.</w:t>
      </w:r>
    </w:p>
    <w:p>
      <w:pPr>
        <w:pStyle w:val="FirstParagraph"/>
      </w:pPr>
      <w:r>
        <w:t xml:space="preserve">Cette diversité explique pourquoi des substances si différentes sont regroupées sous le terme « peptide » : un médicament antidiabétique très puissant et soumis à prescription aussi bien qu’une poudre de collagène vendue au supermarché.</w:t>
      </w:r>
    </w:p>
    <w:bookmarkEnd w:id="43"/>
    <w:bookmarkStart w:id="47" w:name="X3c9ecce29a77ed1dc9f340e88537f0c53a1f1ef"/>
    <w:p>
      <w:pPr>
        <w:pStyle w:val="Heading3"/>
      </w:pPr>
      <w:r>
        <w:t xml:space="preserve">Une courte durée de vie : le problème fondamental des peptides naturels</w:t>
      </w:r>
    </w:p>
    <w:p>
      <w:pPr>
        <w:pStyle w:val="FirstParagraph"/>
      </w:pPr>
      <w:r>
        <w:t xml:space="preserve">Les peptides produits par l’organisme sont généralement conçus pour une action brève et précise. Le corps dispose d’une multitude d’enzymes qui coupent les liaisons peptidiques – les peptidases ou protéases. C’est logique : un signal hormonal doit apparaître après le repas, puis disparaître.</w:t>
      </w:r>
    </w:p>
    <w:p>
      <w:pPr>
        <w:pStyle w:val="BodyText"/>
      </w:pPr>
      <w:r>
        <w:t xml:space="preserve">Pour un médicament, cette courte durée de vie pose cependant problème. Le GLP-1 naturel est rapidement découpé par l’enzyme dipeptidyl peptidase-4 (DPP-4). Dans du plasma sanguin humain en éprouvette, la demi-vie était d’environ 20 minutes</w:t>
      </w:r>
      <w:r>
        <w:rPr>
          <w:rStyle w:val="FootnoteReference"/>
        </w:rPr>
        <w:footnoteReference w:id="44"/>
      </w:r>
      <w:r>
        <w:t xml:space="preserve"> </w:t>
      </w:r>
      <w:r>
        <w:t xml:space="preserve">; dans l’organisme, le GLP-1 est en outre rapidement éliminé de la circulation. Utilisé tel quel, le GLP-1 serait donc à peine exploitable comme médicament.</w:t>
      </w:r>
    </w:p>
    <w:p>
      <w:pPr>
        <w:pStyle w:val="BodyText"/>
      </w:pPr>
      <w:r>
        <w:t xml:space="preserve">La solution de la recherche pharmaceutique a consisté à modifier la molécule de façon ciblée. Dans le sémaglutide, deux acides aminés du GLP-1 naturel ont été remplacés – en position 8 se trouve l’acide aminé non naturel Aib, qui protège la molécule contre la DPP-4 – et un acide gras a été fixé à la chaîne par l’intermédiaire d’un bras de liaison. L’acide gras fait en sorte que le sémaglutide se lie de manière réversible dans le sang à l’albumine, une protéine de transport</w:t>
      </w:r>
      <w:r>
        <w:rPr>
          <w:rStyle w:val="FootnoteReference"/>
        </w:rPr>
        <w:footnoteReference w:id="45"/>
      </w:r>
      <w:r>
        <w:t xml:space="preserve">. Il se forme ainsi un dépôt à partir duquel la substance est libérée lentement. La demi-vie chez l’humain est d’environ une semaine</w:t>
      </w:r>
      <w:r>
        <w:rPr>
          <w:rStyle w:val="FootnoteReference"/>
        </w:rPr>
        <w:footnoteReference w:id="46"/>
      </w:r>
      <w:r>
        <w:t xml:space="preserve"> </w:t>
      </w:r>
      <w:r>
        <w:t xml:space="preserve">– c’est pourquoi une injection par semaine suffit.</w:t>
      </w:r>
    </w:p>
    <w:p>
      <w:pPr>
        <w:pStyle w:val="BodyText"/>
      </w:pPr>
      <w:r>
        <w:t xml:space="preserve">Ce principe – un modèle naturel, stabilisé de façon ciblée – traverse toute la médecine peptidique moderne. Mais il signifie aussi qu’un médicament peptidique n’est le plus souvent</w:t>
      </w:r>
      <w:r>
        <w:t xml:space="preserve"> </w:t>
      </w:r>
      <w:r>
        <w:rPr>
          <w:bCs/>
          <w:b/>
        </w:rPr>
        <w:t xml:space="preserve">pas</w:t>
      </w:r>
      <w:r>
        <w:t xml:space="preserve"> </w:t>
      </w:r>
      <w:r>
        <w:t xml:space="preserve">une substance « naturelle » au sens d’une substance de l’organisme non modifiée. C’est une molécule inspirée par la nature, mais optimisée en laboratoire.</w:t>
      </w:r>
    </w:p>
    <w:bookmarkEnd w:id="47"/>
    <w:bookmarkStart w:id="51" w:name="comment-les-peptides-sont-fabriqués"/>
    <w:p>
      <w:pPr>
        <w:pStyle w:val="Heading3"/>
      </w:pPr>
      <w:r>
        <w:t xml:space="preserve">Comment les peptides sont fabriqués</w:t>
      </w:r>
    </w:p>
    <w:p>
      <w:pPr>
        <w:pStyle w:val="FirstParagraph"/>
      </w:pPr>
      <w:r>
        <w:t xml:space="preserve">Il existe trois voies fondamentales pour obtenir des peptides :</w:t>
      </w:r>
    </w:p>
    <w:p>
      <w:pPr>
        <w:pStyle w:val="BodyText"/>
      </w:pPr>
      <w:r>
        <w:rPr>
          <w:bCs/>
          <w:b/>
        </w:rPr>
        <w:t xml:space="preserve">La synthèse chimique.</w:t>
      </w:r>
      <w:r>
        <w:t xml:space="preserve"> </w:t>
      </w:r>
      <w:r>
        <w:t xml:space="preserve">Depuis les années 1960, les peptides sont construits brique par brique sur un support solide. Ce procédé de synthèse peptidique en phase solide a été mis au point par Robert Bruce Merrifield</w:t>
      </w:r>
      <w:r>
        <w:rPr>
          <w:rStyle w:val="FootnoteReference"/>
        </w:rPr>
        <w:footnoteReference w:id="48"/>
      </w:r>
      <w:r>
        <w:t xml:space="preserve">, qui a reçu pour cela le prix Nobel de chimie en 1984. Aujourd’hui, ces synthèses sont largement automatisées. Elles sont à la base de presque tous les peptides courts, y compris ceux proposés sur le marché gris. Des erreurs peuvent toutefois survenir à chaque étape de couplage – par exemple des acides aminés manquants ou en double. Une étape de purification soigneuse est donc indispensable.</w:t>
      </w:r>
    </w:p>
    <w:p>
      <w:pPr>
        <w:pStyle w:val="BodyText"/>
      </w:pPr>
      <w:r>
        <w:rPr>
          <w:bCs/>
          <w:b/>
        </w:rPr>
        <w:t xml:space="preserve">La fabrication par génie génétique (recombinante).</w:t>
      </w:r>
      <w:r>
        <w:t xml:space="preserve"> </w:t>
      </w:r>
      <w:r>
        <w:t xml:space="preserve">On introduit le « plan de construction » du peptide dans des bactéries ou des levures, qui le produisent ensuite dans de grandes cuves. L’insuline humaine a été le premier médicament fabriqué de cette façon ; elle a été utilisée dans des études cliniques chez l’humain à partir de 1980</w:t>
      </w:r>
      <w:r>
        <w:rPr>
          <w:rStyle w:val="FootnoteReference"/>
        </w:rPr>
        <w:footnoteReference w:id="49"/>
      </w:r>
      <w:r>
        <w:t xml:space="preserve">. Les peptides de plus grande taille et les protéines sont aujourd’hui encore obtenus principalement de cette manière, parfois en combinaison avec des étapes de modification chimique.</w:t>
      </w:r>
    </w:p>
    <w:p>
      <w:pPr>
        <w:pStyle w:val="BodyText"/>
      </w:pPr>
      <w:r>
        <w:rPr>
          <w:bCs/>
          <w:b/>
        </w:rPr>
        <w:t xml:space="preserve">L’extraction à partir de sources naturelles.</w:t>
      </w:r>
      <w:r>
        <w:t xml:space="preserve"> </w:t>
      </w:r>
      <w:r>
        <w:t xml:space="preserve">Les premières insulines étaient extraites de pancréas de bœuf et de porc. Les peptides de collagène sont aujourd’hui obtenus en découpant à l’aide d’enzymes le collagène de la peau, des os ou des écailles de poisson en fragments plus petits (hydrolyse). Ces hydrolysats sont des mélanges de nombreux peptides différents – pas une substance active homogène.</w:t>
      </w:r>
    </w:p>
    <w:p>
      <w:pPr>
        <w:pStyle w:val="BodyText"/>
      </w:pPr>
      <w:r>
        <w:t xml:space="preserve">Le mode de fabrication est important pour la sécurité. Une étude a comparé des produits d’imitation du sémaglutide et du liraglutide aux préparations originales et a trouvé dans certaines substances d’imitation de nouvelles impuretés, notamment des protéines de poids moléculaire plus élevé, des traces de métaux et des résidus de solvants</w:t>
      </w:r>
      <w:r>
        <w:rPr>
          <w:rStyle w:val="FootnoteReference"/>
        </w:rPr>
        <w:footnoteReference w:id="50"/>
      </w:r>
      <w:r>
        <w:t xml:space="preserve">. La pertinence clinique de ces différences n’est pas établie – mais elles montrent que « la même substance active » ne signifie pas automatiquement « le même produit ». L’étude a d’ailleurs été réalisée par le fabricant des préparations originales, ce dont il faut tenir compte dans l’évaluation.</w:t>
      </w:r>
    </w:p>
    <w:bookmarkEnd w:id="51"/>
    <w:bookmarkStart w:id="54" w:name="X61d752e91c71bd87f732e02af09c4f871c07ecf"/>
    <w:p>
      <w:pPr>
        <w:pStyle w:val="Heading3"/>
      </w:pPr>
      <w:r>
        <w:t xml:space="preserve">Les peptides comme médicaments : un groupe en croissance</w:t>
      </w:r>
    </w:p>
    <w:p>
      <w:pPr>
        <w:pStyle w:val="FirstParagraph"/>
      </w:pPr>
      <w:r>
        <w:t xml:space="preserve">Les peptides occupent une niche entre les « petites molécules » classiques (comme l’aspirine ou la metformine) et les grands médicaments biologiques (comme les anticorps). Ils peuvent se lier de façon très ciblée à un récepteur, ce qui entraîne souvent peu d’effets indésirables ailleurs dans l’organisme. En même temps, ils sont plus difficiles à formuler en comprimés et souvent coûteux à fabriquer.</w:t>
      </w:r>
    </w:p>
    <w:p>
      <w:pPr>
        <w:pStyle w:val="BodyText"/>
      </w:pPr>
      <w:r>
        <w:t xml:space="preserve">Selon une revue, plus de 80 médicaments peptidiques ont atteint le marché depuis l’introduction de l’insuline, par exemple contre le diabète, le cancer, l’ostéoporose, la sclérose en plaques, l’infection par le VIH et les douleurs chroniques</w:t>
      </w:r>
      <w:r>
        <w:rPr>
          <w:rStyle w:val="FootnoteReference"/>
        </w:rPr>
        <w:footnoteReference w:id="52"/>
      </w:r>
      <w:r>
        <w:t xml:space="preserve">. Une autre analyse a recensé plus de 150 peptides en développement clinique actif</w:t>
      </w:r>
      <w:r>
        <w:rPr>
          <w:rStyle w:val="FootnoteReference"/>
        </w:rPr>
        <w:footnoteReference w:id="53"/>
      </w:r>
      <w:r>
        <w:t xml:space="preserve">. Les chiffres varient selon le mode de comptage, mais vont dans le même sens : les peptides sont une composante établie et croissante de la médecine.</w:t>
      </w:r>
    </w:p>
    <w:p>
      <w:pPr>
        <w:pStyle w:val="BodyText"/>
      </w:pPr>
      <w:r>
        <w:t xml:space="preserve">Vous connaissez peut-être de nombreux médicaments peptidiques sans les avoir perçus comme tels : l’insuline, le médicament contre l’ostéoporose tériparatide (un fragment de 34 acides aminés de la parathormone), des médicaments contre le cancer de la prostate qui agissent sur le système de la GnRH, l’ocytocine utilisée pour déclencher le travail ou l’antibiotique vancomycine, un glycopeptide.</w:t>
      </w:r>
    </w:p>
    <w:bookmarkEnd w:id="54"/>
    <w:bookmarkStart w:id="56" w:name="ce-que-les-peptides-ne-sont-pas"/>
    <w:p>
      <w:pPr>
        <w:pStyle w:val="Heading3"/>
      </w:pPr>
      <w:r>
        <w:t xml:space="preserve">Ce que les peptides ne sont pas</w:t>
      </w:r>
    </w:p>
    <w:p>
      <w:pPr>
        <w:pStyle w:val="FirstParagraph"/>
      </w:pPr>
      <w:r>
        <w:t xml:space="preserve">Précisément parce que le terme est devenu si populaire, il vaut la peine de s’arrêter sur quelques malentendus répandus.</w:t>
      </w:r>
    </w:p>
    <w:p>
      <w:pPr>
        <w:pStyle w:val="BodyText"/>
      </w:pPr>
      <w:r>
        <w:rPr>
          <w:bCs/>
          <w:b/>
        </w:rPr>
        <w:t xml:space="preserve">« Peptide » n’est pas un gage de qualité.</w:t>
      </w:r>
      <w:r>
        <w:t xml:space="preserve"> </w:t>
      </w:r>
      <w:r>
        <w:t xml:space="preserve">La construction chimique ne dit rien de l’utilité ou du risque. L’insuline sauve des vies chaque jour – en quantité inappropriée, elle peut être mortelle. Un peptide n’est pas automatiquement plus doux qu’un médicament « chimique ».</w:t>
      </w:r>
    </w:p>
    <w:p>
      <w:pPr>
        <w:pStyle w:val="BodyText"/>
      </w:pPr>
      <w:r>
        <w:rPr>
          <w:bCs/>
          <w:b/>
        </w:rPr>
        <w:t xml:space="preserve">« Produit par l’organisme » ne veut pas dire « inoffensif ».</w:t>
      </w:r>
      <w:r>
        <w:t xml:space="preserve"> </w:t>
      </w:r>
      <w:r>
        <w:t xml:space="preserve">De nombreux peptides du marché gris sont vantés comme « endogènes » ou « bio-identiques ». Mais même les substances produites par l’organisme peuvent nuire en quantité anormalement élevée, au mauvais endroit ou sur une longue durée. Le système de l’hormone de croissance en est un exemple : une carence rend malade, un excès permanent aussi. De plus, de nombreux peptides prétendument endogènes sont en réalité des variantes ou des fragments qui n’existent pas sous cette forme dans l’organisme. Le BPC-157, par exemple, est une séquence de 15 acides aminés</w:t>
      </w:r>
      <w:r>
        <w:rPr>
          <w:rStyle w:val="FootnoteReference"/>
        </w:rPr>
        <w:footnoteReference w:id="55"/>
      </w:r>
      <w:r>
        <w:t xml:space="preserve"> </w:t>
      </w:r>
      <w:r>
        <w:t xml:space="preserve">que ses découvreurs ont dérivée du suc gastrique ; il n’est pas établi en tant qu’hormone humaine à part entière.</w:t>
      </w:r>
    </w:p>
    <w:p>
      <w:pPr>
        <w:pStyle w:val="BodyText"/>
      </w:pPr>
      <w:r>
        <w:rPr>
          <w:bCs/>
          <w:b/>
        </w:rPr>
        <w:t xml:space="preserve">Les peptides ne sont pas des stéroïdes.</w:t>
      </w:r>
      <w:r>
        <w:t xml:space="preserve"> </w:t>
      </w:r>
      <w:r>
        <w:t xml:space="preserve">Les anabolisants comme la testostérone sont des hormones stéroïdes dotées d’une structure chimique totalement différente, faite de cycles carbonés. Ils agissent par l’intermédiaire de récepteurs situés à l’intérieur des cellules. Dans le milieu du fitness, on met parfois les deux groupes dans le même sac ; sur les plans chimique et pharmacologique, ils ont peu en commun.</w:t>
      </w:r>
    </w:p>
    <w:p>
      <w:pPr>
        <w:pStyle w:val="BodyText"/>
      </w:pPr>
      <w:r>
        <w:rPr>
          <w:bCs/>
          <w:b/>
        </w:rPr>
        <w:t xml:space="preserve">Tout ce qui agit de façon similaire n’est pas un peptide.</w:t>
      </w:r>
      <w:r>
        <w:t xml:space="preserve"> </w:t>
      </w:r>
      <w:r>
        <w:t xml:space="preserve">L’orforglipron, par exemple, active comme le sémaglutide le récepteur du GLP-1, mais c’est une petite molécule non peptidique. L’ibutamorène (MK-677) stimule la sécrétion d’hormone de croissance comme certains peptides, mais n’en est pas un lui-même. C’est pourquoi tous deux ne sont traités dans ce livre qu’à titre de comparaison.</w:t>
      </w:r>
    </w:p>
    <w:p>
      <w:pPr>
        <w:pStyle w:val="BodyText"/>
      </w:pPr>
      <w:r>
        <w:rPr>
          <w:bCs/>
          <w:b/>
        </w:rPr>
        <w:t xml:space="preserve">Un peptide dans une crème n’est pas la même chose qu’un peptide dans une seringue.</w:t>
      </w:r>
      <w:r>
        <w:t xml:space="preserve"> </w:t>
      </w:r>
      <w:r>
        <w:t xml:space="preserve">Les peptides cosmétiques comme le palmitoyl pentapeptide-4 sont spécialement conçus pour agir dans la couche la plus superficielle de la peau. Savoir s’ils pénètrent et jusqu’à quelle profondeur est une question à part. À l’inverse, un peptide injecté comme médicament ne traverse pas simplement la peau lorsqu’on l’applique dessus.</w:t>
      </w:r>
    </w:p>
    <w:p>
      <w:pPr>
        <w:pStyle w:val="BodyText"/>
      </w:pPr>
      <w:r>
        <w:rPr>
          <w:bCs/>
          <w:b/>
        </w:rPr>
        <w:t xml:space="preserve">Les peptides ingérés sont le plus souvent digérés.</w:t>
      </w:r>
      <w:r>
        <w:t xml:space="preserve"> </w:t>
      </w:r>
      <w:r>
        <w:t xml:space="preserve">Le tube digestif est conçu pour décomposer les protéines en acides aminés et en fragments très courts. Une hormone peptidique avalée est donc en règle générale dégradée avant de pouvoir agir. Les exceptions – par exemple de très petits peptides issus du collagène, détectables dans le sang, ou le comprimé de sémaglutide avec son excipient – sont expliquées dans le chapitre qui suit le prochain.</w:t>
      </w:r>
    </w:p>
    <w:bookmarkEnd w:id="56"/>
    <w:bookmarkStart w:id="57" w:name="naturel-identique-au-naturel-modifié"/>
    <w:p>
      <w:pPr>
        <w:pStyle w:val="Heading3"/>
      </w:pPr>
      <w:r>
        <w:t xml:space="preserve">Naturel, identique au naturel, modifié</w:t>
      </w:r>
    </w:p>
    <w:p>
      <w:pPr>
        <w:pStyle w:val="FirstParagraph"/>
      </w:pPr>
      <w:r>
        <w:t xml:space="preserve">Pour classer les peptides de la partie II, une distinction simple est utile :</w:t>
      </w:r>
    </w:p>
    <w:p>
      <w:pPr>
        <w:numPr>
          <w:ilvl w:val="0"/>
          <w:numId w:val="1006"/>
        </w:numPr>
        <w:pStyle w:val="Compact"/>
      </w:pPr>
      <w:r>
        <w:rPr>
          <w:bCs/>
          <w:b/>
        </w:rPr>
        <w:t xml:space="preserve">Les peptides identiques aux peptides naturels</w:t>
      </w:r>
      <w:r>
        <w:t xml:space="preserve"> </w:t>
      </w:r>
      <w:r>
        <w:t xml:space="preserve">correspondent exactement à une molécule produite par l’organisme, par exemple l’ocytocine ou le glutathion.</w:t>
      </w:r>
    </w:p>
    <w:p>
      <w:pPr>
        <w:numPr>
          <w:ilvl w:val="0"/>
          <w:numId w:val="1006"/>
        </w:numPr>
        <w:pStyle w:val="Compact"/>
      </w:pPr>
      <w:r>
        <w:rPr>
          <w:bCs/>
          <w:b/>
        </w:rPr>
        <w:t xml:space="preserve">Les analogues modifiés</w:t>
      </w:r>
      <w:r>
        <w:t xml:space="preserve"> </w:t>
      </w:r>
      <w:r>
        <w:t xml:space="preserve">sont dérivés du modèle naturel, mais modifiés de façon ciblée – par des acides aminés remplacés, des acides gras ajoutés ou des structures cycliques. Presque tous les médicaments peptidiques modernes en font partie.</w:t>
      </w:r>
    </w:p>
    <w:p>
      <w:pPr>
        <w:numPr>
          <w:ilvl w:val="0"/>
          <w:numId w:val="1006"/>
        </w:numPr>
        <w:pStyle w:val="Compact"/>
      </w:pPr>
      <w:r>
        <w:rPr>
          <w:bCs/>
          <w:b/>
        </w:rPr>
        <w:t xml:space="preserve">Les peptides étrangers ou de conception nouvelle</w:t>
      </w:r>
      <w:r>
        <w:t xml:space="preserve"> </w:t>
      </w:r>
      <w:r>
        <w:t xml:space="preserve">proviennent d’autres êtres vivants (comme l’exendine-4, issue de la salive du monstre de Gila) ou ont été conçus en laboratoire (comme les peptides cosmétiques ou les doubles et triples agonistes tirzépatide et rétatrutide).</w:t>
      </w:r>
    </w:p>
    <w:p>
      <w:pPr>
        <w:pStyle w:val="FirstParagraph"/>
      </w:pPr>
      <w:r>
        <w:t xml:space="preserve">Cette classification n’est pas à elle seule déterminante pour la sécurité. Elle aide cependant à comprendre pourquoi des études chez l’humain sont indispensables pour les trois groupes : même une molécule identique à la molécule naturelle se comporte différemment lorsqu’elle est apportée de l’extérieur en grande quantité.</w:t>
      </w:r>
    </w:p>
    <w:bookmarkEnd w:id="57"/>
    <w:bookmarkStart w:id="60" w:name="X5a59bcb1462986cd72a48f8bc5120cb45d33781"/>
    <w:p>
      <w:pPr>
        <w:pStyle w:val="Heading3"/>
      </w:pPr>
      <w:r>
        <w:t xml:space="preserve">Pourquoi les peptides attirent autant l’attention en ce moment</w:t>
      </w:r>
    </w:p>
    <w:p>
      <w:pPr>
        <w:pStyle w:val="FirstParagraph"/>
      </w:pPr>
      <w:r>
        <w:t xml:space="preserve">Trois évolutions expliquent l’engouement de ces dernières années :</w:t>
      </w:r>
    </w:p>
    <w:p>
      <w:pPr>
        <w:pStyle w:val="BodyText"/>
      </w:pPr>
      <w:r>
        <w:rPr>
          <w:bCs/>
          <w:b/>
        </w:rPr>
        <w:t xml:space="preserve">Premièrement, les médicaments GLP-1.</w:t>
      </w:r>
      <w:r>
        <w:t xml:space="preserve"> </w:t>
      </w:r>
      <w:r>
        <w:t xml:space="preserve">Les résultats de substances comme le sémaglutide et le tirzépatide dans l’excès de poids ont fait entrer les peptides dans les gros titres. Dans l’étude d’autorisation STEP 1, les participants sous sémaglutide ont perdu en moyenne 14,9 % de leur poids corporel, contre 2,4 % sous placebo</w:t>
      </w:r>
      <w:r>
        <w:rPr>
          <w:rStyle w:val="FootnoteReference"/>
        </w:rPr>
        <w:footnoteReference w:id="58"/>
      </w:r>
      <w:r>
        <w:t xml:space="preserve">. De tels chiffres n’avaient jamais été atteints auparavant avec des médicaments.</w:t>
      </w:r>
    </w:p>
    <w:p>
      <w:pPr>
        <w:pStyle w:val="BodyText"/>
      </w:pPr>
      <w:r>
        <w:rPr>
          <w:bCs/>
          <w:b/>
        </w:rPr>
        <w:t xml:space="preserve">Deuxièmement, la facilité d’accès.</w:t>
      </w:r>
      <w:r>
        <w:t xml:space="preserve"> </w:t>
      </w:r>
      <w:r>
        <w:t xml:space="preserve">Les peptides courts peuvent aujourd’hui être synthétisés à bas coût dans de nombreux pays et sont proposés dans le monde entier sur Internet – souvent avec l’étiquette « uniquement à des fins de recherche ». Ce que cela signifie est traité dans le chapitre sur le marché gris.</w:t>
      </w:r>
    </w:p>
    <w:p>
      <w:pPr>
        <w:pStyle w:val="BodyText"/>
      </w:pPr>
      <w:r>
        <w:rPr>
          <w:bCs/>
          <w:b/>
        </w:rPr>
        <w:t xml:space="preserve">Troisièmement, les réseaux sociaux.</w:t>
      </w:r>
      <w:r>
        <w:t xml:space="preserve"> </w:t>
      </w:r>
      <w:r>
        <w:t xml:space="preserve">Les témoignages, les photos avant-après et les recommandations d’influenceurs se diffusent plus vite que les données scientifiques. Une revue décrit comment la publicité numérique, l’accès au marché gris et l’auto-injection se conjuguent et banalisent des produits dont l’identité, la pureté et la sécurité sont incertaines</w:t>
      </w:r>
      <w:r>
        <w:rPr>
          <w:rStyle w:val="FootnoteReference"/>
        </w:rPr>
        <w:footnoteReference w:id="59"/>
      </w:r>
      <w:r>
        <w:t xml:space="preserve">.</w:t>
      </w:r>
    </w:p>
    <w:p>
      <w:pPr>
        <w:pStyle w:val="BodyText"/>
      </w:pPr>
      <w:r>
        <w:t xml:space="preserve">Ce livre veut offrir ici un contrepoids sobre : pour chaque peptide, il examine ce qui a réellement été étudié chez l’humain – et ce qui ne l’a pas été.</w:t>
      </w:r>
    </w:p>
    <w:bookmarkEnd w:id="60"/>
    <w:bookmarkStart w:id="61" w:name="lessentiel-en-bref"/>
    <w:p>
      <w:pPr>
        <w:pStyle w:val="Heading3"/>
      </w:pPr>
      <w:r>
        <w:t xml:space="preserve">L’essentiel en bref</w:t>
      </w:r>
    </w:p>
    <w:p>
      <w:pPr>
        <w:numPr>
          <w:ilvl w:val="0"/>
          <w:numId w:val="1007"/>
        </w:numPr>
        <w:pStyle w:val="Compact"/>
      </w:pPr>
      <w:r>
        <w:t xml:space="preserve">Les peptides sont des chaînes d’acides aminés reliés par des liaisons peptidiques. À partir d’environ 50 acides aminés, on parle généralement de protéines.</w:t>
      </w:r>
    </w:p>
    <w:p>
      <w:pPr>
        <w:numPr>
          <w:ilvl w:val="0"/>
          <w:numId w:val="1007"/>
        </w:numPr>
        <w:pStyle w:val="Compact"/>
      </w:pPr>
      <w:r>
        <w:t xml:space="preserve">Dans l’organisme, les peptides agissent surtout comme messagers, par l’intermédiaire de récepteurs situés à la surface des cellules.</w:t>
      </w:r>
    </w:p>
    <w:p>
      <w:pPr>
        <w:numPr>
          <w:ilvl w:val="0"/>
          <w:numId w:val="1007"/>
        </w:numPr>
        <w:pStyle w:val="Compact"/>
      </w:pPr>
      <w:r>
        <w:t xml:space="preserve">Les peptides naturels sont rapidement dégradés. C’est pourquoi les médicaments peptidiques modernes sont presque toujours des molécules modifiées de façon ciblée.</w:t>
      </w:r>
    </w:p>
    <w:p>
      <w:pPr>
        <w:numPr>
          <w:ilvl w:val="0"/>
          <w:numId w:val="1007"/>
        </w:numPr>
        <w:pStyle w:val="Compact"/>
      </w:pPr>
      <w:r>
        <w:t xml:space="preserve">Les peptides sont synthétisés chimiquement, fabriqués par génie génétique ou extraits de sources naturelles. Le mode de fabrication et la pureté influencent la sécurité.</w:t>
      </w:r>
    </w:p>
    <w:p>
      <w:pPr>
        <w:numPr>
          <w:ilvl w:val="0"/>
          <w:numId w:val="1007"/>
        </w:numPr>
        <w:pStyle w:val="Compact"/>
      </w:pPr>
      <w:r>
        <w:t xml:space="preserve">« Peptide » est une description chimique, pas un label de qualité. Seules de bonnes études peuvent montrer si un peptide donné est efficace et sûr chez l’humain.</w:t>
      </w:r>
    </w:p>
    <w:bookmarkEnd w:id="61"/>
    <w:bookmarkEnd w:id="62"/>
    <w:bookmarkStart w:id="99" w:name="Xf6acaf8b7cf066864e4e93feefc2edfdf4d3c80"/>
    <w:p>
      <w:pPr>
        <w:pStyle w:val="Heading2"/>
      </w:pPr>
      <w:r>
        <w:t xml:space="preserve">Brève histoire : de l’insuline aux médicaments GLP-1</w:t>
      </w:r>
    </w:p>
    <w:p>
      <w:pPr>
        <w:pStyle w:val="FirstParagraph"/>
      </w:pPr>
      <w:r>
        <w:t xml:space="preserve">L’histoire des médicaments peptidiques est une histoire de percées, de fausses pistes et de hasards étonnants. Elle commence par une expérience désespérée à Toronto, passe par le venin d’un lézard du désert américain et aboutit – provisoirement – à des piqûres amaigrissantes qui comptent parmi les médicaments les plus vendus au monde. Ce chapitre en retrace les principales étapes. Il doit vous aider à mettre en perspective l’effervescence actuelle autour des peptides : beaucoup de ce qui est présenté comme révolutionnaire repose sur cent ans de recherche laborieuse.</w:t>
      </w:r>
    </w:p>
    <w:bookmarkStart w:id="63" w:name="Xe99ee6439a0592399a30de55e58d6df9e3a83cc"/>
    <w:p>
      <w:pPr>
        <w:pStyle w:val="Heading3"/>
      </w:pPr>
      <w:r>
        <w:t xml:space="preserve">Avant 1922 : la découverte des messagers chimiques</w:t>
      </w:r>
    </w:p>
    <w:p>
      <w:pPr>
        <w:pStyle w:val="FirstParagraph"/>
      </w:pPr>
      <w:r>
        <w:t xml:space="preserve">Vers 1900, une idée nouvelle s’impose en physiologie : les organes ne communiquent pas seulement par les nerfs, mais aussi par des messagers chimiques circulant dans le sang. En 1902, les physiologistes britanniques William Bayliss et Ernest Starling décrivent la sécrétine, une substance de la paroi intestinale qui stimule la production de suc par le pancréas. Peu après, Starling forge pour ces messagers le terme d’« hormone ». La sécrétine est – on le sait aujourd’hui – un peptide. Un peptide se trouve ainsi à l’origine de toute la recherche sur les hormones.</w:t>
      </w:r>
    </w:p>
    <w:p>
      <w:pPr>
        <w:pStyle w:val="BodyText"/>
      </w:pPr>
      <w:r>
        <w:t xml:space="preserve">À la même époque, on savait que le diabète sucré (diabetes mellitus) était lié au pancréas. Les chiens auxquels on retirait cet organe développaient un diabète mortel. De nombreux groupes de recherche tentaient d’extraire de la glande la substance hypoglycémiante présumée. Les extraits étaient cependant soit inefficaces, soit si impurs qu’ils provoquaient des réactions graves.</w:t>
      </w:r>
    </w:p>
    <w:bookmarkEnd w:id="63"/>
    <w:bookmarkStart w:id="67" w:name="X43b0ad044a1605b549f4337f01599b9033e9ffb"/>
    <w:p>
      <w:pPr>
        <w:pStyle w:val="Heading3"/>
      </w:pPr>
      <w:r>
        <w:t xml:space="preserve">1922 : l’insuline – le premier médicament peptidique</w:t>
      </w:r>
    </w:p>
    <w:p>
      <w:pPr>
        <w:pStyle w:val="FirstParagraph"/>
      </w:pPr>
      <w:r>
        <w:t xml:space="preserve">À l’été 1921, un groupe de l’université de Toronto franchit l’étape décisive. Frederick Banting et Charles Best, sous la direction de John Macleod, obtiennent un extrait qui fait baisser la glycémie chez des chiens privés de pancréas. Le biochimiste James Collip améliore la purification au point que l’extrait peut être testé chez l’humain. En janvier 1922, un garçon de 14 ans atteint d’un diabète sévère reçoit les premières injections à Toronto. La même année, le groupe publie ses expériences chez des patients</w:t>
      </w:r>
      <w:r>
        <w:rPr>
          <w:rStyle w:val="FootnoteReference"/>
        </w:rPr>
        <w:footnoteReference w:id="64"/>
      </w:r>
      <w:r>
        <w:t xml:space="preserve">.</w:t>
      </w:r>
    </w:p>
    <w:p>
      <w:pPr>
        <w:pStyle w:val="BodyText"/>
      </w:pPr>
      <w:r>
        <w:t xml:space="preserve">L’effet est spectaculaire : le diabète de type 1, jusque-là mortel en peu de temps, devient une maladie chronique traitable. Une revue publiée pour le centenaire décrit précisément cette transformation comme le cœur de la découverte</w:t>
      </w:r>
      <w:r>
        <w:rPr>
          <w:rStyle w:val="FootnoteReference"/>
        </w:rPr>
        <w:footnoteReference w:id="65"/>
      </w:r>
      <w:r>
        <w:t xml:space="preserve">. Banting et Macleod reçoivent en 1923 le prix Nobel de médecine.</w:t>
      </w:r>
    </w:p>
    <w:p>
      <w:pPr>
        <w:pStyle w:val="BodyText"/>
      </w:pPr>
      <w:r>
        <w:t xml:space="preserve">Les décennies suivantes, comme le résume une revue historique, tournent autour de questions très concrètes : produire suffisamment d’insuline, la rendre plus pure pour éviter les réactions allergiques, établir des normes et prolonger la durée d’action afin de réduire le nombre d’injections</w:t>
      </w:r>
      <w:r>
        <w:rPr>
          <w:rStyle w:val="FootnoteReference"/>
        </w:rPr>
        <w:footnoteReference w:id="66"/>
      </w:r>
      <w:r>
        <w:t xml:space="preserve">. Ces mêmes thèmes – fabrication, pureté, durée d’action, administration – accompagnent la médecine peptidique jusqu’à aujourd’hui.</w:t>
      </w:r>
    </w:p>
    <w:bookmarkEnd w:id="67"/>
    <w:bookmarkStart w:id="70" w:name="X2153ccff799fbfc197994541c64f3007267d05d"/>
    <w:p>
      <w:pPr>
        <w:pStyle w:val="Heading3"/>
      </w:pPr>
      <w:r>
        <w:t xml:space="preserve">Années 1950 : les peptides deviennent lisibles et fabricables</w:t>
      </w:r>
    </w:p>
    <w:p>
      <w:pPr>
        <w:pStyle w:val="FirstParagraph"/>
      </w:pPr>
      <w:r>
        <w:t xml:space="preserve">Pendant longtemps, la structure chimique de l’insuline est restée inconnue. Au début des années 1950, le biochimiste britannique Frederick Sanger décrypte étape par étape l’ordre des acides aminés dans les deux chaînes de l’insuline</w:t>
      </w:r>
      <w:r>
        <w:rPr>
          <w:rStyle w:val="FootnoteReference"/>
        </w:rPr>
        <w:footnoteReference w:id="68"/>
      </w:r>
      <w:r>
        <w:t xml:space="preserve">. L’insuline devient ainsi la première protéine dont la séquence complète est connue. Sanger reçoit pour cela le prix Nobel de chimie en 1958. La découverte que les protéines possèdent un ordre fixe et précisément défini de briques élémentaires est fondamentale pour toute la biologie moléculaire.</w:t>
      </w:r>
    </w:p>
    <w:p>
      <w:pPr>
        <w:pStyle w:val="BodyText"/>
      </w:pPr>
      <w:r>
        <w:t xml:space="preserve">Presque au même moment, le chimiste américain Vincent du Vigneaud réalise la première synthèse chimique d’une hormone peptidique : l’ocytocine, une hormone de neuf acides aminés qui déclenche les contractions de l’accouchement et l’éjection du lait. Il reçoit pour cela le prix Nobel de chimie en 1955. Pour la première fois, une hormone de l’organisme avait été « reproduite » en laboratoire – l’ocytocine de synthèse est encore utilisée aujourd’hui en obstétrique.</w:t>
      </w:r>
    </w:p>
    <w:p>
      <w:pPr>
        <w:pStyle w:val="BodyText"/>
      </w:pPr>
      <w:r>
        <w:t xml:space="preserve">Dans les années 1960, Robert Bruce Merrifield met au point la synthèse en phase solide, dans laquelle une chaîne peptidique est allongée brique par brique sur un support solide</w:t>
      </w:r>
      <w:r>
        <w:rPr>
          <w:rStyle w:val="FootnoteReference"/>
        </w:rPr>
        <w:footnoteReference w:id="69"/>
      </w:r>
      <w:r>
        <w:t xml:space="preserve">. Le procédé peut être automatisé et rend enfin praticable la fabrication de n’importe quel peptide court. Merrifield reçoit le prix Nobel de chimie en 1984. Sans cette technique, il n’existerait ni la plupart des médicaments peptidiques modernes ni le marché gris actuel.</w:t>
      </w:r>
    </w:p>
    <w:bookmarkEnd w:id="70"/>
    <w:bookmarkStart w:id="72" w:name="années-1960-et-1970-mesurer-et-réguler"/>
    <w:p>
      <w:pPr>
        <w:pStyle w:val="Heading3"/>
      </w:pPr>
      <w:r>
        <w:t xml:space="preserve">Années 1960 et 1970 : mesurer et réguler</w:t>
      </w:r>
    </w:p>
    <w:p>
      <w:pPr>
        <w:pStyle w:val="FirstParagraph"/>
      </w:pPr>
      <w:r>
        <w:t xml:space="preserve">Un autre obstacle était la mesure. Les hormones peptidiques sont présentes dans le sang en quantités infimes. Rosalyn Yalow et Solomon Berson mettent au point une méthode de mesure utilisant des anticorps et des molécules marquées par radioactivité, le dosage radio-immunologique, et dosent ainsi pour la première fois l’insuline dans le sang humain</w:t>
      </w:r>
      <w:r>
        <w:rPr>
          <w:rStyle w:val="FootnoteReference"/>
        </w:rPr>
        <w:footnoteReference w:id="71"/>
      </w:r>
      <w:r>
        <w:t xml:space="preserve">. Yalow reçoit le prix Nobel en 1977. Il devient soudain possible de suivre à quel moment l’organisme sécrète telle ou telle hormone peptidique.</w:t>
      </w:r>
    </w:p>
    <w:p>
      <w:pPr>
        <w:pStyle w:val="BodyText"/>
      </w:pPr>
      <w:r>
        <w:t xml:space="preserve">La même année, Roger Guillemin et Andrew Schally sont récompensés. Ils avaient décrypté les messagers peptidiques de l’hypothalamus – la région du cerveau qui donne des ordres à l’hypophyse. De ces découvertes sont issues des classes entières de médicaments : des dérivés de la gonadolibérine (GnRH) sont par exemple utilisés dans le cancer de la prostate, l’endométriose et le traitement de l’infertilité. L’hormone somatostatine a servi de modèle à l’octréotide, utilisé dans les tumeurs sécrétant des hormones et l’acromégalie. Les peptides libérateurs de l’hormone de croissance, traités en détail dans la partie II, ont eux aussi leurs racines ici.</w:t>
      </w:r>
    </w:p>
    <w:bookmarkEnd w:id="72"/>
    <w:bookmarkStart w:id="76" w:name="Xd93b6794312d7abe3f5cde98dd6f754d7e4c165"/>
    <w:p>
      <w:pPr>
        <w:pStyle w:val="Heading3"/>
      </w:pPr>
      <w:r>
        <w:t xml:space="preserve">Années 1980 : le génie génétique change tout</w:t>
      </w:r>
    </w:p>
    <w:p>
      <w:pPr>
        <w:pStyle w:val="FirstParagraph"/>
      </w:pPr>
      <w:r>
        <w:t xml:space="preserve">Jusque dans les années 1980, l’insuline provenait de pancréas d’animaux d’abattoir. L’hormone de croissance humaine était extraite d’hypophyses de personnes décédées ; cette période s’est étendue de 1958 à 1985</w:t>
      </w:r>
      <w:r>
        <w:rPr>
          <w:rStyle w:val="FootnoteReference"/>
        </w:rPr>
        <w:footnoteReference w:id="73"/>
      </w:r>
      <w:r>
        <w:t xml:space="preserve">. Ce mode d’obtention avait un revers tragique : certains enfants ayant reçu cette hormone ont développé des années plus tard la maladie de Creutzfeldt-Jakob, transmise par des préparations contaminées. Cet épisode reste aujourd’hui un rappel de l’importance de la pureté et de l’origine des substances actives biologiques.</w:t>
      </w:r>
    </w:p>
    <w:p>
      <w:pPr>
        <w:pStyle w:val="BodyText"/>
      </w:pPr>
      <w:r>
        <w:t xml:space="preserve">Le génie génétique a offert une issue. L’insuline humaine, produite dans des bactéries, a été utilisée dans des études cliniques chez l’humain à partir de 1980 et a été le premier médicament issu de la technologie de l’ADN recombinant</w:t>
      </w:r>
      <w:r>
        <w:rPr>
          <w:rStyle w:val="FootnoteReference"/>
        </w:rPr>
        <w:footnoteReference w:id="74"/>
      </w:r>
      <w:r>
        <w:t xml:space="preserve">. Quelques années plus tard a suivi l’hormone de croissance recombinante. Pour la première fois, des peptides et protéines humains étaient disponibles en quantité pratiquement illimitée.</w:t>
      </w:r>
    </w:p>
    <w:p>
      <w:pPr>
        <w:pStyle w:val="BodyText"/>
      </w:pPr>
      <w:r>
        <w:t xml:space="preserve">Dans les années 1990, les fabricants sont allés plus loin : ils ont modifié les molécules d’insuline de façon ciblée pour les faire agir plus vite ou plus lentement. Ces « analogues de l’insuline » préfiguraient le principe qui fera plus tard le succès des médicaments GLP-1 : un modèle naturel, optimisé en laboratoire pour l’usage thérapeutique.</w:t>
      </w:r>
    </w:p>
    <w:p>
      <w:pPr>
        <w:pStyle w:val="BodyText"/>
      </w:pPr>
      <w:r>
        <w:t xml:space="preserve">D’autres médicaments peptidiques se sont également imposés. Un exemple est le tériparatide, un fragment de la parathormone. Dans une grande étude portant sur 1 637 femmes ménopausées atteintes d’ostéoporose, de nouvelles fractures vertébrales sont survenues chez 14 % des femmes sous placebo, mais seulement chez 5 % et 4 % respectivement dans les deux groupes tériparatide</w:t>
      </w:r>
      <w:r>
        <w:rPr>
          <w:rStyle w:val="FootnoteReference"/>
        </w:rPr>
        <w:footnoteReference w:id="75"/>
      </w:r>
      <w:r>
        <w:t xml:space="preserve">. De telles études avec des critères d’évaluation « durs » comme les fractures ont fixé la référence à laquelle les nouveaux peptides doivent eux aussi se mesurer.</w:t>
      </w:r>
    </w:p>
    <w:bookmarkEnd w:id="76"/>
    <w:bookmarkStart w:id="79" w:name="X170dafab958c36fbf031772d40b704b89e1433c"/>
    <w:p>
      <w:pPr>
        <w:pStyle w:val="Heading3"/>
      </w:pPr>
      <w:r>
        <w:t xml:space="preserve">Les incrétines : de l’intestin au médicament</w:t>
      </w:r>
    </w:p>
    <w:p>
      <w:pPr>
        <w:pStyle w:val="FirstParagraph"/>
      </w:pPr>
      <w:r>
        <w:t xml:space="preserve">L’histoire des médicaments GLP-1 commence par une observation des années 1960 : le sucre avalé déclenche une sécrétion d’insuline beaucoup plus forte que la même quantité de sucre injectée directement dans le sang. L’intestin doit donc envoyer des signaux au pancréas pendant le repas. On a appelé ces substances de signalisation des incrétines.</w:t>
      </w:r>
    </w:p>
    <w:p>
      <w:pPr>
        <w:pStyle w:val="BodyText"/>
      </w:pPr>
      <w:r>
        <w:t xml:space="preserve">La première incrétine connue était le GIP (polypeptide insulinotrope dépendant du glucose). Dans les années 1980, on en a découvert une seconde : le glucagon-like peptide-1, ou GLP-1. Un groupe britannique a montré en 1987 que le GLP-1 augmente dans le sang chez l’humain après un repas, qu’il augmente la sécrétion d’insuline et abaisse la glycémie chez sept volontaires lorsqu’il est perfusé à des niveaux comparables à ceux observés après un repas, et qu’il est alors plus efficace que le GIP</w:t>
      </w:r>
      <w:r>
        <w:rPr>
          <w:rStyle w:val="FootnoteReference"/>
        </w:rPr>
        <w:footnoteReference w:id="77"/>
      </w:r>
      <w:r>
        <w:t xml:space="preserve">.</w:t>
      </w:r>
    </w:p>
    <w:p>
      <w:pPr>
        <w:pStyle w:val="BodyText"/>
      </w:pPr>
      <w:r>
        <w:t xml:space="preserve">Le problème : le GLP-1 naturel est dégradé dans le sang en quelques minutes par l’enzyme DPP-4</w:t>
      </w:r>
      <w:r>
        <w:rPr>
          <w:rStyle w:val="FootnoteReference"/>
        </w:rPr>
        <w:footnoteReference w:id="78"/>
      </w:r>
      <w:r>
        <w:t xml:space="preserve">. Sous cette forme, il était à peine utilisable comme médicament. Deux pistes ont été suivies : des inhibiteurs de l’enzyme de dégradation (les gliptines, autorisées sous forme de comprimés et qui ne sont pas des peptides) et des imitations stables du GLP-1 lui-même.</w:t>
      </w:r>
    </w:p>
    <w:bookmarkEnd w:id="79"/>
    <w:bookmarkStart w:id="82" w:name="le-venin-de-lézard-lexénatide"/>
    <w:p>
      <w:pPr>
        <w:pStyle w:val="Heading3"/>
      </w:pPr>
      <w:r>
        <w:t xml:space="preserve">Le venin de lézard : l’exénatide</w:t>
      </w:r>
    </w:p>
    <w:p>
      <w:pPr>
        <w:pStyle w:val="FirstParagraph"/>
      </w:pPr>
      <w:r>
        <w:t xml:space="preserve">La première imitation stable est venue d’une direction inattendue. Au début des années 1990, l’endocrinologue américain John Eng étudie le venin du monstre de Gila (Heloderma suspectum), un reptile venimeux du sud-ouest des États-Unis. Il en isole un peptide de 39 acides aminés qu’il baptise exendine-4</w:t>
      </w:r>
      <w:r>
        <w:rPr>
          <w:rStyle w:val="FootnoteReference"/>
        </w:rPr>
        <w:footnoteReference w:id="80"/>
      </w:r>
      <w:r>
        <w:t xml:space="preserve">. L’exendine-4 ressemble au GLP-1 humain, active le même récepteur, mais n’est presque pas attaquée par la DPP-4.</w:t>
      </w:r>
    </w:p>
    <w:p>
      <w:pPr>
        <w:pStyle w:val="BodyText"/>
      </w:pPr>
      <w:r>
        <w:t xml:space="preserve">L’exendine-4 de synthèse a reçu le nom d’exénatide et a été autorisée en 2005 aux États-Unis comme premier médicament de cette classe. Dans l’une des études d’autorisation portant sur 336 personnes atteintes de diabète de type 2 qui prenaient déjà de la metformine, la valeur de la glycémie à long terme HbA1c a diminué après 30 semaines de 0,78 point de pourcentage dans le groupe à dose plus élevée, tandis qu’elle augmentait légèrement de 0,08 point sous placebo. Dans le même temps, les participants sous exénatide ont perdu du poids, 2,8 kg avec la dose plus élevée</w:t>
      </w:r>
      <w:r>
        <w:rPr>
          <w:rStyle w:val="FootnoteReference"/>
        </w:rPr>
        <w:footnoteReference w:id="81"/>
      </w:r>
      <w:r>
        <w:t xml:space="preserve">. Au départ, l’exénatide devait être injecté deux fois par jour.</w:t>
      </w:r>
    </w:p>
    <w:p>
      <w:pPr>
        <w:pStyle w:val="BodyText"/>
      </w:pPr>
      <w:r>
        <w:t xml:space="preserve">La perte de poids était alors considérée comme un effet secondaire bienvenu. Que ce soit précisément cet effet qui rendrait toute la classe célèbre deux décennies plus tard, bien peu de gens s’en doutaient probablement à l’époque.</w:t>
      </w:r>
    </w:p>
    <w:bookmarkEnd w:id="82"/>
    <w:bookmarkStart w:id="87" w:name="X91b78c56cf1d315a64b30412d9f1a5b74b253ac"/>
    <w:p>
      <w:pPr>
        <w:pStyle w:val="Heading3"/>
      </w:pPr>
      <w:r>
        <w:t xml:space="preserve">Une action plus longue : le liraglutide et le sémaglutide</w:t>
      </w:r>
    </w:p>
    <w:p>
      <w:pPr>
        <w:pStyle w:val="FirstParagraph"/>
      </w:pPr>
      <w:r>
        <w:t xml:space="preserve">Le fabricant danois Novo Nordisk a pris une autre voie. Au lieu d’utiliser un peptide étranger, il a modifié le GLP-1 humain de sorte qu’il se lie dans le sang à l’albumine, une protéine de transport, et soit ainsi dégradé plus lentement. Le résultat a été le liraglutide, injecté une fois par jour et autorisé dans l’UE en 2009. Une revue rédigée par ses concepteurs décrit comment des combinaisons appropriées d’acide gras et de bras de liaison ont été recherchées pour maximiser la liaison à l’albumine sans perdre l’action sur le récepteur</w:t>
      </w:r>
      <w:r>
        <w:rPr>
          <w:rStyle w:val="FootnoteReference"/>
        </w:rPr>
        <w:footnoteReference w:id="83"/>
      </w:r>
      <w:r>
        <w:t xml:space="preserve">.</w:t>
      </w:r>
    </w:p>
    <w:p>
      <w:pPr>
        <w:pStyle w:val="BodyText"/>
      </w:pPr>
      <w:r>
        <w:t xml:space="preserve">Le liraglutide a ensuite été testé à dose plus élevée pour le traitement du poids. Dans l’étude SCALE portant sur 3 731 participants sans diabète, les personnes sous liraglutide ont perdu en moyenne 8,4 kg en 56 semaines, contre 2,8 kg sous placebo</w:t>
      </w:r>
      <w:r>
        <w:rPr>
          <w:rStyle w:val="FootnoteReference"/>
        </w:rPr>
        <w:footnoteReference w:id="84"/>
      </w:r>
      <w:r>
        <w:t xml:space="preserve">.</w:t>
      </w:r>
    </w:p>
    <w:p>
      <w:pPr>
        <w:pStyle w:val="BodyText"/>
      </w:pPr>
      <w:r>
        <w:t xml:space="preserve">L’étape suivante a été le sémaglutide : une molécule encore plus fortement liée à l’albumine, qui ne doit être injectée qu’une fois par semaine</w:t>
      </w:r>
      <w:r>
        <w:rPr>
          <w:rStyle w:val="FootnoteReference"/>
        </w:rPr>
        <w:footnoteReference w:id="85"/>
      </w:r>
      <w:r>
        <w:t xml:space="preserve">. Dans l’étude d’autorisation STEP 1 portant sur 1 961 adultes en surpoids ou obèses, le poids corporel a diminué en moyenne de 14,9 % sur 68 semaines, contre 2,4 % sous placebo</w:t>
      </w:r>
      <w:r>
        <w:rPr>
          <w:rStyle w:val="FootnoteReference"/>
        </w:rPr>
        <w:footnoteReference w:id="86"/>
      </w:r>
      <w:r>
        <w:t xml:space="preserve">. Cet ordre de grandeur dépassait nettement tout ce qu’avaient obtenu les médicaments amaigrissants antérieurs.</w:t>
      </w:r>
    </w:p>
    <w:bookmarkEnd w:id="87"/>
    <w:bookmarkStart w:id="91" w:name="de-la-glycémie-au-cœur"/>
    <w:p>
      <w:pPr>
        <w:pStyle w:val="Heading3"/>
      </w:pPr>
      <w:r>
        <w:t xml:space="preserve">De la glycémie au cœur</w:t>
      </w:r>
    </w:p>
    <w:p>
      <w:pPr>
        <w:pStyle w:val="FirstParagraph"/>
      </w:pPr>
      <w:r>
        <w:t xml:space="preserve">Un tournant est survenu lorsque, à partir de 2008, après des problèmes avec un autre antidiabétique, les autorités ont exigé des nouveaux médicaments contre le diabète qu’ils démontrent leur sécurité cardiovasculaire dans de grandes études. Ces études devaient en principe seulement montrer que les médicaments ne mettaient pas le cœur en danger. Pour les médicaments GLP-1, elles ont montré davantage.</w:t>
      </w:r>
    </w:p>
    <w:p>
      <w:pPr>
        <w:pStyle w:val="BodyText"/>
      </w:pPr>
      <w:r>
        <w:t xml:space="preserve">Dans l’étude LEADER portant sur 9 340 personnes atteintes de diabète de type 2 et à haut risque cardiovasculaire, l’événement combiné associant décès cardiovasculaire, infarctus du myocarde non mortel ou accident vasculaire cérébral est survenu chez 13,0 % des participants sous liraglutide, contre 14,9 % sous placebo</w:t>
      </w:r>
      <w:r>
        <w:rPr>
          <w:rStyle w:val="FootnoteReference"/>
        </w:rPr>
        <w:footnoteReference w:id="88"/>
      </w:r>
      <w:r>
        <w:t xml:space="preserve">. Dans l’étude SUSTAIN-6 portant sur 3 297 participants, ces chiffres étaient de 6,6 % sous sémaglutide et de 8,9 % sous placebo ; toutefois, des complications rétiniennes sont survenues plus fréquemment sous sémaglutide</w:t>
      </w:r>
      <w:r>
        <w:rPr>
          <w:rStyle w:val="FootnoteReference"/>
        </w:rPr>
        <w:footnoteReference w:id="89"/>
      </w:r>
      <w:r>
        <w:t xml:space="preserve">.</w:t>
      </w:r>
    </w:p>
    <w:p>
      <w:pPr>
        <w:pStyle w:val="BodyText"/>
      </w:pPr>
      <w:r>
        <w:t xml:space="preserve">En 2023 a suivi l’étude SELECT, qui a pour la première fois examiné des personnes en surpoids atteintes d’une maladie cardiovasculaire, mais sans diabète. Chez 17 604 participants, l’événement cardiovasculaire combiné est survenu, sur une durée moyenne de 39,8 mois, chez 6,5 % des participants sous sémaglutide, contre 8,0 % sous placebo</w:t>
      </w:r>
      <w:r>
        <w:rPr>
          <w:rStyle w:val="FootnoteReference"/>
        </w:rPr>
        <w:footnoteReference w:id="90"/>
      </w:r>
      <w:r>
        <w:t xml:space="preserve">. Il était ainsi démontré qu’un médicament peptidique peut, dans l’obésité, influencer non seulement le poids, mais aussi des événements durs comme les infarctus. Ce que signifient ces pourcentages – et pourquoi il faut distinguer les différences relatives et absolues – est expliqué dans le chapitre « Bien lire les études ».</w:t>
      </w:r>
    </w:p>
    <w:bookmarkEnd w:id="91"/>
    <w:bookmarkStart w:id="95" w:name="le-comprimé-et-les-agonistes-multiples"/>
    <w:p>
      <w:pPr>
        <w:pStyle w:val="Heading3"/>
      </w:pPr>
      <w:r>
        <w:t xml:space="preserve">Le comprimé et les agonistes multiples</w:t>
      </w:r>
    </w:p>
    <w:p>
      <w:pPr>
        <w:pStyle w:val="FirstParagraph"/>
      </w:pPr>
      <w:r>
        <w:t xml:space="preserve">Deux autres évolutions ont marqué les dernières années.</w:t>
      </w:r>
    </w:p>
    <w:p>
      <w:pPr>
        <w:pStyle w:val="BodyText"/>
      </w:pPr>
      <w:r>
        <w:rPr>
          <w:bCs/>
          <w:b/>
        </w:rPr>
        <w:t xml:space="preserve">Le premier comprimé peptidique de cette classe.</w:t>
      </w:r>
      <w:r>
        <w:t xml:space="preserve"> </w:t>
      </w:r>
      <w:r>
        <w:t xml:space="preserve">Grâce à un excipient spécial, il a été possible de rendre le sémaglutide disponible sous forme de comprimé. Dans l’étude PIONEER 1, le sémaglutide oral a abaissé la valeur de l’HbA1c chez les personnes atteintes de diabète de type 2 nettement plus que le placebo</w:t>
      </w:r>
      <w:r>
        <w:rPr>
          <w:rStyle w:val="FootnoteReference"/>
        </w:rPr>
        <w:footnoteReference w:id="92"/>
      </w:r>
      <w:r>
        <w:t xml:space="preserve">. Le chapitre suivant explique comment cela fonctionne techniquement.</w:t>
      </w:r>
    </w:p>
    <w:p>
      <w:pPr>
        <w:pStyle w:val="BodyText"/>
      </w:pPr>
      <w:r>
        <w:rPr>
          <w:bCs/>
          <w:b/>
        </w:rPr>
        <w:t xml:space="preserve">Les substances combinées.</w:t>
      </w:r>
      <w:r>
        <w:t xml:space="preserve"> </w:t>
      </w:r>
      <w:r>
        <w:t xml:space="preserve">Le tirzépatide active simultanément les récepteurs du GLP-1 et du GIP. Dans l’étude SURMOUNT-1 portant sur 2 539 adultes obèses, la perte de poids moyenne après 72 semaines était de 15,0 % à 20,9 % selon la dose, contre 3,1 % sous placebo</w:t>
      </w:r>
      <w:r>
        <w:rPr>
          <w:rStyle w:val="FootnoteReference"/>
        </w:rPr>
        <w:footnoteReference w:id="93"/>
      </w:r>
      <w:r>
        <w:t xml:space="preserve">. Des triples agonistes comme le rétatrutide ainsi que des associations avec l’hormone amyline sont désormais évalués dans de grandes études. La partie II les présente un par un, la partie V jette un regard sur les produits en développement.</w:t>
      </w:r>
    </w:p>
    <w:p>
      <w:pPr>
        <w:pStyle w:val="BodyText"/>
      </w:pPr>
      <w:r>
        <w:t xml:space="preserve">Il est remarquable que l’incrétine GIP, considérée dans les années 1980 comme plus faible que le GLP-1</w:t>
      </w:r>
      <w:r>
        <w:rPr>
          <w:rStyle w:val="FootnoteReference"/>
        </w:rPr>
        <w:footnoteReference w:id="94"/>
      </w:r>
      <w:r>
        <w:t xml:space="preserve">, joue à nouveau un rôle en association. La recherche suit rarement une ligne droite.</w:t>
      </w:r>
    </w:p>
    <w:bookmarkEnd w:id="95"/>
    <w:bookmarkStart w:id="96" w:name="le-revers-du-succès"/>
    <w:p>
      <w:pPr>
        <w:pStyle w:val="Heading3"/>
      </w:pPr>
      <w:r>
        <w:t xml:space="preserve">Le revers du succès</w:t>
      </w:r>
    </w:p>
    <w:p>
      <w:pPr>
        <w:pStyle w:val="FirstParagraph"/>
      </w:pPr>
      <w:r>
        <w:t xml:space="preserve">L’énorme succès des médicaments GLP-1 a eu des effets secondaires qui dépassent la pharmacologie. À partir de 2022, des pénuries ont fait que des personnes diabétiques n’ont temporairement pas pu obtenir leurs médicaments. Aux États-Unis, des pharmacies ont utilisé une règle d’exception pour fabriquer des préparations d’imitation. Partout dans le monde sont apparues des contrefaçons qui, dans certains cas, contenaient de l’insuline au lieu du sémaglutide. Et l’intérêt croissant pour les « peptides » en général a ouvert un marché pour des substances qui n’ont jamais été correctement étudiées chez l’humain. Le chapitre sur le marché gris y revient en détail.</w:t>
      </w:r>
    </w:p>
    <w:bookmarkEnd w:id="96"/>
    <w:bookmarkStart w:id="97" w:name="ce-que-lhistoire-enseigne"/>
    <w:p>
      <w:pPr>
        <w:pStyle w:val="Heading3"/>
      </w:pPr>
      <w:r>
        <w:t xml:space="preserve">Ce que l’histoire enseigne</w:t>
      </w:r>
    </w:p>
    <w:p>
      <w:pPr>
        <w:pStyle w:val="FirstParagraph"/>
      </w:pPr>
      <w:r>
        <w:t xml:space="preserve">Cent ans de médecine peptidique permettent de tirer quelques leçons utiles pour évaluer les substances présentées dans ce livre :</w:t>
      </w:r>
    </w:p>
    <w:p>
      <w:pPr>
        <w:numPr>
          <w:ilvl w:val="0"/>
          <w:numId w:val="1008"/>
        </w:numPr>
        <w:pStyle w:val="Compact"/>
      </w:pPr>
      <w:r>
        <w:rPr>
          <w:bCs/>
          <w:b/>
        </w:rPr>
        <w:t xml:space="preserve">La pureté n’est pas un détail.</w:t>
      </w:r>
      <w:r>
        <w:t xml:space="preserve"> </w:t>
      </w:r>
      <w:r>
        <w:t xml:space="preserve">Des extraits d’insuline contaminés des débuts à l’hormone de croissance tirée d’hypophyses de cadavres, l’histoire montre que la qualité de fabrication peut être une question de vie ou de mort.</w:t>
      </w:r>
    </w:p>
    <w:p>
      <w:pPr>
        <w:numPr>
          <w:ilvl w:val="0"/>
          <w:numId w:val="1008"/>
        </w:numPr>
        <w:pStyle w:val="Compact"/>
      </w:pPr>
      <w:r>
        <w:rPr>
          <w:bCs/>
          <w:b/>
        </w:rPr>
        <w:t xml:space="preserve">Mécanisme d’action ne veut pas dire bénéfice.</w:t>
      </w:r>
      <w:r>
        <w:t xml:space="preserve"> </w:t>
      </w:r>
      <w:r>
        <w:t xml:space="preserve">Qu’un peptide agisse sur un récepteur ne signifie pas encore qu’il soit utile aux personnes. Pour les médicaments GLP-1, il a fallu de grandes études avec des milliers de participants et un suivi de plusieurs années.</w:t>
      </w:r>
    </w:p>
    <w:p>
      <w:pPr>
        <w:numPr>
          <w:ilvl w:val="0"/>
          <w:numId w:val="1008"/>
        </w:numPr>
        <w:pStyle w:val="Compact"/>
      </w:pPr>
      <w:r>
        <w:rPr>
          <w:bCs/>
          <w:b/>
        </w:rPr>
        <w:t xml:space="preserve">Les surprises vont dans les deux sens.</w:t>
      </w:r>
      <w:r>
        <w:t xml:space="preserve"> </w:t>
      </w:r>
      <w:r>
        <w:t xml:space="preserve">La perte de poids due à l’exénatide n’était d’abord qu’une remarque en marge, les effets protecteurs cardiaques ont été découverts dans des études de sécurité. À l’inverse, de grandes études ont aussi révélé des risques inattendus, comme les complications rétiniennes dans SUSTAIN-6.</w:t>
      </w:r>
    </w:p>
    <w:p>
      <w:pPr>
        <w:numPr>
          <w:ilvl w:val="0"/>
          <w:numId w:val="1008"/>
        </w:numPr>
        <w:pStyle w:val="Compact"/>
      </w:pPr>
      <w:r>
        <w:rPr>
          <w:bCs/>
          <w:b/>
        </w:rPr>
        <w:t xml:space="preserve">Les bonnes idées ont besoin de temps.</w:t>
      </w:r>
      <w:r>
        <w:t xml:space="preserve"> </w:t>
      </w:r>
      <w:r>
        <w:t xml:space="preserve">Entre la description du GLP-1 chez l’humain en 1987 et l’autorisation du sémaglutide pour le traitement du poids, plus de trois décennies se sont écoulées. Les peptides vantés aujourd’hui sur Internet comme une « percée » sans qu’il existe une seule étude contrôlée chez l’humain se trouvent, au mieux, au début d’un tel parcours.</w:t>
      </w:r>
    </w:p>
    <w:bookmarkEnd w:id="97"/>
    <w:bookmarkStart w:id="98" w:name="chronologie"/>
    <w:p>
      <w:pPr>
        <w:pStyle w:val="Heading3"/>
      </w:pPr>
      <w:r>
        <w:t xml:space="preserve">Chronologie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Année</w:t>
            </w:r>
          </w:p>
        </w:tc>
        <w:tc>
          <w:tcPr/>
          <w:p>
            <w:pPr>
              <w:pStyle w:val="Compact"/>
              <w:jc w:val="left"/>
            </w:pPr>
            <w:r>
              <w:t xml:space="preserve">Événement</w:t>
            </w:r>
          </w:p>
        </w:tc>
      </w:tr>
      <w:tr>
        <w:tc>
          <w:tcPr/>
          <w:p>
            <w:pPr>
              <w:pStyle w:val="Compact"/>
              <w:jc w:val="left"/>
            </w:pPr>
            <w:r>
              <w:t xml:space="preserve">1902</w:t>
            </w:r>
          </w:p>
        </w:tc>
        <w:tc>
          <w:tcPr/>
          <w:p>
            <w:pPr>
              <w:pStyle w:val="Compact"/>
              <w:jc w:val="left"/>
            </w:pPr>
            <w:r>
              <w:t xml:space="preserve">Description de la sécrétine, première hormone (un peptide)</w:t>
            </w:r>
          </w:p>
        </w:tc>
      </w:tr>
      <w:tr>
        <w:tc>
          <w:tcPr/>
          <w:p>
            <w:pPr>
              <w:pStyle w:val="Compact"/>
              <w:jc w:val="left"/>
            </w:pPr>
            <w:r>
              <w:t xml:space="preserve">1922</w:t>
            </w:r>
          </w:p>
        </w:tc>
        <w:tc>
          <w:tcPr/>
          <w:p>
            <w:pPr>
              <w:pStyle w:val="Compact"/>
              <w:jc w:val="left"/>
            </w:pPr>
            <w:r>
              <w:t xml:space="preserve">Premier traitement d’un être humain par l’insuline à Toronto</w:t>
            </w:r>
          </w:p>
        </w:tc>
      </w:tr>
      <w:tr>
        <w:tc>
          <w:tcPr/>
          <w:p>
            <w:pPr>
              <w:pStyle w:val="Compact"/>
              <w:jc w:val="left"/>
            </w:pPr>
            <w:r>
              <w:t xml:space="preserve">1951–1955</w:t>
            </w:r>
          </w:p>
        </w:tc>
        <w:tc>
          <w:tcPr/>
          <w:p>
            <w:pPr>
              <w:pStyle w:val="Compact"/>
              <w:jc w:val="left"/>
            </w:pPr>
            <w:r>
              <w:t xml:space="preserve">Sanger décrypte la séquence de l’insuline</w:t>
            </w:r>
          </w:p>
        </w:tc>
      </w:tr>
      <w:tr>
        <w:tc>
          <w:tcPr/>
          <w:p>
            <w:pPr>
              <w:pStyle w:val="Compact"/>
              <w:jc w:val="left"/>
            </w:pPr>
            <w:r>
              <w:t xml:space="preserve">1953</w:t>
            </w:r>
          </w:p>
        </w:tc>
        <w:tc>
          <w:tcPr/>
          <w:p>
            <w:pPr>
              <w:pStyle w:val="Compact"/>
              <w:jc w:val="left"/>
            </w:pPr>
            <w:r>
              <w:t xml:space="preserve">Première synthèse chimique d’une hormone peptidique (ocytocine)</w:t>
            </w:r>
          </w:p>
        </w:tc>
      </w:tr>
      <w:tr>
        <w:tc>
          <w:tcPr/>
          <w:p>
            <w:pPr>
              <w:pStyle w:val="Compact"/>
              <w:jc w:val="left"/>
            </w:pPr>
            <w:r>
              <w:t xml:space="preserve">Années 1960</w:t>
            </w:r>
          </w:p>
        </w:tc>
        <w:tc>
          <w:tcPr/>
          <w:p>
            <w:pPr>
              <w:pStyle w:val="Compact"/>
              <w:jc w:val="left"/>
            </w:pPr>
            <w:r>
              <w:t xml:space="preserve">Synthèse en phase solide (Merrifield), dosage radio-immunologique</w:t>
            </w:r>
          </w:p>
        </w:tc>
      </w:tr>
      <w:tr>
        <w:tc>
          <w:tcPr/>
          <w:p>
            <w:pPr>
              <w:pStyle w:val="Compact"/>
              <w:jc w:val="left"/>
            </w:pPr>
            <w:r>
              <w:t xml:space="preserve">1980</w:t>
            </w:r>
          </w:p>
        </w:tc>
        <w:tc>
          <w:tcPr/>
          <w:p>
            <w:pPr>
              <w:pStyle w:val="Compact"/>
              <w:jc w:val="left"/>
            </w:pPr>
            <w:r>
              <w:t xml:space="preserve">Insuline humaine issue du génie génétique dans des études cliniques</w:t>
            </w:r>
          </w:p>
        </w:tc>
      </w:tr>
      <w:tr>
        <w:tc>
          <w:tcPr/>
          <w:p>
            <w:pPr>
              <w:pStyle w:val="Compact"/>
              <w:jc w:val="left"/>
            </w:pPr>
            <w:r>
              <w:t xml:space="preserve">1985</w:t>
            </w:r>
          </w:p>
        </w:tc>
        <w:tc>
          <w:tcPr/>
          <w:p>
            <w:pPr>
              <w:pStyle w:val="Compact"/>
              <w:jc w:val="left"/>
            </w:pPr>
            <w:r>
              <w:t xml:space="preserve">Fin de l’extraction de l’hormone de croissance à partir d’hypophyses</w:t>
            </w:r>
          </w:p>
        </w:tc>
      </w:tr>
      <w:tr>
        <w:tc>
          <w:tcPr/>
          <w:p>
            <w:pPr>
              <w:pStyle w:val="Compact"/>
              <w:jc w:val="left"/>
            </w:pPr>
            <w:r>
              <w:t xml:space="preserve">1987</w:t>
            </w:r>
          </w:p>
        </w:tc>
        <w:tc>
          <w:tcPr/>
          <w:p>
            <w:pPr>
              <w:pStyle w:val="Compact"/>
              <w:jc w:val="left"/>
            </w:pPr>
            <w:r>
              <w:t xml:space="preserve">Description du GLP-1 comme incrétine chez l’humain</w:t>
            </w:r>
          </w:p>
        </w:tc>
      </w:tr>
      <w:tr>
        <w:tc>
          <w:tcPr/>
          <w:p>
            <w:pPr>
              <w:pStyle w:val="Compact"/>
              <w:jc w:val="left"/>
            </w:pPr>
            <w:r>
              <w:t xml:space="preserve">1992</w:t>
            </w:r>
          </w:p>
        </w:tc>
        <w:tc>
          <w:tcPr/>
          <w:p>
            <w:pPr>
              <w:pStyle w:val="Compact"/>
              <w:jc w:val="left"/>
            </w:pPr>
            <w:r>
              <w:t xml:space="preserve">Découverte de l’exendine-4 dans le venin de lézard</w:t>
            </w:r>
          </w:p>
        </w:tc>
      </w:tr>
      <w:tr>
        <w:tc>
          <w:tcPr/>
          <w:p>
            <w:pPr>
              <w:pStyle w:val="Compact"/>
              <w:jc w:val="left"/>
            </w:pPr>
            <w:r>
              <w:t xml:space="preserve">2005</w:t>
            </w:r>
          </w:p>
        </w:tc>
        <w:tc>
          <w:tcPr/>
          <w:p>
            <w:pPr>
              <w:pStyle w:val="Compact"/>
              <w:jc w:val="left"/>
            </w:pPr>
            <w:r>
              <w:t xml:space="preserve">Autorisation de l’exénatide aux États-Unis</w:t>
            </w:r>
          </w:p>
        </w:tc>
      </w:tr>
      <w:tr>
        <w:tc>
          <w:tcPr/>
          <w:p>
            <w:pPr>
              <w:pStyle w:val="Compact"/>
              <w:jc w:val="left"/>
            </w:pPr>
            <w:r>
              <w:t xml:space="preserve">2009</w:t>
            </w:r>
          </w:p>
        </w:tc>
        <w:tc>
          <w:tcPr/>
          <w:p>
            <w:pPr>
              <w:pStyle w:val="Compact"/>
              <w:jc w:val="left"/>
            </w:pPr>
            <w:r>
              <w:t xml:space="preserve">Autorisation du liraglutide dans l’UE</w:t>
            </w:r>
          </w:p>
        </w:tc>
      </w:tr>
      <w:tr>
        <w:tc>
          <w:tcPr/>
          <w:p>
            <w:pPr>
              <w:pStyle w:val="Compact"/>
              <w:jc w:val="left"/>
            </w:pPr>
            <w:r>
              <w:t xml:space="preserve">2016</w:t>
            </w:r>
          </w:p>
        </w:tc>
        <w:tc>
          <w:tcPr/>
          <w:p>
            <w:pPr>
              <w:pStyle w:val="Compact"/>
              <w:jc w:val="left"/>
            </w:pPr>
            <w:r>
              <w:t xml:space="preserve">LEADER et SUSTAIN-6 : moins d’événements cardiovasculaires</w:t>
            </w:r>
          </w:p>
        </w:tc>
      </w:tr>
      <w:tr>
        <w:tc>
          <w:tcPr/>
          <w:p>
            <w:pPr>
              <w:pStyle w:val="Compact"/>
              <w:jc w:val="left"/>
            </w:pPr>
            <w:r>
              <w:t xml:space="preserve">2019</w:t>
            </w:r>
          </w:p>
        </w:tc>
        <w:tc>
          <w:tcPr/>
          <w:p>
            <w:pPr>
              <w:pStyle w:val="Compact"/>
              <w:jc w:val="left"/>
            </w:pPr>
            <w:r>
              <w:t xml:space="preserve">Premier comprimé GLP-1 (sémaglutide oral)</w:t>
            </w:r>
          </w:p>
        </w:tc>
      </w:tr>
      <w:tr>
        <w:tc>
          <w:tcPr/>
          <w:p>
            <w:pPr>
              <w:pStyle w:val="Compact"/>
              <w:jc w:val="left"/>
            </w:pPr>
            <w:r>
              <w:t xml:space="preserve">2021</w:t>
            </w:r>
          </w:p>
        </w:tc>
        <w:tc>
          <w:tcPr/>
          <w:p>
            <w:pPr>
              <w:pStyle w:val="Compact"/>
              <w:jc w:val="left"/>
            </w:pPr>
            <w:r>
              <w:t xml:space="preserve">Sémaglutide pour le traitement du poids (programme STEP)</w:t>
            </w:r>
          </w:p>
        </w:tc>
      </w:tr>
      <w:tr>
        <w:tc>
          <w:tcPr/>
          <w:p>
            <w:pPr>
              <w:pStyle w:val="Compact"/>
              <w:jc w:val="left"/>
            </w:pPr>
            <w:r>
              <w:t xml:space="preserve">2022</w:t>
            </w:r>
          </w:p>
        </w:tc>
        <w:tc>
          <w:tcPr/>
          <w:p>
            <w:pPr>
              <w:pStyle w:val="Compact"/>
              <w:jc w:val="left"/>
            </w:pPr>
            <w:r>
              <w:t xml:space="preserve">Tirzépatide : premier double agoniste GIP/GLP-1</w:t>
            </w:r>
          </w:p>
        </w:tc>
      </w:tr>
      <w:tr>
        <w:tc>
          <w:tcPr/>
          <w:p>
            <w:pPr>
              <w:pStyle w:val="Compact"/>
              <w:jc w:val="left"/>
            </w:pPr>
            <w:r>
              <w:t xml:space="preserve">2023</w:t>
            </w:r>
          </w:p>
        </w:tc>
        <w:tc>
          <w:tcPr/>
          <w:p>
            <w:pPr>
              <w:pStyle w:val="Compact"/>
              <w:jc w:val="left"/>
            </w:pPr>
            <w:r>
              <w:t xml:space="preserve">SELECT : protection cardiaque dans l’obésité sans diabète</w:t>
            </w:r>
          </w:p>
        </w:tc>
      </w:tr>
    </w:tbl>
    <w:p>
      <w:pPr>
        <w:pStyle w:val="BodyText"/>
      </w:pPr>
      <w:r>
        <w:t xml:space="preserve">Les années d’autorisation se rapportent à chaque fois à la première autorisation ; dans d’autres pays et pour d’autres indications, les dates peuvent différer. État 2026, à vérifier si nécessaire.</w:t>
      </w:r>
    </w:p>
    <w:bookmarkEnd w:id="98"/>
    <w:bookmarkEnd w:id="99"/>
    <w:bookmarkStart w:id="134" w:name="X0278cb4a6bf0b720e163bc506b70a4eb2558b74"/>
    <w:p>
      <w:pPr>
        <w:pStyle w:val="Heading2"/>
      </w:pPr>
      <w:r>
        <w:t xml:space="preserve">Comment les peptides pénètrent dans l’organisme – et pourquoi c’est difficile</w:t>
      </w:r>
    </w:p>
    <w:p>
      <w:pPr>
        <w:pStyle w:val="FirstParagraph"/>
      </w:pPr>
      <w:r>
        <w:t xml:space="preserve">Presque tous les médicaments peptidiques que vous connaissez sont injectés : l’insuline, le sémaglutide, le tirzépatide, le tériparatide. Ce n’est ni un hasard ni une préférence de l’industrie pharmaceutique, mais une conséquence de la biologie. Le corps humain excelle à décomposer les protéines et les peptides – il vit après tout de la dégradation des protéines alimentaires en leurs briques élémentaires. Ce chapitre explique quels obstacles un peptide doit surmonter pour atteindre son site d’action, quelles voies la médecine a trouvées et pourquoi de nombreuses promesses concernant des gouttes, des gélules et des crèmes sont à considérer avec prudence.</w:t>
      </w:r>
    </w:p>
    <w:bookmarkStart w:id="101" w:name="X2057e47aac0ea1aa07573d85a9bda9bba893e8c"/>
    <w:p>
      <w:pPr>
        <w:pStyle w:val="Heading3"/>
      </w:pPr>
      <w:r>
        <w:t xml:space="preserve">Le problème fondamental : la biodisponibilité</w:t>
      </w:r>
    </w:p>
    <w:p>
      <w:pPr>
        <w:pStyle w:val="FirstParagraph"/>
      </w:pPr>
      <w:r>
        <w:t xml:space="preserve">Une notion centrale de ce chapitre est la</w:t>
      </w:r>
      <w:r>
        <w:t xml:space="preserve"> </w:t>
      </w:r>
      <w:r>
        <w:rPr>
          <w:bCs/>
          <w:b/>
        </w:rPr>
        <w:t xml:space="preserve">biodisponibilité</w:t>
      </w:r>
      <w:r>
        <w:t xml:space="preserve">. Elle indique quelle fraction d’une quantité administrée parvient réellement sous forme inchangée dans la circulation sanguine. Pour une perfusion directement dans une veine, elle est par définition de 100 %. Pour toutes les autres voies, une partie se perd – par dégradation, à cause de barrières ou parce que la substance est tout simplement éliminée.</w:t>
      </w:r>
    </w:p>
    <w:p>
      <w:pPr>
        <w:pStyle w:val="BodyText"/>
      </w:pPr>
      <w:r>
        <w:t xml:space="preserve">Pour les peptides, la biodisponibilité est particulièrement critique, car trois propriétés se combinent :</w:t>
      </w:r>
    </w:p>
    <w:p>
      <w:pPr>
        <w:numPr>
          <w:ilvl w:val="0"/>
          <w:numId w:val="1009"/>
        </w:numPr>
        <w:pStyle w:val="Compact"/>
      </w:pPr>
      <w:r>
        <w:rPr>
          <w:bCs/>
          <w:b/>
        </w:rPr>
        <w:t xml:space="preserve">Ils sont sensibles aux enzymes.</w:t>
      </w:r>
      <w:r>
        <w:t xml:space="preserve"> </w:t>
      </w:r>
      <w:r>
        <w:t xml:space="preserve">Les liaisons peptidiques sont coupées de manière ciblée par des enzymes digestives comme la pepsine dans l’estomac ou la trypsine dans l’intestin grêle, ainsi que par de nombreuses enzymes du sang et des tissus.</w:t>
      </w:r>
    </w:p>
    <w:p>
      <w:pPr>
        <w:numPr>
          <w:ilvl w:val="0"/>
          <w:numId w:val="1009"/>
        </w:numPr>
        <w:pStyle w:val="Compact"/>
      </w:pPr>
      <w:r>
        <w:rPr>
          <w:bCs/>
          <w:b/>
        </w:rPr>
        <w:t xml:space="preserve">Ils sont grands.</w:t>
      </w:r>
      <w:r>
        <w:t xml:space="preserve"> </w:t>
      </w:r>
      <w:r>
        <w:t xml:space="preserve">Comparés aux substances médicamenteuses classiques comme l’ibuprofène, la plupart des peptides sont énormes. Un peptide de dix acides aminés pèse déjà plus de 1 000 daltons.</w:t>
      </w:r>
    </w:p>
    <w:p>
      <w:pPr>
        <w:numPr>
          <w:ilvl w:val="0"/>
          <w:numId w:val="1009"/>
        </w:numPr>
        <w:pStyle w:val="Compact"/>
      </w:pPr>
      <w:r>
        <w:rPr>
          <w:bCs/>
          <w:b/>
        </w:rPr>
        <w:t xml:space="preserve">Ils sont le plus souvent hydrosolubles et fréquemment chargés électriquement.</w:t>
      </w:r>
      <w:r>
        <w:t xml:space="preserve"> </w:t>
      </w:r>
      <w:r>
        <w:t xml:space="preserve">Ils ont donc du mal à traverser les membranes grasses des cellules.</w:t>
      </w:r>
    </w:p>
    <w:p>
      <w:pPr>
        <w:pStyle w:val="FirstParagraph"/>
      </w:pPr>
      <w:r>
        <w:t xml:space="preserve">Chaque voie d’administration est une tentative de contourner ces obstacles. Une revue consacrée aux peptides oraux résume que les substances actives protéiques et peptidiques doivent en règle générale être administrées en contournant le tube digestif, ce qui peut nuire à l’observance du traitement</w:t>
      </w:r>
      <w:r>
        <w:rPr>
          <w:rStyle w:val="FootnoteReference"/>
        </w:rPr>
        <w:footnoteReference w:id="100"/>
      </w:r>
      <w:r>
        <w:t xml:space="preserve">.</w:t>
      </w:r>
    </w:p>
    <w:bookmarkEnd w:id="101"/>
    <w:bookmarkStart w:id="105" w:name="Xbcf804e31b6540dbf7b6aaf73233df89a1e1d17"/>
    <w:p>
      <w:pPr>
        <w:pStyle w:val="Heading3"/>
      </w:pPr>
      <w:r>
        <w:t xml:space="preserve">L’injection : voie standard avec des inconvénients</w:t>
      </w:r>
    </w:p>
    <w:p>
      <w:pPr>
        <w:pStyle w:val="FirstParagraph"/>
      </w:pPr>
      <w:r>
        <w:t xml:space="preserve">La plupart des médicaments peptidiques sont injectés par voie</w:t>
      </w:r>
      <w:r>
        <w:t xml:space="preserve"> </w:t>
      </w:r>
      <w:r>
        <w:rPr>
          <w:bCs/>
          <w:b/>
        </w:rPr>
        <w:t xml:space="preserve">sous-cutanée</w:t>
      </w:r>
      <w:r>
        <w:t xml:space="preserve">, c’est-à-dire dans le tissu adipeux sous la peau – typiquement au niveau du ventre, de la cuisse ou du haut du bras. De là, la substance passe dans la circulation par de petits vaisseaux sanguins et les vaisseaux lymphatiques. La biodisponibilité est élevée, et les patientes et patients peuvent faire l’injection eux-mêmes après une formation. Plus rarement, les peptides sont administrés dans le muscle (voie</w:t>
      </w:r>
      <w:r>
        <w:t xml:space="preserve"> </w:t>
      </w:r>
      <w:r>
        <w:rPr>
          <w:bCs/>
          <w:b/>
        </w:rPr>
        <w:t xml:space="preserve">intramusculaire</w:t>
      </w:r>
      <w:r>
        <w:t xml:space="preserve">) ou directement dans une veine (voie</w:t>
      </w:r>
      <w:r>
        <w:t xml:space="preserve"> </w:t>
      </w:r>
      <w:r>
        <w:rPr>
          <w:bCs/>
          <w:b/>
        </w:rPr>
        <w:t xml:space="preserve">intraveineuse</w:t>
      </w:r>
      <w:r>
        <w:t xml:space="preserve">), par exemple à l’hôpital.</w:t>
      </w:r>
    </w:p>
    <w:p>
      <w:pPr>
        <w:pStyle w:val="BodyText"/>
      </w:pPr>
      <w:r>
        <w:t xml:space="preserve">L’injection contourne certes le tube digestif, mais pas les enzymes du sang. C’est pourquoi la recherche pharmaceutique a consacré beaucoup d’efforts à prolonger la durée de vie des peptides :</w:t>
      </w:r>
    </w:p>
    <w:p>
      <w:pPr>
        <w:numPr>
          <w:ilvl w:val="0"/>
          <w:numId w:val="1010"/>
        </w:numPr>
        <w:pStyle w:val="Compact"/>
      </w:pPr>
      <w:r>
        <w:rPr>
          <w:bCs/>
          <w:b/>
        </w:rPr>
        <w:t xml:space="preserve">Remplacement d’acides aminés</w:t>
      </w:r>
      <w:r>
        <w:t xml:space="preserve"> </w:t>
      </w:r>
      <w:r>
        <w:t xml:space="preserve">aux endroits où les enzymes attaquent.</w:t>
      </w:r>
    </w:p>
    <w:p>
      <w:pPr>
        <w:numPr>
          <w:ilvl w:val="0"/>
          <w:numId w:val="1010"/>
        </w:numPr>
        <w:pStyle w:val="Compact"/>
      </w:pPr>
      <w:r>
        <w:rPr>
          <w:bCs/>
          <w:b/>
        </w:rPr>
        <w:t xml:space="preserve">Fixation d’acides gras</w:t>
      </w:r>
      <w:r>
        <w:t xml:space="preserve">, pour que le peptide se lie à l’albumine, une protéine du sang. Le liraglutide et le sémaglutide utilisent ce principe</w:t>
      </w:r>
      <w:r>
        <w:rPr>
          <w:rStyle w:val="FootnoteReference"/>
        </w:rPr>
        <w:footnoteReference w:id="102"/>
      </w:r>
      <w:r>
        <w:t xml:space="preserve">. Pour le sémaglutide, il en résulte une demi-vie d’environ une semaine</w:t>
      </w:r>
      <w:r>
        <w:rPr>
          <w:rStyle w:val="FootnoteReference"/>
        </w:rPr>
        <w:footnoteReference w:id="103"/>
      </w:r>
      <w:r>
        <w:t xml:space="preserve">.</w:t>
      </w:r>
    </w:p>
    <w:p>
      <w:pPr>
        <w:numPr>
          <w:ilvl w:val="0"/>
          <w:numId w:val="1010"/>
        </w:numPr>
        <w:pStyle w:val="Compact"/>
      </w:pPr>
      <w:r>
        <w:rPr>
          <w:bCs/>
          <w:b/>
        </w:rPr>
        <w:t xml:space="preserve">Couplage à des molécules plus grandes</w:t>
      </w:r>
      <w:r>
        <w:t xml:space="preserve">, par exemple à des fragments d’anticorps ou à des polymères comme le polyéthylène glycol. Le dulaglutide est un exemple de molécule GLP-1 liée à un fragment d’anticorps.</w:t>
      </w:r>
    </w:p>
    <w:p>
      <w:pPr>
        <w:numPr>
          <w:ilvl w:val="0"/>
          <w:numId w:val="1010"/>
        </w:numPr>
        <w:pStyle w:val="Compact"/>
      </w:pPr>
      <w:r>
        <w:rPr>
          <w:bCs/>
          <w:b/>
        </w:rPr>
        <w:t xml:space="preserve">Formes retard</w:t>
      </w:r>
      <w:r>
        <w:t xml:space="preserve">, dans lesquelles la substance est incorporée dans de minuscules microsphères ou des gels à partir desquels elle est libérée lentement.</w:t>
      </w:r>
    </w:p>
    <w:p>
      <w:pPr>
        <w:pStyle w:val="FirstParagraph"/>
      </w:pPr>
      <w:r>
        <w:t xml:space="preserve">Pour les utilisatrices et utilisateurs, l’injection implique aussi des obligations : le produit doit être stérile, l’aiguille ne doit être utilisée qu’une seule fois, et de nombreuses préparations doivent être conservées au réfrigérateur. Les stylos préremplis avec des paliers de dose prédéfinis réduisent nettement le risque d’erreurs. Une série de cas d’un centre antipoison américain montre à quel point c’est important : avec du sémaglutide délivré en pharmacie sous forme de flacons avec des seringues, des surdosages d’un facteur dix sont survenus, entre autres parce que millilitres, « unités » et milligrammes avaient été confondus</w:t>
      </w:r>
      <w:r>
        <w:rPr>
          <w:rStyle w:val="FootnoteReference"/>
        </w:rPr>
        <w:footnoteReference w:id="104"/>
      </w:r>
      <w:r>
        <w:t xml:space="preserve">. Pour en savoir plus, voir le chapitre sur le marché gris.</w:t>
      </w:r>
    </w:p>
    <w:bookmarkEnd w:id="105"/>
    <w:bookmarkStart w:id="107" w:name="le-comprimé-la-voie-la-plus-difficile"/>
    <w:p>
      <w:pPr>
        <w:pStyle w:val="Heading3"/>
      </w:pPr>
      <w:r>
        <w:t xml:space="preserve">Le comprimé : la voie la plus difficile</w:t>
      </w:r>
    </w:p>
    <w:p>
      <w:pPr>
        <w:pStyle w:val="FirstParagraph"/>
      </w:pPr>
      <w:r>
        <w:t xml:space="preserve">Pour la plupart des gens, un comprimé serait la solution la plus pratique. Pour les peptides, c’est aussi la plus exigeante. Sur le chemin de la bouche au sang, plusieurs obstacles les attendent :</w:t>
      </w:r>
    </w:p>
    <w:p>
      <w:pPr>
        <w:numPr>
          <w:ilvl w:val="0"/>
          <w:numId w:val="1011"/>
        </w:numPr>
        <w:pStyle w:val="Compact"/>
      </w:pPr>
      <w:r>
        <w:t xml:space="preserve">L’</w:t>
      </w:r>
      <w:r>
        <w:rPr>
          <w:bCs/>
          <w:b/>
        </w:rPr>
        <w:t xml:space="preserve">acide gastrique</w:t>
      </w:r>
      <w:r>
        <w:t xml:space="preserve"> </w:t>
      </w:r>
      <w:r>
        <w:t xml:space="preserve">peut détruire la structure spatiale des peptides.</w:t>
      </w:r>
    </w:p>
    <w:p>
      <w:pPr>
        <w:numPr>
          <w:ilvl w:val="0"/>
          <w:numId w:val="1011"/>
        </w:numPr>
        <w:pStyle w:val="Compact"/>
      </w:pPr>
      <w:r>
        <w:t xml:space="preserve">La</w:t>
      </w:r>
      <w:r>
        <w:t xml:space="preserve"> </w:t>
      </w:r>
      <w:r>
        <w:rPr>
          <w:bCs/>
          <w:b/>
        </w:rPr>
        <w:t xml:space="preserve">pepsine</w:t>
      </w:r>
      <w:r>
        <w:t xml:space="preserve"> </w:t>
      </w:r>
      <w:r>
        <w:t xml:space="preserve">dans l’estomac et les</w:t>
      </w:r>
      <w:r>
        <w:t xml:space="preserve"> </w:t>
      </w:r>
      <w:r>
        <w:rPr>
          <w:bCs/>
          <w:b/>
        </w:rPr>
        <w:t xml:space="preserve">enzymes pancréatiques</w:t>
      </w:r>
      <w:r>
        <w:t xml:space="preserve"> </w:t>
      </w:r>
      <w:r>
        <w:t xml:space="preserve">dans l’intestin grêle découpent les peptides en petits fragments.</w:t>
      </w:r>
    </w:p>
    <w:p>
      <w:pPr>
        <w:numPr>
          <w:ilvl w:val="0"/>
          <w:numId w:val="1011"/>
        </w:numPr>
        <w:pStyle w:val="Compact"/>
      </w:pPr>
      <w:r>
        <w:t xml:space="preserve">Une</w:t>
      </w:r>
      <w:r>
        <w:t xml:space="preserve"> </w:t>
      </w:r>
      <w:r>
        <w:rPr>
          <w:bCs/>
          <w:b/>
        </w:rPr>
        <w:t xml:space="preserve">couche de mucus</w:t>
      </w:r>
      <w:r>
        <w:t xml:space="preserve"> </w:t>
      </w:r>
      <w:r>
        <w:t xml:space="preserve">recouvrant la muqueuse intestinale retient les grosses molécules.</w:t>
      </w:r>
    </w:p>
    <w:p>
      <w:pPr>
        <w:numPr>
          <w:ilvl w:val="0"/>
          <w:numId w:val="1011"/>
        </w:numPr>
        <w:pStyle w:val="Compact"/>
      </w:pPr>
      <w:r>
        <w:t xml:space="preserve">Les</w:t>
      </w:r>
      <w:r>
        <w:t xml:space="preserve"> </w:t>
      </w:r>
      <w:r>
        <w:rPr>
          <w:bCs/>
          <w:b/>
        </w:rPr>
        <w:t xml:space="preserve">cellules intestinales</w:t>
      </w:r>
      <w:r>
        <w:t xml:space="preserve"> </w:t>
      </w:r>
      <w:r>
        <w:t xml:space="preserve">elles-mêmes sont étroitement liées entre elles. Les grosses molécules hydrosolubles ne passent ni à travers les cellules ni entre elles.</w:t>
      </w:r>
    </w:p>
    <w:p>
      <w:pPr>
        <w:numPr>
          <w:ilvl w:val="0"/>
          <w:numId w:val="1011"/>
        </w:numPr>
        <w:pStyle w:val="Compact"/>
      </w:pPr>
      <w:r>
        <w:t xml:space="preserve">Ce qui parvient malgré tout dans le sang passe d’abord par le</w:t>
      </w:r>
      <w:r>
        <w:t xml:space="preserve"> </w:t>
      </w:r>
      <w:r>
        <w:rPr>
          <w:bCs/>
          <w:b/>
        </w:rPr>
        <w:t xml:space="preserve">foie</w:t>
      </w:r>
      <w:r>
        <w:t xml:space="preserve">, qui peut en dégrader une autre partie.</w:t>
      </w:r>
    </w:p>
    <w:p>
      <w:pPr>
        <w:pStyle w:val="FirstParagraph"/>
      </w:pPr>
      <w:r>
        <w:t xml:space="preserve">La revue de Drucker cite comme pistes de solution des substances qui augmentent la perméabilité, des inhibiteurs d’enzymes digestives ainsi que des peptides vecteurs capables de traverser le mucus et les cellules. Des formes orales d’insuline, de calcitonine, de parathormone et de vasopressine, entre autres, ont été testées dans des études cliniques</w:t>
      </w:r>
      <w:r>
        <w:rPr>
          <w:rStyle w:val="FootnoteReference"/>
        </w:rPr>
        <w:footnoteReference w:id="106"/>
      </w:r>
      <w:r>
        <w:t xml:space="preserve">. La percée pour une substance largement utilisée n’a cependant été obtenue qu’avec le comprimé de sémaglutide.</w:t>
      </w:r>
    </w:p>
    <w:bookmarkEnd w:id="107"/>
    <w:bookmarkStart w:id="117" w:name="X0800f6451a158221909ad04afda24a7440b8aeb"/>
    <w:p>
      <w:pPr>
        <w:pStyle w:val="Heading3"/>
      </w:pPr>
      <w:r>
        <w:t xml:space="preserve">La technologie SNAC : comment fonctionne le comprimé de sémaglutide</w:t>
      </w:r>
    </w:p>
    <w:p>
      <w:pPr>
        <w:pStyle w:val="FirstParagraph"/>
      </w:pPr>
      <w:r>
        <w:t xml:space="preserve">Outre la substance active, le comprimé de sémaglutide contient un excipient appelé</w:t>
      </w:r>
      <w:r>
        <w:t xml:space="preserve"> </w:t>
      </w:r>
      <w:r>
        <w:rPr>
          <w:bCs/>
          <w:b/>
        </w:rPr>
        <w:t xml:space="preserve">SNAC</w:t>
      </w:r>
      <w:r>
        <w:t xml:space="preserve"> </w:t>
      </w:r>
      <w:r>
        <w:t xml:space="preserve">(N-[8-(2-hydroxybenzoyl)amino]caprylate de sodium). Une étude combinant des données issues de recherches chez l’humain et chez le chien a éclairci ce qui se passe</w:t>
      </w:r>
      <w:r>
        <w:rPr>
          <w:rStyle w:val="FootnoteReference"/>
        </w:rPr>
        <w:footnoteReference w:id="108"/>
      </w:r>
      <w:r>
        <w:t xml:space="preserve"> </w:t>
      </w:r>
      <w:r>
        <w:t xml:space="preserve">:</w:t>
      </w:r>
    </w:p>
    <w:p>
      <w:pPr>
        <w:numPr>
          <w:ilvl w:val="0"/>
          <w:numId w:val="1012"/>
        </w:numPr>
        <w:pStyle w:val="Compact"/>
      </w:pPr>
      <w:r>
        <w:t xml:space="preserve">Étonnamment, l’absorption n’a pas lieu dans l’intestin, mais</w:t>
      </w:r>
      <w:r>
        <w:t xml:space="preserve"> </w:t>
      </w:r>
      <w:r>
        <w:rPr>
          <w:bCs/>
          <w:b/>
        </w:rPr>
        <w:t xml:space="preserve">dans l’estomac</w:t>
      </w:r>
      <w:r>
        <w:t xml:space="preserve">.</w:t>
      </w:r>
    </w:p>
    <w:p>
      <w:pPr>
        <w:numPr>
          <w:ilvl w:val="0"/>
          <w:numId w:val="1012"/>
        </w:numPr>
        <w:pStyle w:val="Compact"/>
      </w:pPr>
      <w:r>
        <w:t xml:space="preserve">Elle est limitée à une petite zone</w:t>
      </w:r>
      <w:r>
        <w:t xml:space="preserve"> </w:t>
      </w:r>
      <w:r>
        <w:rPr>
          <w:bCs/>
          <w:b/>
        </w:rPr>
        <w:t xml:space="preserve">directement à la surface du comprimé</w:t>
      </w:r>
      <w:r>
        <w:t xml:space="preserve">.</w:t>
      </w:r>
    </w:p>
    <w:p>
      <w:pPr>
        <w:numPr>
          <w:ilvl w:val="0"/>
          <w:numId w:val="1012"/>
        </w:numPr>
        <w:pStyle w:val="Compact"/>
      </w:pPr>
      <w:r>
        <w:t xml:space="preserve">Le SNAC y tamponne localement l’acide gastrique et</w:t>
      </w:r>
      <w:r>
        <w:t xml:space="preserve"> </w:t>
      </w:r>
      <w:r>
        <w:rPr>
          <w:bCs/>
          <w:b/>
        </w:rPr>
        <w:t xml:space="preserve">protège</w:t>
      </w:r>
      <w:r>
        <w:t xml:space="preserve"> </w:t>
      </w:r>
      <w:r>
        <w:t xml:space="preserve">ainsi le sémaglutide de la dégradation par les enzymes.</w:t>
      </w:r>
    </w:p>
    <w:p>
      <w:pPr>
        <w:numPr>
          <w:ilvl w:val="0"/>
          <w:numId w:val="1012"/>
        </w:numPr>
        <w:pStyle w:val="Compact"/>
      </w:pPr>
      <w:r>
        <w:t xml:space="preserve">Le SNAC n’augmente la perméabilité de la muqueuse gastrique que</w:t>
      </w:r>
      <w:r>
        <w:t xml:space="preserve"> </w:t>
      </w:r>
      <w:r>
        <w:rPr>
          <w:bCs/>
          <w:b/>
        </w:rPr>
        <w:t xml:space="preserve">brièvement</w:t>
      </w:r>
      <w:r>
        <w:t xml:space="preserve">.</w:t>
      </w:r>
    </w:p>
    <w:p>
      <w:pPr>
        <w:numPr>
          <w:ilvl w:val="0"/>
          <w:numId w:val="1012"/>
        </w:numPr>
        <w:pStyle w:val="Compact"/>
      </w:pPr>
      <w:r>
        <w:t xml:space="preserve">Le sémaglutide passe dans le sang</w:t>
      </w:r>
      <w:r>
        <w:t xml:space="preserve"> </w:t>
      </w:r>
      <w:r>
        <w:rPr>
          <w:bCs/>
          <w:b/>
        </w:rPr>
        <w:t xml:space="preserve">à travers les cellules</w:t>
      </w:r>
      <w:r>
        <w:t xml:space="preserve">, sans que les jonctions entre les cellules soient ouvertes.</w:t>
      </w:r>
    </w:p>
    <w:p>
      <w:pPr>
        <w:pStyle w:val="FirstParagraph"/>
      </w:pPr>
      <w:r>
        <w:t xml:space="preserve">Une revue plus récente ajoute que le SNAC élève le pH dans l’environnement immédiat, atténue l’activation de la pepsine et contribue à ce que le sémaglutide reste sous forme de molécules isolées au lieu de s’associer en agrégats plus grands, moins bien absorbés</w:t>
      </w:r>
      <w:r>
        <w:rPr>
          <w:rStyle w:val="FootnoteReference"/>
        </w:rPr>
        <w:footnoteReference w:id="109"/>
      </w:r>
      <w:r>
        <w:t xml:space="preserve">.</w:t>
      </w:r>
    </w:p>
    <w:p>
      <w:pPr>
        <w:pStyle w:val="BodyText"/>
      </w:pPr>
      <w:r>
        <w:t xml:space="preserve">Malgré cette technologie, le rendement est faible. La même revue indique une biodisponibilité absolue du sémaglutide oral de seulement 0,4 à 1 % environ – et cela dans des conditions optimisées : à jeun et avec peu d’eau. Après un repas, le sémaglutide n’est pratiquement pas détectable dans le sang</w:t>
      </w:r>
      <w:r>
        <w:rPr>
          <w:rStyle w:val="FootnoteReference"/>
        </w:rPr>
        <w:footnoteReference w:id="110"/>
      </w:r>
      <w:r>
        <w:t xml:space="preserve">. C’est pourquoi le comprimé est soumis à des règles de prise strictes, décrites dans le résumé des caractéristiques du produit et à discuter avec le médecin traitant.</w:t>
      </w:r>
    </w:p>
    <w:p>
      <w:pPr>
        <w:pStyle w:val="BodyText"/>
      </w:pPr>
      <w:r>
        <w:t xml:space="preserve">La faible biodisponibilité a une conséquence pratique : le comprimé nécessite une quantité de substance active bien plus importante. Dans l’étude SUSTAIN-6, les participants recevaient 0,5 ou 1,0 mg de sémaglutide une fois par semaine en injection</w:t>
      </w:r>
      <w:r>
        <w:rPr>
          <w:rStyle w:val="FootnoteReference"/>
        </w:rPr>
        <w:footnoteReference w:id="111"/>
      </w:r>
      <w:r>
        <w:t xml:space="preserve">. Dans l’étude PIONEER 1 portant sur le comprimé, ce sont en revanche des doses quotidiennes de 3, 7 ou 14 mg qui ont été étudiées</w:t>
      </w:r>
      <w:r>
        <w:rPr>
          <w:rStyle w:val="FootnoteReference"/>
        </w:rPr>
        <w:footnoteReference w:id="112"/>
      </w:r>
      <w:r>
        <w:t xml:space="preserve">. Si l’effet à long terme reste malgré tout régulier, c’est grâce à la longue demi-vie : les variations d’absorption d’un jour à l’autre s’équilibrent largement sur la semaine</w:t>
      </w:r>
      <w:r>
        <w:rPr>
          <w:rStyle w:val="FootnoteReference"/>
        </w:rPr>
        <w:footnoteReference w:id="113"/>
      </w:r>
      <w:r>
        <w:t xml:space="preserve">.</w:t>
      </w:r>
    </w:p>
    <w:p>
      <w:pPr>
        <w:pStyle w:val="BodyText"/>
      </w:pPr>
      <w:r>
        <w:t xml:space="preserve">Le comprimé est efficace, les études le montrent. Dans PIONEER 1, chez 703 personnes atteintes de diabète de type 2, la valeur de l’HbA1c a baissé après 26 semaines, à la dose la plus élevée, de 1,1 point de pourcentage de plus que sous placebo</w:t>
      </w:r>
      <w:r>
        <w:rPr>
          <w:rStyle w:val="FootnoteReference"/>
        </w:rPr>
        <w:footnoteReference w:id="114"/>
      </w:r>
      <w:r>
        <w:t xml:space="preserve">. Dans l’étude OASIS 1, une dose plus élevée de 50 mg par jour a été évaluée chez 667 adultes en surpoids ou obèses sans diabète. Après 68 semaines, la perte de poids moyenne était de 15,1 %, contre 2,4 % sous placebo</w:t>
      </w:r>
      <w:r>
        <w:rPr>
          <w:rStyle w:val="FootnoteReference"/>
        </w:rPr>
        <w:footnoteReference w:id="115"/>
      </w:r>
      <w:r>
        <w:t xml:space="preserve">. Des troubles gastro-intestinaux sont survenus chez 80 % des participants sous sémaglutide et chez 46 % sous placebo.</w:t>
      </w:r>
    </w:p>
    <w:p>
      <w:pPr>
        <w:pStyle w:val="BodyText"/>
      </w:pPr>
      <w:r>
        <w:t xml:space="preserve">Une remarque importante pour la pratique : la technologie SNAC est liée à la composition exacte du comprimé. Une analyse de produits d’imitation a trouvé, dans plusieurs préparations orales de sémaglutide, nettement moins de substance active qu’indiqué ainsi qu’un profil de libération différent du sémaglutide et du SNAC, ce qui pourrait réduire l’absorption</w:t>
      </w:r>
      <w:r>
        <w:rPr>
          <w:rStyle w:val="FootnoteReference"/>
        </w:rPr>
        <w:footnoteReference w:id="116"/>
      </w:r>
      <w:r>
        <w:t xml:space="preserve">. Un comprimé contenant du « sémaglutide » n’est donc pas automatiquement aussi efficace que la préparation autorisée.</w:t>
      </w:r>
    </w:p>
    <w:p>
      <w:pPr>
        <w:pStyle w:val="BodyText"/>
      </w:pPr>
      <w:r>
        <w:t xml:space="preserve">Parallèlement aux comprimés peptidiques, on développe de petites molécules non peptidiques qui activent le même récepteur et peuvent être prises comme un comprimé ordinaire, par exemple l’orforglipron. Elles sont présentées à titre de comparaison dans la partie II et traitées dans la partie V dans le contexte de l’avenir des traitements par comprimés.</w:t>
      </w:r>
    </w:p>
    <w:bookmarkEnd w:id="117"/>
    <w:bookmarkStart w:id="119" w:name="Xdb743f7d7cddb3756a3c8d523d452708dc32063"/>
    <w:p>
      <w:pPr>
        <w:pStyle w:val="Heading3"/>
      </w:pPr>
      <w:r>
        <w:t xml:space="preserve">L’exception des aliments : les peptides courts issus du collagène et du lait</w:t>
      </w:r>
    </w:p>
    <w:p>
      <w:pPr>
        <w:pStyle w:val="FirstParagraph"/>
      </w:pPr>
      <w:r>
        <w:t xml:space="preserve">Si les peptides sont dégradés dans le tube digestif, comment les peptides de collagène ou les peptides du lait consommés sous forme de poudre ou de boisson pourraient-ils agir ? La réponse est nuancée.</w:t>
      </w:r>
    </w:p>
    <w:p>
      <w:pPr>
        <w:pStyle w:val="BodyText"/>
      </w:pPr>
      <w:r>
        <w:t xml:space="preserve">La digestion produit non seulement des acides aminés isolés, mais aussi des fragments très courts de deux ou trois briques. Certains d’entre eux sont relativement résistants aux enzymes et sont absorbés par des systèmes de transport spécifiques. Ainsi, après la consommation d’hydrolysat de collagène, les dipeptides prolyl-hydroxyproline et hydroxyprolyl-glycine ont été mesurés dans le plasma sanguin de cinq volontaires en bonne santé</w:t>
      </w:r>
      <w:r>
        <w:rPr>
          <w:rStyle w:val="FootnoteReference"/>
        </w:rPr>
        <w:footnoteReference w:id="118"/>
      </w:r>
      <w:r>
        <w:t xml:space="preserve">.</w:t>
      </w:r>
    </w:p>
    <w:p>
      <w:pPr>
        <w:pStyle w:val="BodyText"/>
      </w:pPr>
      <w:r>
        <w:t xml:space="preserve">Il n’en découle cependant pas automatiquement que ces fragments exercent un effet déterminé dans l’organisme – par exemple sur la peau ou les articulations. Seules des études contrôlées avec des critères d’évaluation cliniques permettent de le savoir. Ces données sont examinées dans la partie II, dans le chapitre consacré aux peptides de collagène. Pour les peptides plus grands comme les hormones, en revanche, la règle est la suivante : avalés, ils sont digérés.</w:t>
      </w:r>
    </w:p>
    <w:bookmarkEnd w:id="119"/>
    <w:bookmarkStart w:id="121" w:name="sous-la-langue-peu-de-preuves"/>
    <w:p>
      <w:pPr>
        <w:pStyle w:val="Heading3"/>
      </w:pPr>
      <w:r>
        <w:t xml:space="preserve">Sous la langue : peu de preuves</w:t>
      </w:r>
    </w:p>
    <w:p>
      <w:pPr>
        <w:pStyle w:val="FirstParagraph"/>
      </w:pPr>
      <w:r>
        <w:t xml:space="preserve">La muqueuse buccale, en particulier sous la langue, est bien irriguée. Les substances absorbées à cet endroit contournent l’estomac et le foie. Cela fonctionne bien pour certaines petites substances médicamenteuses, mais pour les peptides, la muqueuse constitue une barrière importante.</w:t>
      </w:r>
    </w:p>
    <w:p>
      <w:pPr>
        <w:pStyle w:val="BodyText"/>
      </w:pPr>
      <w:r>
        <w:t xml:space="preserve">Pourtant, le sémaglutide et le tirzépatide sont proposés, surtout aux États-Unis, sous forme de gouttes ou de comprimés orodispersibles à placer sous la langue. Une analyse des offres de pharmacies américaines qui préparent elles-mêmes des médicaments a recensé 33 produits s’écartant des préparations autorisées. Parmi les 17 produits ne contenant qu’une seule substance active, 82 % étaient destinés à une utilisation sous la langue, les autres étant des comprimés orodispersibles. Les autrices et auteurs jugent une telle forme galénique compréhensible en principe, mais constatent qu’aucun avantage par rapport aux préparations autorisées n’est démontré et que les données de sécurité et d’efficacité font défaut</w:t>
      </w:r>
      <w:r>
        <w:rPr>
          <w:rStyle w:val="FootnoteReference"/>
        </w:rPr>
        <w:footnoteReference w:id="120"/>
      </w:r>
      <w:r>
        <w:t xml:space="preserve">.</w:t>
      </w:r>
    </w:p>
    <w:bookmarkEnd w:id="121"/>
    <w:bookmarkStart w:id="123" w:name="le-spray-nasal-rapide-mais-limité"/>
    <w:p>
      <w:pPr>
        <w:pStyle w:val="Heading3"/>
      </w:pPr>
      <w:r>
        <w:t xml:space="preserve">Le spray nasal : rapide, mais limité</w:t>
      </w:r>
    </w:p>
    <w:p>
      <w:pPr>
        <w:pStyle w:val="FirstParagraph"/>
      </w:pPr>
      <w:r>
        <w:t xml:space="preserve">La muqueuse nasale possède une grande surface bien irriguée, et les substances passent de là directement dans le sang. Certains médicaments peptidiques utilisent cette voie depuis longtemps, comme l’analogue de la vasopressine desmopressine. L’ocytocine est elle aussi étudiée sous forme de spray nasal.</w:t>
      </w:r>
    </w:p>
    <w:p>
      <w:pPr>
        <w:pStyle w:val="BodyText"/>
      </w:pPr>
      <w:r>
        <w:t xml:space="preserve">Les limites sont toutefois nettes :</w:t>
      </w:r>
    </w:p>
    <w:p>
      <w:pPr>
        <w:numPr>
          <w:ilvl w:val="0"/>
          <w:numId w:val="1013"/>
        </w:numPr>
        <w:pStyle w:val="Compact"/>
      </w:pPr>
      <w:r>
        <w:t xml:space="preserve">L’absorption des peptides de plus grande taille est faible et très variable – selon la technique de pulvérisation, un rhume ou la quantité de mucus.</w:t>
      </w:r>
    </w:p>
    <w:p>
      <w:pPr>
        <w:numPr>
          <w:ilvl w:val="0"/>
          <w:numId w:val="1013"/>
        </w:numPr>
        <w:pStyle w:val="Compact"/>
      </w:pPr>
      <w:r>
        <w:t xml:space="preserve">Une grande partie de la pulvérisation est avalée ou évacuée par les cils vibratiles.</w:t>
      </w:r>
    </w:p>
    <w:p>
      <w:pPr>
        <w:numPr>
          <w:ilvl w:val="0"/>
          <w:numId w:val="1013"/>
        </w:numPr>
        <w:pStyle w:val="Compact"/>
      </w:pPr>
      <w:r>
        <w:t xml:space="preserve">Les substances irritantes ou les excipients fréquemment utilisés peuvent agresser la muqueuse.</w:t>
      </w:r>
    </w:p>
    <w:p>
      <w:pPr>
        <w:pStyle w:val="FirstParagraph"/>
      </w:pPr>
      <w:r>
        <w:t xml:space="preserve">L’idée que les peptides pourraient atteindre « directement le cerveau » par le nez est particulièrement populaire. Pour certaines substances, il existe des indices de telles voies passant par les nerfs olfactifs et faciaux, mais les données sont minces. Une revue critique très citée a conclu, pour l’ocytocine, que très peu de l’ocytocine administrée par voie nasale parvient dans le liquide céphalorachidien, tandis que les concentrations sanguines s’élèvent au-dessus du niveau naturel – avec des effets possibles sur le tube digestif, le cœur et les organes reproducteurs</w:t>
      </w:r>
      <w:r>
        <w:rPr>
          <w:rStyle w:val="FootnoteReference"/>
        </w:rPr>
        <w:footnoteReference w:id="122"/>
      </w:r>
      <w:r>
        <w:t xml:space="preserve">. Les auteurs appellent au scepticisme envers les études rapportant des effets comportementaux et demandent des études préenregistrées. Cela concerne tous les peptides vantés comme « spray nasal pour le cerveau », par exemple le Semax ou le Selank, traités dans la partie II.</w:t>
      </w:r>
    </w:p>
    <w:bookmarkEnd w:id="123"/>
    <w:bookmarkStart w:id="125" w:name="linhalation-un-échec-instructif"/>
    <w:p>
      <w:pPr>
        <w:pStyle w:val="Heading3"/>
      </w:pPr>
      <w:r>
        <w:t xml:space="preserve">L’inhalation : un échec instructif</w:t>
      </w:r>
    </w:p>
    <w:p>
      <w:pPr>
        <w:pStyle w:val="FirstParagraph"/>
      </w:pPr>
      <w:r>
        <w:t xml:space="preserve">Les poumons offrent une immense surface avec une barrière très mince vers le sang. C’est pourquoi on a beaucoup travaillé sur l’insuline inhalée. Un premier produit a été mis sur le marché, mais retiré peu après ; d’autres développements ont été arrêtés. Un commentaire de cette époque décrit les avantages et les inconvénients du point de vue des patients, des médecins, de l’industrie et des payeurs – notamment la taille des inhalateurs et les coûts</w:t>
      </w:r>
      <w:r>
        <w:rPr>
          <w:rStyle w:val="FootnoteReference"/>
        </w:rPr>
        <w:footnoteReference w:id="124"/>
      </w:r>
      <w:r>
        <w:t xml:space="preserve">. Plus tard, une autre insuline inhalée a été autorisée aux États-Unis. Pour la plupart des autres peptides, l’inhalation ne joue jusqu’à présent aucun rôle.</w:t>
      </w:r>
    </w:p>
    <w:bookmarkEnd w:id="125"/>
    <w:bookmarkStart w:id="127" w:name="la-peau-une-très-bonne-barrière"/>
    <w:p>
      <w:pPr>
        <w:pStyle w:val="Heading3"/>
      </w:pPr>
      <w:r>
        <w:t xml:space="preserve">La peau : une très bonne barrière</w:t>
      </w:r>
    </w:p>
    <w:p>
      <w:pPr>
        <w:pStyle w:val="FirstParagraph"/>
      </w:pPr>
      <w:r>
        <w:t xml:space="preserve">La peau est l’un des organes les plus étanches du corps. Sa couche la plus externe, la couche cornée, est composée de cellules mortes enchâssées dans des lipides – une sorte de maçonnerie avec son mortier. Une règle empirique connue en dermatologie veut qu’une substance doive être plus petite qu’environ 500 daltons pour traverser la peau dans une mesure notable. Les auteurs la justifient notamment par le fait que pratiquement tous les allergènes de contact connus et toutes les substances médicamenteuses utilisées dans les patchs transdermiques se situent sous cette limite</w:t>
      </w:r>
      <w:r>
        <w:rPr>
          <w:rStyle w:val="FootnoteReference"/>
        </w:rPr>
        <w:footnoteReference w:id="126"/>
      </w:r>
      <w:r>
        <w:t xml:space="preserve">.</w:t>
      </w:r>
    </w:p>
    <w:p>
      <w:pPr>
        <w:pStyle w:val="BodyText"/>
      </w:pPr>
      <w:r>
        <w:t xml:space="preserve">Pour les peptides, cela signifie qu’à partir d’environ quatre à cinq acides aminés, ils dépassent en règle générale cette limite. Un tripeptide comme le GHK peut se situer en dessous, tandis que des peptides comme le palmitoyl pentapeptide-4 ou l’acétyl hexapeptide-8 la dépassent nettement. Les fabricants de cosmétiques tentent d’améliorer la pénétration par l’ajout d’acides gras (comme pour le peptide « palmitoyl ») ou par des systèmes vecteurs spéciaux. Savoir si les peptides atteignent ainsi en quantité suffisante leurs cellules cibles présumées dans les couches profondes de la peau est une question qui devrait être étudiée spécifiquement pour chaque produit. Les données disponibles à ce sujet sont examinées dans la partie II.</w:t>
      </w:r>
    </w:p>
    <w:p>
      <w:pPr>
        <w:pStyle w:val="BodyText"/>
      </w:pPr>
      <w:r>
        <w:t xml:space="preserve">Une règle empirique reste une règle empirique : il existe des exceptions, et des dispositifs comme les patchs à micro-aiguilles peuvent franchir la barrière. Ces patchs portent de minuscules aiguilles qui ne traversent que la couche la plus superficielle de la peau. Pour les peptides, ils sont encore largement en développement.</w:t>
      </w:r>
    </w:p>
    <w:p>
      <w:pPr>
        <w:pStyle w:val="BodyText"/>
      </w:pPr>
      <w:r>
        <w:t xml:space="preserve">Pour les peptides médicamenteux comme les analogues du GLP-1, les stimulateurs de la sécrétion d’hormone de croissance ou le Melanotan, la règle est la suivante : une simple crème ou un gel ne les fait pas passer dans le sang en quantité notable. Les offres sur Internet qui affirment le contraire doivent être considérées avec un grand scepticisme.</w:t>
      </w:r>
    </w:p>
    <w:bookmarkEnd w:id="127"/>
    <w:bookmarkStart w:id="129" w:name="la-stabilité-un-problème-sous-estimé"/>
    <w:p>
      <w:pPr>
        <w:pStyle w:val="Heading3"/>
      </w:pPr>
      <w:r>
        <w:t xml:space="preserve">La stabilité : un problème sous-estimé</w:t>
      </w:r>
    </w:p>
    <w:p>
      <w:pPr>
        <w:pStyle w:val="FirstParagraph"/>
      </w:pPr>
      <w:r>
        <w:t xml:space="preserve">Même en dehors de l’organisme, les peptides sont fragiles. Ils peuvent se décomposer, se modifier chimiquement (par exemple par oxydation) ou s’agglomérer en agrégats plus grands. Ces agglomérations – les spécialistes parlent d’agrégation ou de formation de fibrilles – peuvent réduire l’efficacité et irriter le système immunitaire. Une étude a constaté, pour des préparations d’imitation du liraglutide, une plus forte tendance à la formation de fibrilles et une stabilité physique plus faible que pour l’original</w:t>
      </w:r>
      <w:r>
        <w:rPr>
          <w:rStyle w:val="FootnoteReference"/>
        </w:rPr>
        <w:footnoteReference w:id="128"/>
      </w:r>
      <w:r>
        <w:t xml:space="preserve">.</w:t>
      </w:r>
    </w:p>
    <w:p>
      <w:pPr>
        <w:pStyle w:val="BodyText"/>
      </w:pPr>
      <w:r>
        <w:t xml:space="preserve">C’est pourquoi les médicaments peptidiques autorisés sont fabriqués, conditionnés et transportés au froid dans des conditions précisément définies, et assortis de dates de péremption. Les peptides du marché gris, en revanche, sont le plus souvent vendus sous forme de poudre lyophilisée qu’il faut dissoudre soi-même avant utilisation. Chacune de ces étapes – transport sans réfrigération, stockage, dissolution, prélèvement dans la seringue – est une source d’erreur possible.</w:t>
      </w:r>
    </w:p>
    <w:bookmarkEnd w:id="129"/>
    <w:bookmarkStart w:id="131" w:name="les-réactions-immunitaires"/>
    <w:p>
      <w:pPr>
        <w:pStyle w:val="Heading3"/>
      </w:pPr>
      <w:r>
        <w:t xml:space="preserve">Les réactions immunitaires</w:t>
      </w:r>
    </w:p>
    <w:p>
      <w:pPr>
        <w:pStyle w:val="FirstParagraph"/>
      </w:pPr>
      <w:r>
        <w:t xml:space="preserve">Les peptides sont des substances protéiques et peuvent être reconnus comme étrangers par le système immunitaire, en particulier lorsqu’ils ne correspondent pas exactement à une molécule de l’organisme ou contiennent des impuretés. Les conséquences possibles sont des réactions au point d’injection, des réactions allergiques ou la formation d’anticorps susceptibles d’affaiblir l’effet. L’analyse de sémaglutide d’imitation a mis en évidence de nouveaux sites de liaison pour le système immunitaire, prédits par ordinateur, qui suggèrent un risque possible de réactions immunitaires</w:t>
      </w:r>
      <w:r>
        <w:rPr>
          <w:rStyle w:val="FootnoteReference"/>
        </w:rPr>
        <w:footnoteReference w:id="130"/>
      </w:r>
      <w:r>
        <w:t xml:space="preserve">. La partie IV traite en détail des réactions immunitaires.</w:t>
      </w:r>
    </w:p>
    <w:bookmarkEnd w:id="131"/>
    <w:bookmarkStart w:id="132" w:name="X201cc534182aa98559c45acb2b406a7a83908c4"/>
    <w:p>
      <w:pPr>
        <w:pStyle w:val="Heading3"/>
      </w:pPr>
      <w:r>
        <w:t xml:space="preserve">Vue d’ensemble : comparaison des voies d’administration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Voie</w:t>
            </w:r>
          </w:p>
        </w:tc>
        <w:tc>
          <w:tcPr/>
          <w:p>
            <w:pPr>
              <w:pStyle w:val="Compact"/>
              <w:jc w:val="left"/>
            </w:pPr>
            <w:r>
              <w:t xml:space="preserve">Problème principal</w:t>
            </w:r>
          </w:p>
        </w:tc>
        <w:tc>
          <w:tcPr/>
          <w:p>
            <w:pPr>
              <w:pStyle w:val="Compact"/>
              <w:jc w:val="left"/>
            </w:pPr>
            <w:r>
              <w:t xml:space="preserve">Exemples</w:t>
            </w:r>
          </w:p>
        </w:tc>
      </w:tr>
      <w:tr>
        <w:tc>
          <w:tcPr/>
          <w:p>
            <w:pPr>
              <w:pStyle w:val="Compact"/>
              <w:jc w:val="left"/>
            </w:pPr>
            <w:r>
              <w:t xml:space="preserve">Injection sous-cutanée</w:t>
            </w:r>
          </w:p>
        </w:tc>
        <w:tc>
          <w:tcPr/>
          <w:p>
            <w:pPr>
              <w:pStyle w:val="Compact"/>
              <w:jc w:val="left"/>
            </w:pPr>
            <w:r>
              <w:t xml:space="preserve">aiguille, stérilité, réfrigération</w:t>
            </w:r>
          </w:p>
        </w:tc>
        <w:tc>
          <w:tcPr/>
          <w:p>
            <w:pPr>
              <w:pStyle w:val="Compact"/>
              <w:jc w:val="left"/>
            </w:pPr>
            <w:r>
              <w:t xml:space="preserve">insuline, sémaglutide, tirzépatide</w:t>
            </w:r>
          </w:p>
        </w:tc>
      </w:tr>
      <w:tr>
        <w:tc>
          <w:tcPr/>
          <w:p>
            <w:pPr>
              <w:pStyle w:val="Compact"/>
              <w:jc w:val="left"/>
            </w:pPr>
            <w:r>
              <w:t xml:space="preserve">Comprimé</w:t>
            </w:r>
          </w:p>
        </w:tc>
        <w:tc>
          <w:tcPr/>
          <w:p>
            <w:pPr>
              <w:pStyle w:val="Compact"/>
              <w:jc w:val="left"/>
            </w:pPr>
            <w:r>
              <w:t xml:space="preserve">dégradation dans le tube digestif</w:t>
            </w:r>
          </w:p>
        </w:tc>
        <w:tc>
          <w:tcPr/>
          <w:p>
            <w:pPr>
              <w:pStyle w:val="Compact"/>
              <w:jc w:val="left"/>
            </w:pPr>
            <w:r>
              <w:t xml:space="preserve">sémaglutide avec SNAC</w:t>
            </w:r>
          </w:p>
        </w:tc>
      </w:tr>
      <w:tr>
        <w:tc>
          <w:tcPr/>
          <w:p>
            <w:pPr>
              <w:pStyle w:val="Compact"/>
              <w:jc w:val="left"/>
            </w:pPr>
            <w:r>
              <w:t xml:space="preserve">Sous la langue</w:t>
            </w:r>
          </w:p>
        </w:tc>
        <w:tc>
          <w:tcPr/>
          <w:p>
            <w:pPr>
              <w:pStyle w:val="Compact"/>
              <w:jc w:val="left"/>
            </w:pPr>
            <w:r>
              <w:t xml:space="preserve">muqueuse faisant barrière</w:t>
            </w:r>
          </w:p>
        </w:tc>
        <w:tc>
          <w:tcPr/>
          <w:p>
            <w:pPr>
              <w:pStyle w:val="Compact"/>
              <w:jc w:val="left"/>
            </w:pPr>
            <w:r>
              <w:t xml:space="preserve">aucune donnée solide</w:t>
            </w:r>
          </w:p>
        </w:tc>
      </w:tr>
      <w:tr>
        <w:tc>
          <w:tcPr/>
          <w:p>
            <w:pPr>
              <w:pStyle w:val="Compact"/>
              <w:jc w:val="left"/>
            </w:pPr>
            <w:r>
              <w:t xml:space="preserve">Spray nasal</w:t>
            </w:r>
          </w:p>
        </w:tc>
        <w:tc>
          <w:tcPr/>
          <w:p>
            <w:pPr>
              <w:pStyle w:val="Compact"/>
              <w:jc w:val="left"/>
            </w:pPr>
            <w:r>
              <w:t xml:space="preserve">absorption faible et variable</w:t>
            </w:r>
          </w:p>
        </w:tc>
        <w:tc>
          <w:tcPr/>
          <w:p>
            <w:pPr>
              <w:pStyle w:val="Compact"/>
              <w:jc w:val="left"/>
            </w:pPr>
            <w:r>
              <w:t xml:space="preserve">desmopressine, ocytocine</w:t>
            </w:r>
          </w:p>
        </w:tc>
      </w:tr>
      <w:tr>
        <w:tc>
          <w:tcPr/>
          <w:p>
            <w:pPr>
              <w:pStyle w:val="Compact"/>
              <w:jc w:val="left"/>
            </w:pPr>
            <w:r>
              <w:t xml:space="preserve">Inhalation</w:t>
            </w:r>
          </w:p>
        </w:tc>
        <w:tc>
          <w:tcPr/>
          <w:p>
            <w:pPr>
              <w:pStyle w:val="Compact"/>
              <w:jc w:val="left"/>
            </w:pPr>
            <w:r>
              <w:t xml:space="preserve">dispositifs, sécurité pulmonaire</w:t>
            </w:r>
          </w:p>
        </w:tc>
        <w:tc>
          <w:tcPr/>
          <w:p>
            <w:pPr>
              <w:pStyle w:val="Compact"/>
              <w:jc w:val="left"/>
            </w:pPr>
            <w:r>
              <w:t xml:space="preserve">insuline inhalée</w:t>
            </w:r>
          </w:p>
        </w:tc>
      </w:tr>
      <w:tr>
        <w:tc>
          <w:tcPr/>
          <w:p>
            <w:pPr>
              <w:pStyle w:val="Compact"/>
              <w:jc w:val="left"/>
            </w:pPr>
            <w:r>
              <w:t xml:space="preserve">Peau</w:t>
            </w:r>
          </w:p>
        </w:tc>
        <w:tc>
          <w:tcPr/>
          <w:p>
            <w:pPr>
              <w:pStyle w:val="Compact"/>
              <w:jc w:val="left"/>
            </w:pPr>
            <w:r>
              <w:t xml:space="preserve">couche cornée, taille des molécules</w:t>
            </w:r>
          </w:p>
        </w:tc>
        <w:tc>
          <w:tcPr/>
          <w:p>
            <w:pPr>
              <w:pStyle w:val="Compact"/>
              <w:jc w:val="left"/>
            </w:pPr>
            <w:r>
              <w:t xml:space="preserve">peptides cosmétiques</w:t>
            </w:r>
          </w:p>
        </w:tc>
      </w:tr>
    </w:tbl>
    <w:bookmarkEnd w:id="132"/>
    <w:bookmarkStart w:id="133" w:name="lessentiel-en-bref-1"/>
    <w:p>
      <w:pPr>
        <w:pStyle w:val="Heading3"/>
      </w:pPr>
      <w:r>
        <w:t xml:space="preserve">L’essentiel en bref</w:t>
      </w:r>
    </w:p>
    <w:p>
      <w:pPr>
        <w:numPr>
          <w:ilvl w:val="0"/>
          <w:numId w:val="1014"/>
        </w:numPr>
        <w:pStyle w:val="Compact"/>
      </w:pPr>
      <w:r>
        <w:t xml:space="preserve">Les peptides sont dégradés dans le tube digestif, sont grands et traversent mal les membranes. C’est pourquoi la plupart des médicaments peptidiques sont injectés.</w:t>
      </w:r>
    </w:p>
    <w:p>
      <w:pPr>
        <w:numPr>
          <w:ilvl w:val="0"/>
          <w:numId w:val="1014"/>
        </w:numPr>
        <w:pStyle w:val="Compact"/>
      </w:pPr>
      <w:r>
        <w:t xml:space="preserve">Une longue durée d’action s’obtient par des modifications ciblées de la molécule, par exemple la fixation d’acides gras permettant la liaison à l’albumine.</w:t>
      </w:r>
    </w:p>
    <w:p>
      <w:pPr>
        <w:numPr>
          <w:ilvl w:val="0"/>
          <w:numId w:val="1014"/>
        </w:numPr>
        <w:pStyle w:val="Compact"/>
      </w:pPr>
      <w:r>
        <w:t xml:space="preserve">Le comprimé de sémaglutide utilise l’excipient SNAC, qui permet une absorption dans l’estomac. Avec environ 0,4 à 1 %, la biodisponibilité reste très faible.</w:t>
      </w:r>
    </w:p>
    <w:p>
      <w:pPr>
        <w:numPr>
          <w:ilvl w:val="0"/>
          <w:numId w:val="1014"/>
        </w:numPr>
        <w:pStyle w:val="Compact"/>
      </w:pPr>
      <w:r>
        <w:t xml:space="preserve">Avec les sprays nasaux et les crèmes, l’absorption des peptides de grande taille est limitée. Des promesses comme « directement dans le cerveau » ou « à travers la peau jusque dans le sang » ne sont généralement pas démontrées.</w:t>
      </w:r>
    </w:p>
    <w:p>
      <w:pPr>
        <w:numPr>
          <w:ilvl w:val="0"/>
          <w:numId w:val="1014"/>
        </w:numPr>
        <w:pStyle w:val="Compact"/>
      </w:pPr>
      <w:r>
        <w:t xml:space="preserve">La stabilité, la stérilité et la pureté ne sont pas accessoires pour les peptides, mais des conditions préalables à leur sécurité et à leur efficacité.</w:t>
      </w:r>
    </w:p>
    <w:bookmarkEnd w:id="133"/>
    <w:bookmarkEnd w:id="134"/>
    <w:bookmarkStart w:id="166" w:name="bien-lire-les-études"/>
    <w:p>
      <w:pPr>
        <w:pStyle w:val="Heading2"/>
      </w:pPr>
      <w:r>
        <w:t xml:space="preserve">Bien lire les études</w:t>
      </w:r>
    </w:p>
    <w:p>
      <w:pPr>
        <w:pStyle w:val="FirstParagraph"/>
      </w:pPr>
      <w:r>
        <w:t xml:space="preserve">« Des études montrent … » – rares sont les formules aussi souvent utilisées dans la publicité pour les peptides. Elle peut désigner à peu près n’importe quoi : un essai sur des cellules dans une boîte de Petri, une expérience sur douze rats, le témoignage d’un seul patient ou une étude portant sur 17 000 participants pendant plus de trois ans. Pour évaluer les peptides, il faut connaître ces différences. Ce chapitre est une sorte de boîte à outils. Il explique les principaux types d’études, les pièges de l’interprétation des résultats et la manière dont vous pouvez vérifier vous-même ce qui se cache derrière une affirmation.</w:t>
      </w:r>
    </w:p>
    <w:bookmarkStart w:id="135" w:name="la-pyramide-des-preuves"/>
    <w:p>
      <w:pPr>
        <w:pStyle w:val="Heading3"/>
      </w:pPr>
      <w:r>
        <w:t xml:space="preserve">La pyramide des preuves</w:t>
      </w:r>
    </w:p>
    <w:p>
      <w:pPr>
        <w:pStyle w:val="FirstParagraph"/>
      </w:pPr>
      <w:r>
        <w:t xml:space="preserve">Les spécialistes classent souvent les types d’études sous la forme d’une pyramide. En bas se trouvent les formes d’études qui fournissent beaucoup d’indices, mais peu de certitudes ; en haut, celles qui montrent le plus fiablement si un traitement est efficace chez l’humain. De bas en haut :</w:t>
      </w:r>
    </w:p>
    <w:p>
      <w:pPr>
        <w:numPr>
          <w:ilvl w:val="0"/>
          <w:numId w:val="1015"/>
        </w:numPr>
        <w:pStyle w:val="Compact"/>
      </w:pPr>
      <w:r>
        <w:rPr>
          <w:bCs/>
          <w:b/>
        </w:rPr>
        <w:t xml:space="preserve">Études de laboratoire et sur cellules</w:t>
      </w:r>
      <w:r>
        <w:t xml:space="preserve"> </w:t>
      </w:r>
      <w:r>
        <w:t xml:space="preserve">(in vitro, « en éprouvette ») : des cellules ou des tissus sont exposés à une substance en laboratoire.</w:t>
      </w:r>
    </w:p>
    <w:p>
      <w:pPr>
        <w:numPr>
          <w:ilvl w:val="0"/>
          <w:numId w:val="1015"/>
        </w:numPr>
        <w:pStyle w:val="Compact"/>
      </w:pPr>
      <w:r>
        <w:rPr>
          <w:bCs/>
          <w:b/>
        </w:rPr>
        <w:t xml:space="preserve">Études animales</w:t>
      </w:r>
      <w:r>
        <w:t xml:space="preserve"> </w:t>
      </w:r>
      <w:r>
        <w:t xml:space="preserve">(le plus souvent sur des souris ou des rats).</w:t>
      </w:r>
    </w:p>
    <w:p>
      <w:pPr>
        <w:numPr>
          <w:ilvl w:val="0"/>
          <w:numId w:val="1015"/>
        </w:numPr>
        <w:pStyle w:val="Compact"/>
      </w:pPr>
      <w:r>
        <w:rPr>
          <w:bCs/>
          <w:b/>
        </w:rPr>
        <w:t xml:space="preserve">Rapports de cas et séries de cas</w:t>
      </w:r>
      <w:r>
        <w:t xml:space="preserve"> </w:t>
      </w:r>
      <w:r>
        <w:t xml:space="preserve">: descriptions d’un seul ou de quelques patientes et patients.</w:t>
      </w:r>
    </w:p>
    <w:p>
      <w:pPr>
        <w:numPr>
          <w:ilvl w:val="0"/>
          <w:numId w:val="1015"/>
        </w:numPr>
        <w:pStyle w:val="Compact"/>
      </w:pPr>
      <w:r>
        <w:rPr>
          <w:bCs/>
          <w:b/>
        </w:rPr>
        <w:t xml:space="preserve">Études observationnelles</w:t>
      </w:r>
      <w:r>
        <w:t xml:space="preserve"> </w:t>
      </w:r>
      <w:r>
        <w:t xml:space="preserve">: on observe des personnes qui prennent ou ne prennent pas une substance de toute façon, et l’on compare ce qui leur arrive.</w:t>
      </w:r>
    </w:p>
    <w:p>
      <w:pPr>
        <w:numPr>
          <w:ilvl w:val="0"/>
          <w:numId w:val="1015"/>
        </w:numPr>
        <w:pStyle w:val="Compact"/>
      </w:pPr>
      <w:r>
        <w:rPr>
          <w:bCs/>
          <w:b/>
        </w:rPr>
        <w:t xml:space="preserve">Études contrôlées sans répartition aléatoire</w:t>
      </w:r>
      <w:r>
        <w:t xml:space="preserve"> </w:t>
      </w:r>
      <w:r>
        <w:t xml:space="preserve">et</w:t>
      </w:r>
      <w:r>
        <w:t xml:space="preserve"> </w:t>
      </w:r>
      <w:r>
        <w:rPr>
          <w:bCs/>
          <w:b/>
        </w:rPr>
        <w:t xml:space="preserve">études ouvertes</w:t>
      </w:r>
      <w:r>
        <w:t xml:space="preserve">.</w:t>
      </w:r>
    </w:p>
    <w:p>
      <w:pPr>
        <w:numPr>
          <w:ilvl w:val="0"/>
          <w:numId w:val="1015"/>
        </w:numPr>
        <w:pStyle w:val="Compact"/>
      </w:pPr>
      <w:r>
        <w:rPr>
          <w:bCs/>
          <w:b/>
        </w:rPr>
        <w:t xml:space="preserve">Essais contrôlés randomisés</w:t>
      </w:r>
      <w:r>
        <w:t xml:space="preserve"> </w:t>
      </w:r>
      <w:r>
        <w:t xml:space="preserve">(ECR, en anglais RCT).</w:t>
      </w:r>
    </w:p>
    <w:p>
      <w:pPr>
        <w:numPr>
          <w:ilvl w:val="0"/>
          <w:numId w:val="1015"/>
        </w:numPr>
        <w:pStyle w:val="Compact"/>
      </w:pPr>
      <w:r>
        <w:rPr>
          <w:bCs/>
          <w:b/>
        </w:rPr>
        <w:t xml:space="preserve">Revues systématiques et méta-analyses</w:t>
      </w:r>
      <w:r>
        <w:t xml:space="preserve">, qui résument toutes les bonnes études disponibles sur une question.</w:t>
      </w:r>
    </w:p>
    <w:p>
      <w:pPr>
        <w:pStyle w:val="FirstParagraph"/>
      </w:pPr>
      <w:r>
        <w:t xml:space="preserve">La pyramide est une simplification. Une grande étude observationnelle rigoureuse peut être plus informative qu’un minuscule ECR mal conduit, et une méta-analyse ne vaut que ce que valent les études qu’elle inclut. Elle est néanmoins utile comme repère grossier – surtout pour voir à quel point les preuves concernant de nombreux peptides du marché gris se situent bas dans la pyramide.</w:t>
      </w:r>
    </w:p>
    <w:bookmarkEnd w:id="135"/>
    <w:bookmarkStart w:id="136" w:name="X3b3629ae3d40133ac42be3349f6343ff5f75866"/>
    <w:p>
      <w:pPr>
        <w:pStyle w:val="Heading3"/>
      </w:pPr>
      <w:r>
        <w:t xml:space="preserve">Les études de laboratoire : ce qui se passe dans la boîte de Petri</w:t>
      </w:r>
    </w:p>
    <w:p>
      <w:pPr>
        <w:pStyle w:val="FirstParagraph"/>
      </w:pPr>
      <w:r>
        <w:t xml:space="preserve">Les cultures cellulaires permettent de bien étudier les mécanismes : quel récepteur est activé ? Quels gènes sont exprimés ? Les cellules se multiplient-elles ou migrent-elles plus vite ? De telles études sont indispensables à la recherche fondamentale.</w:t>
      </w:r>
    </w:p>
    <w:p>
      <w:pPr>
        <w:pStyle w:val="BodyText"/>
      </w:pPr>
      <w:r>
        <w:t xml:space="preserve">Leurs limites sont cependant importantes. Des cellules dans une boîte n’ont ni circulation sanguine, ni foie qui dégrade les substances, ni système immunitaire, ni digestion. Les concentrations utilisées en laboratoire sont souvent bien plus élevées que celles qui pourraient même être atteintes dans le corps humain. Une substance qui tue des cellules cancéreuses dans une boîte de Petri peut être inefficace ou toxique dans l’organisme. Lorsqu’un texte publicitaire invoque des « études » et qu’il s’agit de cultures cellulaires, c’est un indice d’un mécanisme possible – pas d’un bénéfice chez l’humain.</w:t>
      </w:r>
    </w:p>
    <w:bookmarkEnd w:id="136"/>
    <w:bookmarkStart w:id="138" w:name="X2b259903305b8fb9af8f76bd01c24b072596603"/>
    <w:p>
      <w:pPr>
        <w:pStyle w:val="Heading3"/>
      </w:pPr>
      <w:r>
        <w:t xml:space="preserve">Les études animales : importantes, mais non transposables</w:t>
      </w:r>
    </w:p>
    <w:p>
      <w:pPr>
        <w:pStyle w:val="FirstParagraph"/>
      </w:pPr>
      <w:r>
        <w:t xml:space="preserve">L’expérimentation animale permet d’étudier des effets dans un organisme entier et de clarifier des questions de sécurité avant d’exposer des humains à une nouvelle substance. En même temps, les souris et les rats diffèrent considérablement de l’humain par leur métabolisme, leur durée de vie, leur taille et la manière dont les maladies se développent. De plus, les maladies sont souvent provoquées artificiellement chez l’animal – par exemple une lésion tendineuse par une incision –, ce qui ne correspond que partiellement à la situation chez l’humain.</w:t>
      </w:r>
    </w:p>
    <w:p>
      <w:pPr>
        <w:pStyle w:val="BodyText"/>
      </w:pPr>
      <w:r>
        <w:t xml:space="preserve">Une revue systématique qui a comparé les effets thérapeutiques observés dans l’expérimentation animale à ceux des études cliniques montre combien la transposition est difficile</w:t>
      </w:r>
      <w:r>
        <w:rPr>
          <w:rStyle w:val="FootnoteReference"/>
        </w:rPr>
        <w:footnoteReference w:id="137"/>
      </w:r>
      <w:r>
        <w:t xml:space="preserve">. Quelques exemples :</w:t>
      </w:r>
    </w:p>
    <w:p>
      <w:pPr>
        <w:numPr>
          <w:ilvl w:val="0"/>
          <w:numId w:val="1016"/>
        </w:numPr>
        <w:pStyle w:val="Compact"/>
      </w:pPr>
      <w:r>
        <w:t xml:space="preserve">Les corticoïdes amélioraient les résultats dans des modèles animaux de traumatisme crânien ; dans les études cliniques chez l’humain, aucun bénéfice n’est apparu.</w:t>
      </w:r>
    </w:p>
    <w:p>
      <w:pPr>
        <w:numPr>
          <w:ilvl w:val="0"/>
          <w:numId w:val="1016"/>
        </w:numPr>
        <w:pStyle w:val="Compact"/>
      </w:pPr>
      <w:r>
        <w:t xml:space="preserve">La substance tirilazad réduisait de 29 % la zone cérébrale lésée chez des animaux victimes d’un AVC et améliorait de 48 % les scores neurologiques. Chez les personnes victimes d’un AVC, elle était associée à une évolution moins favorable.</w:t>
      </w:r>
    </w:p>
    <w:p>
      <w:pPr>
        <w:numPr>
          <w:ilvl w:val="0"/>
          <w:numId w:val="1016"/>
        </w:numPr>
        <w:pStyle w:val="Compact"/>
      </w:pPr>
      <w:r>
        <w:t xml:space="preserve">D’autres traitements, comme la dissolution des caillots sanguins en cas d’AVC, étaient efficaces aussi bien chez l’animal que chez l’humain.</w:t>
      </w:r>
    </w:p>
    <w:p>
      <w:pPr>
        <w:pStyle w:val="FirstParagraph"/>
      </w:pPr>
      <w:r>
        <w:t xml:space="preserve">Les autrices et auteurs attribuent ces écarts à des biais dans les études animales et au fait que les modèles animaux ne reproduisent pas suffisamment les maladies humaines.</w:t>
      </w:r>
    </w:p>
    <w:p>
      <w:pPr>
        <w:pStyle w:val="BodyText"/>
      </w:pPr>
      <w:r>
        <w:t xml:space="preserve">Pour ce livre, cela a une conséquence claire : lorsque seules des données animales sont disponibles pour un peptide, celui-ci reçoit le niveau de preuve D – quel que soit le caractère impressionnant des résultats chez le rat. Et le texte indique toujours explicitement lorsqu’un résultat provient d’animaux ou du laboratoire.</w:t>
      </w:r>
    </w:p>
    <w:bookmarkEnd w:id="138"/>
    <w:bookmarkStart w:id="139" w:name="Xbcb557d5e6a38b2962f4866cbc373f4072b1149"/>
    <w:p>
      <w:pPr>
        <w:pStyle w:val="Heading3"/>
      </w:pPr>
      <w:r>
        <w:t xml:space="preserve">Rapports de cas et études observationnelles</w:t>
      </w:r>
    </w:p>
    <w:p>
      <w:pPr>
        <w:pStyle w:val="FirstParagraph"/>
      </w:pPr>
      <w:r>
        <w:t xml:space="preserve">Les</w:t>
      </w:r>
      <w:r>
        <w:t xml:space="preserve"> </w:t>
      </w:r>
      <w:r>
        <w:rPr>
          <w:bCs/>
          <w:b/>
        </w:rPr>
        <w:t xml:space="preserve">rapports de cas</w:t>
      </w:r>
      <w:r>
        <w:t xml:space="preserve"> </w:t>
      </w:r>
      <w:r>
        <w:t xml:space="preserve">décrivent des patientes ou patients individuels. Ils disent peu de chose sur l’efficacité, mais peuvent être très précieux pour la sécurité : les effets indésirables rares ou inattendus sont souvent repérés d’abord dans des rapports de cas. Dans le chapitre sur le marché gris, vous découvrirez plusieurs de ces rapports, par exemple sur des hypoglycémies sévères dues à des préparations contrefaites.</w:t>
      </w:r>
    </w:p>
    <w:p>
      <w:pPr>
        <w:pStyle w:val="BodyText"/>
      </w:pPr>
      <w:r>
        <w:t xml:space="preserve">Les</w:t>
      </w:r>
      <w:r>
        <w:t xml:space="preserve"> </w:t>
      </w:r>
      <w:r>
        <w:rPr>
          <w:bCs/>
          <w:b/>
        </w:rPr>
        <w:t xml:space="preserve">études observationnelles</w:t>
      </w:r>
      <w:r>
        <w:t xml:space="preserve"> </w:t>
      </w:r>
      <w:r>
        <w:t xml:space="preserve">comparent des personnes qui prennent une substance à des personnes qui ne la prennent pas. Leur principal problème est le</w:t>
      </w:r>
      <w:r>
        <w:t xml:space="preserve"> </w:t>
      </w:r>
      <w:r>
        <w:rPr>
          <w:bCs/>
          <w:b/>
        </w:rPr>
        <w:t xml:space="preserve">facteur de confusion</w:t>
      </w:r>
      <w:r>
        <w:t xml:space="preserve"> </w:t>
      </w:r>
      <w:r>
        <w:t xml:space="preserve">(confounding) : les personnes qui prennent une préparation donnée diffèrent souvent aussi sur d’autres points – par exemple le revenu, le souci de leur santé ou les antécédents médicaux. Une association constatée n’est donc pas forcément une relation de cause à effet.</w:t>
      </w:r>
    </w:p>
    <w:p>
      <w:pPr>
        <w:pStyle w:val="BodyText"/>
      </w:pPr>
      <w:r>
        <w:t xml:space="preserve">Les analyses des</w:t>
      </w:r>
      <w:r>
        <w:t xml:space="preserve"> </w:t>
      </w:r>
      <w:r>
        <w:rPr>
          <w:bCs/>
          <w:b/>
        </w:rPr>
        <w:t xml:space="preserve">systèmes de notification des effets indésirables</w:t>
      </w:r>
      <w:r>
        <w:t xml:space="preserve"> </w:t>
      </w:r>
      <w:r>
        <w:t xml:space="preserve">comme la base de données européenne EudraVigilance ou la base américaine FAERS constituent une forme particulière. Elles recueillent les signalements de suspicion émanant de médecins, de patients et de fabricants. Ces données révèlent des signaux qu’il convient d’examiner plus avant, mais elles ne prouvent aucun lien et ne disent rien de la fréquence réelle d’un effet indésirable.</w:t>
      </w:r>
    </w:p>
    <w:bookmarkEnd w:id="139"/>
    <w:bookmarkStart w:id="140" w:name="lessai-contrôlé-randomisé-ecr"/>
    <w:p>
      <w:pPr>
        <w:pStyle w:val="Heading3"/>
      </w:pPr>
      <w:r>
        <w:t xml:space="preserve">L’essai contrôlé randomisé (ECR)</w:t>
      </w:r>
    </w:p>
    <w:p>
      <w:pPr>
        <w:pStyle w:val="FirstParagraph"/>
      </w:pPr>
      <w:r>
        <w:t xml:space="preserve">L’ECR est considéré comme la référence absolue pour évaluer l’effet d’un traitement. Trois éléments le caractérisent :</w:t>
      </w:r>
    </w:p>
    <w:p>
      <w:pPr>
        <w:pStyle w:val="BodyText"/>
      </w:pPr>
      <w:r>
        <w:rPr>
          <w:bCs/>
          <w:b/>
        </w:rPr>
        <w:t xml:space="preserve">Le groupe témoin.</w:t>
      </w:r>
      <w:r>
        <w:t xml:space="preserve"> </w:t>
      </w:r>
      <w:r>
        <w:t xml:space="preserve">À côté du groupe qui reçoit la substance active, il existe un groupe de comparaison – sous placebo, sous traitement standard ou sans aucun traitement. C’est le seul moyen de dire si un changement est dû à la substance ou serait survenu aussi sans elle.</w:t>
      </w:r>
    </w:p>
    <w:p>
      <w:pPr>
        <w:pStyle w:val="BodyText"/>
      </w:pPr>
      <w:r>
        <w:rPr>
          <w:bCs/>
          <w:b/>
        </w:rPr>
        <w:t xml:space="preserve">La randomisation.</w:t>
      </w:r>
      <w:r>
        <w:t xml:space="preserve"> </w:t>
      </w:r>
      <w:r>
        <w:t xml:space="preserve">C’est le hasard qui décide qui entre dans quel groupe. Ainsi, les facteurs d’influence connus et inconnus se répartissent de manière égale entre les deux groupes. Les différences de résultat peuvent alors être attribuées au traitement avec une forte probabilité.</w:t>
      </w:r>
    </w:p>
    <w:p>
      <w:pPr>
        <w:pStyle w:val="BodyText"/>
      </w:pPr>
      <w:r>
        <w:rPr>
          <w:bCs/>
          <w:b/>
        </w:rPr>
        <w:t xml:space="preserve">L’insu (aveugle).</w:t>
      </w:r>
      <w:r>
        <w:t xml:space="preserve"> </w:t>
      </w:r>
      <w:r>
        <w:t xml:space="preserve">Dans une étude en</w:t>
      </w:r>
      <w:r>
        <w:t xml:space="preserve"> </w:t>
      </w:r>
      <w:r>
        <w:rPr>
          <w:bCs/>
          <w:b/>
        </w:rPr>
        <w:t xml:space="preserve">double aveugle</w:t>
      </w:r>
      <w:r>
        <w:t xml:space="preserve">, ni les participants ni le personnel de l’étude ne savent qui reçoit la substance active et qui reçoit le placebo. Cela empêche les attentes d’influencer le résultat. Dans une étude</w:t>
      </w:r>
      <w:r>
        <w:t xml:space="preserve"> </w:t>
      </w:r>
      <w:r>
        <w:rPr>
          <w:bCs/>
          <w:b/>
        </w:rPr>
        <w:t xml:space="preserve">ouverte</w:t>
      </w:r>
      <w:r>
        <w:t xml:space="preserve">, tous les intervenants sont informés ; ce n’est parfois pas possible autrement, mais cela rend les résultats plus vulnérables aux biais, en particulier pour des critères d’évaluation subjectifs comme la douleur, l’humeur ou l’aspect de la peau.</w:t>
      </w:r>
    </w:p>
    <w:bookmarkEnd w:id="140"/>
    <w:bookmarkStart w:id="143" w:name="Xbc838b99ceff43a03c632b6f15e749446d382f7"/>
    <w:p>
      <w:pPr>
        <w:pStyle w:val="Heading3"/>
      </w:pPr>
      <w:r>
        <w:t xml:space="preserve">L’effet placebo et pourquoi les groupes témoins sont indispensables</w:t>
      </w:r>
    </w:p>
    <w:p>
      <w:pPr>
        <w:pStyle w:val="FirstParagraph"/>
      </w:pPr>
      <w:r>
        <w:t xml:space="preserve">Dans les études, l’état des participants s’améliore souvent même s’ils ne reçoivent qu’une préparation factice. Cela tient aux attentes, à l’attention supplémentaire, aux changements de mode de vie pendant l’étude et au fait que de nombreux troubles s’améliorent de toute façon d’eux-mêmes.</w:t>
      </w:r>
    </w:p>
    <w:p>
      <w:pPr>
        <w:pStyle w:val="BodyText"/>
      </w:pPr>
      <w:r>
        <w:t xml:space="preserve">L’étude STEP 1 en fournit un exemple parlant : le groupe placebo a lui aussi perdu en moyenne 2,4 % de son poids corporel sur 68 semaines, parce que tous les participants recevaient en plus des conseils sur le mode de vie</w:t>
      </w:r>
      <w:r>
        <w:rPr>
          <w:rStyle w:val="FootnoteReference"/>
        </w:rPr>
        <w:footnoteReference w:id="141"/>
      </w:r>
      <w:r>
        <w:t xml:space="preserve">. L’effet propre de la substance correspond à la différence entre les groupes – en l’occurrence 12,4 points de pourcentage, et non 14,9 %.</w:t>
      </w:r>
    </w:p>
    <w:p>
      <w:pPr>
        <w:pStyle w:val="BodyText"/>
      </w:pPr>
      <w:r>
        <w:t xml:space="preserve">Une revue consacrée aux peptides en médecine du sport souligne expressément que l’effet placebo pourrait expliquer une partie des effets rapportés pour les peptides non réglementés et que les réseaux sociaux amplifient cet effet</w:t>
      </w:r>
      <w:r>
        <w:rPr>
          <w:rStyle w:val="FootnoteReference"/>
        </w:rPr>
        <w:footnoteReference w:id="142"/>
      </w:r>
      <w:r>
        <w:t xml:space="preserve">. Les témoignages publiés sur les forums ne remplacent donc pas les études contrôlées.</w:t>
      </w:r>
    </w:p>
    <w:bookmarkEnd w:id="143"/>
    <w:bookmarkStart w:id="144" w:name="les-phases-des-études"/>
    <w:p>
      <w:pPr>
        <w:pStyle w:val="Heading3"/>
      </w:pPr>
      <w:r>
        <w:t xml:space="preserve">Les phases des études</w:t>
      </w:r>
    </w:p>
    <w:p>
      <w:pPr>
        <w:pStyle w:val="FirstParagraph"/>
      </w:pPr>
      <w:r>
        <w:t xml:space="preserve">Les nouveaux médicaments passent typiquement par quatre phases chez l’humain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Objectif</w:t>
            </w:r>
          </w:p>
        </w:tc>
        <w:tc>
          <w:tcPr/>
          <w:p>
            <w:pPr>
              <w:pStyle w:val="Compact"/>
              <w:jc w:val="left"/>
            </w:pPr>
            <w:r>
              <w:t xml:space="preserve">Taille typique</w:t>
            </w:r>
          </w:p>
        </w:tc>
      </w:tr>
      <w:tr>
        <w:tc>
          <w:tcPr/>
          <w:p>
            <w:pPr>
              <w:pStyle w:val="Compact"/>
              <w:jc w:val="left"/>
            </w:pPr>
            <w:r>
              <w:t xml:space="preserve">Phase 1</w:t>
            </w:r>
          </w:p>
        </w:tc>
        <w:tc>
          <w:tcPr/>
          <w:p>
            <w:pPr>
              <w:pStyle w:val="Compact"/>
              <w:jc w:val="left"/>
            </w:pPr>
            <w:r>
              <w:t xml:space="preserve">Tolérance, comportement dans l’organisme</w:t>
            </w:r>
          </w:p>
        </w:tc>
        <w:tc>
          <w:tcPr/>
          <w:p>
            <w:pPr>
              <w:pStyle w:val="Compact"/>
              <w:jc w:val="left"/>
            </w:pPr>
            <w:r>
              <w:t xml:space="preserve">quelques dizaines de personnes en bonne santé</w:t>
            </w:r>
          </w:p>
        </w:tc>
      </w:tr>
      <w:tr>
        <w:tc>
          <w:tcPr/>
          <w:p>
            <w:pPr>
              <w:pStyle w:val="Compact"/>
              <w:jc w:val="left"/>
            </w:pPr>
            <w:r>
              <w:t xml:space="preserve">Phase 2</w:t>
            </w:r>
          </w:p>
        </w:tc>
        <w:tc>
          <w:tcPr/>
          <w:p>
            <w:pPr>
              <w:pStyle w:val="Compact"/>
              <w:jc w:val="left"/>
            </w:pPr>
            <w:r>
              <w:t xml:space="preserve">Première efficacité, recherche de dose</w:t>
            </w:r>
          </w:p>
        </w:tc>
        <w:tc>
          <w:tcPr/>
          <w:p>
            <w:pPr>
              <w:pStyle w:val="Compact"/>
              <w:jc w:val="left"/>
            </w:pPr>
            <w:r>
              <w:t xml:space="preserve">environ 100 à quelques centaines</w:t>
            </w:r>
          </w:p>
        </w:tc>
      </w:tr>
      <w:tr>
        <w:tc>
          <w:tcPr/>
          <w:p>
            <w:pPr>
              <w:pStyle w:val="Compact"/>
              <w:jc w:val="left"/>
            </w:pPr>
            <w:r>
              <w:t xml:space="preserve">Phase 3</w:t>
            </w:r>
          </w:p>
        </w:tc>
        <w:tc>
          <w:tcPr/>
          <w:p>
            <w:pPr>
              <w:pStyle w:val="Compact"/>
              <w:jc w:val="left"/>
            </w:pPr>
            <w:r>
              <w:t xml:space="preserve">Efficacité et sécurité comparées</w:t>
            </w:r>
          </w:p>
        </w:tc>
        <w:tc>
          <w:tcPr/>
          <w:p>
            <w:pPr>
              <w:pStyle w:val="Compact"/>
              <w:jc w:val="left"/>
            </w:pPr>
            <w:r>
              <w:t xml:space="preserve">centaines à milliers</w:t>
            </w:r>
          </w:p>
        </w:tc>
      </w:tr>
      <w:tr>
        <w:tc>
          <w:tcPr/>
          <w:p>
            <w:pPr>
              <w:pStyle w:val="Compact"/>
              <w:jc w:val="left"/>
            </w:pPr>
            <w:r>
              <w:t xml:space="preserve">Phase 4</w:t>
            </w:r>
          </w:p>
        </w:tc>
        <w:tc>
          <w:tcPr/>
          <w:p>
            <w:pPr>
              <w:pStyle w:val="Compact"/>
              <w:jc w:val="left"/>
            </w:pPr>
            <w:r>
              <w:t xml:space="preserve">Surveillance après l’autorisation</w:t>
            </w:r>
          </w:p>
        </w:tc>
        <w:tc>
          <w:tcPr/>
          <w:p>
            <w:pPr>
              <w:pStyle w:val="Compact"/>
              <w:jc w:val="left"/>
            </w:pPr>
            <w:r>
              <w:t xml:space="preserve">souvent très grande</w:t>
            </w:r>
          </w:p>
        </w:tc>
      </w:tr>
    </w:tbl>
    <w:p>
      <w:pPr>
        <w:pStyle w:val="BodyText"/>
      </w:pPr>
      <w:r>
        <w:t xml:space="preserve">De nombreuses substances échouent entre la phase 2 et la phase 3. Un résultat prometteur de phase 2 ne garantit donc pas une autorisation ultérieure.</w:t>
      </w:r>
    </w:p>
    <w:bookmarkEnd w:id="144"/>
    <w:bookmarkStart w:id="146" w:name="X4676ce67796ad23f23e598ac4d8b582b069e374"/>
    <w:p>
      <w:pPr>
        <w:pStyle w:val="Heading3"/>
      </w:pPr>
      <w:r>
        <w:t xml:space="preserve">Les critères d’évaluation : que mesure-t-on réellement ?</w:t>
      </w:r>
    </w:p>
    <w:p>
      <w:pPr>
        <w:pStyle w:val="FirstParagraph"/>
      </w:pPr>
      <w:r>
        <w:t xml:space="preserve">Chaque étude fixe à l’avance un</w:t>
      </w:r>
      <w:r>
        <w:t xml:space="preserve"> </w:t>
      </w:r>
      <w:r>
        <w:rPr>
          <w:bCs/>
          <w:b/>
        </w:rPr>
        <w:t xml:space="preserve">critère d’évaluation principal</w:t>
      </w:r>
      <w:r>
        <w:t xml:space="preserve"> </w:t>
      </w:r>
      <w:r>
        <w:t xml:space="preserve">– l’objectif principal à l’aune duquel le succès est mesuré. S’y ajoutent des critères secondaires. Lorsqu’un résultat n’est mis en avant comme important qu’après coup, la prudence s’impose : à force de mesurer de nombreux critères, on trouve presque toujours quelque part une différence « significative ».</w:t>
      </w:r>
    </w:p>
    <w:p>
      <w:pPr>
        <w:pStyle w:val="BodyText"/>
      </w:pPr>
      <w:r>
        <w:t xml:space="preserve">La distinction entre</w:t>
      </w:r>
      <w:r>
        <w:t xml:space="preserve"> </w:t>
      </w:r>
      <w:r>
        <w:rPr>
          <w:bCs/>
          <w:b/>
        </w:rPr>
        <w:t xml:space="preserve">critères d’évaluation durs</w:t>
      </w:r>
      <w:r>
        <w:t xml:space="preserve"> </w:t>
      </w:r>
      <w:r>
        <w:t xml:space="preserve">et</w:t>
      </w:r>
      <w:r>
        <w:t xml:space="preserve"> </w:t>
      </w:r>
      <w:r>
        <w:rPr>
          <w:bCs/>
          <w:b/>
        </w:rPr>
        <w:t xml:space="preserve">critères de substitution</w:t>
      </w:r>
      <w:r>
        <w:t xml:space="preserve"> </w:t>
      </w:r>
      <w:r>
        <w:t xml:space="preserve">est particulièrement importante :</w:t>
      </w:r>
    </w:p>
    <w:p>
      <w:pPr>
        <w:numPr>
          <w:ilvl w:val="0"/>
          <w:numId w:val="1017"/>
        </w:numPr>
        <w:pStyle w:val="Compact"/>
      </w:pPr>
      <w:r>
        <w:t xml:space="preserve">Les</w:t>
      </w:r>
      <w:r>
        <w:t xml:space="preserve"> </w:t>
      </w:r>
      <w:r>
        <w:rPr>
          <w:bCs/>
          <w:b/>
        </w:rPr>
        <w:t xml:space="preserve">critères durs</w:t>
      </w:r>
      <w:r>
        <w:t xml:space="preserve"> </w:t>
      </w:r>
      <w:r>
        <w:t xml:space="preserve">sont des événements qui comptent directement pour les patientes et patients : décès, infarctus, accident vasculaire cérébral, fracture, cécité, qualité de vie.</w:t>
      </w:r>
    </w:p>
    <w:p>
      <w:pPr>
        <w:numPr>
          <w:ilvl w:val="0"/>
          <w:numId w:val="1017"/>
        </w:numPr>
        <w:pStyle w:val="Compact"/>
      </w:pPr>
      <w:r>
        <w:t xml:space="preserve">Les</w:t>
      </w:r>
      <w:r>
        <w:t xml:space="preserve"> </w:t>
      </w:r>
      <w:r>
        <w:rPr>
          <w:bCs/>
          <w:b/>
        </w:rPr>
        <w:t xml:space="preserve">critères de substitution</w:t>
      </w:r>
      <w:r>
        <w:t xml:space="preserve"> </w:t>
      </w:r>
      <w:r>
        <w:t xml:space="preserve">(critères intermédiaires) sont des valeurs mesurées dont on suppose qu’elles sont liées aux critères durs : glycémie, HbA1c, cholestérol, pression artérielle, densité osseuse, poids corporel ou valeurs biologiques comme l’IGF-1.</w:t>
      </w:r>
    </w:p>
    <w:p>
      <w:pPr>
        <w:pStyle w:val="FirstParagraph"/>
      </w:pPr>
      <w:r>
        <w:t xml:space="preserve">Les critères de substitution sont pratiques, car ils se mesurent plus rapidement et avec moins de participants. Mais ils peuvent induire en erreur. L’exemple le plus connu est le Cardiac Arrhythmia Suppression Trial (CAST) de la fin des années 1980. On partait du principe que les médicaments supprimant certains troubles du rythme cardiaque après un infarctus empêchaient aussi des décès. Les médicaments supprimaient effectivement les troubles du rythme – le critère de substitution était atteint. Mais dans l’étude randomisée, davantage de personnes sont décédées sous deux de ces médicaments que sous placebo : 43 participants sous substance active sont morts de troubles du rythme, contre 16 sous placebo</w:t>
      </w:r>
      <w:r>
        <w:rPr>
          <w:rStyle w:val="FootnoteReference"/>
        </w:rPr>
        <w:footnoteReference w:id="145"/>
      </w:r>
      <w:r>
        <w:t xml:space="preserve">.</w:t>
      </w:r>
    </w:p>
    <w:p>
      <w:pPr>
        <w:pStyle w:val="BodyText"/>
      </w:pPr>
      <w:r>
        <w:t xml:space="preserve">Avec les peptides, vous rencontrerez constamment des critères de substitution. Pour les stimulateurs de la sécrétion d’hormone de croissance, on mesure souvent seulement si le taux d’hormone de croissance ou d’IGF-1 augmente – et non si les personnes deviennent ainsi plus saines, plus fortes ou vivent plus longtemps. Pour les médicaments GLP-1, en revanche, il existe désormais de grandes études avec des critères durs comme l’infarctus et l’AVC. C’est l’une des raisons pour lesquelles ils reçoivent dans ce livre le niveau de preuve le plus élevé.</w:t>
      </w:r>
    </w:p>
    <w:bookmarkEnd w:id="146"/>
    <w:bookmarkStart w:id="149" w:name="risques-relatifs-et-absolus"/>
    <w:p>
      <w:pPr>
        <w:pStyle w:val="Heading3"/>
      </w:pPr>
      <w:r>
        <w:t xml:space="preserve">Risques relatifs et absolus</w:t>
      </w:r>
    </w:p>
    <w:p>
      <w:pPr>
        <w:pStyle w:val="FirstParagraph"/>
      </w:pPr>
      <w:r>
        <w:t xml:space="preserve">Peu de détails statistiques sont aussi souvent mal compris que celui-ci. Prenons l’étude SELECT : sur une durée moyenne de 39,8 mois, l’événement cardiovasculaire combiné est survenu chez 6,5 % des participants sous sémaglutide et chez 8,0 % sous placebo. Le hazard ratio – une mesure du risque relatif au cours du temps – était de 0,80</w:t>
      </w:r>
      <w:r>
        <w:rPr>
          <w:rStyle w:val="FootnoteReference"/>
        </w:rPr>
        <w:footnoteReference w:id="147"/>
      </w:r>
      <w:r>
        <w:t xml:space="preserve">.</w:t>
      </w:r>
    </w:p>
    <w:p>
      <w:pPr>
        <w:pStyle w:val="BodyText"/>
      </w:pPr>
      <w:r>
        <w:t xml:space="preserve">On peut en tirer deux affirmations, toutes deux exactes :</w:t>
      </w:r>
    </w:p>
    <w:p>
      <w:pPr>
        <w:numPr>
          <w:ilvl w:val="0"/>
          <w:numId w:val="1018"/>
        </w:numPr>
        <w:pStyle w:val="Compact"/>
      </w:pPr>
      <w:r>
        <w:rPr>
          <w:bCs/>
          <w:b/>
        </w:rPr>
        <w:t xml:space="preserve">En relatif :</w:t>
      </w:r>
      <w:r>
        <w:t xml:space="preserve"> </w:t>
      </w:r>
      <w:r>
        <w:t xml:space="preserve">le risque était inférieur d’environ 20 %.</w:t>
      </w:r>
    </w:p>
    <w:p>
      <w:pPr>
        <w:numPr>
          <w:ilvl w:val="0"/>
          <w:numId w:val="1018"/>
        </w:numPr>
        <w:pStyle w:val="Compact"/>
      </w:pPr>
      <w:r>
        <w:rPr>
          <w:bCs/>
          <w:b/>
        </w:rPr>
        <w:t xml:space="preserve">En absolu :</w:t>
      </w:r>
      <w:r>
        <w:t xml:space="preserve"> </w:t>
      </w:r>
      <w:r>
        <w:t xml:space="preserve">la proportion de personnes concernées a diminué de 1,5 point de pourcentage – de 8,0 à 6,5 personnes sur 100.</w:t>
      </w:r>
    </w:p>
    <w:p>
      <w:pPr>
        <w:pStyle w:val="FirstParagraph"/>
      </w:pPr>
      <w:r>
        <w:t xml:space="preserve">À partir de la différence absolue, on peut calculer le</w:t>
      </w:r>
      <w:r>
        <w:t xml:space="preserve"> </w:t>
      </w:r>
      <w:r>
        <w:rPr>
          <w:bCs/>
          <w:b/>
        </w:rPr>
        <w:t xml:space="preserve">nombre de sujets à traiter (NST, en anglais Number Needed to Treat, NNT)</w:t>
      </w:r>
      <w:r>
        <w:t xml:space="preserve"> </w:t>
      </w:r>
      <w:r>
        <w:t xml:space="preserve">: combien de personnes doivent être traitées pour qu’une d’entre elles évite un événement. Ici, ce sont mathématiquement environ 67 personnes sur un peu plus de trois ans. Cela ne signifie pas que le traitement est sans importance – avec des millions de personnes concernées, l’effet est considérable. Mais cela montre que la plupart des personnes traitées n’auraient pas eu d’événement même sans médicament, et que certaines en ont un malgré le médicament.</w:t>
      </w:r>
    </w:p>
    <w:p>
      <w:pPr>
        <w:pStyle w:val="BodyText"/>
      </w:pPr>
      <w:r>
        <w:t xml:space="preserve">La publicité et les gros titres privilégient les chiffres relatifs, parce qu’ils paraissent plus impressionnants. Les bons comptes rendus d’études donnent les deux. Soyez donc toujours attentif à la fréquence de départ : une « division par deux » du risque de 2 à 1 sur 10 000 est tout autre chose qu’une baisse de 20 à 10 sur 100.</w:t>
      </w:r>
    </w:p>
    <w:p>
      <w:pPr>
        <w:pStyle w:val="BodyText"/>
      </w:pPr>
      <w:r>
        <w:t xml:space="preserve">Il en va de même pour les effets indésirables. Dans SELECT, 16,6 % des participants sous sémaglutide ont arrêté le traitement en raison d’événements indésirables, contre 8,2 % sous placebo</w:t>
      </w:r>
      <w:r>
        <w:rPr>
          <w:rStyle w:val="FootnoteReference"/>
        </w:rPr>
        <w:footnoteReference w:id="148"/>
      </w:r>
      <w:r>
        <w:t xml:space="preserve">. En relatif, c’est un doublement ; en absolu, une différence de 8,4 points de pourcentage.</w:t>
      </w:r>
    </w:p>
    <w:bookmarkEnd w:id="149"/>
    <w:bookmarkStart w:id="151" w:name="X22df5b586530d5036b5f3b75ff0423fbcabcf85"/>
    <w:p>
      <w:pPr>
        <w:pStyle w:val="Heading3"/>
      </w:pPr>
      <w:r>
        <w:t xml:space="preserve">Signification statistique et intervalles de confiance</w:t>
      </w:r>
    </w:p>
    <w:p>
      <w:pPr>
        <w:pStyle w:val="FirstParagraph"/>
      </w:pPr>
      <w:r>
        <w:t xml:space="preserve">Une</w:t>
      </w:r>
      <w:r>
        <w:t xml:space="preserve"> </w:t>
      </w:r>
      <w:r>
        <w:rPr>
          <w:bCs/>
          <w:b/>
        </w:rPr>
        <w:t xml:space="preserve">valeur p</w:t>
      </w:r>
      <w:r>
        <w:t xml:space="preserve"> </w:t>
      </w:r>
      <w:r>
        <w:t xml:space="preserve">indique quelle serait la probabilité d’observer une différence au moins aussi grande s’il n’y avait en réalité aucun effet. Si elle est inférieure à 0,05, un résultat est habituellement considéré comme « statistiquement significatif ». Cela ne veut pas dire que l’effet est grand ou important – dans les très grandes études, même des différences minimes deviennent significatives.</w:t>
      </w:r>
    </w:p>
    <w:p>
      <w:pPr>
        <w:pStyle w:val="BodyText"/>
      </w:pPr>
      <w:r>
        <w:t xml:space="preserve">L’</w:t>
      </w:r>
      <w:r>
        <w:rPr>
          <w:bCs/>
          <w:b/>
        </w:rPr>
        <w:t xml:space="preserve">intervalle de confiance à 95 %</w:t>
      </w:r>
      <w:r>
        <w:t xml:space="preserve"> </w:t>
      </w:r>
      <w:r>
        <w:t xml:space="preserve">est souvent plus parlant. Il indique une fourchette dans laquelle se situe très probablement l’effet réel. Dans STEP 1, la différence de poids corporel entre le sémaglutide et le placebo était de 12,4 points de pourcentage, avec un intervalle de confiance de 11,5 à 13,4</w:t>
      </w:r>
      <w:r>
        <w:rPr>
          <w:rStyle w:val="FootnoteReference"/>
        </w:rPr>
        <w:footnoteReference w:id="150"/>
      </w:r>
      <w:r>
        <w:t xml:space="preserve">. Un intervalle aussi étroit traduit une estimation précise. Dans les petites études, les intervalles sont souvent très larges – signe que l’effet réel pourrait être grand, petit, voire nul.</w:t>
      </w:r>
    </w:p>
    <w:bookmarkEnd w:id="151"/>
    <w:bookmarkStart w:id="153" w:name="Xc9f1bc9d6c6645fd7a1fd697fd93a5be6bb3eca"/>
    <w:p>
      <w:pPr>
        <w:pStyle w:val="Heading3"/>
      </w:pPr>
      <w:r>
        <w:t xml:space="preserve">Comment on compte : la question de l’estimand</w:t>
      </w:r>
    </w:p>
    <w:p>
      <w:pPr>
        <w:pStyle w:val="FirstParagraph"/>
      </w:pPr>
      <w:r>
        <w:t xml:space="preserve">Un détail devenu important dans les études récentes : comment compte-t-on les personnes qui arrêtent le traitement ou prennent des médicaments supplémentaires ? Dans l’étude PIONEER 1, deux analyses ont été rapportées. Si l’on analyse tous les participants, qu’ils aient continué ou non à prendre les comprimés, la valeur de l’HbA1c a baissé, à la dose la plus élevée, de 1,1 point de pourcentage de plus que sous placebo. Si l’on considère uniquement la période pendant laquelle les comprimés ont effectivement été pris, la différence était de 1,4 point de pourcentage</w:t>
      </w:r>
      <w:r>
        <w:rPr>
          <w:rStyle w:val="FootnoteReference"/>
        </w:rPr>
        <w:footnoteReference w:id="152"/>
      </w:r>
      <w:r>
        <w:t xml:space="preserve">. Les deux chiffres sont corrects, mais répondent à des questions différentes. Le premier est généralement plus réaliste pour la vie quotidienne.</w:t>
      </w:r>
    </w:p>
    <w:bookmarkEnd w:id="153"/>
    <w:bookmarkStart w:id="155" w:name="durée-et-taille"/>
    <w:p>
      <w:pPr>
        <w:pStyle w:val="Heading3"/>
      </w:pPr>
      <w:r>
        <w:t xml:space="preserve">Durée et taille</w:t>
      </w:r>
    </w:p>
    <w:p>
      <w:pPr>
        <w:pStyle w:val="FirstParagraph"/>
      </w:pPr>
      <w:r>
        <w:t xml:space="preserve">De nombreuses études sur les peptides sont courtes. Une modification de valeurs biologiques après deux semaines ne dit pas grand-chose de ce qui se passe après deux ans – ni sur le bénéfice ni sur des risques comme le cancer, qui n’apparaissent souvent qu’au bout de plusieurs années. La taille est tout aussi importante : des effets indésirables rares, touchant une personne sur mille, passent forcément inaperçus dans une étude de 40 participants. L’absence d’effets indésirables dans une petite étude n’est pas une preuve de sécurité.</w:t>
      </w:r>
    </w:p>
    <w:p>
      <w:pPr>
        <w:pStyle w:val="BodyText"/>
      </w:pPr>
      <w:r>
        <w:t xml:space="preserve">À partir de considérations théoriques et de simulations, l’épidémiologiste John Ioannidis a conclu que les résultats de recherche sont d’autant moins fiables que les études et les effets sont petits, que de nombreuses questions sont testées sans sélection préalable, que la conception et l’analyse sont flexibles et que les intérêts financiers et les préjugés sont importants dans un domaine</w:t>
      </w:r>
      <w:r>
        <w:rPr>
          <w:rStyle w:val="FootnoteReference"/>
        </w:rPr>
        <w:footnoteReference w:id="154"/>
      </w:r>
      <w:r>
        <w:t xml:space="preserve">. Beaucoup de ces caractéristiques s’appliquent à la recherche sur les peptides peu étudiés.</w:t>
      </w:r>
    </w:p>
    <w:bookmarkEnd w:id="155"/>
    <w:bookmarkStart w:id="157" w:name="les-conflits-dintérêts"/>
    <w:p>
      <w:pPr>
        <w:pStyle w:val="Heading3"/>
      </w:pPr>
      <w:r>
        <w:t xml:space="preserve">Les conflits d’intérêts</w:t>
      </w:r>
    </w:p>
    <w:p>
      <w:pPr>
        <w:pStyle w:val="FirstParagraph"/>
      </w:pPr>
      <w:r>
        <w:t xml:space="preserve">Les grandes études d’autorisation sont presque toujours financées par les fabricants. C’est prévu par la loi et ce n’est pas automatiquement un défaut – ces études sont soumises à des règles strictes, enregistrées à l’avance et contrôlées par les autorités. Il vaut néanmoins la peine de regarder le financement. Une revue Cochrane a conclu que les études sponsorisées par l’industrie rapportaient plus souvent des résultats d’efficacité favorables (risque relatif 1,27) et des conclusions favorables (risque relatif 1,34) que les études financées autrement</w:t>
      </w:r>
      <w:r>
        <w:rPr>
          <w:rStyle w:val="FootnoteReference"/>
        </w:rPr>
        <w:footnoteReference w:id="156"/>
      </w:r>
      <w:r>
        <w:t xml:space="preserve">.</w:t>
      </w:r>
    </w:p>
    <w:p>
      <w:pPr>
        <w:pStyle w:val="BodyText"/>
      </w:pPr>
      <w:r>
        <w:t xml:space="preserve">Les conflits d’intérêts n’existent pas seulement chez les groupes pharmaceutiques. Les chercheurs qui ont découvert une substance et détiennent des brevets, les cliniques qui vendent des thérapies peptidiques ou les influenceurs dotés de codes de réduction ont eux aussi intérêt à des résultats positifs. C’est un signal d’alerte lorsque presque toutes les études sur une substance proviennent d’un seul groupe de recherche et n’ont pas été confirmées par des équipes indépendantes.</w:t>
      </w:r>
    </w:p>
    <w:bookmarkEnd w:id="157"/>
    <w:bookmarkStart w:id="159" w:name="le-problème-des-études-disparues"/>
    <w:p>
      <w:pPr>
        <w:pStyle w:val="Heading3"/>
      </w:pPr>
      <w:r>
        <w:t xml:space="preserve">Le problème des études disparues</w:t>
      </w:r>
    </w:p>
    <w:p>
      <w:pPr>
        <w:pStyle w:val="FirstParagraph"/>
      </w:pPr>
      <w:r>
        <w:t xml:space="preserve">Toutes les études ne sont pas publiées – et ce sont surtout les décevantes qui disparaissent. Une analyse portant sur les antidépresseurs a montré à quel point cela peut fausser le tableau. Sur 74 études enregistrées auprès de l’autorité américaine du médicament, la FDA, 31 % n’ont pas été publiées. D’après la littérature publiée, 94 % des études étaient positives ; d’après l’analyse de la FDA, seulement 51 %</w:t>
      </w:r>
      <w:r>
        <w:rPr>
          <w:rStyle w:val="FootnoteReference"/>
        </w:rPr>
        <w:footnoteReference w:id="158"/>
      </w:r>
      <w:r>
        <w:t xml:space="preserve">. Qui ne lit que les revues scientifiques obtient une image trop rose.</w:t>
      </w:r>
    </w:p>
    <w:bookmarkEnd w:id="159"/>
    <w:bookmarkStart w:id="161" w:name="les-registres-détudes"/>
    <w:p>
      <w:pPr>
        <w:pStyle w:val="Heading3"/>
      </w:pPr>
      <w:r>
        <w:t xml:space="preserve">Les registres d’études</w:t>
      </w:r>
    </w:p>
    <w:p>
      <w:pPr>
        <w:pStyle w:val="FirstParagraph"/>
      </w:pPr>
      <w:r>
        <w:t xml:space="preserve">En réaction à de tels constats, le Comité international des rédacteurs de revues médicales a déclaré en 2004 que les études cliniques devaient être inscrites dans un registre public avant leur début pour pouvoir être publiées par la suite</w:t>
      </w:r>
      <w:r>
        <w:rPr>
          <w:rStyle w:val="FootnoteReference"/>
        </w:rPr>
        <w:footnoteReference w:id="160"/>
      </w:r>
      <w:r>
        <w:t xml:space="preserve">. Aujourd’hui, les registres sont un outil central :</w:t>
      </w:r>
    </w:p>
    <w:p>
      <w:pPr>
        <w:numPr>
          <w:ilvl w:val="0"/>
          <w:numId w:val="1019"/>
        </w:numPr>
        <w:pStyle w:val="Compact"/>
      </w:pPr>
      <w:r>
        <w:rPr>
          <w:bCs/>
          <w:b/>
        </w:rPr>
        <w:t xml:space="preserve">ClinicalTrials.gov</w:t>
      </w:r>
      <w:r>
        <w:t xml:space="preserve"> </w:t>
      </w:r>
      <w:r>
        <w:t xml:space="preserve">(États-Unis) est le plus grand registre. Chaque étude reçoit un numéro au format « NCT » suivi de huit chiffres. L’étude SELECT, par exemple, porte le numéro NCT03574597.</w:t>
      </w:r>
    </w:p>
    <w:p>
      <w:pPr>
        <w:numPr>
          <w:ilvl w:val="0"/>
          <w:numId w:val="1019"/>
        </w:numPr>
        <w:pStyle w:val="Compact"/>
      </w:pPr>
      <w:r>
        <w:t xml:space="preserve">Dans l’</w:t>
      </w:r>
      <w:r>
        <w:rPr>
          <w:bCs/>
          <w:b/>
        </w:rPr>
        <w:t xml:space="preserve">UE</w:t>
      </w:r>
      <w:r>
        <w:t xml:space="preserve">, les essais cliniques sont enregistrés dans le Clinical Trials Information System (CTIS) de l’Agence européenne des médicaments ; les études plus anciennes figurent dans l’EU Clinical Trials Register.</w:t>
      </w:r>
    </w:p>
    <w:p>
      <w:pPr>
        <w:numPr>
          <w:ilvl w:val="0"/>
          <w:numId w:val="1019"/>
        </w:numPr>
        <w:pStyle w:val="Compact"/>
      </w:pPr>
      <w:r>
        <w:t xml:space="preserve">L’</w:t>
      </w:r>
      <w:r>
        <w:rPr>
          <w:bCs/>
          <w:b/>
        </w:rPr>
        <w:t xml:space="preserve">Organisation mondiale de la santé</w:t>
      </w:r>
      <w:r>
        <w:t xml:space="preserve"> </w:t>
      </w:r>
      <w:r>
        <w:t xml:space="preserve">regroupe de nombreux registres nationaux dans un portail de recherche (ICTRP).</w:t>
      </w:r>
    </w:p>
    <w:p>
      <w:pPr>
        <w:pStyle w:val="FirstParagraph"/>
      </w:pPr>
      <w:r>
        <w:t xml:space="preserve">Le registre indique notamment le plan d’étude prévu, le nombre de participants, le critère d’évaluation principal et le statut. On peut ainsi vérifier si une étude publiée rapporte les critères d’évaluation initialement prévus – et si des études sur une substance ont été commencées sans jamais être publiées. Pour ce livre, les registres ont surtout servi à trouver les études en cours. Important : une inscription au registre n’est pas un résultat. Qu’une étude soit enregistrée ne dit rien de l’efficacité de la substance.</w:t>
      </w:r>
    </w:p>
    <w:bookmarkEnd w:id="161"/>
    <w:bookmarkStart w:id="162" w:name="autres-signaux-dalerte"/>
    <w:p>
      <w:pPr>
        <w:pStyle w:val="Heading3"/>
      </w:pPr>
      <w:r>
        <w:t xml:space="preserve">Autres signaux d’alerte</w:t>
      </w:r>
    </w:p>
    <w:p>
      <w:pPr>
        <w:numPr>
          <w:ilvl w:val="0"/>
          <w:numId w:val="1020"/>
        </w:numPr>
        <w:pStyle w:val="Compact"/>
      </w:pPr>
      <w:r>
        <w:rPr>
          <w:bCs/>
          <w:b/>
        </w:rPr>
        <w:t xml:space="preserve">Seulement un résumé de congrès ou un preprint.</w:t>
      </w:r>
      <w:r>
        <w:t xml:space="preserve"> </w:t>
      </w:r>
      <w:r>
        <w:t xml:space="preserve">Les prépublications (par exemple sur medRxiv) et les communications de congrès n’ont pas encore été entièrement évaluées par des pairs.</w:t>
      </w:r>
    </w:p>
    <w:p>
      <w:pPr>
        <w:numPr>
          <w:ilvl w:val="0"/>
          <w:numId w:val="1020"/>
        </w:numPr>
        <w:pStyle w:val="Compact"/>
      </w:pPr>
      <w:r>
        <w:rPr>
          <w:bCs/>
          <w:b/>
        </w:rPr>
        <w:t xml:space="preserve">Revues aux standards douteux.</w:t>
      </w:r>
      <w:r>
        <w:t xml:space="preserve"> </w:t>
      </w:r>
      <w:r>
        <w:t xml:space="preserve">Certaines revues publient presque tout contre paiement.</w:t>
      </w:r>
    </w:p>
    <w:p>
      <w:pPr>
        <w:numPr>
          <w:ilvl w:val="0"/>
          <w:numId w:val="1020"/>
        </w:numPr>
        <w:pStyle w:val="Compact"/>
      </w:pPr>
      <w:r>
        <w:rPr>
          <w:bCs/>
          <w:b/>
        </w:rPr>
        <w:t xml:space="preserve">Études introuvables.</w:t>
      </w:r>
      <w:r>
        <w:t xml:space="preserve"> </w:t>
      </w:r>
      <w:r>
        <w:t xml:space="preserve">Lorsqu’une étude citée ne se trouve ni dans PubMed ni dans un registre, la prudence s’impose.</w:t>
      </w:r>
    </w:p>
    <w:p>
      <w:pPr>
        <w:numPr>
          <w:ilvl w:val="0"/>
          <w:numId w:val="1020"/>
        </w:numPr>
        <w:pStyle w:val="Compact"/>
      </w:pPr>
      <w:r>
        <w:rPr>
          <w:bCs/>
          <w:b/>
        </w:rPr>
        <w:t xml:space="preserve">Transposition des malades aux personnes en bonne santé.</w:t>
      </w:r>
      <w:r>
        <w:t xml:space="preserve"> </w:t>
      </w:r>
      <w:r>
        <w:t xml:space="preserve">Une substance utile dans une maladie donnée n’apporte pas forcément de bénéfice aux personnes en bonne santé – le rapport bénéfice-risque y est tout autre.</w:t>
      </w:r>
    </w:p>
    <w:p>
      <w:pPr>
        <w:numPr>
          <w:ilvl w:val="0"/>
          <w:numId w:val="1020"/>
        </w:numPr>
        <w:pStyle w:val="Compact"/>
      </w:pPr>
      <w:r>
        <w:rPr>
          <w:bCs/>
          <w:b/>
        </w:rPr>
        <w:t xml:space="preserve">Transposition d’une substance à une autre.</w:t>
      </w:r>
      <w:r>
        <w:t xml:space="preserve"> </w:t>
      </w:r>
      <w:r>
        <w:t xml:space="preserve">Les résultats concernant le sémaglutide ne s’appliquent pas automatiquement à un produit du marché gris portant l’étiquette « sémaglutide » – et les études sur la thymosine bêta-4 ne s’appliquent pas automatiquement au fragment « TB-500 ».</w:t>
      </w:r>
    </w:p>
    <w:bookmarkEnd w:id="162"/>
    <w:bookmarkStart w:id="163" w:name="dix-questions-à-poser-à-chaque-étude"/>
    <w:p>
      <w:pPr>
        <w:pStyle w:val="Heading3"/>
      </w:pPr>
      <w:r>
        <w:t xml:space="preserve">Dix questions à poser à chaque étude</w:t>
      </w:r>
    </w:p>
    <w:p>
      <w:pPr>
        <w:numPr>
          <w:ilvl w:val="0"/>
          <w:numId w:val="1021"/>
        </w:numPr>
        <w:pStyle w:val="Compact"/>
      </w:pPr>
      <w:r>
        <w:t xml:space="preserve">A-t-on étudié des humains – ou des animaux ou des cellules ?</w:t>
      </w:r>
    </w:p>
    <w:p>
      <w:pPr>
        <w:numPr>
          <w:ilvl w:val="0"/>
          <w:numId w:val="1021"/>
        </w:numPr>
        <w:pStyle w:val="Compact"/>
      </w:pPr>
      <w:r>
        <w:t xml:space="preserve">Y avait-il un groupe témoin, et la répartition était-elle aléatoire ?</w:t>
      </w:r>
    </w:p>
    <w:p>
      <w:pPr>
        <w:numPr>
          <w:ilvl w:val="0"/>
          <w:numId w:val="1021"/>
        </w:numPr>
        <w:pStyle w:val="Compact"/>
      </w:pPr>
      <w:r>
        <w:t xml:space="preserve">L’étude était-elle en aveugle ?</w:t>
      </w:r>
    </w:p>
    <w:p>
      <w:pPr>
        <w:numPr>
          <w:ilvl w:val="0"/>
          <w:numId w:val="1021"/>
        </w:numPr>
        <w:pStyle w:val="Compact"/>
      </w:pPr>
      <w:r>
        <w:t xml:space="preserve">Combien de participants y avait-il, et pendant combien de temps ont-ils été suivis ?</w:t>
      </w:r>
    </w:p>
    <w:p>
      <w:pPr>
        <w:numPr>
          <w:ilvl w:val="0"/>
          <w:numId w:val="1021"/>
        </w:numPr>
        <w:pStyle w:val="Compact"/>
      </w:pPr>
      <w:r>
        <w:t xml:space="preserve">Qui a été étudié – des malades ou des personnes en bonne santé, des jeunes ou des personnes âgées ?</w:t>
      </w:r>
    </w:p>
    <w:p>
      <w:pPr>
        <w:numPr>
          <w:ilvl w:val="0"/>
          <w:numId w:val="1021"/>
        </w:numPr>
        <w:pStyle w:val="Compact"/>
      </w:pPr>
      <w:r>
        <w:t xml:space="preserve">Quel était le critère d’évaluation principal : un critère dur ou un critère de substitution ?</w:t>
      </w:r>
    </w:p>
    <w:p>
      <w:pPr>
        <w:numPr>
          <w:ilvl w:val="0"/>
          <w:numId w:val="1021"/>
        </w:numPr>
        <w:pStyle w:val="Compact"/>
      </w:pPr>
      <w:r>
        <w:t xml:space="preserve">Quelle était l’ampleur de la différence en valeur absolue, et pas seulement relative ?</w:t>
      </w:r>
    </w:p>
    <w:p>
      <w:pPr>
        <w:numPr>
          <w:ilvl w:val="0"/>
          <w:numId w:val="1021"/>
        </w:numPr>
        <w:pStyle w:val="Compact"/>
      </w:pPr>
      <w:r>
        <w:t xml:space="preserve">Combien de participants ont abandonné, et quels effets indésirables sont survenus ?</w:t>
      </w:r>
    </w:p>
    <w:p>
      <w:pPr>
        <w:numPr>
          <w:ilvl w:val="0"/>
          <w:numId w:val="1021"/>
        </w:numPr>
        <w:pStyle w:val="Compact"/>
      </w:pPr>
      <w:r>
        <w:t xml:space="preserve">Qui a financé l’étude, et les résultats ont-ils été confirmés de façon indépendante ?</w:t>
      </w:r>
    </w:p>
    <w:p>
      <w:pPr>
        <w:numPr>
          <w:ilvl w:val="0"/>
          <w:numId w:val="1021"/>
        </w:numPr>
        <w:pStyle w:val="Compact"/>
      </w:pPr>
      <w:r>
        <w:t xml:space="preserve">L’étude était-elle enregistrée à l’avance, et les critères rapportés correspondent-ils au registre ?</w:t>
      </w:r>
    </w:p>
    <w:bookmarkEnd w:id="163"/>
    <w:bookmarkStart w:id="164" w:name="comment-ce-livre-classe-les-preuves"/>
    <w:p>
      <w:pPr>
        <w:pStyle w:val="Heading3"/>
      </w:pPr>
      <w:r>
        <w:t xml:space="preserve">Comment ce livre classe les preuves</w:t>
      </w:r>
    </w:p>
    <w:p>
      <w:pPr>
        <w:pStyle w:val="FirstParagraph"/>
      </w:pPr>
      <w:r>
        <w:t xml:space="preserve">Chaque peptide de la partie II reçoit un niveau de preuve :</w:t>
      </w:r>
    </w:p>
    <w:p>
      <w:pPr>
        <w:numPr>
          <w:ilvl w:val="0"/>
          <w:numId w:val="1022"/>
        </w:numPr>
        <w:pStyle w:val="Compact"/>
      </w:pPr>
      <w:r>
        <w:rPr>
          <w:bCs/>
          <w:b/>
        </w:rPr>
        <w:t xml:space="preserve">A</w:t>
      </w:r>
      <w:r>
        <w:t xml:space="preserve"> </w:t>
      </w:r>
      <w:r>
        <w:t xml:space="preserve">: plusieurs grandes études randomisées chez l’humain, autorisation en tant que médicament.</w:t>
      </w:r>
    </w:p>
    <w:p>
      <w:pPr>
        <w:numPr>
          <w:ilvl w:val="0"/>
          <w:numId w:val="1022"/>
        </w:numPr>
        <w:pStyle w:val="Compact"/>
      </w:pPr>
      <w:r>
        <w:rPr>
          <w:bCs/>
          <w:b/>
        </w:rPr>
        <w:t xml:space="preserve">B</w:t>
      </w:r>
      <w:r>
        <w:t xml:space="preserve"> </w:t>
      </w:r>
      <w:r>
        <w:t xml:space="preserve">: quelques études randomisées isolées chez l’humain.</w:t>
      </w:r>
    </w:p>
    <w:p>
      <w:pPr>
        <w:numPr>
          <w:ilvl w:val="0"/>
          <w:numId w:val="1022"/>
        </w:numPr>
        <w:pStyle w:val="Compact"/>
      </w:pPr>
      <w:r>
        <w:rPr>
          <w:bCs/>
          <w:b/>
        </w:rPr>
        <w:t xml:space="preserve">C</w:t>
      </w:r>
      <w:r>
        <w:t xml:space="preserve"> </w:t>
      </w:r>
      <w:r>
        <w:t xml:space="preserve">: uniquement des études chez l’humain petites ou non contrôlées.</w:t>
      </w:r>
    </w:p>
    <w:p>
      <w:pPr>
        <w:numPr>
          <w:ilvl w:val="0"/>
          <w:numId w:val="1022"/>
        </w:numPr>
        <w:pStyle w:val="Compact"/>
      </w:pPr>
      <w:r>
        <w:rPr>
          <w:bCs/>
          <w:b/>
        </w:rPr>
        <w:t xml:space="preserve">D</w:t>
      </w:r>
      <w:r>
        <w:t xml:space="preserve"> </w:t>
      </w:r>
      <w:r>
        <w:t xml:space="preserve">: uniquement des études animales et de laboratoire.</w:t>
      </w:r>
    </w:p>
    <w:p>
      <w:pPr>
        <w:pStyle w:val="FirstParagraph"/>
      </w:pPr>
      <w:r>
        <w:t xml:space="preserve">Le niveau évalue la</w:t>
      </w:r>
      <w:r>
        <w:t xml:space="preserve"> </w:t>
      </w:r>
      <w:r>
        <w:rPr>
          <w:bCs/>
          <w:b/>
        </w:rPr>
        <w:t xml:space="preserve">quantité et la qualité des données chez l’humain</w:t>
      </w:r>
      <w:r>
        <w:t xml:space="preserve">, et non le caractère « bon » ou « mauvais » d’une substance. Un peptide de niveau A peut avoir des effets indésirables importants, et un peptide de niveau D peut tout à fait se révéler utile à l’avenir – il n’a simplement pas encore été suffisamment étudié. Le classement vaut en outre pour une utilisation donnée : une substance peut être bien étayée pour une maladie et pas du tout pour une autre.</w:t>
      </w:r>
    </w:p>
    <w:bookmarkEnd w:id="164"/>
    <w:bookmarkStart w:id="165" w:name="lessentiel-en-bref-2"/>
    <w:p>
      <w:pPr>
        <w:pStyle w:val="Heading3"/>
      </w:pPr>
      <w:r>
        <w:t xml:space="preserve">L’essentiel en bref</w:t>
      </w:r>
    </w:p>
    <w:p>
      <w:pPr>
        <w:numPr>
          <w:ilvl w:val="0"/>
          <w:numId w:val="1023"/>
        </w:numPr>
        <w:pStyle w:val="Compact"/>
      </w:pPr>
      <w:r>
        <w:t xml:space="preserve">Les études de laboratoire et animales fournissent des indices sur les mécanismes, mais aucune preuve d’un bénéfice chez l’humain.</w:t>
      </w:r>
    </w:p>
    <w:p>
      <w:pPr>
        <w:numPr>
          <w:ilvl w:val="0"/>
          <w:numId w:val="1023"/>
        </w:numPr>
        <w:pStyle w:val="Compact"/>
      </w:pPr>
      <w:r>
        <w:t xml:space="preserve">La comparaison randomisée, contrôlée et en aveugle est le moyen le plus fiable de démontrer un effet.</w:t>
      </w:r>
    </w:p>
    <w:p>
      <w:pPr>
        <w:numPr>
          <w:ilvl w:val="0"/>
          <w:numId w:val="1023"/>
        </w:numPr>
        <w:pStyle w:val="Compact"/>
      </w:pPr>
      <w:r>
        <w:t xml:space="preserve">Les critères de substitution comme les valeurs biologiques peuvent induire en erreur ; ce sont les critères durs qui comptent.</w:t>
      </w:r>
    </w:p>
    <w:p>
      <w:pPr>
        <w:numPr>
          <w:ilvl w:val="0"/>
          <w:numId w:val="1023"/>
        </w:numPr>
        <w:pStyle w:val="Compact"/>
      </w:pPr>
      <w:r>
        <w:t xml:space="preserve">Les chiffres relatifs paraissent plus impressionnants que les chiffres absolus. Demandez toujours quelle est la fréquence de départ.</w:t>
      </w:r>
    </w:p>
    <w:p>
      <w:pPr>
        <w:numPr>
          <w:ilvl w:val="0"/>
          <w:numId w:val="1023"/>
        </w:numPr>
        <w:pStyle w:val="Compact"/>
      </w:pPr>
      <w:r>
        <w:t xml:space="preserve">Le financement, le biais de publication et l’absence de confirmation par des groupes indépendants peuvent fausser le tableau. Les registres d’études aident à le vérifier.</w:t>
      </w:r>
    </w:p>
    <w:bookmarkEnd w:id="165"/>
    <w:bookmarkEnd w:id="166"/>
    <w:bookmarkStart w:id="211" w:name="le-marché-gris"/>
    <w:p>
      <w:pPr>
        <w:pStyle w:val="Heading2"/>
      </w:pPr>
      <w:r>
        <w:t xml:space="preserve">Le marché gris</w:t>
      </w:r>
    </w:p>
    <w:p>
      <w:pPr>
        <w:pStyle w:val="FirstParagraph"/>
      </w:pPr>
      <w:r>
        <w:t xml:space="preserve">Quiconque cherche des peptides sur Internet aboutit rapidement à des boutiques en ligne aux pages d’apparence professionnelle, avec des photos de laboratoire et des certificats de pureté. On y propose des flacons de poudre blanche : BPC-157, TB-500, ipamoréline, Melanotan II – et de plus en plus aussi du sémaglutide, du tirzépatide ou des substances encore non autorisées comme le rétatrutide. Presque toujours figure quelque part la mention « Research Use Only » ou « not for human consumption » – uniquement à des fins de recherche, pas pour un usage chez l’humain.</w:t>
      </w:r>
    </w:p>
    <w:p>
      <w:pPr>
        <w:pStyle w:val="BodyText"/>
      </w:pPr>
      <w:r>
        <w:t xml:space="preserve">Ce chapitre décrit ce que l’on sait de ce marché : grâce aux analyses en laboratoire de produits achetés et saisis, aux rapports de cas d’intoxication et aux analyses des notifications d’effets indésirables. Il doit vous aider à évaluer les risques de façon réaliste. Ce livre ne cite par principe aucune source d’approvisionnement.</w:t>
      </w:r>
    </w:p>
    <w:bookmarkStart w:id="169" w:name="ce-que-sont-les-research-peptides"/>
    <w:p>
      <w:pPr>
        <w:pStyle w:val="Heading3"/>
      </w:pPr>
      <w:r>
        <w:t xml:space="preserve">Ce que sont les « Research Peptides »</w:t>
      </w:r>
    </w:p>
    <w:p>
      <w:pPr>
        <w:pStyle w:val="FirstParagraph"/>
      </w:pPr>
      <w:r>
        <w:t xml:space="preserve">On appelle « Research Peptides » ou « Research Chemicals » des substances officiellement vendues uniquement à des laboratoires à des fins de recherche. La mention « pas pour un usage chez l’humain » est censée protéger juridiquement la vente : un produit qui n’est pas proposé comme médicament n’aurait pas besoin – selon la logique des vendeurs – d’une autorisation de mise sur le marché. Dans la pratique, beaucoup de ces boutiques s’adressent pourtant manifestement à des particuliers qui veulent s’injecter eux-mêmes les substances. La question de savoir si ce montage tient juridiquement est abordée au chapitre suivant ; dans bien des cas, ce n’est pas le cas.</w:t>
      </w:r>
    </w:p>
    <w:p>
      <w:pPr>
        <w:pStyle w:val="BodyText"/>
      </w:pPr>
      <w:r>
        <w:t xml:space="preserve">Une revue décrit ce schéma à l’exemple du sémaglutide et du tirzépatide : des fabricants vendent des flacons « uniquement à des fins de recherche » ou « non destinés à la consommation humaine » directement aux consommateurs, souvent sans le matériel ni les connaissances nécessaires pour dissoudre la substance, la prélever et l’injecter. Les médecins et les pharmacies sont ainsi contournés – et avec eux la vérification des interactions et la surveillance médicale</w:t>
      </w:r>
      <w:r>
        <w:rPr>
          <w:rStyle w:val="FootnoteReference"/>
        </w:rPr>
        <w:footnoteReference w:id="167"/>
      </w:r>
      <w:r>
        <w:t xml:space="preserve">.</w:t>
      </w:r>
    </w:p>
    <w:p>
      <w:pPr>
        <w:pStyle w:val="BodyText"/>
      </w:pPr>
      <w:r>
        <w:t xml:space="preserve">Une petite étude menée dans une université américaine a examiné à quel point l’utilisation est difficile pour des profanes. 20 adultes devaient, à l’aide d’informations trouvées sur Internet, effectuer les étapes nécessaires pour dissoudre une telle poudre de sémaglutide et préparer une seringue. Sur 34 étapes, ils en ont réalisé correctement 15 en moyenne. Les chercheurs ont observé des erreurs susceptibles d’entraîner un mauvais dosage, des piqûres accidentelles ou des infections</w:t>
      </w:r>
      <w:r>
        <w:rPr>
          <w:rStyle w:val="FootnoteReference"/>
        </w:rPr>
        <w:footnoteReference w:id="168"/>
      </w:r>
      <w:r>
        <w:t xml:space="preserve">.</w:t>
      </w:r>
    </w:p>
    <w:bookmarkEnd w:id="169"/>
    <w:bookmarkStart w:id="184" w:name="X9f146628165c133d63c404460c99adc3e85f23c"/>
    <w:p>
      <w:pPr>
        <w:pStyle w:val="Heading3"/>
      </w:pPr>
      <w:r>
        <w:t xml:space="preserve">Ce que contiennent les flacons : analyses en laboratoire</w:t>
      </w:r>
    </w:p>
    <w:p>
      <w:pPr>
        <w:pStyle w:val="FirstParagraph"/>
      </w:pPr>
      <w:r>
        <w:t xml:space="preserve">Les informations les plus fiables sur les produits du marché gris proviennent d’analyses en laboratoire. Elles sont réalisées principalement par des laboratoires antidopage, des autorités du médicament et quelques groupes de recherche qui achètent délibérément des produits ou les reçoivent des douanes et de la police.</w:t>
      </w:r>
    </w:p>
    <w:bookmarkStart w:id="171" w:name="X7fff073bbeaea17257fed2480f089941332d9c5"/>
    <w:p>
      <w:pPr>
        <w:pStyle w:val="Heading4"/>
      </w:pPr>
      <w:r>
        <w:t xml:space="preserve">Le sémaglutide des pharmacies en ligne illégales</w:t>
      </w:r>
    </w:p>
    <w:p>
      <w:pPr>
        <w:pStyle w:val="FirstParagraph"/>
      </w:pPr>
      <w:r>
        <w:t xml:space="preserve">Une étude particulièrement approfondie a combiné une analyse de marché et des achats tests</w:t>
      </w:r>
      <w:r>
        <w:rPr>
          <w:rStyle w:val="FootnoteReference"/>
        </w:rPr>
        <w:footnoteReference w:id="170"/>
      </w:r>
      <w:r>
        <w:t xml:space="preserve">. Les chercheurs ont analysé 1 080 liens issus de moteurs de recherche. 317 menaient à des pharmacies en ligne, dont 134 à 59 sites illégaux différents. Les 30 principaux domaines liés à des pharmacies illégales ont enregistré plus de 4,7 millions de visites en trois mois de l’année 2023.</w:t>
      </w:r>
    </w:p>
    <w:p>
      <w:pPr>
        <w:pStyle w:val="BodyText"/>
      </w:pPr>
      <w:r>
        <w:t xml:space="preserve">Des achats tests ont été effectués auprès de six vendeurs illégaux. Les résultats :</w:t>
      </w:r>
    </w:p>
    <w:p>
      <w:pPr>
        <w:numPr>
          <w:ilvl w:val="0"/>
          <w:numId w:val="1024"/>
        </w:numPr>
        <w:pStyle w:val="Compact"/>
      </w:pPr>
      <w:r>
        <w:t xml:space="preserve">Trois stylos préremplis d’Ozempic commandés ne sont jamais arrivés – il s’agissait d’escroqueries sans livraison.</w:t>
      </w:r>
    </w:p>
    <w:p>
      <w:pPr>
        <w:numPr>
          <w:ilvl w:val="0"/>
          <w:numId w:val="1024"/>
        </w:numPr>
        <w:pStyle w:val="Compact"/>
      </w:pPr>
      <w:r>
        <w:t xml:space="preserve">Trois flacons de poudre ont été livrés. Tous étaient considérés comme probablement de qualité inférieure ou falsifiés ; à l’inspection visuelle, ils ne remplissaient pas 59 à 63 % des critères.</w:t>
      </w:r>
    </w:p>
    <w:p>
      <w:pPr>
        <w:numPr>
          <w:ilvl w:val="0"/>
          <w:numId w:val="1024"/>
        </w:numPr>
        <w:pStyle w:val="Compact"/>
      </w:pPr>
      <w:r>
        <w:t xml:space="preserve">La teneur en sémaglutide était de 28,6 à 38,7 %</w:t>
      </w:r>
      <w:r>
        <w:t xml:space="preserve"> </w:t>
      </w:r>
      <w:r>
        <w:rPr>
          <w:bCs/>
          <w:b/>
        </w:rPr>
        <w:t xml:space="preserve">supérieure</w:t>
      </w:r>
      <w:r>
        <w:t xml:space="preserve"> </w:t>
      </w:r>
      <w:r>
        <w:t xml:space="preserve">à la quantité indiquée.</w:t>
      </w:r>
    </w:p>
    <w:p>
      <w:pPr>
        <w:numPr>
          <w:ilvl w:val="0"/>
          <w:numId w:val="1024"/>
        </w:numPr>
        <w:pStyle w:val="Compact"/>
      </w:pPr>
      <w:r>
        <w:t xml:space="preserve">La pureté mesurée n’était que de 7,7 à 14,4 % – au lieu des 99 % promis sur l’étiquette.</w:t>
      </w:r>
    </w:p>
    <w:p>
      <w:pPr>
        <w:numPr>
          <w:ilvl w:val="0"/>
          <w:numId w:val="1024"/>
        </w:numPr>
        <w:pStyle w:val="Compact"/>
      </w:pPr>
      <w:r>
        <w:t xml:space="preserve">Aucun germe vivant n’a été trouvé, mais des endotoxines étaient détectables dans</w:t>
      </w:r>
      <w:r>
        <w:t xml:space="preserve"> </w:t>
      </w:r>
      <w:r>
        <w:rPr>
          <w:bCs/>
          <w:b/>
        </w:rPr>
        <w:t xml:space="preserve">tous</w:t>
      </w:r>
      <w:r>
        <w:t xml:space="preserve"> </w:t>
      </w:r>
      <w:r>
        <w:t xml:space="preserve">les échantillons.</w:t>
      </w:r>
    </w:p>
    <w:p>
      <w:pPr>
        <w:pStyle w:val="FirstParagraph"/>
      </w:pPr>
      <w:r>
        <w:t xml:space="preserve">Cette étude montre plusieurs problèmes typiques à la fois : indications de quantité erronées, faible pureté, contamination et simple escroquerie.</w:t>
      </w:r>
    </w:p>
    <w:bookmarkEnd w:id="171"/>
    <w:bookmarkStart w:id="173" w:name="X7fa6e9f85a8f0840fa1be2ce706cdbea51ff477"/>
    <w:p>
      <w:pPr>
        <w:pStyle w:val="Heading4"/>
      </w:pPr>
      <w:r>
        <w:t xml:space="preserve">Les produits d’imitation comparés à l’original</w:t>
      </w:r>
    </w:p>
    <w:p>
      <w:pPr>
        <w:pStyle w:val="FirstParagraph"/>
      </w:pPr>
      <w:r>
        <w:t xml:space="preserve">Une autre étude a analysé 16 produits d’imitation injectables et 8 oraux de sémaglutide ainsi que 2 imitations de liraglutide, et les a comparés aux préparations originales</w:t>
      </w:r>
      <w:r>
        <w:rPr>
          <w:rStyle w:val="FootnoteReference"/>
        </w:rPr>
        <w:footnoteReference w:id="172"/>
      </w:r>
      <w:r>
        <w:t xml:space="preserve">. Elle a mis en évidence de nouvelles impuretés, notamment des molécules protéiques plus grandes, des traces de métaux et des résidus de solvants. Plusieurs préparations orales contenaient nettement moins de sémaglutide qu’indiqué. En outre, on a trouvé des structures qui, selon des prédictions informatiques, pourraient être reconnues par le système immunitaire. L’étude provenant du fabricant des préparations originales, elle doit être lue avec la prudence qui s’impose ; les problèmes décrits concordent toutefois avec des constats indépendants.</w:t>
      </w:r>
    </w:p>
    <w:bookmarkEnd w:id="173"/>
    <w:bookmarkStart w:id="175" w:name="le-melanotan-ii-des-boutiques-en-ligne"/>
    <w:p>
      <w:pPr>
        <w:pStyle w:val="Heading4"/>
      </w:pPr>
      <w:r>
        <w:t xml:space="preserve">Le Melanotan II des boutiques en ligne</w:t>
      </w:r>
    </w:p>
    <w:p>
      <w:pPr>
        <w:pStyle w:val="FirstParagraph"/>
      </w:pPr>
      <w:r>
        <w:t xml:space="preserve">Pour le peptide bronzant Melanotan II, un groupe de recherche a analysé des flacons provenant de trois boutiques en ligne. Toutes indiquaient 10 mg par flacon ; en réalité, les flacons contenaient entre 4,32 et 8,84 mg. Dans les produits de deux boutiques, on a trouvé des impuretés inconnues à hauteur de 4,1 à 5,9 %</w:t>
      </w:r>
      <w:r>
        <w:rPr>
          <w:rStyle w:val="FootnoteReference"/>
        </w:rPr>
        <w:footnoteReference w:id="174"/>
      </w:r>
      <w:r>
        <w:t xml:space="preserve">.</w:t>
      </w:r>
    </w:p>
    <w:bookmarkEnd w:id="175"/>
    <w:bookmarkStart w:id="183" w:name="X7898bfa16befd362f5f7b4fa2275bdf7947ddad"/>
    <w:p>
      <w:pPr>
        <w:pStyle w:val="Heading4"/>
      </w:pPr>
      <w:r>
        <w:t xml:space="preserve">Les produits saisis dans le milieu du dopage</w:t>
      </w:r>
    </w:p>
    <w:p>
      <w:pPr>
        <w:pStyle w:val="FirstParagraph"/>
      </w:pPr>
      <w:r>
        <w:t xml:space="preserve">Le laboratoire antidopage de Cologne analyse depuis des années des produits saisis. Dans un rapport sur l’année 2009, il a décrit entre autres des flacons étiquetés comme hormone de croissance sans aucun contenu pharmacologiquement actif, du Long-R3-IGF-1 non purifié et des compléments alimentaires contenant le peptide libérateur d’hormone de croissance GHRP-2</w:t>
      </w:r>
      <w:r>
        <w:rPr>
          <w:rStyle w:val="FootnoteReference"/>
        </w:rPr>
        <w:footnoteReference w:id="176"/>
      </w:r>
      <w:r>
        <w:t xml:space="preserve">. Dans des comprimés proposés comme compléments alimentaires en vente libre, on a mesuré environ 50 microgrammes de GHRP-2 par comprimé</w:t>
      </w:r>
      <w:r>
        <w:rPr>
          <w:rStyle w:val="FootnoteReference"/>
        </w:rPr>
        <w:footnoteReference w:id="177"/>
      </w:r>
      <w:r>
        <w:t xml:space="preserve"> </w:t>
      </w:r>
      <w:r>
        <w:t xml:space="preserve">– une substance interdite dans le sport et qui ne dispose d’aucune autorisation.</w:t>
      </w:r>
    </w:p>
    <w:p>
      <w:pPr>
        <w:pStyle w:val="BodyText"/>
      </w:pPr>
      <w:r>
        <w:t xml:space="preserve">Entre 2010 et 2013, ce même laboratoire a analysé 337 autres produits. Les hormones peptidiques et les facteurs de croissance en représentaient 12,8 %, surtout l’hormone de croissance et les peptides libérateurs d’hormone de croissance. Parmi les découvertes marquantes figuraient la thymosine bêta-4 et une protéine de fusion à l’activité biologique inconnue</w:t>
      </w:r>
      <w:r>
        <w:rPr>
          <w:rStyle w:val="FootnoteReference"/>
        </w:rPr>
        <w:footnoteReference w:id="178"/>
      </w:r>
      <w:r>
        <w:t xml:space="preserve">. En Norvège, 28 % des produits saisis et analysés entre 2011 et 2014 contenaient des produits dopants à base de peptides ou de protéines</w:t>
      </w:r>
      <w:r>
        <w:rPr>
          <w:rStyle w:val="FootnoteReference"/>
        </w:rPr>
        <w:footnoteReference w:id="179"/>
      </w:r>
      <w:r>
        <w:t xml:space="preserve">.</w:t>
      </w:r>
    </w:p>
    <w:p>
      <w:pPr>
        <w:pStyle w:val="BodyText"/>
      </w:pPr>
      <w:r>
        <w:t xml:space="preserve">Un rapport ultérieur de Cologne décrit des variantes modifiées de peptides connus qui n’existent pas en tant que médicaments : Gly-GHRP-6, Gly-GHRP-2 et Gly-ipamoréline – c’est-à-dire les peptides respectifs avec un acide aminé glycine supplémentaire au début – ainsi qu’une forme légèrement modifiée de l’hormone de croissance</w:t>
      </w:r>
      <w:r>
        <w:rPr>
          <w:rStyle w:val="FootnoteReference"/>
        </w:rPr>
        <w:footnoteReference w:id="180"/>
      </w:r>
      <w:r>
        <w:t xml:space="preserve">. Ces modifications sont peut-être des tentatives de contourner les tests antidopage ; leur effet et leur sécurité chez l’humain sont inconnus.</w:t>
      </w:r>
    </w:p>
    <w:p>
      <w:pPr>
        <w:pStyle w:val="BodyText"/>
      </w:pPr>
      <w:r>
        <w:t xml:space="preserve">Le BPC-157 a lui aussi été identifié dans des flacons saisis. Un groupe de recherche a alors développé une méthode de détection dans les échantillons d’urine</w:t>
      </w:r>
      <w:r>
        <w:rPr>
          <w:rStyle w:val="FootnoteReference"/>
        </w:rPr>
        <w:footnoteReference w:id="181"/>
      </w:r>
      <w:r>
        <w:t xml:space="preserve">.</w:t>
      </w:r>
    </w:p>
    <w:p>
      <w:pPr>
        <w:pStyle w:val="BodyText"/>
      </w:pPr>
      <w:r>
        <w:t xml:space="preserve">Une revue résume que, dans les médicaments peptidiques et protéiques falsifiés, on a régulièrement trouvé la mauvaise substance, la mauvaise quantité ou aucune substance active, que des impuretés toxiques et des sous-produits de fabrication ont causé des atteintes à la santé et que des saisies ont aussi révélé des substances ayant échoué dans des études cliniques ou encore au stade de l’expérimentation animale</w:t>
      </w:r>
      <w:r>
        <w:rPr>
          <w:rStyle w:val="FootnoteReference"/>
        </w:rPr>
        <w:footnoteReference w:id="182"/>
      </w:r>
      <w:r>
        <w:t xml:space="preserve">.</w:t>
      </w:r>
    </w:p>
    <w:bookmarkEnd w:id="183"/>
    <w:bookmarkEnd w:id="184"/>
    <w:bookmarkStart w:id="185" w:name="X9d4ef7bccd76c7e4f543fc268bd84eb14fbf93d"/>
    <w:p>
      <w:pPr>
        <w:pStyle w:val="Heading3"/>
      </w:pPr>
      <w:r>
        <w:t xml:space="preserve">Vue d’ensemble des problèmes de qualité typiques</w:t>
      </w:r>
    </w:p>
    <w:p>
      <w:pPr>
        <w:pStyle w:val="FirstParagraph"/>
      </w:pPr>
      <w:r>
        <w:t xml:space="preserve">Ces analyses dessinent un tableau récurrent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Problème</w:t>
            </w:r>
          </w:p>
        </w:tc>
        <w:tc>
          <w:tcPr/>
          <w:p>
            <w:pPr>
              <w:pStyle w:val="Compact"/>
              <w:jc w:val="left"/>
            </w:pPr>
            <w:r>
              <w:t xml:space="preserve">Conséquence</w:t>
            </w:r>
          </w:p>
        </w:tc>
        <w:tc>
          <w:tcPr/>
          <w:p>
            <w:pPr>
              <w:pStyle w:val="Compact"/>
              <w:jc w:val="left"/>
            </w:pPr>
            <w:r>
              <w:t xml:space="preserve">Exemple</w:t>
            </w:r>
          </w:p>
        </w:tc>
      </w:tr>
      <w:tr>
        <w:tc>
          <w:tcPr/>
          <w:p>
            <w:pPr>
              <w:pStyle w:val="Compact"/>
              <w:jc w:val="left"/>
            </w:pPr>
            <w:r>
              <w:t xml:space="preserve">Trop de substance active</w:t>
            </w:r>
          </w:p>
        </w:tc>
        <w:tc>
          <w:tcPr/>
          <w:p>
            <w:pPr>
              <w:pStyle w:val="Compact"/>
              <w:jc w:val="left"/>
            </w:pPr>
            <w:r>
              <w:t xml:space="preserve">surdosage, davantage d’effets indésirables</w:t>
            </w:r>
          </w:p>
        </w:tc>
        <w:tc>
          <w:tcPr/>
          <w:p>
            <w:pPr>
              <w:pStyle w:val="Compact"/>
              <w:jc w:val="left"/>
            </w:pPr>
            <w:r>
              <w:t xml:space="preserve">sémaglutide jusqu’à 38,7 % au-dessus de l’indication</w:t>
            </w:r>
          </w:p>
        </w:tc>
      </w:tr>
      <w:tr>
        <w:tc>
          <w:tcPr/>
          <w:p>
            <w:pPr>
              <w:pStyle w:val="Compact"/>
              <w:jc w:val="left"/>
            </w:pPr>
            <w:r>
              <w:t xml:space="preserve">Trop peu de substance active</w:t>
            </w:r>
          </w:p>
        </w:tc>
        <w:tc>
          <w:tcPr/>
          <w:p>
            <w:pPr>
              <w:pStyle w:val="Compact"/>
              <w:jc w:val="left"/>
            </w:pPr>
            <w:r>
              <w:t xml:space="preserve">inefficacité</w:t>
            </w:r>
          </w:p>
        </w:tc>
        <w:tc>
          <w:tcPr/>
          <w:p>
            <w:pPr>
              <w:pStyle w:val="Compact"/>
              <w:jc w:val="left"/>
            </w:pPr>
            <w:r>
              <w:t xml:space="preserve">Melanotan II 4,32 au lieu de 10 mg</w:t>
            </w:r>
          </w:p>
        </w:tc>
      </w:tr>
      <w:tr>
        <w:tc>
          <w:tcPr/>
          <w:p>
            <w:pPr>
              <w:pStyle w:val="Compact"/>
              <w:jc w:val="left"/>
            </w:pPr>
            <w:r>
              <w:t xml:space="preserve">Mauvaise substance active</w:t>
            </w:r>
          </w:p>
        </w:tc>
        <w:tc>
          <w:tcPr/>
          <w:p>
            <w:pPr>
              <w:pStyle w:val="Compact"/>
              <w:jc w:val="left"/>
            </w:pPr>
            <w:r>
              <w:t xml:space="preserve">effet imprévisible, parfois mortel</w:t>
            </w:r>
          </w:p>
        </w:tc>
        <w:tc>
          <w:tcPr/>
          <w:p>
            <w:pPr>
              <w:pStyle w:val="Compact"/>
              <w:jc w:val="left"/>
            </w:pPr>
            <w:r>
              <w:t xml:space="preserve">insuline au lieu de sémaglutide</w:t>
            </w:r>
          </w:p>
        </w:tc>
      </w:tr>
      <w:tr>
        <w:tc>
          <w:tcPr/>
          <w:p>
            <w:pPr>
              <w:pStyle w:val="Compact"/>
              <w:jc w:val="left"/>
            </w:pPr>
            <w:r>
              <w:t xml:space="preserve">Aucune substance active</w:t>
            </w:r>
          </w:p>
        </w:tc>
        <w:tc>
          <w:tcPr/>
          <w:p>
            <w:pPr>
              <w:pStyle w:val="Compact"/>
              <w:jc w:val="left"/>
            </w:pPr>
            <w:r>
              <w:t xml:space="preserve">escroquerie, inefficacité</w:t>
            </w:r>
          </w:p>
        </w:tc>
        <w:tc>
          <w:tcPr/>
          <w:p>
            <w:pPr>
              <w:pStyle w:val="Compact"/>
              <w:jc w:val="left"/>
            </w:pPr>
            <w:r>
              <w:t xml:space="preserve">flacons d’« hormone de croissance » vides</w:t>
            </w:r>
          </w:p>
        </w:tc>
      </w:tr>
      <w:tr>
        <w:tc>
          <w:tcPr/>
          <w:p>
            <w:pPr>
              <w:pStyle w:val="Compact"/>
              <w:jc w:val="left"/>
            </w:pPr>
            <w:r>
              <w:t xml:space="preserve">Impuretés</w:t>
            </w:r>
          </w:p>
        </w:tc>
        <w:tc>
          <w:tcPr/>
          <w:p>
            <w:pPr>
              <w:pStyle w:val="Compact"/>
              <w:jc w:val="left"/>
            </w:pPr>
            <w:r>
              <w:t xml:space="preserve">réactions immunitaires, effet toxique</w:t>
            </w:r>
          </w:p>
        </w:tc>
        <w:tc>
          <w:tcPr/>
          <w:p>
            <w:pPr>
              <w:pStyle w:val="Compact"/>
              <w:jc w:val="left"/>
            </w:pPr>
            <w:r>
              <w:t xml:space="preserve">sous-produits de synthèse</w:t>
            </w:r>
          </w:p>
        </w:tc>
      </w:tr>
      <w:tr>
        <w:tc>
          <w:tcPr/>
          <w:p>
            <w:pPr>
              <w:pStyle w:val="Compact"/>
              <w:jc w:val="left"/>
            </w:pPr>
            <w:r>
              <w:t xml:space="preserve">Endotoxines</w:t>
            </w:r>
          </w:p>
        </w:tc>
        <w:tc>
          <w:tcPr/>
          <w:p>
            <w:pPr>
              <w:pStyle w:val="Compact"/>
              <w:jc w:val="left"/>
            </w:pPr>
            <w:r>
              <w:t xml:space="preserve">fièvre, inflammation, réactions circulatoires</w:t>
            </w:r>
          </w:p>
        </w:tc>
        <w:tc>
          <w:tcPr/>
          <w:p>
            <w:pPr>
              <w:pStyle w:val="Compact"/>
              <w:jc w:val="left"/>
            </w:pPr>
            <w:r>
              <w:t xml:space="preserve">dans tous les achats tests de sémaglutide</w:t>
            </w:r>
          </w:p>
        </w:tc>
      </w:tr>
    </w:tbl>
    <w:bookmarkEnd w:id="185"/>
    <w:bookmarkStart w:id="187" w:name="X3ceff7e1da9e1152c011ae6290708f7f1001d6e"/>
    <w:p>
      <w:pPr>
        <w:pStyle w:val="Heading3"/>
      </w:pPr>
      <w:r>
        <w:t xml:space="preserve">La pureté : ce que signifie le pourcentage – et ce qu’il ne signifie pas</w:t>
      </w:r>
    </w:p>
    <w:p>
      <w:pPr>
        <w:pStyle w:val="FirstParagraph"/>
      </w:pPr>
      <w:r>
        <w:t xml:space="preserve">De nombreux vendeurs font valoir une « pureté de 99 % » et joignent des certificats d’analyse. Quelques remarques à ce sujet :</w:t>
      </w:r>
    </w:p>
    <w:p>
      <w:pPr>
        <w:numPr>
          <w:ilvl w:val="0"/>
          <w:numId w:val="1025"/>
        </w:numPr>
        <w:pStyle w:val="Compact"/>
      </w:pPr>
      <w:r>
        <w:rPr>
          <w:bCs/>
          <w:b/>
        </w:rPr>
        <w:t xml:space="preserve">La pureté ne mesure que certaines impuretés.</w:t>
      </w:r>
      <w:r>
        <w:t xml:space="preserve"> </w:t>
      </w:r>
      <w:r>
        <w:t xml:space="preserve">Une mesure typique (chromatographie liquide haute performance, HPLC) montre quel pourcentage des signaux peptidiques mesurables correspond à la substance recherchée. Les sels, l’eau, les résidus de solvants, les métaux ou les endotoxines ne sont souvent pas pris en compte.</w:t>
      </w:r>
    </w:p>
    <w:p>
      <w:pPr>
        <w:numPr>
          <w:ilvl w:val="0"/>
          <w:numId w:val="1025"/>
        </w:numPr>
        <w:pStyle w:val="Compact"/>
      </w:pPr>
      <w:r>
        <w:rPr>
          <w:bCs/>
          <w:b/>
        </w:rPr>
        <w:t xml:space="preserve">La pureté ne dit rien de la quantité.</w:t>
      </w:r>
      <w:r>
        <w:t xml:space="preserve"> </w:t>
      </w:r>
      <w:r>
        <w:t xml:space="preserve">Un flacon peut contenir une substance très pure, mais en mauvaise quantité.</w:t>
      </w:r>
    </w:p>
    <w:p>
      <w:pPr>
        <w:numPr>
          <w:ilvl w:val="0"/>
          <w:numId w:val="1025"/>
        </w:numPr>
        <w:pStyle w:val="Compact"/>
      </w:pPr>
      <w:r>
        <w:rPr>
          <w:bCs/>
          <w:b/>
        </w:rPr>
        <w:t xml:space="preserve">La pureté ne dit rien de la stérilité.</w:t>
      </w:r>
      <w:r>
        <w:t xml:space="preserve"> </w:t>
      </w:r>
      <w:r>
        <w:t xml:space="preserve">Une poudre peut être chimiquement pure et néanmoins contaminée par des bactéries ou des composants bactériens.</w:t>
      </w:r>
    </w:p>
    <w:p>
      <w:pPr>
        <w:numPr>
          <w:ilvl w:val="0"/>
          <w:numId w:val="1025"/>
        </w:numPr>
        <w:pStyle w:val="Compact"/>
      </w:pPr>
      <w:r>
        <w:rPr>
          <w:bCs/>
          <w:b/>
        </w:rPr>
        <w:t xml:space="preserve">Les certificats sont invérifiables.</w:t>
      </w:r>
      <w:r>
        <w:t xml:space="preserve"> </w:t>
      </w:r>
      <w:r>
        <w:t xml:space="preserve">En tant qu’acheteuse ou acheteur, il est impossible de savoir si un certificat joint correspond réellement au flacon livré. Les achats tests de sémaglutide ont montré une pureté de 7,7 à 14,4 % malgré une étiquette annonçant 99 %</w:t>
      </w:r>
      <w:r>
        <w:rPr>
          <w:rStyle w:val="FootnoteReference"/>
        </w:rPr>
        <w:footnoteReference w:id="186"/>
      </w:r>
      <w:r>
        <w:t xml:space="preserve">.</w:t>
      </w:r>
    </w:p>
    <w:p>
      <w:pPr>
        <w:pStyle w:val="FirstParagraph"/>
      </w:pPr>
      <w:r>
        <w:t xml:space="preserve">S’y ajoutent les impuretés qui apparaissent typiquement lors de la synthèse chimique : peptides présentant des briques manquantes ou en double, variantes mal repliées ou chimiquement modifiées, résidus de groupes protecteurs et de réactifs. Pour les médicaments autorisés, des valeurs limites sont fixées pour ces impuretés et contrôlées régulièrement.</w:t>
      </w:r>
    </w:p>
    <w:bookmarkEnd w:id="187"/>
    <w:bookmarkStart w:id="189" w:name="Xbf3e7c69e34a16e7c919874fc2b53a6ab30fc06"/>
    <w:p>
      <w:pPr>
        <w:pStyle w:val="Heading3"/>
      </w:pPr>
      <w:r>
        <w:t xml:space="preserve">Les endotoxines : invisibles et dangereuses</w:t>
      </w:r>
    </w:p>
    <w:p>
      <w:pPr>
        <w:pStyle w:val="FirstParagraph"/>
      </w:pPr>
      <w:r>
        <w:t xml:space="preserve">Les endotoxines sont des composants de la paroi cellulaire de certaines bactéries. Elles subsistent même lorsque les bactéries sont tuées et sont très stables à la chaleur. Si elles passent dans le sang, elles peuvent provoquer fièvre, frissons, chute de tension et, en grande quantité, un choc mettant la vie en danger. C’est pourquoi des valeurs limites strictes s’appliquent aux injections et aux perfusions, et les fabricants de médicaments contrôlent chaque lot.</w:t>
      </w:r>
    </w:p>
    <w:p>
      <w:pPr>
        <w:pStyle w:val="BodyText"/>
      </w:pPr>
      <w:r>
        <w:t xml:space="preserve">Une poudre « stérile » ou « exempte de germes » peut tout de même contenir des endotoxines – c’est précisément ce qu’ont montré les achats tests de sémaglutide : aucun germe vivant, mais des endotoxines dans tous les échantillons</w:t>
      </w:r>
      <w:r>
        <w:rPr>
          <w:rStyle w:val="FootnoteReference"/>
        </w:rPr>
        <w:footnoteReference w:id="188"/>
      </w:r>
      <w:r>
        <w:t xml:space="preserve">. La dissolution avec de l’eau non stérile, les prélèvements multiples dans le même flacon ou la réutilisation d’aiguilles peuvent également introduire des germes.</w:t>
      </w:r>
    </w:p>
    <w:bookmarkEnd w:id="189"/>
    <w:bookmarkStart w:id="191" w:name="les-erreurs-de-dosage"/>
    <w:p>
      <w:pPr>
        <w:pStyle w:val="Heading3"/>
      </w:pPr>
      <w:r>
        <w:t xml:space="preserve">Les erreurs de dosage</w:t>
      </w:r>
    </w:p>
    <w:p>
      <w:pPr>
        <w:pStyle w:val="FirstParagraph"/>
      </w:pPr>
      <w:r>
        <w:t xml:space="preserve">Même lorsqu’un produit contient exactement ce qui est indiqué, un dosage correct est difficile sur le marché gris. La poudre doit être dissoute dans une quantité déterminée de liquide ; la dose résulte ensuite d’un calcul de conversion. Une erreur de calcul ou une confusion d’unités peut facilement conduire à injecter un multiple de la quantité prévue.</w:t>
      </w:r>
    </w:p>
    <w:p>
      <w:pPr>
        <w:pStyle w:val="BodyText"/>
      </w:pPr>
      <w:r>
        <w:t xml:space="preserve">Une série de cas d’un centre antipoison américain décrit trois cas impliquant du sémaglutide provenant de pharmacies et d’un institut de beauté. Deux personnes s’étaient injecté par erreur une quantité dix fois supérieure. Toutes ont souffert pendant plusieurs jours de nausées, de vomissements et de douleurs abdominales. Une personne avait reçu un flacon avec des seringues sans aucun conseil, une autre avait confondu millilitres, « unités » et milligrammes</w:t>
      </w:r>
      <w:r>
        <w:rPr>
          <w:rStyle w:val="FootnoteReference"/>
        </w:rPr>
        <w:footnoteReference w:id="190"/>
      </w:r>
      <w:r>
        <w:t xml:space="preserve">. Les autrices et auteurs soulignent que, contrairement aux stylos préremplis, les flacons n’offrent aucun mécanisme de sécurité contre de telles erreurs.</w:t>
      </w:r>
    </w:p>
    <w:bookmarkEnd w:id="191"/>
    <w:bookmarkStart w:id="196" w:name="X3e46c9b26ed90c7260243212d9df97b13309cb3"/>
    <w:p>
      <w:pPr>
        <w:pStyle w:val="Heading3"/>
      </w:pPr>
      <w:r>
        <w:t xml:space="preserve">Les contrefaçons d’Ozempic et d’autres médicaments GLP-1</w:t>
      </w:r>
    </w:p>
    <w:p>
      <w:pPr>
        <w:pStyle w:val="FirstParagraph"/>
      </w:pPr>
      <w:r>
        <w:t xml:space="preserve">Avec l’énorme demande de sémaglutide, des contrefaçons sont apparues dans le monde entier. L’Organisation mondiale de la santé a mis en garde en 2024 contre de l’Ozempic falsifié dans la chaîne d’approvisionnement mondiale</w:t>
      </w:r>
      <w:r>
        <w:rPr>
          <w:rStyle w:val="FootnoteReference"/>
        </w:rPr>
        <w:footnoteReference w:id="192"/>
      </w:r>
      <w:r>
        <w:t xml:space="preserve">.</w:t>
      </w:r>
    </w:p>
    <w:p>
      <w:pPr>
        <w:pStyle w:val="BodyText"/>
      </w:pPr>
      <w:r>
        <w:t xml:space="preserve">Les contrefaçons contenant une autre substance active sont particulièrement dangereuses. En Italie, une femme de 31 ans a été admise aux urgences dans un coma hypoglycémique après s’être injecté un prétendu Ozempic acheté sur Internet. L’analyse toxicologique a révélé que le flacon contenait de l’insuline au lieu du sémaglutide</w:t>
      </w:r>
      <w:r>
        <w:rPr>
          <w:rStyle w:val="FootnoteReference"/>
        </w:rPr>
        <w:footnoteReference w:id="193"/>
      </w:r>
      <w:r>
        <w:t xml:space="preserve">. Deux cas similaires ont été rapportés aux Pays-Bas : deux personnes sans diabète ni obésité s’étaient injecté du sémaglutide obtenu sans ordonnance et se trouvaient dans le coma avec une hypoglycémie sévère, une carence en potassium et une hypothermie. La cause était une intoxication par de l’insuline de synthèse. Pour stabiliser la glycémie, une perfusion continue de glucose a été nécessaire pendant jusqu’à deux jours</w:t>
      </w:r>
      <w:r>
        <w:rPr>
          <w:rStyle w:val="FootnoteReference"/>
        </w:rPr>
        <w:footnoteReference w:id="194"/>
      </w:r>
      <w:r>
        <w:t xml:space="preserve">.</w:t>
      </w:r>
    </w:p>
    <w:p>
      <w:pPr>
        <w:pStyle w:val="BodyText"/>
      </w:pPr>
      <w:r>
        <w:t xml:space="preserve">Ces cas sont d’autant plus importants que le véritable sémaglutide ne provoque à lui seul pratiquement pas d’hypoglycémie notable chez les personnes en bonne santé. Une hypoglycémie après une « piqûre amaigrissante » est donc un signal d’alerte évoquant un produit falsifié.</w:t>
      </w:r>
    </w:p>
    <w:p>
      <w:pPr>
        <w:pStyle w:val="BodyText"/>
      </w:pPr>
      <w:r>
        <w:t xml:space="preserve">Une analyse de la base de données européenne des effets indésirables EudraVigilance a recensé de 2018 à 2025 au total 234 notifications concernant du sémaglutide possiblement falsifié. 73,5 % concernaient des femmes, et 89,3 % des effets indésirables signalés étaient graves. Les plus fréquemment signalés étaient les vomissements, les nausées et l’hypoglycémie. Par rapport au sémaglutide authentique, l’hypoglycémie, l’utilisation en dehors de l’indication autorisée, le malaise et l’inefficacité étaient signalés de façon disproportionnée</w:t>
      </w:r>
      <w:r>
        <w:rPr>
          <w:rStyle w:val="FootnoteReference"/>
        </w:rPr>
        <w:footnoteReference w:id="195"/>
      </w:r>
      <w:r>
        <w:t xml:space="preserve">. Comme pour toutes les données de notification, elles montrent des signaux, pas des fréquences.</w:t>
      </w:r>
    </w:p>
    <w:bookmarkEnd w:id="196"/>
    <w:bookmarkStart w:id="199" w:name="les-substances-glp-1-non-autorisées"/>
    <w:p>
      <w:pPr>
        <w:pStyle w:val="Heading3"/>
      </w:pPr>
      <w:r>
        <w:t xml:space="preserve">Les substances GLP-1 non autorisées</w:t>
      </w:r>
    </w:p>
    <w:p>
      <w:pPr>
        <w:pStyle w:val="FirstParagraph"/>
      </w:pPr>
      <w:r>
        <w:t xml:space="preserve">Des substances qui ne sont pas encore autorisées sont désormais proposées elles aussi sur le marché gris, par exemple le triple agoniste rétatrutide. Pour ces substances, il existe certes des études des fabricants, mais aucun produit contrôlé – on ne sait pas ce que contient réellement un flacon portant l’inscription « rétatrutide ». Une revue scientifique a consacré en 2026 un article spécifique à ce marché noir</w:t>
      </w:r>
      <w:r>
        <w:rPr>
          <w:rStyle w:val="FootnoteReference"/>
        </w:rPr>
        <w:footnoteReference w:id="197"/>
      </w:r>
      <w:r>
        <w:t xml:space="preserve">.</w:t>
      </w:r>
    </w:p>
    <w:p>
      <w:pPr>
        <w:pStyle w:val="BodyText"/>
      </w:pPr>
      <w:r>
        <w:t xml:space="preserve">Un rapport de cas décrit une femme d’environ vingt-cinq ans qui s’est présentée à l’hôpital avec des nausées persistant depuis cinq jours, des vomissements répétés et des diarrhées. Les troubles ne se sont d’abord pas améliorés malgré plusieurs médicaments contre les nausées. Ce n’est qu’à force de questions répétées qu’il est apparu qu’un « coach de vie » autoproclamé, sans qualification médicale, lui avait administré quatre injections hebdomadaires d’un produit censé contenir du rétatrutide. Elle-même ne considérait pas ces injections comme un médicament</w:t>
      </w:r>
      <w:r>
        <w:rPr>
          <w:rStyle w:val="FootnoteReference"/>
        </w:rPr>
        <w:footnoteReference w:id="198"/>
      </w:r>
      <w:r>
        <w:t xml:space="preserve">. Ce cas illustre un autre problème : qui ne perçoit pas les peptides comme des médicaments ne les mentionne pas non plus aux médecins.</w:t>
      </w:r>
    </w:p>
    <w:bookmarkEnd w:id="199"/>
    <w:bookmarkStart w:id="203" w:name="des-dangers-au-delà-de-la-contamination"/>
    <w:p>
      <w:pPr>
        <w:pStyle w:val="Heading3"/>
      </w:pPr>
      <w:r>
        <w:t xml:space="preserve">Des dangers au-delà de la contamination</w:t>
      </w:r>
    </w:p>
    <w:p>
      <w:pPr>
        <w:pStyle w:val="FirstParagraph"/>
      </w:pPr>
      <w:r>
        <w:t xml:space="preserve">Même un peptide du marché gris parfaitement pur peut être dangereux si la substance elle-même n’a jamais été suffisamment étudiée chez l’humain. Un rapport de cas décrit un homme de 39 ans qui s’était injecté du Melanotan II acheté sur Internet – selon ses propres dires, six fois la quantité de départ qui lui avait été conseillée. Il a développé une tachycardie, une agitation, des sueurs et une destruction musculaire massive (rhabdomyolyse) avec insuffisance rénale, et a dû être traité en soins intensifs. L’analyse a confirmé que le produit contenait effectivement du Melanotan II</w:t>
      </w:r>
      <w:r>
        <w:rPr>
          <w:rStyle w:val="FootnoteReference"/>
        </w:rPr>
        <w:footnoteReference w:id="200"/>
      </w:r>
      <w:r>
        <w:t xml:space="preserve">.</w:t>
      </w:r>
    </w:p>
    <w:p>
      <w:pPr>
        <w:pStyle w:val="BodyText"/>
      </w:pPr>
      <w:r>
        <w:t xml:space="preserve">Des revues citent comme risques possibles des peptides non réglementés notamment les impuretés, un dosage imprécis, une néoformation pathologique de vaisseaux sanguins, la cancérogenèse, une sollicitation du système cardiovasculaire et des signaux hormonaux excessifs</w:t>
      </w:r>
      <w:r>
        <w:rPr>
          <w:rStyle w:val="FootnoteReference"/>
        </w:rPr>
        <w:footnoteReference w:id="201"/>
      </w:r>
      <w:r>
        <w:t xml:space="preserve">. Beaucoup de ces risques sont déduits de façon théorique, précisément parce qu’il n’existe guère d’études chez l’humain. Une revue de médecine du sport conclut que de nombreux peptides non autorisés montrent des effets favorables dans des modèles animaux, mais que les données de sécurité solides chez l’humain sont rares et que des dommages graves sont possibles</w:t>
      </w:r>
      <w:r>
        <w:rPr>
          <w:rStyle w:val="FootnoteReference"/>
        </w:rPr>
        <w:footnoteReference w:id="202"/>
      </w:r>
      <w:r>
        <w:t xml:space="preserve">.</w:t>
      </w:r>
    </w:p>
    <w:bookmarkEnd w:id="203"/>
    <w:bookmarkStart w:id="206" w:name="X32b38cabe5b3702a012b514395e5860e098e685"/>
    <w:p>
      <w:pPr>
        <w:pStyle w:val="Heading3"/>
      </w:pPr>
      <w:r>
        <w:t xml:space="preserve">Les préparations magistrales (compounding) aux États-Unis</w:t>
      </w:r>
    </w:p>
    <w:p>
      <w:pPr>
        <w:pStyle w:val="FirstParagraph"/>
      </w:pPr>
      <w:r>
        <w:t xml:space="preserve">Une particularité du marché américain est le</w:t>
      </w:r>
      <w:r>
        <w:t xml:space="preserve"> </w:t>
      </w:r>
      <w:r>
        <w:rPr>
          <w:bCs/>
          <w:b/>
        </w:rPr>
        <w:t xml:space="preserve">compounding</w:t>
      </w:r>
      <w:r>
        <w:t xml:space="preserve"> </w:t>
      </w:r>
      <w:r>
        <w:t xml:space="preserve">: sous certaines conditions, les pharmacies peuvent préparer elles-mêmes des médicaments, par exemple lorsqu’une préparation autorisée n’est pas disponible. Pendant les pénuries de sémaglutide et de tirzépatide, un vaste marché de préparations d’imitation est ainsi apparu, souvent distribuées par des prestataires de télémédecine. Ces préparations ne sont pas des médicaments autorisés ; leur efficacité et leur sécurité n’ont pas été évaluées dans des études.</w:t>
      </w:r>
    </w:p>
    <w:p>
      <w:pPr>
        <w:pStyle w:val="BodyText"/>
      </w:pPr>
      <w:r>
        <w:t xml:space="preserve">Une analyse de la base de données américaine des effets indésirables FAERS a comparé les notifications concernant des préparations GLP-1 magistrales et autorisées. Sur 81 078 notifications, 707 concernaient des produits préparés en pharmacie. Pour ceux-ci, les douleurs abdominales, les inflammations de la vésicule biliaire, les erreurs de préparation et les contaminations, entre autres, étaient signalées de façon disproportionnée, de même que les hospitalisations ; les erreurs d’utilisation et de dosage étaient en revanche moins souvent signalées</w:t>
      </w:r>
      <w:r>
        <w:rPr>
          <w:rStyle w:val="FootnoteReference"/>
        </w:rPr>
        <w:footnoteReference w:id="204"/>
      </w:r>
      <w:r>
        <w:t xml:space="preserve">. Les autrices et auteurs soulignent que de telles données ne prouvent pas de relation de cause à effet.</w:t>
      </w:r>
    </w:p>
    <w:p>
      <w:pPr>
        <w:pStyle w:val="BodyText"/>
      </w:pPr>
      <w:r>
        <w:t xml:space="preserve">Depuis la fin des pénuries, le droit américain n’autorise plus les pharmacies qu’à fabriquer des préparations qui diffèrent des préparations autorisées – par exemple par une autre forme galénique ou des additifs. Une étude a recensé 33 produits de ce type, dont des associations avec de la vitamine B12, de la glycine, du niacinamide, un laxatif ou un médicament contre les nausées, ainsi que des gouttes et des comprimés orodispersibles à utiliser sous la langue. Pour les vitamines et le laxatif, les autrices et auteurs n’ont guère trouvé de justification. Pour l’ajout du médicament contre les nausées et pour les nouvelles formes galéniques, ils voient certes une idée compréhensible, mais aucune preuve d’efficacité et de sécurité</w:t>
      </w:r>
      <w:r>
        <w:rPr>
          <w:rStyle w:val="FootnoteReference"/>
        </w:rPr>
        <w:footnoteReference w:id="205"/>
      </w:r>
      <w:r>
        <w:t xml:space="preserve">.</w:t>
      </w:r>
    </w:p>
    <w:p>
      <w:pPr>
        <w:pStyle w:val="BodyText"/>
      </w:pPr>
      <w:r>
        <w:t xml:space="preserve">Le compounding n’est pas un marché gris au sens strict : les pharmacies sont agréées et soumises à une surveillance. Pour les patientes et patients, la frontière s’estompe toutefois lorsque des produits sont distribués via des plateformes en ligne avec peu d’accompagnement médical. Il n’existe pas de système comparable en Europe ; la fabrication en pharmacie y est soumise à des conditions nettement plus strictes (voir le chapitre suivant).</w:t>
      </w:r>
    </w:p>
    <w:bookmarkEnd w:id="206"/>
    <w:bookmarkStart w:id="208" w:name="qui-utilise-le-marché-gris-et-pourquoi"/>
    <w:p>
      <w:pPr>
        <w:pStyle w:val="Heading3"/>
      </w:pPr>
      <w:r>
        <w:t xml:space="preserve">Qui utilise le marché gris – et pourquoi</w:t>
      </w:r>
    </w:p>
    <w:p>
      <w:pPr>
        <w:pStyle w:val="FirstParagraph"/>
      </w:pPr>
      <w:r>
        <w:t xml:space="preserve">Les raisons de se tourner vers le marché gris sont multiples : prix élevés et absence de prise en charge des médicaments autorisés, pénuries, désir de perdre du poids sans indication médicale, amélioration des performances sportives, espoir d’une guérison plus rapide des blessures ou d’une vie plus longue. Une revue décrit comment la publicité en ligne, les témoignages sur les réseaux sociaux, l’auto-injection, les associations de plusieurs substances et une faible surveillance des effets indésirables se conjuguent et banalisent des produits douteux</w:t>
      </w:r>
      <w:r>
        <w:rPr>
          <w:rStyle w:val="FootnoteReference"/>
        </w:rPr>
        <w:footnoteReference w:id="207"/>
      </w:r>
      <w:r>
        <w:t xml:space="preserve">.</w:t>
      </w:r>
    </w:p>
    <w:p>
      <w:pPr>
        <w:pStyle w:val="BodyText"/>
      </w:pPr>
      <w:r>
        <w:t xml:space="preserve">Ces motivations sont compréhensibles. Les analyses de ce chapitre montrent cependant que les acheteuses et acheteurs du marché gris ne peuvent pas savoir ce qu’ils reçoivent réellement.</w:t>
      </w:r>
    </w:p>
    <w:bookmarkEnd w:id="208"/>
    <w:bookmarkStart w:id="209" w:name="Xf5cd028ba013a42648c0df126bc6f9a79b70a1a"/>
    <w:p>
      <w:pPr>
        <w:pStyle w:val="Heading3"/>
      </w:pPr>
      <w:r>
        <w:t xml:space="preserve">Si vous avez déjà utilisé des peptides du marché gris</w:t>
      </w:r>
    </w:p>
    <w:p>
      <w:pPr>
        <w:pStyle w:val="FirstParagraph"/>
      </w:pPr>
      <w:r>
        <w:t xml:space="preserve">Ce livre ne donne pas de conseils d’utilisation. Quelques points généraux sont toutefois importants pour des raisons de sécurité :</w:t>
      </w:r>
    </w:p>
    <w:p>
      <w:pPr>
        <w:numPr>
          <w:ilvl w:val="0"/>
          <w:numId w:val="1026"/>
        </w:numPr>
        <w:pStyle w:val="Compact"/>
      </w:pPr>
      <w:r>
        <w:t xml:space="preserve">Informez votre médecin de toutes les injections, de tous les peptides et de tous les « produits chimiques de recherche » que vous utilisez – même si vous ne les considérez pas comme des médicaments.</w:t>
      </w:r>
    </w:p>
    <w:p>
      <w:pPr>
        <w:numPr>
          <w:ilvl w:val="0"/>
          <w:numId w:val="1026"/>
        </w:numPr>
        <w:pStyle w:val="Compact"/>
      </w:pPr>
      <w:r>
        <w:t xml:space="preserve">Des troubles inattendus comme des tremblements, des sueurs, une confusion ou des troubles de la conscience après une injection peuvent indiquer une hypoglycémie et constituent une urgence.</w:t>
      </w:r>
    </w:p>
    <w:p>
      <w:pPr>
        <w:numPr>
          <w:ilvl w:val="0"/>
          <w:numId w:val="1026"/>
        </w:numPr>
        <w:pStyle w:val="Compact"/>
      </w:pPr>
      <w:r>
        <w:t xml:space="preserve">Les produits suspects et les effets indésirables peuvent être signalés aux autorités : en Allemagne à l’Institut fédéral des médicaments et des dispositifs médicaux (BfArM), en Autriche à l’Office fédéral pour la sécurité dans le domaine de la santé (BASG).</w:t>
      </w:r>
    </w:p>
    <w:bookmarkEnd w:id="209"/>
    <w:bookmarkStart w:id="210" w:name="lessentiel-en-bref-3"/>
    <w:p>
      <w:pPr>
        <w:pStyle w:val="Heading3"/>
      </w:pPr>
      <w:r>
        <w:t xml:space="preserve">L’essentiel en bref</w:t>
      </w:r>
    </w:p>
    <w:p>
      <w:pPr>
        <w:numPr>
          <w:ilvl w:val="0"/>
          <w:numId w:val="1027"/>
        </w:numPr>
        <w:pStyle w:val="Compact"/>
      </w:pPr>
      <w:r>
        <w:t xml:space="preserve">La mention « uniquement à des fins de recherche » ne protège pas contre les risques ; elle transfère la responsabilité aux acheteuses et acheteurs.</w:t>
      </w:r>
    </w:p>
    <w:p>
      <w:pPr>
        <w:numPr>
          <w:ilvl w:val="0"/>
          <w:numId w:val="1027"/>
        </w:numPr>
        <w:pStyle w:val="Compact"/>
      </w:pPr>
      <w:r>
        <w:t xml:space="preserve">Les analyses en laboratoire ont trouvé dans des peptides du marché gris trop, trop peu, la mauvaise ou aucune substance active, ainsi que des impuretés et des endotoxines.</w:t>
      </w:r>
    </w:p>
    <w:p>
      <w:pPr>
        <w:numPr>
          <w:ilvl w:val="0"/>
          <w:numId w:val="1027"/>
        </w:numPr>
        <w:pStyle w:val="Compact"/>
      </w:pPr>
      <w:r>
        <w:t xml:space="preserve">Des produits de sémaglutide falsifiés contenant de l’insuline ont provoqué des hypoglycémies mettant la vie en danger.</w:t>
      </w:r>
    </w:p>
    <w:p>
      <w:pPr>
        <w:numPr>
          <w:ilvl w:val="0"/>
          <w:numId w:val="1027"/>
        </w:numPr>
        <w:pStyle w:val="Compact"/>
      </w:pPr>
      <w:r>
        <w:t xml:space="preserve">Les préparations magistrales des pharmacies américaines ne sont pas non plus contrôlées comme des médicaments autorisés.</w:t>
      </w:r>
    </w:p>
    <w:p>
      <w:pPr>
        <w:numPr>
          <w:ilvl w:val="0"/>
          <w:numId w:val="1027"/>
        </w:numPr>
        <w:pStyle w:val="Compact"/>
      </w:pPr>
      <w:r>
        <w:t xml:space="preserve">Même un produit pur reste risqué si la substance n’a jamais été suffisamment étudiée chez l’humain.</w:t>
      </w:r>
    </w:p>
    <w:bookmarkEnd w:id="210"/>
    <w:bookmarkEnd w:id="211"/>
    <w:bookmarkStart w:id="229" w:name="cadre-juridique"/>
    <w:p>
      <w:pPr>
        <w:pStyle w:val="Heading2"/>
      </w:pPr>
      <w:r>
        <w:t xml:space="preserve">Cadre juridique</w:t>
      </w:r>
    </w:p>
    <w:p>
      <w:pPr>
        <w:pStyle w:val="FirstParagraph"/>
      </w:pPr>
      <w:r>
        <w:t xml:space="preserve">Qu’un peptide soit un médicament soumis à prescription, un complément alimentaire, un produit cosmétique ou un produit dopant interdit ne dépend pas uniquement de la molécule. Ce qui compte aussi, c’est sa destination, la manière dont il est proposé et son mode d’action dans l’organisme. Le même peptide de collagène peut se trouver en rayon au supermarché en tant que denrée alimentaire ; un peptide ayant un effet de type hormonal démontrable est en revanche presque toujours un médicament – quoi qu’il soit écrit sur l’étiquette. Ce chapitre donne une vue d’ensemble des règles en vigueur dans l’Union européenne, en Autriche, en Allemagne et aux États-Unis, ainsi que des règles antidopage.</w:t>
      </w:r>
    </w:p>
    <w:p>
      <w:pPr>
        <w:pStyle w:val="BlockText"/>
      </w:pPr>
      <w:r>
        <w:rPr>
          <w:bCs/>
          <w:b/>
        </w:rPr>
        <w:t xml:space="preserve">Avertissement important :</w:t>
      </w:r>
      <w:r>
        <w:t xml:space="preserve"> </w:t>
      </w:r>
      <w:r>
        <w:t xml:space="preserve">ce chapitre reflète l’état 2026 en toute bonne foi et ne constitue pas un conseil juridique. Les lois, les règlements, la pratique des autorités et la liste des interdictions de l’Agence mondiale antidopage changent régulièrement. Veuillez vérifier la situation juridique actuelle au cas par cas et, pour des questions concrètes, vous adresser à une avocate, un avocat ou à l’autorité compétente.</w:t>
      </w:r>
    </w:p>
    <w:bookmarkStart w:id="212" w:name="Xba2b7c14a81c15c818cb84ff2d359acec80da6b"/>
    <w:p>
      <w:pPr>
        <w:pStyle w:val="Heading3"/>
      </w:pPr>
      <w:r>
        <w:t xml:space="preserve">Trois tiroirs : médicaments, denrées alimentaires, cosmétiques</w:t>
      </w:r>
    </w:p>
    <w:p>
      <w:pPr>
        <w:pStyle w:val="FirstParagraph"/>
      </w:pPr>
      <w:r>
        <w:t xml:space="preserve">Le droit européen distingue pour l’essentiel trois catégories de produits dans lesquelles les peptides peuvent entrer. Chacune a ses propres règles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Catégorie</w:t>
            </w:r>
          </w:p>
        </w:tc>
        <w:tc>
          <w:tcPr/>
          <w:p>
            <w:pPr>
              <w:pStyle w:val="Compact"/>
              <w:jc w:val="left"/>
            </w:pPr>
            <w:r>
              <w:t xml:space="preserve">Contrôle des autorités avant la vente</w:t>
            </w:r>
          </w:p>
        </w:tc>
        <w:tc>
          <w:tcPr/>
          <w:p>
            <w:pPr>
              <w:pStyle w:val="Compact"/>
              <w:jc w:val="left"/>
            </w:pPr>
            <w:r>
              <w:t xml:space="preserve">Peptides typiques</w:t>
            </w:r>
          </w:p>
        </w:tc>
      </w:tr>
      <w:tr>
        <w:tc>
          <w:tcPr/>
          <w:p>
            <w:pPr>
              <w:pStyle w:val="Compact"/>
              <w:jc w:val="left"/>
            </w:pPr>
            <w:r>
              <w:t xml:space="preserve">Médicament</w:t>
            </w:r>
          </w:p>
        </w:tc>
        <w:tc>
          <w:tcPr/>
          <w:p>
            <w:pPr>
              <w:pStyle w:val="Compact"/>
              <w:jc w:val="left"/>
            </w:pPr>
            <w:r>
              <w:t xml:space="preserve">autorisation avec preuve d’efficacité et de sécurité</w:t>
            </w:r>
          </w:p>
        </w:tc>
        <w:tc>
          <w:tcPr/>
          <w:p>
            <w:pPr>
              <w:pStyle w:val="Compact"/>
              <w:jc w:val="left"/>
            </w:pPr>
            <w:r>
              <w:t xml:space="preserve">insuline, sémaglutide, ocytocine</w:t>
            </w:r>
          </w:p>
        </w:tc>
      </w:tr>
      <w:tr>
        <w:tc>
          <w:tcPr/>
          <w:p>
            <w:pPr>
              <w:pStyle w:val="Compact"/>
              <w:jc w:val="left"/>
            </w:pPr>
            <w:r>
              <w:t xml:space="preserve">Denrée alimentaire et complément alimentaire</w:t>
            </w:r>
          </w:p>
        </w:tc>
        <w:tc>
          <w:tcPr/>
          <w:p>
            <w:pPr>
              <w:pStyle w:val="Compact"/>
              <w:jc w:val="left"/>
            </w:pPr>
            <w:r>
              <w:t xml:space="preserve">aucune autorisation, fabricant responsable</w:t>
            </w:r>
          </w:p>
        </w:tc>
        <w:tc>
          <w:tcPr/>
          <w:p>
            <w:pPr>
              <w:pStyle w:val="Compact"/>
              <w:jc w:val="left"/>
            </w:pPr>
            <w:r>
              <w:t xml:space="preserve">peptides de collagène, peptides du lait</w:t>
            </w:r>
          </w:p>
        </w:tc>
      </w:tr>
      <w:tr>
        <w:tc>
          <w:tcPr/>
          <w:p>
            <w:pPr>
              <w:pStyle w:val="Compact"/>
              <w:jc w:val="left"/>
            </w:pPr>
            <w:r>
              <w:t xml:space="preserve">Cosmétique</w:t>
            </w:r>
          </w:p>
        </w:tc>
        <w:tc>
          <w:tcPr/>
          <w:p>
            <w:pPr>
              <w:pStyle w:val="Compact"/>
              <w:jc w:val="left"/>
            </w:pPr>
            <w:r>
              <w:t xml:space="preserve">aucune autorisation, évaluation de la sécurité par le fabricant</w:t>
            </w:r>
          </w:p>
        </w:tc>
        <w:tc>
          <w:tcPr/>
          <w:p>
            <w:pPr>
              <w:pStyle w:val="Compact"/>
              <w:jc w:val="left"/>
            </w:pPr>
            <w:r>
              <w:t xml:space="preserve">palmitoyl pentapeptide-4, Argireline</w:t>
            </w:r>
          </w:p>
        </w:tc>
      </w:tr>
    </w:tbl>
    <w:p>
      <w:pPr>
        <w:pStyle w:val="BodyText"/>
      </w:pPr>
      <w:r>
        <w:t xml:space="preserve">S’y ajoutent des substances qui n’entrent légalement dans aucune de ces catégories – par exemple des substances actives non autorisées ayant un effet pharmacologique, vendues comme « produits chimiques de recherche ». Pour elles, il n’existe aucune voie légale de commercialisation en tant que produit destiné à un usage chez l’humain.</w:t>
      </w:r>
    </w:p>
    <w:bookmarkEnd w:id="212"/>
    <w:bookmarkStart w:id="213" w:name="ce-quest-un-médicament"/>
    <w:p>
      <w:pPr>
        <w:pStyle w:val="Heading3"/>
      </w:pPr>
      <w:r>
        <w:t xml:space="preserve">Ce qu’est un médicament</w:t>
      </w:r>
    </w:p>
    <w:p>
      <w:pPr>
        <w:pStyle w:val="FirstParagraph"/>
      </w:pPr>
      <w:r>
        <w:t xml:space="preserve">Dans l’UE, la définition du médicament est fixée par une directive (directive 2001/83/CE) et transposée dans les lois nationales sur le médicament. Elle a deux volets :</w:t>
      </w:r>
    </w:p>
    <w:p>
      <w:pPr>
        <w:numPr>
          <w:ilvl w:val="0"/>
          <w:numId w:val="1028"/>
        </w:numPr>
        <w:pStyle w:val="Compact"/>
      </w:pPr>
      <w:r>
        <w:rPr>
          <w:bCs/>
          <w:b/>
        </w:rPr>
        <w:t xml:space="preserve">Médicament par présentation</w:t>
      </w:r>
      <w:r>
        <w:t xml:space="preserve"> </w:t>
      </w:r>
      <w:r>
        <w:t xml:space="preserve">: un produit est un médicament s’il est</w:t>
      </w:r>
      <w:r>
        <w:t xml:space="preserve"> </w:t>
      </w:r>
      <w:r>
        <w:rPr>
          <w:bCs/>
          <w:b/>
        </w:rPr>
        <w:t xml:space="preserve">présenté</w:t>
      </w:r>
      <w:r>
        <w:t xml:space="preserve"> </w:t>
      </w:r>
      <w:r>
        <w:t xml:space="preserve">comme possédant des propriétés curatives ou préventives à l’égard des maladies. Une publicité affirmant par exemple « accélère la guérison des lésions tendineuses » peut déjà faire d’un produit un médicament.</w:t>
      </w:r>
    </w:p>
    <w:p>
      <w:pPr>
        <w:numPr>
          <w:ilvl w:val="0"/>
          <w:numId w:val="1028"/>
        </w:numPr>
        <w:pStyle w:val="Compact"/>
      </w:pPr>
      <w:r>
        <w:rPr>
          <w:bCs/>
          <w:b/>
        </w:rPr>
        <w:t xml:space="preserve">Médicament par fonction</w:t>
      </w:r>
      <w:r>
        <w:t xml:space="preserve"> </w:t>
      </w:r>
      <w:r>
        <w:t xml:space="preserve">: un produit est un médicament s’il peut restaurer, corriger ou modifier les fonctions physiologiques humaines en exerçant une</w:t>
      </w:r>
      <w:r>
        <w:t xml:space="preserve"> </w:t>
      </w:r>
      <w:r>
        <w:rPr>
          <w:bCs/>
          <w:b/>
        </w:rPr>
        <w:t xml:space="preserve">action pharmacologique, immunologique ou métabolique</w:t>
      </w:r>
      <w:r>
        <w:t xml:space="preserve"> </w:t>
      </w:r>
      <w:r>
        <w:t xml:space="preserve">– quelle que soit la manière dont il est promu.</w:t>
      </w:r>
    </w:p>
    <w:p>
      <w:pPr>
        <w:pStyle w:val="FirstParagraph"/>
      </w:pPr>
      <w:r>
        <w:t xml:space="preserve">Lorsqu’un produit relève à la fois de la définition d’un médicament et de celle d’un autre produit, c’est en cas de doute le droit du médicament qui prévaut selon cette directive. Pour les peptides à effet de type hormonal – par exemple les stimulateurs de la sécrétion d’hormone de croissance, les analogues du GLP-1 ou le Melanotan –, cela signifie qu’ils sont en règle générale des médicaments, même lorsqu’ils sont déclarés comme compléments alimentaires, cosmétiques ou « produits chimiques de recherche ».</w:t>
      </w:r>
    </w:p>
    <w:bookmarkEnd w:id="213"/>
    <w:bookmarkStart w:id="214" w:name="lautorisation-dans-lue"/>
    <w:p>
      <w:pPr>
        <w:pStyle w:val="Heading3"/>
      </w:pPr>
      <w:r>
        <w:t xml:space="preserve">L’autorisation dans l’UE</w:t>
      </w:r>
    </w:p>
    <w:p>
      <w:pPr>
        <w:pStyle w:val="FirstParagraph"/>
      </w:pPr>
      <w:r>
        <w:t xml:space="preserve">Un médicament ne peut être mis sur le marché dans l’UE que s’il est autorisé. Pour l’autorisation, le fabricant doit présenter des données sur la qualité, l’efficacité et l’innocuité – en règle générale issues des études de phase 3 décrites dans le chapitre « Bien lire les études ».</w:t>
      </w:r>
    </w:p>
    <w:p>
      <w:pPr>
        <w:pStyle w:val="BodyText"/>
      </w:pPr>
      <w:r>
        <w:t xml:space="preserve">Il existe deux voies principales :</w:t>
      </w:r>
    </w:p>
    <w:p>
      <w:pPr>
        <w:numPr>
          <w:ilvl w:val="0"/>
          <w:numId w:val="1029"/>
        </w:numPr>
        <w:pStyle w:val="Compact"/>
      </w:pPr>
      <w:r>
        <w:t xml:space="preserve">La</w:t>
      </w:r>
      <w:r>
        <w:t xml:space="preserve"> </w:t>
      </w:r>
      <w:r>
        <w:rPr>
          <w:bCs/>
          <w:b/>
        </w:rPr>
        <w:t xml:space="preserve">procédure centralisée</w:t>
      </w:r>
      <w:r>
        <w:t xml:space="preserve"> </w:t>
      </w:r>
      <w:r>
        <w:t xml:space="preserve">auprès de l’Agence européenne des médicaments (EMA). L’autorisation est alors valable dans tous les États membres. Cette voie est obligatoire pour les médicaments issus des biotechnologies et pour les nouvelles substances actives destinées à certaines maladies – dont le diabète. La plupart des médicaments peptidiques modernes sont autorisés par la procédure centralisée.</w:t>
      </w:r>
    </w:p>
    <w:p>
      <w:pPr>
        <w:numPr>
          <w:ilvl w:val="0"/>
          <w:numId w:val="1029"/>
        </w:numPr>
        <w:pStyle w:val="Compact"/>
      </w:pPr>
      <w:r>
        <w:t xml:space="preserve">Les</w:t>
      </w:r>
      <w:r>
        <w:t xml:space="preserve"> </w:t>
      </w:r>
      <w:r>
        <w:rPr>
          <w:bCs/>
          <w:b/>
        </w:rPr>
        <w:t xml:space="preserve">procédures nationales et décentralisées</w:t>
      </w:r>
      <w:r>
        <w:t xml:space="preserve"> </w:t>
      </w:r>
      <w:r>
        <w:t xml:space="preserve">auprès des autorités des États membres, en Autriche l’Office fédéral pour la sécurité dans le domaine de la santé (BASG), en Allemagne l’Institut fédéral des médicaments et des dispositifs médicaux (BfArM) ou, pour certains médicaments biologiques, l’Institut Paul-Ehrlich.</w:t>
      </w:r>
    </w:p>
    <w:p>
      <w:pPr>
        <w:pStyle w:val="FirstParagraph"/>
      </w:pPr>
      <w:r>
        <w:t xml:space="preserve">L’autorisation détermine également si un médicament est</w:t>
      </w:r>
      <w:r>
        <w:t xml:space="preserve"> </w:t>
      </w:r>
      <w:r>
        <w:rPr>
          <w:bCs/>
          <w:b/>
        </w:rPr>
        <w:t xml:space="preserve">soumis à prescription</w:t>
      </w:r>
      <w:r>
        <w:t xml:space="preserve">. C’est le cas de presque tous les médicaments peptidiques. Les indications précises, les posologies, les contre-indications et les effets indésirables figurent dans le</w:t>
      </w:r>
      <w:r>
        <w:t xml:space="preserve"> </w:t>
      </w:r>
      <w:r>
        <w:rPr>
          <w:bCs/>
          <w:b/>
        </w:rPr>
        <w:t xml:space="preserve">résumé des caractéristiques du produit</w:t>
      </w:r>
      <w:r>
        <w:t xml:space="preserve"> </w:t>
      </w:r>
      <w:r>
        <w:t xml:space="preserve">(pour les professionnels) et dans la</w:t>
      </w:r>
      <w:r>
        <w:t xml:space="preserve"> </w:t>
      </w:r>
      <w:r>
        <w:rPr>
          <w:bCs/>
          <w:b/>
        </w:rPr>
        <w:t xml:space="preserve">notice</w:t>
      </w:r>
      <w:r>
        <w:t xml:space="preserve"> </w:t>
      </w:r>
      <w:r>
        <w:t xml:space="preserve">(destinée aux patients). L’autorisation vaut pour des indications déterminées. Les médecins peuvent, sous certaines conditions, prescrire un médicament autorisé en dehors de ces indications (« usage hors AMM », en anglais off-label use), mais ils portent alors une responsabilité accrue en matière d’information et de pondération des risques ; les coûts ne sont en général pas pris en charge par l’assurance maladie.</w:t>
      </w:r>
    </w:p>
    <w:p>
      <w:pPr>
        <w:pStyle w:val="BodyText"/>
      </w:pPr>
      <w:r>
        <w:t xml:space="preserve">Certains peptides mentionnés dans ce livre sont autorisés dans d’autres pays, mais pas dans l’UE – par exemple certaines préparations utilisées en Russie. Une autorisation étrangère ne rend pas un produit commercialisable dans l’UE.</w:t>
      </w:r>
    </w:p>
    <w:bookmarkEnd w:id="214"/>
    <w:bookmarkStart w:id="216" w:name="les-compléments-alimentaires"/>
    <w:p>
      <w:pPr>
        <w:pStyle w:val="Heading3"/>
      </w:pPr>
      <w:r>
        <w:t xml:space="preserve">Les compléments alimentaires</w:t>
      </w:r>
    </w:p>
    <w:p>
      <w:pPr>
        <w:pStyle w:val="FirstParagraph"/>
      </w:pPr>
      <w:r>
        <w:t xml:space="preserve">Les compléments alimentaires sont juridiquement des denrées alimentaires. Ils sont destinés à compléter le régime alimentaire normal et contiennent des nutriments ou d’autres substances ayant un effet nutritionnel ou physiologique (directive 2002/46/CE). Ils ne nécessitent</w:t>
      </w:r>
      <w:r>
        <w:t xml:space="preserve"> </w:t>
      </w:r>
      <w:r>
        <w:rPr>
          <w:bCs/>
          <w:b/>
        </w:rPr>
        <w:t xml:space="preserve">aucune autorisation</w:t>
      </w:r>
      <w:r>
        <w:t xml:space="preserve">. Selon le pays, ils doivent être déclarés à une autorité avant leur première mise en vente ; en Allemagne, par exemple, auprès de l’Office fédéral de la protection des consommateurs et de la sécurité alimentaire. Le fabricant est responsable de la sécurité ; les contrôles sont effectués par sondage par les services de contrôle des denrées alimentaires.</w:t>
      </w:r>
    </w:p>
    <w:p>
      <w:pPr>
        <w:pStyle w:val="BodyText"/>
      </w:pPr>
      <w:r>
        <w:t xml:space="preserve">Limites importantes :</w:t>
      </w:r>
    </w:p>
    <w:p>
      <w:pPr>
        <w:numPr>
          <w:ilvl w:val="0"/>
          <w:numId w:val="1030"/>
        </w:numPr>
        <w:pStyle w:val="Compact"/>
      </w:pPr>
      <w:r>
        <w:t xml:space="preserve">Une substance ayant un effet pharmacologique ne peut pas être un complément alimentaire. Si elle est néanmoins vendue comme tel, il s’agit d’un médicament non autorisé.</w:t>
      </w:r>
    </w:p>
    <w:p>
      <w:pPr>
        <w:numPr>
          <w:ilvl w:val="0"/>
          <w:numId w:val="1030"/>
        </w:numPr>
        <w:pStyle w:val="Compact"/>
      </w:pPr>
      <w:r>
        <w:t xml:space="preserve">Les</w:t>
      </w:r>
      <w:r>
        <w:t xml:space="preserve"> </w:t>
      </w:r>
      <w:r>
        <w:rPr>
          <w:bCs/>
          <w:b/>
        </w:rPr>
        <w:t xml:space="preserve">allégations de santé</w:t>
      </w:r>
      <w:r>
        <w:t xml:space="preserve"> </w:t>
      </w:r>
      <w:r>
        <w:t xml:space="preserve">comme « soutient les articulations » ou « fait baisser la pression artérielle » ne sont autorisées que si elles ont été approuvées par l’UE après examen par l’Autorité européenne de sécurité des aliments (EFSA) et figurent sur une liste (règlement (CE) n° 1924/2006). Pour de nombreux effets vantés des denrées alimentaires à base de peptides, il n’existe à notre connaissance aucune allégation autorisée. Une publicité qui promet malgré tout un tel effet est illicite.</w:t>
      </w:r>
    </w:p>
    <w:p>
      <w:pPr>
        <w:numPr>
          <w:ilvl w:val="0"/>
          <w:numId w:val="1030"/>
        </w:numPr>
        <w:pStyle w:val="Compact"/>
      </w:pPr>
      <w:r>
        <w:t xml:space="preserve">Les</w:t>
      </w:r>
      <w:r>
        <w:t xml:space="preserve"> </w:t>
      </w:r>
      <w:r>
        <w:rPr>
          <w:bCs/>
          <w:b/>
        </w:rPr>
        <w:t xml:space="preserve">allégations relatives à des maladies</w:t>
      </w:r>
      <w:r>
        <w:t xml:space="preserve"> </w:t>
      </w:r>
      <w:r>
        <w:t xml:space="preserve">(par exemple « agit contre l’arthrose ») sont de manière générale interdites pour les denrées alimentaires.</w:t>
      </w:r>
    </w:p>
    <w:p>
      <w:pPr>
        <w:pStyle w:val="FirstParagraph"/>
      </w:pPr>
      <w:r>
        <w:t xml:space="preserve">Un cas issu d’un laboratoire antidopage montre que les compléments alimentaires ne sont pas non plus exempts de substances interdites : dans des comprimés proposés comme compléments alimentaires en vente libre, le peptide libérateur d’hormone de croissance GHRP-2 a été détecté</w:t>
      </w:r>
      <w:r>
        <w:rPr>
          <w:rStyle w:val="FootnoteReference"/>
        </w:rPr>
        <w:footnoteReference w:id="215"/>
      </w:r>
      <w:r>
        <w:t xml:space="preserve">.</w:t>
      </w:r>
    </w:p>
    <w:bookmarkEnd w:id="216"/>
    <w:bookmarkStart w:id="217" w:name="les-nouveaux-aliments-novel-food"/>
    <w:p>
      <w:pPr>
        <w:pStyle w:val="Heading3"/>
      </w:pPr>
      <w:r>
        <w:t xml:space="preserve">Les nouveaux aliments (novel food)</w:t>
      </w:r>
    </w:p>
    <w:p>
      <w:pPr>
        <w:pStyle w:val="FirstParagraph"/>
      </w:pPr>
      <w:r>
        <w:t xml:space="preserve">Le</w:t>
      </w:r>
      <w:r>
        <w:t xml:space="preserve"> </w:t>
      </w:r>
      <w:r>
        <w:rPr>
          <w:bCs/>
          <w:b/>
        </w:rPr>
        <w:t xml:space="preserve">règlement sur les nouveaux aliments</w:t>
      </w:r>
      <w:r>
        <w:t xml:space="preserve"> </w:t>
      </w:r>
      <w:r>
        <w:t xml:space="preserve">(règlement (UE) 2015/2283) constitue un obstacle spécifique pour les denrées alimentaires. Sont considérés comme « nouveaux » les aliments et ingrédients qui n’étaient pas utilisés de manière significative pour la consommation humaine dans l’UE avant le 15 mai 1997. Ils ne peuvent être vendus qu’après une évaluation de leur sécurité et une autorisation de l’UE.</w:t>
      </w:r>
    </w:p>
    <w:p>
      <w:pPr>
        <w:pStyle w:val="BodyText"/>
      </w:pPr>
      <w:r>
        <w:t xml:space="preserve">Pour les peptides, cela signifie que les hydrolysats de collagène issus de la gélatine ont un long historique de consommation et ne sont pas de nouveaux aliments. Un peptide nouvellement synthétisé sans historique de consommation, destiné à être vendu comme denrée alimentaire, serait en revanche en principe un nouvel aliment et nécessiterait une autorisation – à moins qu’il ne doive de toute façon être classé comme médicament en raison de son effet pharmacologique. Le statut de nouvel aliment d’une substance doit être examiné au cas par cas ; la Commission européenne tient un catalogue à cet effet.</w:t>
      </w:r>
    </w:p>
    <w:bookmarkEnd w:id="217"/>
    <w:bookmarkStart w:id="218" w:name="les-cosmétiques"/>
    <w:p>
      <w:pPr>
        <w:pStyle w:val="Heading3"/>
      </w:pPr>
      <w:r>
        <w:t xml:space="preserve">Les cosmétiques</w:t>
      </w:r>
    </w:p>
    <w:p>
      <w:pPr>
        <w:pStyle w:val="FirstParagraph"/>
      </w:pPr>
      <w:r>
        <w:t xml:space="preserve">Dans l’UE, les produits cosmétiques sont régis par le règlement sur les cosmétiques (règlement (CE) n° 1223/2009). Ils sont destinés à être appliqués sur la peau, les cheveux, les ongles, les lèvres, les dents ou les muqueuses de la cavité buccale – pour les nettoyer, les entretenir, les protéger ou modifier leur aspect.</w:t>
      </w:r>
    </w:p>
    <w:p>
      <w:pPr>
        <w:numPr>
          <w:ilvl w:val="0"/>
          <w:numId w:val="1031"/>
        </w:numPr>
        <w:pStyle w:val="Compact"/>
      </w:pPr>
      <w:r>
        <w:t xml:space="preserve">Les cosmétiques ne nécessitent</w:t>
      </w:r>
      <w:r>
        <w:t xml:space="preserve"> </w:t>
      </w:r>
      <w:r>
        <w:rPr>
          <w:bCs/>
          <w:b/>
        </w:rPr>
        <w:t xml:space="preserve">aucune autorisation</w:t>
      </w:r>
      <w:r>
        <w:t xml:space="preserve">. Une personne responsable établie dans l’UE doit toutefois présenter une évaluation de la sécurité et notifier le produit sur un portail de l’UE avant sa mise en vente.</w:t>
      </w:r>
    </w:p>
    <w:p>
      <w:pPr>
        <w:numPr>
          <w:ilvl w:val="0"/>
          <w:numId w:val="1031"/>
        </w:numPr>
        <w:pStyle w:val="Compact"/>
      </w:pPr>
      <w:r>
        <w:t xml:space="preserve">Certaines substances sont interdites ou soumises à restrictions.</w:t>
      </w:r>
    </w:p>
    <w:p>
      <w:pPr>
        <w:numPr>
          <w:ilvl w:val="0"/>
          <w:numId w:val="1031"/>
        </w:numPr>
        <w:pStyle w:val="Compact"/>
      </w:pPr>
      <w:r>
        <w:t xml:space="preserve">Les allégations publicitaires doivent pouvoir être justifiées et ne doivent pas être trompeuses. Les allégations relatives au traitement de maladies sont interdites.</w:t>
      </w:r>
    </w:p>
    <w:p>
      <w:pPr>
        <w:numPr>
          <w:ilvl w:val="0"/>
          <w:numId w:val="1031"/>
        </w:numPr>
        <w:pStyle w:val="Compact"/>
      </w:pPr>
      <w:r>
        <w:rPr>
          <w:bCs/>
          <w:b/>
        </w:rPr>
        <w:t xml:space="preserve">Ce qui est injecté n’est jamais un cosmétique.</w:t>
      </w:r>
      <w:r>
        <w:t xml:space="preserve"> </w:t>
      </w:r>
      <w:r>
        <w:t xml:space="preserve">Les injections ne relèvent pas de la définition des produits cosmétiques.</w:t>
      </w:r>
    </w:p>
    <w:p>
      <w:pPr>
        <w:pStyle w:val="FirstParagraph"/>
      </w:pPr>
      <w:r>
        <w:t xml:space="preserve">Les peptides cosmétiques comme le palmitoyl pentapeptide-4 ou l’acétyl hexapeptide-8 sont donc légaux dans les crèmes et les sérums. Un peptide comme le Melanotan II, injecté sous la peau et agissant dans tout l’organisme, n’est en revanche pas un cosmétique, même s’il est vanté comme « produit bronzant ».</w:t>
      </w:r>
    </w:p>
    <w:bookmarkEnd w:id="218"/>
    <w:bookmarkStart w:id="219" w:name="lautriche"/>
    <w:p>
      <w:pPr>
        <w:pStyle w:val="Heading3"/>
      </w:pPr>
      <w:r>
        <w:t xml:space="preserve">L’Autriche</w:t>
      </w:r>
    </w:p>
    <w:p>
      <w:pPr>
        <w:pStyle w:val="FirstParagraph"/>
      </w:pPr>
      <w:r>
        <w:t xml:space="preserve">En Autriche, la</w:t>
      </w:r>
      <w:r>
        <w:t xml:space="preserve"> </w:t>
      </w:r>
      <w:r>
        <w:rPr>
          <w:bCs/>
          <w:b/>
        </w:rPr>
        <w:t xml:space="preserve">loi sur les médicaments (Arzneimittelgesetz, AMG)</w:t>
      </w:r>
      <w:r>
        <w:t xml:space="preserve"> </w:t>
      </w:r>
      <w:r>
        <w:t xml:space="preserve">régit l’autorisation, la fabrication et la délivrance des médicaments. L’autorité compétente pour l’autorisation et la surveillance est l’Office fédéral pour la sécurité dans le domaine de la santé (BASG) avec la surveillance du marché des produits médicaux de l’AGES. Les médicaments soumis à prescription ne sont délivrés qu’en pharmacie sur ordonnance ; la vente par correspondance des pharmacies est limitée aux médicaments non soumis à prescription.</w:t>
      </w:r>
    </w:p>
    <w:p>
      <w:pPr>
        <w:pStyle w:val="BodyText"/>
      </w:pPr>
      <w:r>
        <w:t xml:space="preserve">L’importation de médicaments est régie par la</w:t>
      </w:r>
      <w:r>
        <w:t xml:space="preserve"> </w:t>
      </w:r>
      <w:r>
        <w:rPr>
          <w:bCs/>
          <w:b/>
        </w:rPr>
        <w:t xml:space="preserve">loi sur l’importation des médicaments (Arzneiwareneinfuhrgesetz)</w:t>
      </w:r>
      <w:r>
        <w:t xml:space="preserve">. Les particuliers ne peuvent importer des médicaments que sous certaines conditions et en quantités correspondant à leurs besoins personnels ; des règles plus strictes s’appliquent aux commandes en provenance de pays situés hors de l’Espace économique européen. Les substances non autorisées provenant de boutiques de « produits chimiques de recherche » ne remplissent en règle générale pas ces conditions. La douane peut saisir de tels envois.</w:t>
      </w:r>
    </w:p>
    <w:p>
      <w:pPr>
        <w:pStyle w:val="BodyText"/>
      </w:pPr>
      <w:r>
        <w:t xml:space="preserve">Pour le sport, c’est la</w:t>
      </w:r>
      <w:r>
        <w:t xml:space="preserve"> </w:t>
      </w:r>
      <w:r>
        <w:rPr>
          <w:bCs/>
          <w:b/>
        </w:rPr>
        <w:t xml:space="preserve">loi fédérale antidopage de 2021 (Anti-Doping-Bundesgesetz 2021)</w:t>
      </w:r>
      <w:r>
        <w:t xml:space="preserve"> </w:t>
      </w:r>
      <w:r>
        <w:t xml:space="preserve">qui s’applique. Elle renvoie à la liste des interdictions de l’Agence mondiale antidopage et contient des interdictions et des dispositions pénales, en particulier pour la mise sur le marché et la cession de substances interdites. L’organisme compétent pour les contrôles est l’Agence nationale antidopage autrichienne (NADA Austria).</w:t>
      </w:r>
    </w:p>
    <w:p>
      <w:pPr>
        <w:pStyle w:val="BodyText"/>
      </w:pPr>
      <w:r>
        <w:t xml:space="preserve">État 2026, à vérifier.</w:t>
      </w:r>
    </w:p>
    <w:bookmarkEnd w:id="219"/>
    <w:bookmarkStart w:id="220" w:name="lallemagne"/>
    <w:p>
      <w:pPr>
        <w:pStyle w:val="Heading3"/>
      </w:pPr>
      <w:r>
        <w:t xml:space="preserve">L’Allemagne</w:t>
      </w:r>
    </w:p>
    <w:p>
      <w:pPr>
        <w:pStyle w:val="FirstParagraph"/>
      </w:pPr>
      <w:r>
        <w:t xml:space="preserve">En Allemagne s’applique la</w:t>
      </w:r>
      <w:r>
        <w:t xml:space="preserve"> </w:t>
      </w:r>
      <w:r>
        <w:rPr>
          <w:bCs/>
          <w:b/>
        </w:rPr>
        <w:t xml:space="preserve">loi sur les médicaments (Arzneimittelgesetz, AMG)</w:t>
      </w:r>
      <w:r>
        <w:t xml:space="preserve">. Les autorités d’autorisation sont le BfArM et l’Institut Paul-Ehrlich. Les médicaments soumis à prescription ne peuvent être délivrés que sur ordonnance, y compris dans le cadre de la vente par correspondance par des pharmacies en ligne agréées.</w:t>
      </w:r>
    </w:p>
    <w:p>
      <w:pPr>
        <w:pStyle w:val="BodyText"/>
      </w:pPr>
      <w:r>
        <w:t xml:space="preserve">Pour l’importation, il existe en principe une interdiction d’introduire en Allemagne des médicaments non autorisés. Une exception existe pour les besoins personnels lorsque le médicament est légalement commercialisé dans le pays d’origine et qu’il est obtenu dans un État membre de l’UE ou de l’Espace économique européen sans intermédiation commerciale ; il existe en outre des règles spéciales strictement limitées. Pour les peptides du marché gris, qui ne sont autorisés nulle part comme médicaments, cette exception ne s’applique pas selon notre compréhension.</w:t>
      </w:r>
    </w:p>
    <w:p>
      <w:pPr>
        <w:pStyle w:val="BodyText"/>
      </w:pPr>
      <w:r>
        <w:t xml:space="preserve">Quiconque fabrique, met sur le marché ou cède à d’autres des médicaments sans autorisation peut être pénalement poursuivi en vertu de l’AMG. Cela vaut en particulier pour les médicaments dits dangereux, pour lesquels il existe un soupçon fondé d’effets nocifs.</w:t>
      </w:r>
    </w:p>
    <w:p>
      <w:pPr>
        <w:pStyle w:val="BodyText"/>
      </w:pPr>
      <w:r>
        <w:t xml:space="preserve">Pour le sport s’applique en outre la</w:t>
      </w:r>
      <w:r>
        <w:t xml:space="preserve"> </w:t>
      </w:r>
      <w:r>
        <w:rPr>
          <w:bCs/>
          <w:b/>
        </w:rPr>
        <w:t xml:space="preserve">loi antidopage (Anti-Doping-Gesetz, AntiDopG)</w:t>
      </w:r>
      <w:r>
        <w:t xml:space="preserve">. Elle interdit notamment la fabrication, le commerce et la mise sur le marché de produits dopants ainsi que leur administration à autrui. L’acquisition et la détention de certaines substances énumérées dans une annexe de la loi – dont les hormones peptidiques – sont punissables en quantité non négligeable à des fins de dopage. Pour les sportives et sportifs de haut niveau, l’autodopage est également punissable. L’organisme compétent pour les contrôles est l’Agence nationale antidopage allemande (NADA).</w:t>
      </w:r>
    </w:p>
    <w:p>
      <w:pPr>
        <w:pStyle w:val="BodyText"/>
      </w:pPr>
      <w:r>
        <w:t xml:space="preserve">État 2026, à vérifier.</w:t>
      </w:r>
    </w:p>
    <w:bookmarkEnd w:id="220"/>
    <w:bookmarkStart w:id="223" w:name="les-états-unis"/>
    <w:p>
      <w:pPr>
        <w:pStyle w:val="Heading3"/>
      </w:pPr>
      <w:r>
        <w:t xml:space="preserve">Les États-Unis</w:t>
      </w:r>
    </w:p>
    <w:p>
      <w:pPr>
        <w:pStyle w:val="FirstParagraph"/>
      </w:pPr>
      <w:r>
        <w:t xml:space="preserve">Aux États-Unis, c’est la</w:t>
      </w:r>
      <w:r>
        <w:t xml:space="preserve"> </w:t>
      </w:r>
      <w:r>
        <w:rPr>
          <w:bCs/>
          <w:b/>
        </w:rPr>
        <w:t xml:space="preserve">Food and Drug Administration (FDA)</w:t>
      </w:r>
      <w:r>
        <w:t xml:space="preserve"> </w:t>
      </w:r>
      <w:r>
        <w:t xml:space="preserve">qui est compétente. Les nouveaux médicaments nécessitent une autorisation (pour les substances actives obtenues par synthèse chimique, via une « New Drug Application » ; pour les substances actives biologiques, via une « Biologics License Application »).</w:t>
      </w:r>
    </w:p>
    <w:p>
      <w:pPr>
        <w:pStyle w:val="BodyText"/>
      </w:pPr>
      <w:r>
        <w:t xml:space="preserve">Les</w:t>
      </w:r>
      <w:r>
        <w:t xml:space="preserve"> </w:t>
      </w:r>
      <w:r>
        <w:rPr>
          <w:bCs/>
          <w:b/>
        </w:rPr>
        <w:t xml:space="preserve">compléments alimentaires</w:t>
      </w:r>
      <w:r>
        <w:t xml:space="preserve"> </w:t>
      </w:r>
      <w:r>
        <w:t xml:space="preserve">(dietary supplements) peuvent, depuis une loi de 1994, être commercialisés en grande partie sans contrôle préalable. Une substance d’abord autorisée comme médicament ou étudiée cliniquement à grande échelle comme médicament ne peut toutefois en principe pas être vendue ultérieurement comme complément alimentaire. Pour cette raison, de nombreux peptides ne peuvent pas être commercialisés légalement comme compléments aux États-Unis.</w:t>
      </w:r>
    </w:p>
    <w:p>
      <w:pPr>
        <w:pStyle w:val="BodyText"/>
      </w:pPr>
      <w:r>
        <w:rPr>
          <w:bCs/>
          <w:b/>
        </w:rPr>
        <w:t xml:space="preserve">Préparations magistrales (compounding)</w:t>
      </w:r>
      <w:r>
        <w:t xml:space="preserve"> </w:t>
      </w:r>
      <w:r>
        <w:t xml:space="preserve">: les pharmacies américaines peuvent, sous certaines conditions, préparer elles-mêmes des médicaments – individuellement pour des patientes et patients déterminés ou à plus grande échelle dans des établissements soumis à une surveillance particulière. En cas de pénurie de médicaments autorisés, elles peuvent aussi en fabriquer des copies. Depuis la fin des pénuries de sémaglutide et de tirzépatide, le droit américain ne les autorise plus qu’à fabriquer des préparations différentes</w:t>
      </w:r>
      <w:r>
        <w:rPr>
          <w:rStyle w:val="FootnoteReference"/>
        </w:rPr>
        <w:footnoteReference w:id="221"/>
      </w:r>
      <w:r>
        <w:t xml:space="preserve">. La FDA fixe dans des listes les substances qui peuvent être utilisées comme matières premières pour les préparations magistrales. À notre connaissance, la FDA a classé plusieurs peptides populaires du marché gris, dont le BPC-157, comme inadaptés aux préparations magistrales en raison de préoccupations de sécurité. Ces listes et le débat politique à leur sujet évoluent ; veuillez vérifier la situation actuelle.</w:t>
      </w:r>
    </w:p>
    <w:p>
      <w:pPr>
        <w:pStyle w:val="BodyText"/>
      </w:pPr>
      <w:r>
        <w:rPr>
          <w:bCs/>
          <w:b/>
        </w:rPr>
        <w:t xml:space="preserve">« Research Use Only »</w:t>
      </w:r>
      <w:r>
        <w:t xml:space="preserve"> </w:t>
      </w:r>
      <w:r>
        <w:t xml:space="preserve">: la vente aux consommatrices et consommateurs de peptides portant la mention « uniquement à des fins de recherche » se situe aussi aux États-Unis dans une zone grise juridique, que des spécialistes décrivent comme un contournement de l’obligation de prescription</w:t>
      </w:r>
      <w:r>
        <w:rPr>
          <w:rStyle w:val="FootnoteReference"/>
        </w:rPr>
        <w:footnoteReference w:id="222"/>
      </w:r>
      <w:r>
        <w:t xml:space="preserve">. La FDA a adressé des lettres d’avertissement à certains vendeurs.</w:t>
      </w:r>
    </w:p>
    <w:p>
      <w:pPr>
        <w:pStyle w:val="BodyText"/>
      </w:pPr>
      <w:r>
        <w:rPr>
          <w:bCs/>
          <w:b/>
        </w:rPr>
        <w:t xml:space="preserve">Importation</w:t>
      </w:r>
      <w:r>
        <w:t xml:space="preserve"> </w:t>
      </w:r>
      <w:r>
        <w:t xml:space="preserve">: la FDA tolère, sous des conditions strictes, l’importation de petites quantités de médicaments pour usage personnel. Il n’existe aucun droit à cet égard, et les substances non autorisées sans accompagnement médical n’en relèvent en règle générale pas.</w:t>
      </w:r>
    </w:p>
    <w:p>
      <w:pPr>
        <w:pStyle w:val="BodyText"/>
      </w:pPr>
      <w:r>
        <w:t xml:space="preserve">État 2026, à vérifier.</w:t>
      </w:r>
    </w:p>
    <w:bookmarkEnd w:id="223"/>
    <w:bookmarkStart w:id="225" w:name="X3b396f1972833838a0c00f62e4c97c8f539cb30"/>
    <w:p>
      <w:pPr>
        <w:pStyle w:val="Heading3"/>
      </w:pPr>
      <w:r>
        <w:t xml:space="preserve">Le dopage : la liste des interdictions de l’AMA</w:t>
      </w:r>
    </w:p>
    <w:p>
      <w:pPr>
        <w:pStyle w:val="FirstParagraph"/>
      </w:pPr>
      <w:r>
        <w:t xml:space="preserve">Pour les sportives et sportifs soumis à des contrôles antidopage, c’est la</w:t>
      </w:r>
      <w:r>
        <w:t xml:space="preserve"> </w:t>
      </w:r>
      <w:r>
        <w:rPr>
          <w:bCs/>
          <w:b/>
        </w:rPr>
        <w:t xml:space="preserve">liste des interdictions de l’Agence mondiale antidopage (AMA, en anglais WADA)</w:t>
      </w:r>
      <w:r>
        <w:t xml:space="preserve"> </w:t>
      </w:r>
      <w:r>
        <w:t xml:space="preserve">qui fait foi. Elle est révisée chaque année et entre en vigueur le 1er janvier. Pour les peptides, deux sections sont particulièrement importantes ; elles s’appliquent en compétition et hors compétition :</w:t>
      </w:r>
    </w:p>
    <w:p>
      <w:pPr>
        <w:pStyle w:val="BodyText"/>
      </w:pPr>
      <w:r>
        <w:rPr>
          <w:bCs/>
          <w:b/>
        </w:rPr>
        <w:t xml:space="preserve">S0 – Substances non approuvées.</w:t>
      </w:r>
      <w:r>
        <w:t xml:space="preserve"> </w:t>
      </w:r>
      <w:r>
        <w:t xml:space="preserve">Sont interdites les substances pharmacologiquement actives qui ne sont mentionnées dans aucune autre section de la liste et qui ne sont approuvées par aucune autorité sanitaire pour un usage chez l’humain – par exemple les substances en développement préclinique ou clinique, les développements abandonnés, les drogues de synthèse et les substances autorisées uniquement à usage vétérinaire. De nombreux peptides du marché gris relèvent de ce groupe. À notre connaissance, le BPC-157 est expressément cité comme exemple dans la liste.</w:t>
      </w:r>
    </w:p>
    <w:p>
      <w:pPr>
        <w:pStyle w:val="BodyText"/>
      </w:pPr>
      <w:r>
        <w:rPr>
          <w:bCs/>
          <w:b/>
        </w:rPr>
        <w:t xml:space="preserve">S2 – Hormones peptidiques, facteurs de croissance, substances apparentées et mimétiques.</w:t>
      </w:r>
      <w:r>
        <w:t xml:space="preserve"> </w:t>
      </w:r>
      <w:r>
        <w:t xml:space="preserve">En font partie notamment :</w:t>
      </w:r>
    </w:p>
    <w:p>
      <w:pPr>
        <w:numPr>
          <w:ilvl w:val="0"/>
          <w:numId w:val="1032"/>
        </w:numPr>
        <w:pStyle w:val="Compact"/>
      </w:pPr>
      <w:r>
        <w:t xml:space="preserve">l’hormone de croissance et ses fragments (par exemple l’AOD-9604),</w:t>
      </w:r>
    </w:p>
    <w:p>
      <w:pPr>
        <w:numPr>
          <w:ilvl w:val="0"/>
          <w:numId w:val="1032"/>
        </w:numPr>
        <w:pStyle w:val="Compact"/>
      </w:pPr>
      <w:r>
        <w:t xml:space="preserve">l’hormone de libération de l’hormone de croissance et ses analogues (par exemple le CJC-1295, la sermoréline, la tésamoréline),</w:t>
      </w:r>
    </w:p>
    <w:p>
      <w:pPr>
        <w:numPr>
          <w:ilvl w:val="0"/>
          <w:numId w:val="1032"/>
        </w:numPr>
        <w:pStyle w:val="Compact"/>
      </w:pPr>
      <w:r>
        <w:t xml:space="preserve">les sécrétagogues de l’hormone de croissance et les peptides libérateurs d’hormone de croissance (par exemple l’ipamoréline, le GHRP-2, le GHRP-6, l’hexaréline, la macimoréline et, à notre connaissance, aussi l’ibutamorène, qui n’est pas un peptide),</w:t>
      </w:r>
    </w:p>
    <w:p>
      <w:pPr>
        <w:numPr>
          <w:ilvl w:val="0"/>
          <w:numId w:val="1032"/>
        </w:numPr>
        <w:pStyle w:val="Compact"/>
      </w:pPr>
      <w:r>
        <w:t xml:space="preserve">les facteurs de croissance comme l’IGF-1 et ses analogues ainsi que la thymosine bêta-4 et ses dérivés (par exemple le TB-500),</w:t>
      </w:r>
    </w:p>
    <w:p>
      <w:pPr>
        <w:numPr>
          <w:ilvl w:val="0"/>
          <w:numId w:val="1032"/>
        </w:numPr>
        <w:pStyle w:val="Compact"/>
      </w:pPr>
      <w:r>
        <w:t xml:space="preserve">chez les hommes, les hormones et facteurs de libération de l’axe des hormones sexuelles (par exemple la gonadoréline et la kisspeptine).</w:t>
      </w:r>
    </w:p>
    <w:p>
      <w:pPr>
        <w:pStyle w:val="FirstParagraph"/>
      </w:pPr>
      <w:r>
        <w:t xml:space="preserve">En outre, la section S4 interdit notamment les insulines en tant que modulateurs métaboliques. Les médicaments GLP-1 comme le sémaglutide ou le tirzépatide ne figurent pas actuellement sur la liste des interdictions, à notre connaissance. La liste cite des exemples, mais n’est pas exhaustive : des substances non mentionnées ayant une structure chimique ou un effet biologique similaires peuvent aussi être interdites.</w:t>
      </w:r>
    </w:p>
    <w:p>
      <w:pPr>
        <w:pStyle w:val="BodyText"/>
      </w:pPr>
      <w:r>
        <w:t xml:space="preserve">En droit antidopage s’applique le principe de la</w:t>
      </w:r>
      <w:r>
        <w:t xml:space="preserve"> </w:t>
      </w:r>
      <w:r>
        <w:rPr>
          <w:bCs/>
          <w:b/>
        </w:rPr>
        <w:t xml:space="preserve">responsabilité objective</w:t>
      </w:r>
      <w:r>
        <w:t xml:space="preserve"> </w:t>
      </w:r>
      <w:r>
        <w:t xml:space="preserve">: si une substance interdite est trouvée dans un échantillon, il s’agit d’une violation – qu’elle ait été prise intentionnellement ou qu’elle provienne par exemple d’un complément alimentaire contaminé. Une personne qui a besoin, pour des raisons médicales, d’un médicament autorisé mais interdit peut demander une</w:t>
      </w:r>
      <w:r>
        <w:t xml:space="preserve"> </w:t>
      </w:r>
      <w:r>
        <w:rPr>
          <w:bCs/>
          <w:b/>
        </w:rPr>
        <w:t xml:space="preserve">autorisation d’usage à des fins thérapeutiques</w:t>
      </w:r>
      <w:r>
        <w:t xml:space="preserve"> </w:t>
      </w:r>
      <w:r>
        <w:t xml:space="preserve">(AUT, en anglais Therapeutic Use Exemption, TUE). Pour les substances non approuvées de la section S0, c’est pratiquement exclu.</w:t>
      </w:r>
    </w:p>
    <w:p>
      <w:pPr>
        <w:pStyle w:val="BodyText"/>
      </w:pPr>
      <w:r>
        <w:t xml:space="preserve">Les laboratoires de contrôle antidopage développent en permanence des méthodes de détection pour de nouveaux peptides, souvent à partir de produits saisis</w:t>
      </w:r>
      <w:r>
        <w:rPr>
          <w:rStyle w:val="FootnoteReference"/>
        </w:rPr>
        <w:footnoteReference w:id="224"/>
      </w:r>
      <w:r>
        <w:t xml:space="preserve">. Qu’une substance n’ait pas été détectable hier ne signifie pas qu’elle ne le sera pas demain – et des échantillons congelés peuvent être réanalysés des années plus tard.</w:t>
      </w:r>
    </w:p>
    <w:p>
      <w:pPr>
        <w:pStyle w:val="BodyText"/>
      </w:pPr>
      <w:r>
        <w:t xml:space="preserve">État 2026, veuillez vérifier la liste des interdictions actuelle de l’AMA.</w:t>
      </w:r>
    </w:p>
    <w:bookmarkEnd w:id="225"/>
    <w:bookmarkStart w:id="226" w:name="responsabilité-qui-supporte-le-risque"/>
    <w:p>
      <w:pPr>
        <w:pStyle w:val="Heading3"/>
      </w:pPr>
      <w:r>
        <w:t xml:space="preserve">Responsabilité : qui supporte le risque ?</w:t>
      </w:r>
    </w:p>
    <w:p>
      <w:pPr>
        <w:pStyle w:val="FirstParagraph"/>
      </w:pPr>
      <w:r>
        <w:t xml:space="preserve">Pour les</w:t>
      </w:r>
      <w:r>
        <w:t xml:space="preserve"> </w:t>
      </w:r>
      <w:r>
        <w:rPr>
          <w:bCs/>
          <w:b/>
        </w:rPr>
        <w:t xml:space="preserve">médicaments autorisés</w:t>
      </w:r>
      <w:r>
        <w:t xml:space="preserve">, les fabricants, les pharmacies et les médecins prescripteurs sont intégrés dans un système de responsabilité. En Allemagne, la loi sur les médicaments prévoit une responsabilité particulière du fabricant pour les dommages causés par des médicaments autorisés, indépendante de toute faute ; en Autriche, ce sont le droit général de la responsabilité civile et la loi sur la responsabilité du fait des produits qui s’appliquent. Les effets indésirables sont signalés, analysés et peuvent conduire à des mises en garde ou à des retraits du marché.</w:t>
      </w:r>
    </w:p>
    <w:p>
      <w:pPr>
        <w:pStyle w:val="BodyText"/>
      </w:pPr>
      <w:r>
        <w:t xml:space="preserve">Pour les</w:t>
      </w:r>
      <w:r>
        <w:t xml:space="preserve"> </w:t>
      </w:r>
      <w:r>
        <w:rPr>
          <w:bCs/>
          <w:b/>
        </w:rPr>
        <w:t xml:space="preserve">produits du marché gris</w:t>
      </w:r>
      <w:r>
        <w:t xml:space="preserve">, ce système fait largement défaut :</w:t>
      </w:r>
    </w:p>
    <w:p>
      <w:pPr>
        <w:numPr>
          <w:ilvl w:val="0"/>
          <w:numId w:val="1033"/>
        </w:numPr>
        <w:pStyle w:val="Compact"/>
      </w:pPr>
      <w:r>
        <w:t xml:space="preserve">Les vendeurs sont souvent établis à l’étranger, changent fréquemment de nom et de site web et sont pratiquement insaisissables.</w:t>
      </w:r>
    </w:p>
    <w:p>
      <w:pPr>
        <w:numPr>
          <w:ilvl w:val="0"/>
          <w:numId w:val="1033"/>
        </w:numPr>
        <w:pStyle w:val="Compact"/>
      </w:pPr>
      <w:r>
        <w:t xml:space="preserve">Avec la mention « pas pour un usage chez l’humain », ils tentent de rejeter toute responsabilité.</w:t>
      </w:r>
    </w:p>
    <w:p>
      <w:pPr>
        <w:numPr>
          <w:ilvl w:val="0"/>
          <w:numId w:val="1033"/>
        </w:numPr>
        <w:pStyle w:val="Compact"/>
      </w:pPr>
      <w:r>
        <w:t xml:space="preserve">Quiconque utilise lui-même un tel produit supporte en grande partie seul le risque sanitaire et financier.</w:t>
      </w:r>
    </w:p>
    <w:p>
      <w:pPr>
        <w:numPr>
          <w:ilvl w:val="0"/>
          <w:numId w:val="1033"/>
        </w:numPr>
        <w:pStyle w:val="Compact"/>
      </w:pPr>
      <w:r>
        <w:t xml:space="preserve">Quiconque cède un tel produit à d’autres ou l’utilise sur d’autres personnes – par exemple dans une salle de sport, un institut de beauté ou un établissement de bien-être – peut être pénalement poursuivi et, le cas échéant, être tenu responsable des dommages.</w:t>
      </w:r>
    </w:p>
    <w:p>
      <w:pPr>
        <w:pStyle w:val="FirstParagraph"/>
      </w:pPr>
      <w:r>
        <w:t xml:space="preserve">Des critères stricts s’appliquent aussi à l’</w:t>
      </w:r>
      <w:r>
        <w:rPr>
          <w:bCs/>
          <w:b/>
        </w:rPr>
        <w:t xml:space="preserve">utilisation par des médecins</w:t>
      </w:r>
      <w:r>
        <w:t xml:space="preserve">. Quiconque administre des substances non autorisées doit informer de manière complète sur l’incertitude des données et engage sa responsabilité en cas d’erreur de traitement. Des conséquences disciplinaires sont possibles.</w:t>
      </w:r>
    </w:p>
    <w:bookmarkEnd w:id="226"/>
    <w:bookmarkStart w:id="227" w:name="la-situation-juridique-en-un-coup-dœil"/>
    <w:p>
      <w:pPr>
        <w:pStyle w:val="Heading3"/>
      </w:pPr>
      <w:r>
        <w:t xml:space="preserve">La situation juridique en un coup d’œil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Classement (simplifié)</w:t>
            </w:r>
          </w:p>
        </w:tc>
      </w:tr>
      <w:tr>
        <w:tc>
          <w:tcPr/>
          <w:p>
            <w:pPr>
              <w:pStyle w:val="Compact"/>
              <w:jc w:val="left"/>
            </w:pPr>
            <w:r>
              <w:t xml:space="preserve">Peptide autorisé sur ordonnance, délivré en pharmacie</w:t>
            </w:r>
          </w:p>
        </w:tc>
        <w:tc>
          <w:tcPr/>
          <w:p>
            <w:pPr>
              <w:pStyle w:val="Compact"/>
              <w:jc w:val="left"/>
            </w:pPr>
            <w:r>
              <w:t xml:space="preserve">légal, avec accompagnement médical</w:t>
            </w:r>
          </w:p>
        </w:tc>
      </w:tr>
      <w:tr>
        <w:tc>
          <w:tcPr/>
          <w:p>
            <w:pPr>
              <w:pStyle w:val="Compact"/>
              <w:jc w:val="left"/>
            </w:pPr>
            <w:r>
              <w:t xml:space="preserve">Peptide autorisé sans ordonnance, acheté sur Internet</w:t>
            </w:r>
          </w:p>
        </w:tc>
        <w:tc>
          <w:tcPr/>
          <w:p>
            <w:pPr>
              <w:pStyle w:val="Compact"/>
              <w:jc w:val="left"/>
            </w:pPr>
            <w:r>
              <w:t xml:space="preserve">en règle générale illégal, risque de contrefaçon</w:t>
            </w:r>
          </w:p>
        </w:tc>
      </w:tr>
      <w:tr>
        <w:tc>
          <w:tcPr/>
          <w:p>
            <w:pPr>
              <w:pStyle w:val="Compact"/>
              <w:jc w:val="left"/>
            </w:pPr>
            <w:r>
              <w:t xml:space="preserve">Peptide non autorisé vendu comme « produit chimique de recherche »</w:t>
            </w:r>
          </w:p>
        </w:tc>
        <w:tc>
          <w:tcPr/>
          <w:p>
            <w:pPr>
              <w:pStyle w:val="Compact"/>
              <w:jc w:val="left"/>
            </w:pPr>
            <w:r>
              <w:t xml:space="preserve">en règle générale médicament non commercialisable</w:t>
            </w:r>
          </w:p>
        </w:tc>
      </w:tr>
      <w:tr>
        <w:tc>
          <w:tcPr/>
          <w:p>
            <w:pPr>
              <w:pStyle w:val="Compact"/>
              <w:jc w:val="left"/>
            </w:pPr>
            <w:r>
              <w:t xml:space="preserve">Peptides de collagène en tant que denrée alimentaire</w:t>
            </w:r>
          </w:p>
        </w:tc>
        <w:tc>
          <w:tcPr/>
          <w:p>
            <w:pPr>
              <w:pStyle w:val="Compact"/>
              <w:jc w:val="left"/>
            </w:pPr>
            <w:r>
              <w:t xml:space="preserve">légal, allégations publicitaires restreintes</w:t>
            </w:r>
          </w:p>
        </w:tc>
      </w:tr>
      <w:tr>
        <w:tc>
          <w:tcPr/>
          <w:p>
            <w:pPr>
              <w:pStyle w:val="Compact"/>
              <w:jc w:val="left"/>
            </w:pPr>
            <w:r>
              <w:t xml:space="preserve">Crème aux peptides en tant que cosmétique</w:t>
            </w:r>
          </w:p>
        </w:tc>
        <w:tc>
          <w:tcPr/>
          <w:p>
            <w:pPr>
              <w:pStyle w:val="Compact"/>
              <w:jc w:val="left"/>
            </w:pPr>
            <w:r>
              <w:t xml:space="preserve">légal, à condition d’être sûre et de ne pas être promue comme remède</w:t>
            </w:r>
          </w:p>
        </w:tc>
      </w:tr>
      <w:tr>
        <w:tc>
          <w:tcPr/>
          <w:p>
            <w:pPr>
              <w:pStyle w:val="Compact"/>
              <w:jc w:val="left"/>
            </w:pPr>
            <w:r>
              <w:t xml:space="preserve">Peptide interdit dans le sport contrôlé</w:t>
            </w:r>
          </w:p>
        </w:tc>
        <w:tc>
          <w:tcPr/>
          <w:p>
            <w:pPr>
              <w:pStyle w:val="Compact"/>
              <w:jc w:val="left"/>
            </w:pPr>
            <w:r>
              <w:t xml:space="preserve">violation des règles antidopage, parfois punissable</w:t>
            </w:r>
          </w:p>
        </w:tc>
      </w:tr>
    </w:tbl>
    <w:bookmarkEnd w:id="227"/>
    <w:bookmarkStart w:id="228" w:name="lessentiel-en-bref-4"/>
    <w:p>
      <w:pPr>
        <w:pStyle w:val="Heading3"/>
      </w:pPr>
      <w:r>
        <w:t xml:space="preserve">L’essentiel en bref</w:t>
      </w:r>
    </w:p>
    <w:p>
      <w:pPr>
        <w:numPr>
          <w:ilvl w:val="0"/>
          <w:numId w:val="1034"/>
        </w:numPr>
        <w:pStyle w:val="Compact"/>
      </w:pPr>
      <w:r>
        <w:t xml:space="preserve">Qu’un peptide soit un médicament, une denrée alimentaire ou un cosmétique dépend de son effet, de sa destination et de sa présentation. En cas d’effet pharmacologique, le droit du médicament prévaut.</w:t>
      </w:r>
    </w:p>
    <w:p>
      <w:pPr>
        <w:numPr>
          <w:ilvl w:val="0"/>
          <w:numId w:val="1034"/>
        </w:numPr>
        <w:pStyle w:val="Compact"/>
      </w:pPr>
      <w:r>
        <w:t xml:space="preserve">Les médicaments nécessitent une autorisation. La plupart des médicaments peptidiques sont soumis à prescription.</w:t>
      </w:r>
    </w:p>
    <w:p>
      <w:pPr>
        <w:numPr>
          <w:ilvl w:val="0"/>
          <w:numId w:val="1034"/>
        </w:numPr>
        <w:pStyle w:val="Compact"/>
      </w:pPr>
      <w:r>
        <w:t xml:space="preserve">La mention « uniquement à des fins de recherche » ne rend pas la vente aux particuliers légale et ne les protège pas.</w:t>
      </w:r>
    </w:p>
    <w:p>
      <w:pPr>
        <w:numPr>
          <w:ilvl w:val="0"/>
          <w:numId w:val="1034"/>
        </w:numPr>
        <w:pStyle w:val="Compact"/>
      </w:pPr>
      <w:r>
        <w:t xml:space="preserve">De nombreux peptides du marché gris sont interdits dans le sport, souvent au titre des sections S0 et S2 de la liste de l’AMA.</w:t>
      </w:r>
    </w:p>
    <w:p>
      <w:pPr>
        <w:numPr>
          <w:ilvl w:val="0"/>
          <w:numId w:val="1034"/>
        </w:numPr>
        <w:pStyle w:val="Compact"/>
      </w:pPr>
      <w:r>
        <w:t xml:space="preserve">Pour les produits du marché gris, les utilisatrices et utilisateurs supportent en grande partie seuls le risque.</w:t>
      </w:r>
    </w:p>
    <w:p>
      <w:pPr>
        <w:pStyle w:val="FirstParagraph"/>
      </w:pPr>
      <w:r>
        <w:t xml:space="preserve">Toutes les indications de ce chapitre : état 2026, pas de conseil juridique, à vérifier.</w:t>
      </w:r>
    </w:p>
    <w:bookmarkEnd w:id="228"/>
    <w:bookmarkEnd w:id="229"/>
    <w:bookmarkEnd w:id="230"/>
    <w:bookmarkStart w:id="892" w:name="partie-ii-a-métabolisme-et-poids"/>
    <w:p>
      <w:pPr>
        <w:pStyle w:val="Heading1"/>
      </w:pPr>
      <w:r>
        <w:t xml:space="preserve">Partie II · A – Métabolisme et poids</w:t>
      </w:r>
    </w:p>
    <w:p>
      <w:pPr>
        <w:pStyle w:val="FirstParagraph"/>
      </w:pPr>
      <w:r>
        <w:t xml:space="preserve">Aucun groupe de peptides n’a autant transformé la médecine ces dernières années que les substances de cette section. Développées à l’origine pour le diabète de type 2, elles sont ensuite devenues les médicaments amaigrissants les plus efficaces qui aient jamais existé, et elles sont désormais étudiées dans l’insuffisance cardiaque, l’apnée du sommeil, la stéatose hépatique et les maladies rénales. Dans le même temps, peu de domaines sont aussi touchés par le marché gris : des substances encore à l’étude sont vendues sur Internet comme « Research Peptides ».</w:t>
      </w:r>
    </w:p>
    <w:bookmarkStart w:id="231" w:name="X85be9525894a33b06bc76be80df6b36b6023ba3"/>
    <w:p>
      <w:pPr>
        <w:pStyle w:val="Heading3"/>
      </w:pPr>
      <w:r>
        <w:t xml:space="preserve">Ce qui relie ces substances : des hormones de l’intestin et du pancréas</w:t>
      </w:r>
    </w:p>
    <w:p>
      <w:pPr>
        <w:pStyle w:val="FirstParagraph"/>
      </w:pPr>
      <w:r>
        <w:t xml:space="preserve">Presque toutes les substances de ce groupe imitent des hormones que l’organisme sécrète autour d’un repas. Quatre d’entre elles méritent d’être connues :</w:t>
      </w:r>
    </w:p>
    <w:p>
      <w:pPr>
        <w:numPr>
          <w:ilvl w:val="0"/>
          <w:numId w:val="1035"/>
        </w:numPr>
        <w:pStyle w:val="Compact"/>
      </w:pPr>
      <w:r>
        <w:t xml:space="preserve">Le</w:t>
      </w:r>
      <w:r>
        <w:t xml:space="preserve"> </w:t>
      </w:r>
      <w:r>
        <w:rPr>
          <w:bCs/>
          <w:b/>
        </w:rPr>
        <w:t xml:space="preserve">GLP-1 (glucagon-like peptide-1)</w:t>
      </w:r>
      <w:r>
        <w:t xml:space="preserve"> </w:t>
      </w:r>
      <w:r>
        <w:t xml:space="preserve">est libéré par des cellules de l’intestin grêle et du côlon dès que la nourriture arrive. Il renforce la sécrétion d’insuline – mais seulement lorsque la glycémie est élevée –, ralentit la vidange gastrique et signale la satiété au cerveau. Le GLP-1 produit par l’organisme est dégradé en quelques minutes ; les médicaments sont modifiés de manière à agir d’un jour à une semaine.</w:t>
      </w:r>
    </w:p>
    <w:p>
      <w:pPr>
        <w:numPr>
          <w:ilvl w:val="0"/>
          <w:numId w:val="1035"/>
        </w:numPr>
        <w:pStyle w:val="Compact"/>
      </w:pPr>
      <w:r>
        <w:t xml:space="preserve">Le</w:t>
      </w:r>
      <w:r>
        <w:t xml:space="preserve"> </w:t>
      </w:r>
      <w:r>
        <w:rPr>
          <w:bCs/>
          <w:b/>
        </w:rPr>
        <w:t xml:space="preserve">GIP (polypeptide insulinotrope dépendant du glucose)</w:t>
      </w:r>
      <w:r>
        <w:t xml:space="preserve"> </w:t>
      </w:r>
      <w:r>
        <w:t xml:space="preserve">provient de la partie haute de l’intestin grêle et renforce lui aussi la sécrétion d’insuline. Son rôle dans l’appétit et le poids corporel est contradictoire : le tirzépatide active le récepteur du GIP, le maridebart cafraglutide le bloque – et tous deux entraînent une perte de poids.</w:t>
      </w:r>
    </w:p>
    <w:p>
      <w:pPr>
        <w:numPr>
          <w:ilvl w:val="0"/>
          <w:numId w:val="1035"/>
        </w:numPr>
        <w:pStyle w:val="Compact"/>
      </w:pPr>
      <w:r>
        <w:t xml:space="preserve">Le</w:t>
      </w:r>
      <w:r>
        <w:t xml:space="preserve"> </w:t>
      </w:r>
      <w:r>
        <w:rPr>
          <w:bCs/>
          <w:b/>
        </w:rPr>
        <w:t xml:space="preserve">glucagon</w:t>
      </w:r>
      <w:r>
        <w:t xml:space="preserve"> </w:t>
      </w:r>
      <w:r>
        <w:t xml:space="preserve">est l’hormone pancréatique antagoniste de l’insuline. Il élève la glycémie, mais augmente aussi la dépense énergétique et la dégradation des graisses dans le foie. Des substances plus récentes exploitent délibérément ce second aspect.</w:t>
      </w:r>
    </w:p>
    <w:p>
      <w:pPr>
        <w:numPr>
          <w:ilvl w:val="0"/>
          <w:numId w:val="1035"/>
        </w:numPr>
        <w:pStyle w:val="Compact"/>
      </w:pPr>
      <w:r>
        <w:t xml:space="preserve">L’</w:t>
      </w:r>
      <w:r>
        <w:rPr>
          <w:bCs/>
          <w:b/>
        </w:rPr>
        <w:t xml:space="preserve">amyline</w:t>
      </w:r>
      <w:r>
        <w:t xml:space="preserve"> </w:t>
      </w:r>
      <w:r>
        <w:t xml:space="preserve">est sécrétée avec l’insuline par les cellules bêta du pancréas. Elle agit dans le tronc cérébral en favorisant la satiété et ralentit la vidange gastrique.</w:t>
      </w:r>
    </w:p>
    <w:p>
      <w:pPr>
        <w:pStyle w:val="FirstParagraph"/>
      </w:pPr>
      <w:r>
        <w:t xml:space="preserve">Le GLP-1 et le GIP sont appelés</w:t>
      </w:r>
      <w:r>
        <w:t xml:space="preserve"> </w:t>
      </w:r>
      <w:r>
        <w:rPr>
          <w:bCs/>
          <w:b/>
        </w:rPr>
        <w:t xml:space="preserve">incrétines</w:t>
      </w:r>
      <w:r>
        <w:t xml:space="preserve"> </w:t>
      </w:r>
      <w:r>
        <w:t xml:space="preserve">(de l’anglais « INtestinal seCRETion of INsulin », c’est-à-dire une sécrétion d’insuline déclenchée par l’intestin) : ils expliquent pourquoi le sucre ingéré libère plus d’insuline que la même quantité de sucre injectée directement dans une veine. Le développement peut se lire comme une succession d’étapes : d’abord des agonistes purs du GLP-1, puis des associations avec le GIP, le glucagon ou l’amyline dans une seule molécule, enfin des comprimés qui ne sont même plus des peptides.</w:t>
      </w:r>
    </w:p>
    <w:p>
      <w:pPr>
        <w:pStyle w:val="BodyText"/>
      </w:pPr>
      <w:r>
        <w:t xml:space="preserve">Deux substances de ce groupe n’entrent pas dans ce schéma : le</w:t>
      </w:r>
      <w:r>
        <w:t xml:space="preserve"> </w:t>
      </w:r>
      <w:r>
        <w:rPr>
          <w:bCs/>
          <w:b/>
        </w:rPr>
        <w:t xml:space="preserve">setmélanotide</w:t>
      </w:r>
      <w:r>
        <w:t xml:space="preserve"> </w:t>
      </w:r>
      <w:r>
        <w:t xml:space="preserve">agit plus profondément dans le cerveau, sur le récepteur de la mélanocortine 4, et n’est destiné qu’à de rares formes génétiques d’obésité. L’</w:t>
      </w:r>
      <w:r>
        <w:rPr>
          <w:bCs/>
          <w:b/>
        </w:rPr>
        <w:t xml:space="preserve">AOD-9604</w:t>
      </w:r>
      <w:r>
        <w:t xml:space="preserve"> </w:t>
      </w:r>
      <w:r>
        <w:t xml:space="preserve">est un fragment de l’hormone de croissance commercialisé comme « brûleur de graisse » sans qu’aucune étude chez l’humain n’ait été publiée.</w:t>
      </w:r>
    </w:p>
    <w:bookmarkEnd w:id="231"/>
    <w:bookmarkStart w:id="232" w:name="vue-densemble"/>
    <w:p>
      <w:pPr>
        <w:pStyle w:val="Heading3"/>
      </w:pPr>
      <w:r>
        <w:t xml:space="preserve">Vue d’ensemble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Preuve</w:t>
            </w:r>
          </w:p>
        </w:tc>
        <w:tc>
          <w:tcPr/>
          <w:p>
            <w:pPr>
              <w:pStyle w:val="Compact"/>
              <w:jc w:val="left"/>
            </w:pPr>
            <w:r>
              <w:t xml:space="preserve">Autorisation</w:t>
            </w:r>
          </w:p>
        </w:tc>
        <w:tc>
          <w:tcPr/>
          <w:p>
            <w:pPr>
              <w:pStyle w:val="Compact"/>
              <w:jc w:val="left"/>
            </w:pPr>
            <w:r>
              <w:t xml:space="preserve">En bref</w:t>
            </w:r>
          </w:p>
        </w:tc>
      </w:tr>
      <w:tr>
        <w:tc>
          <w:tcPr/>
          <w:p>
            <w:pPr>
              <w:pStyle w:val="Compact"/>
              <w:jc w:val="left"/>
            </w:pPr>
            <w:r>
              <w:t xml:space="preserve">Exénatide</w:t>
            </w:r>
          </w:p>
        </w:tc>
        <w:tc>
          <w:tcPr/>
          <w:p>
            <w:pPr>
              <w:pStyle w:val="Compact"/>
              <w:jc w:val="left"/>
            </w:pPr>
            <w:r>
              <w:t xml:space="preserve">A</w:t>
            </w:r>
          </w:p>
        </w:tc>
        <w:tc>
          <w:tcPr/>
          <w:p>
            <w:pPr>
              <w:pStyle w:val="Compact"/>
              <w:jc w:val="left"/>
            </w:pPr>
            <w:r>
              <w:t xml:space="preserve">UE, États-Unis</w:t>
            </w:r>
          </w:p>
        </w:tc>
        <w:tc>
          <w:tcPr/>
          <w:p>
            <w:pPr>
              <w:pStyle w:val="Compact"/>
              <w:jc w:val="left"/>
            </w:pPr>
            <w:r>
              <w:t xml:space="preserve">premier agoniste du GLP-1, issu de venin de lézard</w:t>
            </w:r>
          </w:p>
        </w:tc>
      </w:tr>
      <w:tr>
        <w:tc>
          <w:tcPr/>
          <w:p>
            <w:pPr>
              <w:pStyle w:val="Compact"/>
              <w:jc w:val="left"/>
            </w:pPr>
            <w:r>
              <w:t xml:space="preserve">Liraglutide</w:t>
            </w:r>
          </w:p>
        </w:tc>
        <w:tc>
          <w:tcPr/>
          <w:p>
            <w:pPr>
              <w:pStyle w:val="Compact"/>
              <w:jc w:val="left"/>
            </w:pPr>
            <w:r>
              <w:t xml:space="preserve">A</w:t>
            </w:r>
          </w:p>
        </w:tc>
        <w:tc>
          <w:tcPr/>
          <w:p>
            <w:pPr>
              <w:pStyle w:val="Compact"/>
              <w:jc w:val="left"/>
            </w:pPr>
            <w:r>
              <w:t xml:space="preserve">UE, États-Unis</w:t>
            </w:r>
          </w:p>
        </w:tc>
        <w:tc>
          <w:tcPr/>
          <w:p>
            <w:pPr>
              <w:pStyle w:val="Compact"/>
              <w:jc w:val="left"/>
            </w:pPr>
            <w:r>
              <w:t xml:space="preserve">injection quotidienne, génériques</w:t>
            </w:r>
          </w:p>
        </w:tc>
      </w:tr>
      <w:tr>
        <w:tc>
          <w:tcPr/>
          <w:p>
            <w:pPr>
              <w:pStyle w:val="Compact"/>
              <w:jc w:val="left"/>
            </w:pPr>
            <w:r>
              <w:t xml:space="preserve">Dulaglutide</w:t>
            </w:r>
          </w:p>
        </w:tc>
        <w:tc>
          <w:tcPr/>
          <w:p>
            <w:pPr>
              <w:pStyle w:val="Compact"/>
              <w:jc w:val="left"/>
            </w:pPr>
            <w:r>
              <w:t xml:space="preserve">A</w:t>
            </w:r>
          </w:p>
        </w:tc>
        <w:tc>
          <w:tcPr/>
          <w:p>
            <w:pPr>
              <w:pStyle w:val="Compact"/>
              <w:jc w:val="left"/>
            </w:pPr>
            <w:r>
              <w:t xml:space="preserve">UE, États-Unis</w:t>
            </w:r>
          </w:p>
        </w:tc>
        <w:tc>
          <w:tcPr/>
          <w:p>
            <w:pPr>
              <w:pStyle w:val="Compact"/>
              <w:jc w:val="left"/>
            </w:pPr>
            <w:r>
              <w:t xml:space="preserve">hebdomadaire, fusion avec un anticorps</w:t>
            </w:r>
          </w:p>
        </w:tc>
      </w:tr>
      <w:tr>
        <w:tc>
          <w:tcPr/>
          <w:p>
            <w:pPr>
              <w:pStyle w:val="Compact"/>
              <w:jc w:val="left"/>
            </w:pPr>
            <w:r>
              <w:t xml:space="preserve">Sémaglutide</w:t>
            </w:r>
          </w:p>
        </w:tc>
        <w:tc>
          <w:tcPr/>
          <w:p>
            <w:pPr>
              <w:pStyle w:val="Compact"/>
              <w:jc w:val="left"/>
            </w:pPr>
            <w:r>
              <w:t xml:space="preserve">A</w:t>
            </w:r>
          </w:p>
        </w:tc>
        <w:tc>
          <w:tcPr/>
          <w:p>
            <w:pPr>
              <w:pStyle w:val="Compact"/>
              <w:jc w:val="left"/>
            </w:pPr>
            <w:r>
              <w:t xml:space="preserve">UE, États-Unis</w:t>
            </w:r>
          </w:p>
        </w:tc>
        <w:tc>
          <w:tcPr/>
          <w:p>
            <w:pPr>
              <w:pStyle w:val="Compact"/>
              <w:jc w:val="left"/>
            </w:pPr>
            <w:r>
              <w:t xml:space="preserve">injection et comprimé, protection cardiaque démontrée</w:t>
            </w:r>
          </w:p>
        </w:tc>
      </w:tr>
      <w:tr>
        <w:tc>
          <w:tcPr/>
          <w:p>
            <w:pPr>
              <w:pStyle w:val="Compact"/>
              <w:jc w:val="left"/>
            </w:pPr>
            <w:r>
              <w:t xml:space="preserve">Tirzépatide</w:t>
            </w:r>
          </w:p>
        </w:tc>
        <w:tc>
          <w:tcPr/>
          <w:p>
            <w:pPr>
              <w:pStyle w:val="Compact"/>
              <w:jc w:val="left"/>
            </w:pPr>
            <w:r>
              <w:t xml:space="preserve">A</w:t>
            </w:r>
          </w:p>
        </w:tc>
        <w:tc>
          <w:tcPr/>
          <w:p>
            <w:pPr>
              <w:pStyle w:val="Compact"/>
              <w:jc w:val="left"/>
            </w:pPr>
            <w:r>
              <w:t xml:space="preserve">UE, États-Unis</w:t>
            </w:r>
          </w:p>
        </w:tc>
        <w:tc>
          <w:tcPr/>
          <w:p>
            <w:pPr>
              <w:pStyle w:val="Compact"/>
              <w:jc w:val="left"/>
            </w:pPr>
            <w:r>
              <w:t xml:space="preserve">GIP plus GLP-1, référence en 2026</w:t>
            </w:r>
          </w:p>
        </w:tc>
      </w:tr>
      <w:tr>
        <w:tc>
          <w:tcPr/>
          <w:p>
            <w:pPr>
              <w:pStyle w:val="Compact"/>
              <w:jc w:val="left"/>
            </w:pPr>
            <w:r>
              <w:t xml:space="preserve">Rétatrutide</w:t>
            </w:r>
          </w:p>
        </w:tc>
        <w:tc>
          <w:tcPr/>
          <w:p>
            <w:pPr>
              <w:pStyle w:val="Compact"/>
              <w:jc w:val="left"/>
            </w:pPr>
            <w:r>
              <w:t xml:space="preserve">B</w:t>
            </w:r>
          </w:p>
        </w:tc>
        <w:tc>
          <w:tcPr/>
          <w:p>
            <w:pPr>
              <w:pStyle w:val="Compact"/>
              <w:jc w:val="left"/>
            </w:pPr>
            <w:r>
              <w:t xml:space="preserve">non</w:t>
            </w:r>
          </w:p>
        </w:tc>
        <w:tc>
          <w:tcPr/>
          <w:p>
            <w:pPr>
              <w:pStyle w:val="Compact"/>
              <w:jc w:val="left"/>
            </w:pPr>
            <w:r>
              <w:t xml:space="preserve">GIP, GLP-1 et glucagon</w:t>
            </w:r>
          </w:p>
        </w:tc>
      </w:tr>
      <w:tr>
        <w:tc>
          <w:tcPr/>
          <w:p>
            <w:pPr>
              <w:pStyle w:val="Compact"/>
              <w:jc w:val="left"/>
            </w:pPr>
            <w:r>
              <w:t xml:space="preserve">Survodutide</w:t>
            </w:r>
          </w:p>
        </w:tc>
        <w:tc>
          <w:tcPr/>
          <w:p>
            <w:pPr>
              <w:pStyle w:val="Compact"/>
              <w:jc w:val="left"/>
            </w:pPr>
            <w:r>
              <w:t xml:space="preserve">B</w:t>
            </w:r>
          </w:p>
        </w:tc>
        <w:tc>
          <w:tcPr/>
          <w:p>
            <w:pPr>
              <w:pStyle w:val="Compact"/>
              <w:jc w:val="left"/>
            </w:pPr>
            <w:r>
              <w:t xml:space="preserve">non</w:t>
            </w:r>
          </w:p>
        </w:tc>
        <w:tc>
          <w:tcPr/>
          <w:p>
            <w:pPr>
              <w:pStyle w:val="Compact"/>
              <w:jc w:val="left"/>
            </w:pPr>
            <w:r>
              <w:t xml:space="preserve">glucagon plus GLP-1, axé sur le foie</w:t>
            </w:r>
          </w:p>
        </w:tc>
      </w:tr>
      <w:tr>
        <w:tc>
          <w:tcPr/>
          <w:p>
            <w:pPr>
              <w:pStyle w:val="Compact"/>
              <w:jc w:val="left"/>
            </w:pPr>
            <w:r>
              <w:t xml:space="preserve">Mazdutide</w:t>
            </w:r>
          </w:p>
        </w:tc>
        <w:tc>
          <w:tcPr/>
          <w:p>
            <w:pPr>
              <w:pStyle w:val="Compact"/>
              <w:jc w:val="left"/>
            </w:pPr>
            <w:r>
              <w:t xml:space="preserve">A</w:t>
            </w:r>
          </w:p>
        </w:tc>
        <w:tc>
          <w:tcPr/>
          <w:p>
            <w:pPr>
              <w:pStyle w:val="Compact"/>
              <w:jc w:val="left"/>
            </w:pPr>
            <w:r>
              <w:t xml:space="preserve">Chine uniquement</w:t>
            </w:r>
          </w:p>
        </w:tc>
        <w:tc>
          <w:tcPr/>
          <w:p>
            <w:pPr>
              <w:pStyle w:val="Compact"/>
              <w:jc w:val="left"/>
            </w:pPr>
            <w:r>
              <w:t xml:space="preserve">glucagon plus GLP-1</w:t>
            </w:r>
          </w:p>
        </w:tc>
      </w:tr>
      <w:tr>
        <w:tc>
          <w:tcPr/>
          <w:p>
            <w:pPr>
              <w:pStyle w:val="Compact"/>
              <w:jc w:val="left"/>
            </w:pPr>
            <w:r>
              <w:t xml:space="preserve">Cagrilintide / CagriSema</w:t>
            </w:r>
          </w:p>
        </w:tc>
        <w:tc>
          <w:tcPr/>
          <w:p>
            <w:pPr>
              <w:pStyle w:val="Compact"/>
              <w:jc w:val="left"/>
            </w:pPr>
            <w:r>
              <w:t xml:space="preserve">B</w:t>
            </w:r>
          </w:p>
        </w:tc>
        <w:tc>
          <w:tcPr/>
          <w:p>
            <w:pPr>
              <w:pStyle w:val="Compact"/>
              <w:jc w:val="left"/>
            </w:pPr>
            <w:r>
              <w:t xml:space="preserve">non</w:t>
            </w:r>
          </w:p>
        </w:tc>
        <w:tc>
          <w:tcPr/>
          <w:p>
            <w:pPr>
              <w:pStyle w:val="Compact"/>
              <w:jc w:val="left"/>
            </w:pPr>
            <w:r>
              <w:t xml:space="preserve">amyline, associée au sémaglutide</w:t>
            </w:r>
          </w:p>
        </w:tc>
      </w:tr>
      <w:tr>
        <w:tc>
          <w:tcPr/>
          <w:p>
            <w:pPr>
              <w:pStyle w:val="Compact"/>
              <w:jc w:val="left"/>
            </w:pPr>
            <w:r>
              <w:t xml:space="preserve">Amycrétine (zénagamtide)</w:t>
            </w:r>
          </w:p>
        </w:tc>
        <w:tc>
          <w:tcPr/>
          <w:p>
            <w:pPr>
              <w:pStyle w:val="Compact"/>
              <w:jc w:val="left"/>
            </w:pPr>
            <w:r>
              <w:t xml:space="preserve">B</w:t>
            </w:r>
          </w:p>
        </w:tc>
        <w:tc>
          <w:tcPr/>
          <w:p>
            <w:pPr>
              <w:pStyle w:val="Compact"/>
              <w:jc w:val="left"/>
            </w:pPr>
            <w:r>
              <w:t xml:space="preserve">non</w:t>
            </w:r>
          </w:p>
        </w:tc>
        <w:tc>
          <w:tcPr/>
          <w:p>
            <w:pPr>
              <w:pStyle w:val="Compact"/>
              <w:jc w:val="left"/>
            </w:pPr>
            <w:r>
              <w:t xml:space="preserve">amyline et GLP-1 dans une seule molécule</w:t>
            </w:r>
          </w:p>
        </w:tc>
      </w:tr>
      <w:tr>
        <w:tc>
          <w:tcPr/>
          <w:p>
            <w:pPr>
              <w:pStyle w:val="Compact"/>
              <w:jc w:val="left"/>
            </w:pPr>
            <w:r>
              <w:t xml:space="preserve">Maridebart cafraglutide</w:t>
            </w:r>
          </w:p>
        </w:tc>
        <w:tc>
          <w:tcPr/>
          <w:p>
            <w:pPr>
              <w:pStyle w:val="Compact"/>
              <w:jc w:val="left"/>
            </w:pPr>
            <w:r>
              <w:t xml:space="preserve">B</w:t>
            </w:r>
          </w:p>
        </w:tc>
        <w:tc>
          <w:tcPr/>
          <w:p>
            <w:pPr>
              <w:pStyle w:val="Compact"/>
              <w:jc w:val="left"/>
            </w:pPr>
            <w:r>
              <w:t xml:space="preserve">non</w:t>
            </w:r>
          </w:p>
        </w:tc>
        <w:tc>
          <w:tcPr/>
          <w:p>
            <w:pPr>
              <w:pStyle w:val="Compact"/>
              <w:jc w:val="left"/>
            </w:pPr>
            <w:r>
              <w:t xml:space="preserve">bloqueur du GIP, administration mensuelle</w:t>
            </w:r>
          </w:p>
        </w:tc>
      </w:tr>
      <w:tr>
        <w:tc>
          <w:tcPr/>
          <w:p>
            <w:pPr>
              <w:pStyle w:val="Compact"/>
              <w:jc w:val="left"/>
            </w:pPr>
            <w:r>
              <w:t xml:space="preserve">Pramlintide</w:t>
            </w:r>
          </w:p>
        </w:tc>
        <w:tc>
          <w:tcPr/>
          <w:p>
            <w:pPr>
              <w:pStyle w:val="Compact"/>
              <w:jc w:val="left"/>
            </w:pPr>
            <w:r>
              <w:t xml:space="preserve">A</w:t>
            </w:r>
          </w:p>
        </w:tc>
        <w:tc>
          <w:tcPr/>
          <w:p>
            <w:pPr>
              <w:pStyle w:val="Compact"/>
              <w:jc w:val="left"/>
            </w:pPr>
            <w:r>
              <w:t xml:space="preserve">États-Unis uniquement</w:t>
            </w:r>
          </w:p>
        </w:tc>
        <w:tc>
          <w:tcPr/>
          <w:p>
            <w:pPr>
              <w:pStyle w:val="Compact"/>
              <w:jc w:val="left"/>
            </w:pPr>
            <w:r>
              <w:t xml:space="preserve">premier médicament à base d’amyline</w:t>
            </w:r>
          </w:p>
        </w:tc>
      </w:tr>
      <w:tr>
        <w:tc>
          <w:tcPr/>
          <w:p>
            <w:pPr>
              <w:pStyle w:val="Compact"/>
              <w:jc w:val="left"/>
            </w:pPr>
            <w:r>
              <w:t xml:space="preserve">Setmélanotide</w:t>
            </w:r>
          </w:p>
        </w:tc>
        <w:tc>
          <w:tcPr/>
          <w:p>
            <w:pPr>
              <w:pStyle w:val="Compact"/>
              <w:jc w:val="left"/>
            </w:pPr>
            <w:r>
              <w:t xml:space="preserve">A</w:t>
            </w:r>
          </w:p>
        </w:tc>
        <w:tc>
          <w:tcPr/>
          <w:p>
            <w:pPr>
              <w:pStyle w:val="Compact"/>
              <w:jc w:val="left"/>
            </w:pPr>
            <w:r>
              <w:t xml:space="preserve">UE, États-Unis</w:t>
            </w:r>
          </w:p>
        </w:tc>
        <w:tc>
          <w:tcPr/>
          <w:p>
            <w:pPr>
              <w:pStyle w:val="Compact"/>
              <w:jc w:val="left"/>
            </w:pPr>
            <w:r>
              <w:t xml:space="preserve">obésité génétique rare</w:t>
            </w:r>
          </w:p>
        </w:tc>
      </w:tr>
      <w:tr>
        <w:tc>
          <w:tcPr/>
          <w:p>
            <w:pPr>
              <w:pStyle w:val="Compact"/>
              <w:jc w:val="left"/>
            </w:pPr>
            <w:r>
              <w:t xml:space="preserve">AOD-9604</w:t>
            </w:r>
          </w:p>
        </w:tc>
        <w:tc>
          <w:tcPr/>
          <w:p>
            <w:pPr>
              <w:pStyle w:val="Compact"/>
              <w:jc w:val="left"/>
            </w:pPr>
            <w:r>
              <w:t xml:space="preserve">D</w:t>
            </w:r>
          </w:p>
        </w:tc>
        <w:tc>
          <w:tcPr/>
          <w:p>
            <w:pPr>
              <w:pStyle w:val="Compact"/>
              <w:jc w:val="left"/>
            </w:pPr>
            <w:r>
              <w:t xml:space="preserve">non</w:t>
            </w:r>
          </w:p>
        </w:tc>
        <w:tc>
          <w:tcPr/>
          <w:p>
            <w:pPr>
              <w:pStyle w:val="Compact"/>
              <w:jc w:val="left"/>
            </w:pPr>
            <w:r>
              <w:t xml:space="preserve">fragment d’hormone de croissance, marché gris</w:t>
            </w:r>
          </w:p>
        </w:tc>
      </w:tr>
      <w:tr>
        <w:tc>
          <w:tcPr/>
          <w:p>
            <w:pPr>
              <w:pStyle w:val="Compact"/>
              <w:jc w:val="left"/>
            </w:pPr>
            <w:r>
              <w:t xml:space="preserve">Orforglipron</w:t>
            </w:r>
          </w:p>
        </w:tc>
        <w:tc>
          <w:tcPr/>
          <w:p>
            <w:pPr>
              <w:pStyle w:val="Compact"/>
              <w:jc w:val="left"/>
            </w:pPr>
            <w:r>
              <w:t xml:space="preserve">A</w:t>
            </w:r>
          </w:p>
        </w:tc>
        <w:tc>
          <w:tcPr/>
          <w:p>
            <w:pPr>
              <w:pStyle w:val="Compact"/>
              <w:jc w:val="left"/>
            </w:pPr>
            <w:r>
              <w:t xml:space="preserve">en suspens</w:t>
            </w:r>
          </w:p>
        </w:tc>
        <w:tc>
          <w:tcPr/>
          <w:p>
            <w:pPr>
              <w:pStyle w:val="Compact"/>
              <w:jc w:val="left"/>
            </w:pPr>
            <w:r>
              <w:t xml:space="preserve">pas un peptide, comprimé (comparaison)</w:t>
            </w:r>
          </w:p>
        </w:tc>
      </w:tr>
    </w:tbl>
    <w:p>
      <w:pPr>
        <w:pStyle w:val="BodyText"/>
      </w:pPr>
      <w:r>
        <w:t xml:space="preserve">Les niveaux de preuve sont expliqués dans la partie I. Les indications d’autorisation correspondent à l’état d’octobre 2026 et à au moins une indication ; les détails figurent dans chaque chapitre. Veuillez vérifier la situation actuelle, car c’est précisément dans ce groupe que les autorisations évoluent rapidement.</w:t>
      </w:r>
    </w:p>
    <w:bookmarkEnd w:id="232"/>
    <w:bookmarkStart w:id="233" w:name="conseil-de-lecture"/>
    <w:p>
      <w:pPr>
        <w:pStyle w:val="Heading3"/>
      </w:pPr>
      <w:r>
        <w:t xml:space="preserve">Conseil de lecture</w:t>
      </w:r>
    </w:p>
    <w:p>
      <w:pPr>
        <w:pStyle w:val="FirstParagraph"/>
      </w:pPr>
      <w:r>
        <w:t xml:space="preserve">Les chapitres suivent à peu près l’évolution historique : des agonistes du GLP-1 établis (de l’exénatide au sémaglutide) aux substances combinées (du tirzépatide au maridebart cafraglutide), puis aux cas particuliers (pramlintide, setmélanotide, AOD-9604) et enfin à l’orforglipron, inclus à titre de comparaison en tant que non-peptide.</w:t>
      </w:r>
    </w:p>
    <w:p>
      <w:pPr>
        <w:pStyle w:val="BodyText"/>
      </w:pPr>
      <w:r>
        <w:t xml:space="preserve">Pour une vue d’ensemble rapide, commencez par le sémaglutide et le tirzépatide – c’est à eux que tous les autres sont comparés. Vous trouverez dans la partie III les comparaisons directes de la perte de poids, de la baisse de la glycémie, des résultats cardiovasculaires et des effets indésirables pour l’ensemble des substances. La partie IV traite en détail des risques de classe comme les problèmes de vésicule biliaire et de pancréas, la perte musculaire et les questions concernant la thyroïde.</w:t>
      </w:r>
    </w:p>
    <w:p>
      <w:pPr>
        <w:pStyle w:val="BodyText"/>
      </w:pPr>
      <w:r>
        <w:t xml:space="preserve">Deux principes valent pour l’ensemble du groupe : premièrement, les chapitres décrivent des résultats d’études, pas des modes d’emploi thérapeutiques – pour les médicaments autorisés, ce sont le résumé des caractéristiques du produit et l’accompagnement médical qui font foi. Deuxièmement, pour presque toutes les substances, une grande partie du poids perdu est reprise à l’arrêt du traitement. Ces médicaments agissent tant qu’ils sont pris ; ce ne sont pas des cures.</w:t>
      </w:r>
    </w:p>
    <w:bookmarkEnd w:id="233"/>
    <w:bookmarkStart w:id="288" w:name="exénatide"/>
    <w:p>
      <w:pPr>
        <w:pStyle w:val="Heading2"/>
      </w:pPr>
      <w:r>
        <w:t xml:space="preserve">Exénatide</w:t>
      </w:r>
    </w:p>
    <w:bookmarkStart w:id="235" w:name="fiche-signalétique"/>
    <w:p>
      <w:pPr>
        <w:pStyle w:val="Heading3"/>
      </w:pPr>
      <w:r>
        <w:t xml:space="preserve">Fiche signalétique</w:t>
      </w:r>
    </w:p>
    <w:p>
      <w:pPr>
        <w:numPr>
          <w:ilvl w:val="0"/>
          <w:numId w:val="1036"/>
        </w:numPr>
        <w:pStyle w:val="Compact"/>
      </w:pPr>
      <w:r>
        <w:rPr>
          <w:bCs/>
          <w:b/>
        </w:rPr>
        <w:t xml:space="preserve">Type/structure :</w:t>
      </w:r>
      <w:r>
        <w:t xml:space="preserve"> </w:t>
      </w:r>
      <w:r>
        <w:t xml:space="preserve">peptide de 39 acides aminés, forme synthétique de l’exendine-4. Environ la moitié de la séquence est identique à celle de l’hormone intestinale humaine GLP-1.</w:t>
      </w:r>
    </w:p>
    <w:p>
      <w:pPr>
        <w:numPr>
          <w:ilvl w:val="0"/>
          <w:numId w:val="1036"/>
        </w:numPr>
        <w:pStyle w:val="Compact"/>
      </w:pPr>
      <w:r>
        <w:rPr>
          <w:bCs/>
          <w:b/>
        </w:rPr>
        <w:t xml:space="preserve">Origine :</w:t>
      </w:r>
      <w:r>
        <w:t xml:space="preserve"> </w:t>
      </w:r>
      <w:r>
        <w:t xml:space="preserve">l’exendine-4 a été isolée en 1992 à partir du venin du monstre de Gila (</w:t>
      </w:r>
      <w:r>
        <w:rPr>
          <w:iCs/>
          <w:i/>
        </w:rPr>
        <w:t xml:space="preserve">Heloderma suspectum</w:t>
      </w:r>
      <w:r>
        <w:t xml:space="preserve">)</w:t>
      </w:r>
      <w:r>
        <w:rPr>
          <w:rStyle w:val="FootnoteReference"/>
        </w:rPr>
        <w:footnoteReference w:id="234"/>
      </w:r>
      <w:r>
        <w:t xml:space="preserve">.</w:t>
      </w:r>
    </w:p>
    <w:p>
      <w:pPr>
        <w:numPr>
          <w:ilvl w:val="0"/>
          <w:numId w:val="1036"/>
        </w:numPr>
        <w:pStyle w:val="Compact"/>
      </w:pPr>
      <w:r>
        <w:rPr>
          <w:bCs/>
          <w:b/>
        </w:rPr>
        <w:t xml:space="preserve">Principe d’action :</w:t>
      </w:r>
      <w:r>
        <w:t xml:space="preserve"> </w:t>
      </w:r>
      <w:r>
        <w:t xml:space="preserve">agoniste du récepteur du GLP-1. L’exénatide imite l’hormone de satiété et incrétine GLP-1, mais il est dégradé nettement plus lentement.</w:t>
      </w:r>
    </w:p>
    <w:p>
      <w:pPr>
        <w:numPr>
          <w:ilvl w:val="0"/>
          <w:numId w:val="1036"/>
        </w:numPr>
        <w:pStyle w:val="Compact"/>
      </w:pPr>
      <w:r>
        <w:rPr>
          <w:bCs/>
          <w:b/>
        </w:rPr>
        <w:t xml:space="preserve">Formes galéniques :</w:t>
      </w:r>
      <w:r>
        <w:t xml:space="preserve"> </w:t>
      </w:r>
      <w:r>
        <w:t xml:space="preserve">deux fois par jour (Byetta) et une fois par semaine sous forme retard à microsphères (Bydureon, plus tard en stylo prérempli ou auto-injecteur). Dans des études, en outre : implant à pompe (ITCA 650) et variantes pégylées (PB-119, NLY01).</w:t>
      </w:r>
    </w:p>
    <w:p>
      <w:pPr>
        <w:numPr>
          <w:ilvl w:val="0"/>
          <w:numId w:val="1036"/>
        </w:numPr>
        <w:pStyle w:val="Compact"/>
      </w:pPr>
      <w:r>
        <w:rPr>
          <w:bCs/>
          <w:b/>
        </w:rPr>
        <w:t xml:space="preserve">Autorisation UE :</w:t>
      </w:r>
      <w:r>
        <w:t xml:space="preserve"> </w:t>
      </w:r>
      <w:r>
        <w:t xml:space="preserve">oui, pour le traitement du diabète de type 2 (Byetta, Bydureon). Pas d’autorisation pour la perte de poids.</w:t>
      </w:r>
    </w:p>
    <w:p>
      <w:pPr>
        <w:numPr>
          <w:ilvl w:val="0"/>
          <w:numId w:val="1036"/>
        </w:numPr>
        <w:pStyle w:val="Compact"/>
      </w:pPr>
      <w:r>
        <w:rPr>
          <w:bCs/>
          <w:b/>
        </w:rPr>
        <w:t xml:space="preserve">Autorisation États-Unis :</w:t>
      </w:r>
      <w:r>
        <w:t xml:space="preserve"> </w:t>
      </w:r>
      <w:r>
        <w:t xml:space="preserve">oui, diabète de type 2 (Byetta en 2005, premier agoniste du récepteur du GLP-1 de l’histoire, Bydureon/Bydureon BCise), la forme hebdomadaire aussi pour les adolescents à partir de 10 ans. Il existe désormais aussi dans ce pays des copies de la forme biquotidienne. La disponibilité de certaines préparations varie – à vérifier.</w:t>
      </w:r>
    </w:p>
    <w:p>
      <w:pPr>
        <w:numPr>
          <w:ilvl w:val="0"/>
          <w:numId w:val="1036"/>
        </w:numPr>
        <w:pStyle w:val="Compact"/>
      </w:pPr>
      <w:r>
        <w:rPr>
          <w:bCs/>
          <w:b/>
        </w:rPr>
        <w:t xml:space="preserve">AMA :</w:t>
      </w:r>
      <w:r>
        <w:t xml:space="preserve"> </w:t>
      </w:r>
      <w:r>
        <w:t xml:space="preserve">non listé.</w:t>
      </w:r>
    </w:p>
    <w:p>
      <w:pPr>
        <w:numPr>
          <w:ilvl w:val="0"/>
          <w:numId w:val="1036"/>
        </w:numPr>
        <w:pStyle w:val="Compact"/>
      </w:pPr>
      <w:r>
        <w:rPr>
          <w:bCs/>
          <w:b/>
        </w:rPr>
        <w:t xml:space="preserve">Niveau de preuve :</w:t>
      </w:r>
      <w:r>
        <w:t xml:space="preserve"> </w:t>
      </w:r>
      <w:r>
        <w:rPr>
          <w:bCs/>
          <w:b/>
        </w:rPr>
        <w:t xml:space="preserve">A</w:t>
      </w:r>
      <w:r>
        <w:t xml:space="preserve"> </w:t>
      </w:r>
      <w:r>
        <w:t xml:space="preserve">– nombreuses grandes études randomisées, une grande étude cardiovasculaire sur critères cliniques, autorisation depuis 2005.</w:t>
      </w:r>
    </w:p>
    <w:bookmarkEnd w:id="235"/>
    <w:bookmarkStart w:id="236" w:name="mode-daction-supposé"/>
    <w:p>
      <w:pPr>
        <w:pStyle w:val="Heading3"/>
      </w:pPr>
      <w:r>
        <w:t xml:space="preserve">Mode d’action supposé</w:t>
      </w:r>
    </w:p>
    <w:p>
      <w:pPr>
        <w:pStyle w:val="FirstParagraph"/>
      </w:pPr>
      <w:r>
        <w:t xml:space="preserve">Après un repas, l’intestin sécrète l’hormone GLP-1 (glucagon-like peptide-1). Elle signale au pancréas de libérer davantage d’insuline – mais seulement tant que la glycémie est élevée. En même temps, elle freine le glucagon, hormone qui élève la glycémie, ralentit la vidange gastrique et agit dans le cerveau sur les centres qui régulent la faim et la satiété. Comme la libération d’insuline dépend du glucose, les agonistes du récepteur du GLP-1 utilisés seuls provoquent rarement des hypoglycémies.</w:t>
      </w:r>
    </w:p>
    <w:p>
      <w:pPr>
        <w:pStyle w:val="BodyText"/>
      </w:pPr>
      <w:r>
        <w:t xml:space="preserve">Le GLP-1 produit par l’organisme a toutefois un inconvénient décisif : l’enzyme DPP-4 le dégrade en deux minutes environ. Il est donc inutilisable comme médicament. L’exendine-4 issue du venin de lézard se lie elle aussi au récepteur du GLP-1, mais elle est largement insensible à la DPP-4. Cette découverte fortuite a fait de l’exénatide le premier représentant d’une classe de substances qui allait, deux décennies plus tard, transformer la médecine avec le sémaglutide et le tirzépatide.</w:t>
      </w:r>
    </w:p>
    <w:p>
      <w:pPr>
        <w:pStyle w:val="BodyText"/>
      </w:pPr>
      <w:r>
        <w:t xml:space="preserve">La forme d’origine n’agit que quelques heures et doit donc être injectée deux fois par jour avant les repas principaux. Elle réduit surtout l’élévation de la glycémie après le repas, notamment parce qu’elle ralentit nettement la vidange gastrique. La forme hebdomadaire enferme la même substance dans des microsphères de polymère biodégradable (PLGA) à partir desquelles elle est libérée lentement. Le taux reste ainsi plus constant ; l’effet sur la glycémie à jeun est plus fort, celui sur la vidange gastrique s’atténue quelque peu avec le temps.</w:t>
      </w:r>
    </w:p>
    <w:p>
      <w:pPr>
        <w:pStyle w:val="BodyText"/>
      </w:pPr>
      <w:r>
        <w:t xml:space="preserve">Une différence importante par rapport aux substances ultérieures : l’exénatide n’est semblable au GLP-1 humain qu’à environ moitié. Le système immunitaire le reconnaît donc plus souvent comme étranger et forme des anticorps. Chez la plupart des personnes traitées, cela reste sans conséquence ; chez une petite partie présentant des taux d’anticorps élevés, l’effet peut diminuer.</w:t>
      </w:r>
    </w:p>
    <w:bookmarkEnd w:id="236"/>
    <w:bookmarkStart w:id="264" w:name="études-chez-lhumain"/>
    <w:p>
      <w:pPr>
        <w:pStyle w:val="Heading3"/>
      </w:pPr>
      <w:r>
        <w:t xml:space="preserve">Études chez l’humain</w:t>
      </w:r>
    </w:p>
    <w:p>
      <w:pPr>
        <w:pStyle w:val="FirstParagraph"/>
      </w:pPr>
      <w:r>
        <w:t xml:space="preserve">Les données sur l’exénatide sont abondantes. La recherche PubMed analysée pour ce livre (terme « exenatide » dans le titre ou le résumé, date de recherche octobre 2026) a donné 437 études chez l’humain ; ClinicalTrials.gov recense 379 inscriptions concernant l’exénatide. Beaucoup sont de petites études de mécanisme ou d’association. Pour l’évaluation, trois groupes comptent surtout : les programmes d’autorisation AMIGO (forme biquotidienne) et DURATION (forme hebdomadaire), l’étude cardiovasculaire EXSCEL et une série d’études hors diabète, en particulier sur la maladie de Parkinson.</w:t>
      </w:r>
    </w:p>
    <w:bookmarkStart w:id="238" w:name="X7813b2cf73ef5622cf2702d149dd58c85711361"/>
    <w:p>
      <w:pPr>
        <w:pStyle w:val="Heading4"/>
      </w:pPr>
      <w:r>
        <w:t xml:space="preserve">Les études AMIGO : le lancement de la classe</w:t>
      </w:r>
    </w:p>
    <w:p>
      <w:pPr>
        <w:pStyle w:val="FirstParagraph"/>
      </w:pPr>
      <w:r>
        <w:t xml:space="preserve">Trois études contrôlées contre placebo d’une durée de 30 semaines chacune ont constitué la base de la première autorisation. Elles évaluaient l’exénatide deux fois par jour (5 ou 10 microgrammes par administration) en complément de comprimés existants.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 (bras 10 µg vs placebo)</w:t>
            </w:r>
          </w:p>
        </w:tc>
      </w:tr>
      <w:tr>
        <w:tc>
          <w:tcPr/>
          <w:p>
            <w:pPr>
              <w:pStyle w:val="Compact"/>
              <w:jc w:val="left"/>
            </w:pPr>
            <w:r>
              <w:t xml:space="preserve">Buse 2004, PMID 15504997</w:t>
            </w:r>
          </w:p>
        </w:tc>
        <w:tc>
          <w:tcPr/>
          <w:p>
            <w:pPr>
              <w:pStyle w:val="Compact"/>
              <w:jc w:val="left"/>
            </w:pPr>
            <w:r>
              <w:t xml:space="preserve">Diabète de type 2 sous sulfamide hypoglycémiant, ECR contre placebo</w:t>
            </w:r>
          </w:p>
        </w:tc>
        <w:tc>
          <w:tcPr/>
          <w:p>
            <w:pPr>
              <w:pStyle w:val="Compact"/>
              <w:jc w:val="left"/>
            </w:pPr>
            <w:r>
              <w:t xml:space="preserve">30 semaines</w:t>
            </w:r>
          </w:p>
        </w:tc>
        <w:tc>
          <w:tcPr/>
          <w:p>
            <w:pPr>
              <w:pStyle w:val="Compact"/>
              <w:jc w:val="left"/>
            </w:pPr>
            <w:r>
              <w:t xml:space="preserve">HbA1c −0,86 vs +0,12 point de pourcentage ; poids −1,6 kg</w:t>
            </w:r>
          </w:p>
        </w:tc>
      </w:tr>
      <w:tr>
        <w:tc>
          <w:tcPr/>
          <w:p>
            <w:pPr>
              <w:pStyle w:val="Compact"/>
              <w:jc w:val="left"/>
            </w:pPr>
            <w:r>
              <w:t xml:space="preserve">DeFronzo 2005, PMID 15855572</w:t>
            </w:r>
          </w:p>
        </w:tc>
        <w:tc>
          <w:tcPr/>
          <w:p>
            <w:pPr>
              <w:pStyle w:val="Compact"/>
              <w:jc w:val="left"/>
            </w:pPr>
            <w:r>
              <w:t xml:space="preserve">Diabète de type 2 sous metformine, ECR contre placebo</w:t>
            </w:r>
          </w:p>
        </w:tc>
        <w:tc>
          <w:tcPr/>
          <w:p>
            <w:pPr>
              <w:pStyle w:val="Compact"/>
              <w:jc w:val="left"/>
            </w:pPr>
            <w:r>
              <w:t xml:space="preserve">30 semaines</w:t>
            </w:r>
          </w:p>
        </w:tc>
        <w:tc>
          <w:tcPr/>
          <w:p>
            <w:pPr>
              <w:pStyle w:val="Compact"/>
              <w:jc w:val="left"/>
            </w:pPr>
            <w:r>
              <w:t xml:space="preserve">HbA1c −0,78 vs +0,08 ; poids −2,8 kg ; 46 % vs 13 % ont atteint une HbA1c ≤ 7 %</w:t>
            </w:r>
          </w:p>
        </w:tc>
      </w:tr>
      <w:tr>
        <w:tc>
          <w:tcPr/>
          <w:p>
            <w:pPr>
              <w:pStyle w:val="Compact"/>
              <w:jc w:val="left"/>
            </w:pPr>
            <w:r>
              <w:t xml:space="preserve">Kendall 2005, PMID 15855571</w:t>
            </w:r>
          </w:p>
        </w:tc>
        <w:tc>
          <w:tcPr/>
          <w:p>
            <w:pPr>
              <w:pStyle w:val="Compact"/>
              <w:jc w:val="left"/>
            </w:pPr>
            <w:r>
              <w:t xml:space="preserve">Diabète de type 2 sous metformine plus sulfamide, ECR</w:t>
            </w:r>
          </w:p>
        </w:tc>
        <w:tc>
          <w:tcPr/>
          <w:p>
            <w:pPr>
              <w:pStyle w:val="Compact"/>
              <w:jc w:val="left"/>
            </w:pPr>
            <w:r>
              <w:t xml:space="preserve">30 semaines</w:t>
            </w:r>
          </w:p>
        </w:tc>
        <w:tc>
          <w:tcPr/>
          <w:p>
            <w:pPr>
              <w:pStyle w:val="Compact"/>
              <w:jc w:val="left"/>
            </w:pPr>
            <w:r>
              <w:t xml:space="preserve">HbA1c −0,8 vs +0,2 ; hypoglycémies légères 28 % vs 13 %</w:t>
            </w:r>
          </w:p>
        </w:tc>
      </w:tr>
      <w:tr>
        <w:tc>
          <w:tcPr/>
          <w:p>
            <w:pPr>
              <w:pStyle w:val="Compact"/>
              <w:jc w:val="left"/>
            </w:pPr>
            <w:r>
              <w:t xml:space="preserve">Heine 2005, PMID 16230722</w:t>
            </w:r>
          </w:p>
        </w:tc>
        <w:tc>
          <w:tcPr/>
          <w:p>
            <w:pPr>
              <w:pStyle w:val="Compact"/>
              <w:jc w:val="left"/>
            </w:pPr>
            <w:r>
              <w:t xml:space="preserve">551 personnes, comparaison ouverte avec l’insuline glargine</w:t>
            </w:r>
          </w:p>
        </w:tc>
        <w:tc>
          <w:tcPr/>
          <w:p>
            <w:pPr>
              <w:pStyle w:val="Compact"/>
              <w:jc w:val="left"/>
            </w:pPr>
            <w:r>
              <w:t xml:space="preserve">26 semaines</w:t>
            </w:r>
          </w:p>
        </w:tc>
        <w:tc>
          <w:tcPr/>
          <w:p>
            <w:pPr>
              <w:pStyle w:val="Compact"/>
              <w:jc w:val="left"/>
            </w:pPr>
            <w:r>
              <w:t xml:space="preserve">HbA1c −1,11 dans les deux groupes ; poids −2,3 kg vs +1,8 kg</w:t>
            </w:r>
          </w:p>
        </w:tc>
      </w:tr>
    </w:tbl>
    <w:p>
      <w:pPr>
        <w:pStyle w:val="BodyText"/>
      </w:pPr>
      <w:r>
        <w:t xml:space="preserve">La valeur de l’HbA1c (hémoglobine glyquée) décrit la proportion d’hémoglobine « sucrée » et reflète la glycémie des deux à trois derniers mois. Une baisse de 0,8 à 1 point de pourcentage était alors considérée comme cliniquement significative. La nouveauté était que le poids n’augmentait pas, comme c’est habituellement le cas avec l’insuline ou les sulfamides, mais diminuait. L’étude de Kendall montre toutefois aussi qu’en association avec un sulfamide, qui libère de l’insuline indépendamment de la glycémie, les hypoglycémies légères augmentaient.</w:t>
      </w:r>
    </w:p>
    <w:p>
      <w:pPr>
        <w:pStyle w:val="BodyText"/>
      </w:pPr>
      <w:r>
        <w:t xml:space="preserve">En comparaison directe avec l’insuline glargine</w:t>
      </w:r>
      <w:r>
        <w:rPr>
          <w:rStyle w:val="FootnoteReference"/>
        </w:rPr>
        <w:footnoteReference w:id="237"/>
      </w:r>
      <w:r>
        <w:t xml:space="preserve">, les deux traitements ont abaissé l’HbA1c de manière identique. La différence de poids était de 4,1 kg en faveur de l’exénatide, les hypoglycémies nocturnes étaient plus rares (0,9 vs 2,4 événements par année-patient). Le prix à payer : des nausées sont survenues chez 57,1 % contre 8,6 %, des vomissements chez 17,4 % contre 3,7 %. 19,4 % du groupe exénatide ont abandonné l’étude, contre 9,7 % sous insuline.</w:t>
      </w:r>
    </w:p>
    <w:bookmarkEnd w:id="238"/>
    <w:bookmarkStart w:id="242" w:name="X836f5719b1c92a0ddbf3cf435fa94da5853e0f4"/>
    <w:p>
      <w:pPr>
        <w:pStyle w:val="Heading4"/>
      </w:pPr>
      <w:r>
        <w:t xml:space="preserve">Le programme DURATION : une fois par semaine</w:t>
      </w:r>
    </w:p>
    <w:p>
      <w:pPr>
        <w:pStyle w:val="FirstParagraph"/>
      </w:pPr>
      <w:r>
        <w:t xml:space="preserve">La forme hebdomadaire a été évaluée dans une série d’études baptisée DURATION – contre la forme biquotidienne, contre des comprimés, contre l’insuline et contre le liraglutide.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DURATION-1 (Drucker 2008), PMID 18782641</w:t>
            </w:r>
          </w:p>
        </w:tc>
        <w:tc>
          <w:tcPr/>
          <w:p>
            <w:pPr>
              <w:pStyle w:val="Compact"/>
              <w:jc w:val="left"/>
            </w:pPr>
            <w:r>
              <w:t xml:space="preserve">295 personnes, ouverte : exénatide hebdomadaire vs biquotidien</w:t>
            </w:r>
          </w:p>
        </w:tc>
        <w:tc>
          <w:tcPr/>
          <w:p>
            <w:pPr>
              <w:pStyle w:val="Compact"/>
              <w:jc w:val="left"/>
            </w:pPr>
            <w:r>
              <w:t xml:space="preserve">30 semaines</w:t>
            </w:r>
          </w:p>
        </w:tc>
        <w:tc>
          <w:tcPr/>
          <w:p>
            <w:pPr>
              <w:pStyle w:val="Compact"/>
              <w:jc w:val="left"/>
            </w:pPr>
            <w:r>
              <w:t xml:space="preserve">HbA1c −1,9 vs −1,5 ; valeur cible ≤ 7 % chez 77 % vs 61 %</w:t>
            </w:r>
          </w:p>
        </w:tc>
      </w:tr>
      <w:tr>
        <w:tc>
          <w:tcPr/>
          <w:p>
            <w:pPr>
              <w:pStyle w:val="Compact"/>
              <w:jc w:val="left"/>
            </w:pPr>
            <w:r>
              <w:t xml:space="preserve">DURATION-1, données à 5 ans (Wysham 2015), PMID 25744115</w:t>
            </w:r>
          </w:p>
        </w:tc>
        <w:tc>
          <w:tcPr/>
          <w:p>
            <w:pPr>
              <w:pStyle w:val="Compact"/>
              <w:jc w:val="left"/>
            </w:pPr>
            <w:r>
              <w:t xml:space="preserve">258 personnes dans la prolongation, 153 sont restées 5 ans</w:t>
            </w:r>
          </w:p>
        </w:tc>
        <w:tc>
          <w:tcPr/>
          <w:p>
            <w:pPr>
              <w:pStyle w:val="Compact"/>
              <w:jc w:val="left"/>
            </w:pPr>
            <w:r>
              <w:t xml:space="preserve">5 ans</w:t>
            </w:r>
          </w:p>
        </w:tc>
        <w:tc>
          <w:tcPr/>
          <w:p>
            <w:pPr>
              <w:pStyle w:val="Compact"/>
              <w:jc w:val="left"/>
            </w:pPr>
            <w:r>
              <w:t xml:space="preserve">HbA1c toujours −1,6 ; poids −3,0 kg</w:t>
            </w:r>
          </w:p>
        </w:tc>
      </w:tr>
      <w:tr>
        <w:tc>
          <w:tcPr/>
          <w:p>
            <w:pPr>
              <w:pStyle w:val="Compact"/>
              <w:jc w:val="left"/>
            </w:pPr>
            <w:r>
              <w:t xml:space="preserve">DURATION-2 (Bergenstal 2010), PMID 20580422</w:t>
            </w:r>
          </w:p>
        </w:tc>
        <w:tc>
          <w:tcPr/>
          <w:p>
            <w:pPr>
              <w:pStyle w:val="Compact"/>
              <w:jc w:val="left"/>
            </w:pPr>
            <w:r>
              <w:t xml:space="preserve">514 personnes sous metformine, vs sitagliptine ou pioglitazone</w:t>
            </w:r>
          </w:p>
        </w:tc>
        <w:tc>
          <w:tcPr/>
          <w:p>
            <w:pPr>
              <w:pStyle w:val="Compact"/>
              <w:jc w:val="left"/>
            </w:pPr>
            <w:r>
              <w:t xml:space="preserve">26 semaines</w:t>
            </w:r>
          </w:p>
        </w:tc>
        <w:tc>
          <w:tcPr/>
          <w:p>
            <w:pPr>
              <w:pStyle w:val="Compact"/>
              <w:jc w:val="left"/>
            </w:pPr>
            <w:r>
              <w:t xml:space="preserve">HbA1c −1,5 vs −0,9 ou −1,2 ; poids −2,3 kg</w:t>
            </w:r>
          </w:p>
        </w:tc>
      </w:tr>
      <w:tr>
        <w:tc>
          <w:tcPr/>
          <w:p>
            <w:pPr>
              <w:pStyle w:val="Compact"/>
              <w:jc w:val="left"/>
            </w:pPr>
            <w:r>
              <w:t xml:space="preserve">DURATION-3 (Diamant 2010), PMID 20609969</w:t>
            </w:r>
          </w:p>
        </w:tc>
        <w:tc>
          <w:tcPr/>
          <w:p>
            <w:pPr>
              <w:pStyle w:val="Compact"/>
              <w:jc w:val="left"/>
            </w:pPr>
            <w:r>
              <w:t xml:space="preserve">456 personnes, ouverte vs insuline glargine</w:t>
            </w:r>
          </w:p>
        </w:tc>
        <w:tc>
          <w:tcPr/>
          <w:p>
            <w:pPr>
              <w:pStyle w:val="Compact"/>
              <w:jc w:val="left"/>
            </w:pPr>
            <w:r>
              <w:t xml:space="preserve">26 semaines</w:t>
            </w:r>
          </w:p>
        </w:tc>
        <w:tc>
          <w:tcPr/>
          <w:p>
            <w:pPr>
              <w:pStyle w:val="Compact"/>
              <w:jc w:val="left"/>
            </w:pPr>
            <w:r>
              <w:t xml:space="preserve">HbA1c −1,5 vs −1,3 ; arrêt pour effets indésirables 5 % vs 1 %</w:t>
            </w:r>
          </w:p>
        </w:tc>
      </w:tr>
      <w:tr>
        <w:tc>
          <w:tcPr/>
          <w:p>
            <w:pPr>
              <w:pStyle w:val="Compact"/>
              <w:jc w:val="left"/>
            </w:pPr>
            <w:r>
              <w:t xml:space="preserve">DURATION-6 (Buse 2013), PMID 23141817</w:t>
            </w:r>
          </w:p>
        </w:tc>
        <w:tc>
          <w:tcPr/>
          <w:p>
            <w:pPr>
              <w:pStyle w:val="Compact"/>
              <w:jc w:val="left"/>
            </w:pPr>
            <w:r>
              <w:t xml:space="preserve">911 personnes, ouverte vs liraglutide quotidien</w:t>
            </w:r>
          </w:p>
        </w:tc>
        <w:tc>
          <w:tcPr/>
          <w:p>
            <w:pPr>
              <w:pStyle w:val="Compact"/>
              <w:jc w:val="left"/>
            </w:pPr>
            <w:r>
              <w:t xml:space="preserve">26 semaines</w:t>
            </w:r>
          </w:p>
        </w:tc>
        <w:tc>
          <w:tcPr/>
          <w:p>
            <w:pPr>
              <w:pStyle w:val="Compact"/>
              <w:jc w:val="left"/>
            </w:pPr>
            <w:r>
              <w:t xml:space="preserve">HbA1c −1,28 vs −1,48 ; non-infériorité non atteinte</w:t>
            </w:r>
          </w:p>
        </w:tc>
      </w:tr>
    </w:tbl>
    <w:p>
      <w:pPr>
        <w:pStyle w:val="BodyText"/>
      </w:pPr>
      <w:r>
        <w:t xml:space="preserve">Dans DURATION-1, la forme hebdomadaire a abaissé l’HbA1c davantage que la forme quotidienne, avec une perte de poids comparable et sans plus d’hypoglycémies. L’analyse à cinq ans est remarquable</w:t>
      </w:r>
      <w:r>
        <w:rPr>
          <w:rStyle w:val="FootnoteReference"/>
        </w:rPr>
        <w:footnoteReference w:id="239"/>
      </w:r>
      <w:r>
        <w:t xml:space="preserve"> </w:t>
      </w:r>
      <w:r>
        <w:t xml:space="preserve">: sur les 258 personnes de la phase de prolongation, 153 (59,3 %) sont restées cinq ans sous traitement. Chez elles, l’HbA1c restait 1,6 point de pourcentage sous la valeur initiale, et 43,9 % atteignaient une valeur inférieure à 7 %. Ces prolongations comportent toutefois un biais intrinsèque : les personnes qui répondaient mal ou avaient des effets indésirables ne sont souvent plus là.</w:t>
      </w:r>
    </w:p>
    <w:p>
      <w:pPr>
        <w:pStyle w:val="BodyText"/>
      </w:pPr>
      <w:r>
        <w:t xml:space="preserve">Dans DURATION-2</w:t>
      </w:r>
      <w:r>
        <w:rPr>
          <w:rStyle w:val="FootnoteReference"/>
        </w:rPr>
        <w:footnoteReference w:id="240"/>
      </w:r>
      <w:r>
        <w:t xml:space="preserve">, la forme hebdomadaire était supérieure à deux comprimés couramment utilisés à l’époque : la différence avec la sitagliptine était de 0,6 point de pourcentage, avec la pioglitazone de 0,3 point. Pour le poids, la différence avec la pioglitazone, qui entraîne plutôt une prise de poids, était de 5,1 kg. Dans DURATION-3</w:t>
      </w:r>
      <w:r>
        <w:rPr>
          <w:rStyle w:val="FootnoteReference"/>
        </w:rPr>
        <w:footnoteReference w:id="241"/>
      </w:r>
      <w:r>
        <w:t xml:space="preserve">, l’exénatide hebdomadaire était légèrement supérieur à l’insuline basale glargine (différence −0,16 point de pourcentage), mais davantage de personnes ont arrêté le traitement en raison d’effets indésirables.</w:t>
      </w:r>
    </w:p>
    <w:bookmarkEnd w:id="242"/>
    <w:bookmarkStart w:id="245" w:name="Xa7c0a080eaee6d146a7be9220b81bac1259e8cd"/>
    <w:p>
      <w:pPr>
        <w:pStyle w:val="Heading4"/>
      </w:pPr>
      <w:r>
        <w:t xml:space="preserve">Comparaisons directes au sein de la classe GLP-1</w:t>
      </w:r>
    </w:p>
    <w:p>
      <w:pPr>
        <w:pStyle w:val="FirstParagraph"/>
      </w:pPr>
      <w:r>
        <w:t xml:space="preserve">Pour situer l’exénatide, les études face à face avec des substances ultérieures sont particulièrement instructives. Elles montrent que l’exénatide est certes efficace, mais qu’il est dépassé par ses successeurs.</w:t>
      </w:r>
    </w:p>
    <w:p>
      <w:pPr>
        <w:pStyle w:val="BodyText"/>
      </w:pPr>
      <w:r>
        <w:t xml:space="preserve">Dans</w:t>
      </w:r>
      <w:r>
        <w:t xml:space="preserve"> </w:t>
      </w:r>
      <w:r>
        <w:rPr>
          <w:bCs/>
          <w:b/>
        </w:rPr>
        <w:t xml:space="preserve">DURATION-6</w:t>
      </w:r>
      <w:r>
        <w:rPr>
          <w:rStyle w:val="FootnoteReference"/>
        </w:rPr>
        <w:footnoteReference w:id="243"/>
      </w:r>
      <w:r>
        <w:t xml:space="preserve">, la forme hebdomadaire a été opposée au liraglutide une fois par jour. Le liraglutide a abaissé l’HbA1c de 1,48 point de pourcentage, l’exénatide de 1,28. La différence de 0,21 point n’a pas respecté la limite fixée à l’avance pour « pas moins bon ». En revanche, l’exénatide était mieux toléré : des nausées sont survenues chez 9 % contre 21 %, des diarrhées chez 6 % contre 13 %, des vomissements chez 4 % contre 11 %.</w:t>
      </w:r>
    </w:p>
    <w:p>
      <w:pPr>
        <w:pStyle w:val="BodyText"/>
      </w:pPr>
      <w:r>
        <w:t xml:space="preserve">Dans</w:t>
      </w:r>
      <w:r>
        <w:t xml:space="preserve"> </w:t>
      </w:r>
      <w:r>
        <w:rPr>
          <w:bCs/>
          <w:b/>
        </w:rPr>
        <w:t xml:space="preserve">SUSTAIN 3</w:t>
      </w:r>
      <w:r>
        <w:rPr>
          <w:rStyle w:val="FootnoteReference"/>
        </w:rPr>
        <w:footnoteReference w:id="244"/>
      </w:r>
      <w:r>
        <w:t xml:space="preserve">, l’exénatide hebdomadaire a nettement perdu sur 56 semaines face au sémaglutide hebdomadaire. L’HbA1c a baissé de 0,9 contre 1,5 point de pourcentage, le poids de 1,9 contre 5,6 kg. 40 % contre 67 % ont atteint une HbA1c inférieure à 7 %. Les troubles gastro-intestinaux étaient un peu moins fréquents sous exénatide (33,3 % vs 41,8 %), les réactions au point d’injection en revanche beaucoup plus fréquentes (22,0 % vs 1,2 %).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Comparaison</w:t>
            </w:r>
          </w:p>
        </w:tc>
        <w:tc>
          <w:tcPr/>
          <w:p>
            <w:pPr>
              <w:pStyle w:val="Compact"/>
              <w:jc w:val="left"/>
            </w:pPr>
            <w:r>
              <w:t xml:space="preserve">Plan</w:t>
            </w:r>
          </w:p>
        </w:tc>
        <w:tc>
          <w:tcPr/>
          <w:p>
            <w:pPr>
              <w:pStyle w:val="Compact"/>
              <w:jc w:val="left"/>
            </w:pPr>
            <w:r>
              <w:t xml:space="preserve">Durée</w:t>
            </w:r>
          </w:p>
        </w:tc>
        <w:tc>
          <w:tcPr/>
          <w:p>
            <w:pPr>
              <w:pStyle w:val="Compact"/>
              <w:jc w:val="left"/>
            </w:pPr>
            <w:r>
              <w:t xml:space="preserve">Résultat (exénatide hebdomadaire vs comparateur)</w:t>
            </w:r>
          </w:p>
        </w:tc>
      </w:tr>
      <w:tr>
        <w:tc>
          <w:tcPr/>
          <w:p>
            <w:pPr>
              <w:pStyle w:val="Compact"/>
              <w:jc w:val="left"/>
            </w:pPr>
            <w:r>
              <w:t xml:space="preserve">DURATION-6 (Buse 2013), PMID 23141817</w:t>
            </w:r>
          </w:p>
        </w:tc>
        <w:tc>
          <w:tcPr/>
          <w:p>
            <w:pPr>
              <w:pStyle w:val="Compact"/>
              <w:jc w:val="left"/>
            </w:pPr>
            <w:r>
              <w:t xml:space="preserve">911 personnes, ouverte vs liraglutide</w:t>
            </w:r>
          </w:p>
        </w:tc>
        <w:tc>
          <w:tcPr/>
          <w:p>
            <w:pPr>
              <w:pStyle w:val="Compact"/>
              <w:jc w:val="left"/>
            </w:pPr>
            <w:r>
              <w:t xml:space="preserve">26 semaines</w:t>
            </w:r>
          </w:p>
        </w:tc>
        <w:tc>
          <w:tcPr/>
          <w:p>
            <w:pPr>
              <w:pStyle w:val="Compact"/>
              <w:jc w:val="left"/>
            </w:pPr>
            <w:r>
              <w:t xml:space="preserve">HbA1c −1,28 vs −1,48 ; nausées 9 % vs 21 %</w:t>
            </w:r>
          </w:p>
        </w:tc>
      </w:tr>
      <w:tr>
        <w:tc>
          <w:tcPr/>
          <w:p>
            <w:pPr>
              <w:pStyle w:val="Compact"/>
              <w:jc w:val="left"/>
            </w:pPr>
            <w:r>
              <w:t xml:space="preserve">SUSTAIN 3 (Ahmann 2018), PMID 29246950</w:t>
            </w:r>
          </w:p>
        </w:tc>
        <w:tc>
          <w:tcPr/>
          <w:p>
            <w:pPr>
              <w:pStyle w:val="Compact"/>
              <w:jc w:val="left"/>
            </w:pPr>
            <w:r>
              <w:t xml:space="preserve">ouverte vs sémaglutide hebdomadaire</w:t>
            </w:r>
          </w:p>
        </w:tc>
        <w:tc>
          <w:tcPr/>
          <w:p>
            <w:pPr>
              <w:pStyle w:val="Compact"/>
              <w:jc w:val="left"/>
            </w:pPr>
            <w:r>
              <w:t xml:space="preserve">56 semaines</w:t>
            </w:r>
          </w:p>
        </w:tc>
        <w:tc>
          <w:tcPr/>
          <w:p>
            <w:pPr>
              <w:pStyle w:val="Compact"/>
              <w:jc w:val="left"/>
            </w:pPr>
            <w:r>
              <w:t xml:space="preserve">HbA1c −0,9 vs −1,5 ; poids −1,9 vs −5,6 kg</w:t>
            </w:r>
          </w:p>
        </w:tc>
      </w:tr>
    </w:tbl>
    <w:p>
      <w:pPr>
        <w:pStyle w:val="BodyText"/>
      </w:pPr>
      <w:r>
        <w:t xml:space="preserve">La comparaison avec le dulaglutide et le liraglutide deux fois par jour (études AWARD-1 et LEAD-6) est examinée dans les chapitres correspondants.</w:t>
      </w:r>
    </w:p>
    <w:p>
      <w:pPr>
        <w:pStyle w:val="BodyText"/>
      </w:pPr>
      <w:r>
        <w:t xml:space="preserve">En résumé, l’exénatide se situe dans la moyenne basse de sa classe : plus puissant que les inhibiteurs de la DPP-4 (gliptines), moins que le liraglutide, le dulaglutide et surtout le sémaglutide.</w:t>
      </w:r>
    </w:p>
    <w:bookmarkEnd w:id="245"/>
    <w:bookmarkStart w:id="249" w:name="exscel-létude-cardiovasculaire"/>
    <w:p>
      <w:pPr>
        <w:pStyle w:val="Heading4"/>
      </w:pPr>
      <w:r>
        <w:t xml:space="preserve">EXSCEL : l’étude cardiovasculaire</w:t>
      </w:r>
    </w:p>
    <w:p>
      <w:pPr>
        <w:pStyle w:val="FirstParagraph"/>
      </w:pPr>
      <w:r>
        <w:t xml:space="preserve">Depuis 2008, l’autorité américaine du médicament, la FDA, exige des nouveaux antidiabétiques la preuve qu’ils n’augmentent pas le risque cardiovasculaire. Pour l’exénatide hebdomadaire, c’est EXSCEL qui a été menée à cette fin – l’une des plus grandes études de ce type.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EXSCEL (Holman 2017), PMID 28910237</w:t>
            </w:r>
          </w:p>
        </w:tc>
        <w:tc>
          <w:tcPr/>
          <w:p>
            <w:pPr>
              <w:pStyle w:val="Compact"/>
              <w:jc w:val="left"/>
            </w:pPr>
            <w:r>
              <w:t xml:space="preserve">14 752 personnes atteintes de diabète de type 2, dont 73,1 % avec antécédents cardiovasculaires, ECR contre placebo</w:t>
            </w:r>
          </w:p>
        </w:tc>
        <w:tc>
          <w:tcPr/>
          <w:p>
            <w:pPr>
              <w:pStyle w:val="Compact"/>
              <w:jc w:val="left"/>
            </w:pPr>
            <w:r>
              <w:t xml:space="preserve">médiane 3,2 ans</w:t>
            </w:r>
          </w:p>
        </w:tc>
        <w:tc>
          <w:tcPr/>
          <w:p>
            <w:pPr>
              <w:pStyle w:val="Compact"/>
              <w:jc w:val="left"/>
            </w:pPr>
            <w:r>
              <w:t xml:space="preserve">Événements cardiovasculaires graves 11,4 % vs 12,2 % ; HR 0,91 (0,83–1,00), supériorité manquée de peu (p = 0,06)</w:t>
            </w:r>
          </w:p>
        </w:tc>
      </w:tr>
      <w:tr>
        <w:tc>
          <w:tcPr/>
          <w:p>
            <w:pPr>
              <w:pStyle w:val="Compact"/>
              <w:jc w:val="left"/>
            </w:pPr>
            <w:r>
              <w:t xml:space="preserve">FREEDOM-CVO (Ruff 2022), PMID 34873344</w:t>
            </w:r>
          </w:p>
        </w:tc>
        <w:tc>
          <w:tcPr/>
          <w:p>
            <w:pPr>
              <w:pStyle w:val="Compact"/>
              <w:jc w:val="left"/>
            </w:pPr>
            <w:r>
              <w:t xml:space="preserve">4 156 personnes, implant à pompe d’exénatide ITCA 650 vs placebo</w:t>
            </w:r>
          </w:p>
        </w:tc>
        <w:tc>
          <w:tcPr/>
          <w:p>
            <w:pPr>
              <w:pStyle w:val="Compact"/>
              <w:jc w:val="left"/>
            </w:pPr>
            <w:r>
              <w:t xml:space="preserve">médiane 16 mois</w:t>
            </w:r>
          </w:p>
        </w:tc>
        <w:tc>
          <w:tcPr/>
          <w:p>
            <w:pPr>
              <w:pStyle w:val="Compact"/>
              <w:jc w:val="left"/>
            </w:pPr>
            <w:r>
              <w:t xml:space="preserve">Événements 4,6 % vs 3,8 % ; HR 1,21 (0,90–1,63), critère de sécurité rempli</w:t>
            </w:r>
          </w:p>
        </w:tc>
      </w:tr>
    </w:tbl>
    <w:p>
      <w:pPr>
        <w:pStyle w:val="BodyText"/>
      </w:pPr>
      <w:r>
        <w:t xml:space="preserve">Le critère principal combiné d’EXSCEL</w:t>
      </w:r>
      <w:r>
        <w:rPr>
          <w:rStyle w:val="FootnoteReference"/>
        </w:rPr>
        <w:footnoteReference w:id="246"/>
      </w:r>
      <w:r>
        <w:t xml:space="preserve"> </w:t>
      </w:r>
      <w:r>
        <w:t xml:space="preserve">– décès de cause cardiovasculaire, infarctus du myocarde non mortel ou AVC – est survenu sous exénatide chez 839 personnes sur 7 356 (11,4 %), sous placebo chez 905 sur 7 396 (12,2 %). Cela correspond à un hazard ratio (risque relatif au cours du temps) de 0,91. L’exénatide était donc sûr, mais pas protecteur de façon démontrée. Les pancréatites aiguës, les cancers du pancréas et les carcinomes médullaires de la thyroïde n’ont pas été plus fréquents que sous placebo.</w:t>
      </w:r>
    </w:p>
    <w:p>
      <w:pPr>
        <w:pStyle w:val="BodyText"/>
      </w:pPr>
      <w:r>
        <w:t xml:space="preserve">Pourquoi l’exénatide a obtenu dans EXSCEL des résultats plus faibles que le liraglutide dans LEADER ou le dulaglutide dans REWIND n’est pas définitivement établi. Les hypothèses évoquées sont un effet plus faible de la molécule elle-même, le taux d’abandon élevé de l’étude et un plan pragmatique avec peu de contrôle. Dans une méta-analyse commune des sept grandes études GLP-1 sur critères cliniques, totalisant 56 004 participants</w:t>
      </w:r>
      <w:r>
        <w:rPr>
          <w:rStyle w:val="FootnoteReference"/>
        </w:rPr>
        <w:footnoteReference w:id="247"/>
      </w:r>
      <w:r>
        <w:t xml:space="preserve">, la classe a réduit de 12 % les événements cardiovasculaires graves (HR 0,88) – sans différences notables entre les sous-groupes. EXSCEL s’inscrit donc dans le tableau d’ensemble, mais en se situant à sa limite inférieure.</w:t>
      </w:r>
    </w:p>
    <w:p>
      <w:pPr>
        <w:pStyle w:val="BodyText"/>
      </w:pPr>
      <w:r>
        <w:t xml:space="preserve">L’implant à pompe ITCA 650, un dispositif de la taille d’une allumette censé délivrer l’exénatide de manière régulière pendant des mois, n’a satisfait dans FREEDOM-CVO</w:t>
      </w:r>
      <w:r>
        <w:rPr>
          <w:rStyle w:val="FootnoteReference"/>
        </w:rPr>
        <w:footnoteReference w:id="248"/>
      </w:r>
      <w:r>
        <w:t xml:space="preserve"> </w:t>
      </w:r>
      <w:r>
        <w:t xml:space="preserve">qu’à la limite de sécurité généreuse de 2008. L’estimation ponctuelle se situait défavorablement au-dessus de 1, les effets indésirables étaient plus fréquents que sous placebo (72 % vs 63,9 %). Le système n’a pas obtenu d’autorisation.</w:t>
      </w:r>
    </w:p>
    <w:bookmarkEnd w:id="249"/>
    <w:bookmarkStart w:id="253" w:name="X2185dd54928cecbd01f2c8739e1cc1d89c32dc6"/>
    <w:p>
      <w:pPr>
        <w:pStyle w:val="Heading4"/>
      </w:pPr>
      <w:r>
        <w:t xml:space="preserve">Le poids sans diabète et chez les adolescents</w:t>
      </w:r>
    </w:p>
    <w:p>
      <w:pPr>
        <w:pStyle w:val="FirstParagraph"/>
      </w:pPr>
      <w:r>
        <w:t xml:space="preserve">L’exénatide n’est pas autorisé pour la perte de poids, mais il a été étudié dans ce but dans des études de plus petite taille. Chez 152 adultes obèses sans diabète, les participants sous exénatide deux fois par jour associé à un programme d’hygiène de vie ont perdu 5,1 kg en 24 semaines, contre 1,6 kg sous placebo</w:t>
      </w:r>
      <w:r>
        <w:rPr>
          <w:rStyle w:val="FootnoteReference"/>
        </w:rPr>
        <w:footnoteReference w:id="250"/>
      </w:r>
      <w:r>
        <w:t xml:space="preserve">. Une méta-analyse de six petites études totalisant 362 participants a trouvé une perte supplémentaire moyenne de 4,47 kg par rapport aux témoins</w:t>
      </w:r>
      <w:r>
        <w:rPr>
          <w:rStyle w:val="FootnoteReference"/>
        </w:rPr>
        <w:footnoteReference w:id="251"/>
      </w:r>
      <w:r>
        <w:t xml:space="preserve">. C’est une fraction de ce qui a été obtenu plus tard avec le sémaglutide ou le tirzépatide.</w:t>
      </w:r>
    </w:p>
    <w:p>
      <w:pPr>
        <w:pStyle w:val="BodyText"/>
      </w:pPr>
      <w:r>
        <w:t xml:space="preserve">Chez des adolescents atteints de diabète de type 2, la forme hebdomadaire a abaissé l’HbA1c après 24 semaines de 0,85 point de pourcentage de plus que le placebo dans une étude portant sur 83 participants</w:t>
      </w:r>
      <w:r>
        <w:rPr>
          <w:rStyle w:val="FootnoteReference"/>
        </w:rPr>
        <w:footnoteReference w:id="252"/>
      </w:r>
      <w:r>
        <w:t xml:space="preserve">. Une différence de poids de −1,22 kg n’était pas statistiquement significative. Cette étude a servi de base à l’extension de l’autorisation aux adolescents.</w:t>
      </w:r>
    </w:p>
    <w:bookmarkEnd w:id="253"/>
    <w:bookmarkStart w:id="258" w:name="Xca44f83d2a7f0dfe3dfedd6f45ca070d89b241b"/>
    <w:p>
      <w:pPr>
        <w:pStyle w:val="Heading4"/>
      </w:pPr>
      <w:r>
        <w:t xml:space="preserve">Parkinson : espoir, désillusion et une expression of concern</w:t>
      </w:r>
    </w:p>
    <w:p>
      <w:pPr>
        <w:pStyle w:val="FirstParagraph"/>
      </w:pPr>
      <w:r>
        <w:t xml:space="preserve">Aucun autre domaine d’utilisation n’a valu à l’exénatide autant d’attention hors du diabète que la maladie de Parkinson. Le point de départ était des expériences animales et cellulaires dans lesquelles les agonistes du récepteur du GLP-1 protégeaient les cellules nerveuses.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Exenatide-PD (Athauda 2017), PMID 28781108</w:t>
            </w:r>
          </w:p>
        </w:tc>
        <w:tc>
          <w:tcPr/>
          <w:p>
            <w:pPr>
              <w:pStyle w:val="Compact"/>
              <w:jc w:val="left"/>
            </w:pPr>
            <w:r>
              <w:t xml:space="preserve">62 personnes atteintes de Parkinson modéré, ECR contre placebo</w:t>
            </w:r>
          </w:p>
        </w:tc>
        <w:tc>
          <w:tcPr/>
          <w:p>
            <w:pPr>
              <w:pStyle w:val="Compact"/>
              <w:jc w:val="left"/>
            </w:pPr>
            <w:r>
              <w:t xml:space="preserve">48 semaines + 12 semaines de sevrage</w:t>
            </w:r>
          </w:p>
        </w:tc>
        <w:tc>
          <w:tcPr/>
          <w:p>
            <w:pPr>
              <w:pStyle w:val="Compact"/>
              <w:jc w:val="left"/>
            </w:pPr>
            <w:r>
              <w:t xml:space="preserve">Score moteur meilleur de 3,5 points que sous placebo (p = 0,0318)</w:t>
            </w:r>
          </w:p>
        </w:tc>
      </w:tr>
      <w:tr>
        <w:tc>
          <w:tcPr/>
          <w:p>
            <w:pPr>
              <w:pStyle w:val="Compact"/>
              <w:jc w:val="left"/>
            </w:pPr>
            <w:r>
              <w:t xml:space="preserve">Exenatide-PD3 (Vijiaratnam 2025), PMID 39919773</w:t>
            </w:r>
          </w:p>
        </w:tc>
        <w:tc>
          <w:tcPr/>
          <w:p>
            <w:pPr>
              <w:pStyle w:val="Compact"/>
              <w:jc w:val="left"/>
            </w:pPr>
            <w:r>
              <w:t xml:space="preserve">194 personnes, ECR contre placebo, six centres</w:t>
            </w:r>
          </w:p>
        </w:tc>
        <w:tc>
          <w:tcPr/>
          <w:p>
            <w:pPr>
              <w:pStyle w:val="Compact"/>
              <w:jc w:val="left"/>
            </w:pPr>
            <w:r>
              <w:t xml:space="preserve">96 semaines</w:t>
            </w:r>
          </w:p>
        </w:tc>
        <w:tc>
          <w:tcPr/>
          <w:p>
            <w:pPr>
              <w:pStyle w:val="Compact"/>
              <w:jc w:val="left"/>
            </w:pPr>
            <w:r>
              <w:t xml:space="preserve">Aucune différence : aggravation de +5,7 vs +4,5 points (p = 0,47)</w:t>
            </w:r>
          </w:p>
        </w:tc>
      </w:tr>
      <w:tr>
        <w:tc>
          <w:tcPr/>
          <w:p>
            <w:pPr>
              <w:pStyle w:val="Compact"/>
              <w:jc w:val="left"/>
            </w:pPr>
            <w:r>
              <w:t xml:space="preserve">NLY01 (McGarry 2024), PMID 38101901</w:t>
            </w:r>
          </w:p>
        </w:tc>
        <w:tc>
          <w:tcPr/>
          <w:p>
            <w:pPr>
              <w:pStyle w:val="Compact"/>
              <w:jc w:val="left"/>
            </w:pPr>
            <w:r>
              <w:t xml:space="preserve">255 personnes atteintes de Parkinson débutant non traité, exénatide pégylé vs placebo</w:t>
            </w:r>
          </w:p>
        </w:tc>
        <w:tc>
          <w:tcPr/>
          <w:p>
            <w:pPr>
              <w:pStyle w:val="Compact"/>
              <w:jc w:val="left"/>
            </w:pPr>
            <w:r>
              <w:t xml:space="preserve">36 semaines</w:t>
            </w:r>
          </w:p>
        </w:tc>
        <w:tc>
          <w:tcPr/>
          <w:p>
            <w:pPr>
              <w:pStyle w:val="Compact"/>
              <w:jc w:val="left"/>
            </w:pPr>
            <w:r>
              <w:t xml:space="preserve">Aucune différence dans les deux groupes de dose</w:t>
            </w:r>
          </w:p>
        </w:tc>
      </w:tr>
    </w:tbl>
    <w:p>
      <w:pPr>
        <w:pStyle w:val="BodyText"/>
      </w:pPr>
      <w:r>
        <w:t xml:space="preserve">La petite étude d’Athauda 2017</w:t>
      </w:r>
      <w:r>
        <w:rPr>
          <w:rStyle w:val="FootnoteReference"/>
        </w:rPr>
        <w:footnoteReference w:id="254"/>
      </w:r>
      <w:r>
        <w:t xml:space="preserve"> </w:t>
      </w:r>
      <w:r>
        <w:t xml:space="preserve">a trouvé après 60 semaines une différence de 3,5 points sur l’échelle d’évaluation motrice MDS-UPDRS partie III, qui persistait même après l’arrêt. Cela a souvent été interprété comme un premier indice possible d’un effet ralentissant la maladie. Les autrices et auteurs sont restés prudents : il n’était pas clair, selon eux, si l’exénatide influençait l’évolution de la maladie ou avait seulement des effets symptomatiques durables.</w:t>
      </w:r>
    </w:p>
    <w:p>
      <w:pPr>
        <w:pStyle w:val="BodyText"/>
      </w:pPr>
      <w:r>
        <w:t xml:space="preserve">L’étude de phase 3 plus grande Exenatide-PD3</w:t>
      </w:r>
      <w:r>
        <w:rPr>
          <w:rStyle w:val="FootnoteReference"/>
        </w:rPr>
        <w:footnoteReference w:id="255"/>
      </w:r>
      <w:r>
        <w:t xml:space="preserve"> </w:t>
      </w:r>
      <w:r>
        <w:t xml:space="preserve">n’a pas pu le confirmer. Après 96 semaines, le score moteur s’était dégradé de façon similaire dans les deux groupes. Les chercheurs ont conclu qu’il n’existait aucune preuve de l’exénatide comme traitement modificateur de la maladie. La revue a publié en 2026 au sujet de cette publication une « expression of concern » (Expression of Concern, The Lancet 2026, PMID 42330995) – un avertissement éditorial signalant que des questions concernant une publication sont en cours d’examen. L’entrée PubMed ne contient aucun résumé des raisons ; l’étude devrait donc être évaluée avec réserve jusqu’à clarification. Une variante d’exénatide pégylée à action prolongée (NLY01) n’a pas non plus montré de bénéfice dans la maladie de Parkinson débutante</w:t>
      </w:r>
      <w:r>
        <w:rPr>
          <w:rStyle w:val="FootnoteReference"/>
        </w:rPr>
        <w:footnoteReference w:id="256"/>
      </w:r>
      <w:r>
        <w:t xml:space="preserve">.</w:t>
      </w:r>
    </w:p>
    <w:p>
      <w:pPr>
        <w:pStyle w:val="BodyText"/>
      </w:pPr>
      <w:r>
        <w:t xml:space="preserve">Dans l’atrophie multisystématisée, une maladie rare apparentée, une étude ouverte portant sur 50 participants a trouvé un avantage sur le critère principal, mais aucune différence dans des mesures objectives comme les biomarqueurs ou l’imagerie</w:t>
      </w:r>
      <w:r>
        <w:rPr>
          <w:rStyle w:val="FootnoteReference"/>
        </w:rPr>
        <w:footnoteReference w:id="257"/>
      </w:r>
      <w:r>
        <w:t xml:space="preserve">. Les autrices et auteurs eux-mêmes jugent possible un effet placebo ou un effet observateur.</w:t>
      </w:r>
    </w:p>
    <w:bookmarkEnd w:id="258"/>
    <w:bookmarkStart w:id="263" w:name="autres-domaines-dutilisation-étudiés"/>
    <w:p>
      <w:pPr>
        <w:pStyle w:val="Heading4"/>
      </w:pPr>
      <w:r>
        <w:t xml:space="preserve">Autres domaines d’utilisation étudiés</w:t>
      </w:r>
    </w:p>
    <w:p>
      <w:pPr>
        <w:numPr>
          <w:ilvl w:val="0"/>
          <w:numId w:val="1037"/>
        </w:numPr>
        <w:pStyle w:val="Compact"/>
      </w:pPr>
      <w:r>
        <w:rPr>
          <w:bCs/>
          <w:b/>
        </w:rPr>
        <w:t xml:space="preserve">Maladie d’Alzheimer et trouble cognitif léger :</w:t>
      </w:r>
      <w:r>
        <w:t xml:space="preserve"> </w:t>
      </w:r>
      <w:r>
        <w:t xml:space="preserve">une étude pilote arrêtée prématurément n’a trouvé aucune différence dans les mesures de mémoire ou d’imagerie</w:t>
      </w:r>
      <w:r>
        <w:rPr>
          <w:rStyle w:val="FootnoteReference"/>
        </w:rPr>
        <w:footnoteReference w:id="259"/>
      </w:r>
      <w:r>
        <w:t xml:space="preserve">. Une étude de 32 semaines dans le trouble cognitif léger n’a pas non plus montré de bénéfice</w:t>
      </w:r>
      <w:r>
        <w:rPr>
          <w:rStyle w:val="FootnoteReference"/>
        </w:rPr>
        <w:footnoteReference w:id="260"/>
      </w:r>
      <w:r>
        <w:t xml:space="preserve">.</w:t>
      </w:r>
    </w:p>
    <w:p>
      <w:pPr>
        <w:numPr>
          <w:ilvl w:val="0"/>
          <w:numId w:val="1037"/>
        </w:numPr>
        <w:pStyle w:val="Compact"/>
      </w:pPr>
      <w:r>
        <w:rPr>
          <w:bCs/>
          <w:b/>
        </w:rPr>
        <w:t xml:space="preserve">Dépendance à l’alcool :</w:t>
      </w:r>
      <w:r>
        <w:t xml:space="preserve"> </w:t>
      </w:r>
      <w:r>
        <w:t xml:space="preserve">dans une étude portant sur 127 participants, l’exénatide hebdomadaire n’a pas réduit significativement le nombre de jours de forte consommation. Dans une analyse de sous-groupe a posteriori chez des personnes obèses, un effet était visible ; à l’IRM cérébrale, la réaction aux stimuli liés à l’alcool était atténuée</w:t>
      </w:r>
      <w:r>
        <w:rPr>
          <w:rStyle w:val="FootnoteReference"/>
        </w:rPr>
        <w:footnoteReference w:id="261"/>
      </w:r>
      <w:r>
        <w:t xml:space="preserve">. De tels résultats de sous-groupes sont des hypothèses, pas des preuves.</w:t>
      </w:r>
    </w:p>
    <w:p>
      <w:pPr>
        <w:numPr>
          <w:ilvl w:val="0"/>
          <w:numId w:val="1037"/>
        </w:numPr>
        <w:pStyle w:val="Compact"/>
      </w:pPr>
      <w:r>
        <w:rPr>
          <w:bCs/>
          <w:b/>
        </w:rPr>
        <w:t xml:space="preserve">Hypertension intracrânienne idiopathique</w:t>
      </w:r>
      <w:r>
        <w:t xml:space="preserve"> </w:t>
      </w:r>
      <w:r>
        <w:t xml:space="preserve">(pression intracrânienne élevée sans cause identifiable, surtout chez des jeunes femmes en surpoids) : chez 16 femmes, l’exénatide a abaissé la pression intracrânienne mesurée après 24 heures de 6,4 cm d’eau en moyenne par rapport au placebo</w:t>
      </w:r>
      <w:r>
        <w:rPr>
          <w:rStyle w:val="FootnoteReference"/>
        </w:rPr>
        <w:footnoteReference w:id="262"/>
      </w:r>
      <w:r>
        <w:t xml:space="preserve">. L’étude est très petite ; une étude plus grande est attendue.</w:t>
      </w:r>
    </w:p>
    <w:bookmarkEnd w:id="263"/>
    <w:bookmarkEnd w:id="264"/>
    <w:bookmarkStart w:id="268" w:name="études-animales-et-de-laboratoire"/>
    <w:p>
      <w:pPr>
        <w:pStyle w:val="Heading3"/>
      </w:pPr>
      <w:r>
        <w:t xml:space="preserve">Études animales et de laboratoire</w:t>
      </w:r>
    </w:p>
    <w:p>
      <w:pPr>
        <w:pStyle w:val="FirstParagraph"/>
      </w:pPr>
      <w:r>
        <w:t xml:space="preserve">À l’origine, l’exendine-4 n’était pas du tout recherchée comme antidiabétique. Dans la première description de 1992, les chercheurs ont étudié son effet sur des cellules de pancréas de cobaye</w:t>
      </w:r>
      <w:r>
        <w:rPr>
          <w:rStyle w:val="FootnoteReference"/>
        </w:rPr>
        <w:footnoteReference w:id="265"/>
      </w:r>
      <w:r>
        <w:t xml:space="preserve">. Ce n’est que plus tard qu’il est apparu qu’elle agit sur le récepteur du GLP-1.</w:t>
      </w:r>
    </w:p>
    <w:p>
      <w:pPr>
        <w:pStyle w:val="BodyText"/>
      </w:pPr>
      <w:r>
        <w:t xml:space="preserve">Un grand nombre d’études animales ont suivi. Chez des rats auxquels on avait retiré une partie du pancréas, l’exendine-4 a favorisé la néoformation et la division des cellules bêta productrices d’insuline et atténué le développement d’un diabète</w:t>
      </w:r>
      <w:r>
        <w:rPr>
          <w:rStyle w:val="FootnoteReference"/>
        </w:rPr>
        <w:footnoteReference w:id="266"/>
      </w:r>
      <w:r>
        <w:t xml:space="preserve">. Qu’une telle régénération des cellules bêta puisse être obtenue dans une mesure notable chez l’humain n’est toujours pas démontré.</w:t>
      </w:r>
    </w:p>
    <w:p>
      <w:pPr>
        <w:pStyle w:val="BodyText"/>
      </w:pPr>
      <w:r>
        <w:t xml:space="preserve">S’y sont ajoutées des expériences chez des rongeurs sur la neuroprotection (Parkinson, Alzheimer, AVC), la consommation d’alcool et les comportements addictifs ainsi que la pression intracrânienne. Ces données animales ont motivé les études chez l’humain décrites plus haut – dont les résultats sont jusqu’ici nettement plus modestes. C’est un exemple instructif de la difficulté à transposer à l’humain les résultats obtenus chez le rat et la souris.</w:t>
      </w:r>
    </w:p>
    <w:p>
      <w:pPr>
        <w:pStyle w:val="BodyText"/>
      </w:pPr>
      <w:r>
        <w:t xml:space="preserve">Concernant la thyroïde : chez le rat et la souris, les agonistes du récepteur du GLP-1 provoquent une prolifération des cellules C de la thyroïde, alors que chez les primates et l’humain, ces cellules ne portent pratiquement pas de récepteur</w:t>
      </w:r>
      <w:r>
        <w:rPr>
          <w:rStyle w:val="FootnoteReference"/>
        </w:rPr>
        <w:footnoteReference w:id="267"/>
      </w:r>
      <w:r>
        <w:t xml:space="preserve">. Pour en savoir plus, voir le chapitre Liraglutide et la partie IV.</w:t>
      </w:r>
    </w:p>
    <w:bookmarkEnd w:id="268"/>
    <w:bookmarkStart w:id="278" w:name="risques-et-effets-indésirables"/>
    <w:p>
      <w:pPr>
        <w:pStyle w:val="Heading3"/>
      </w:pPr>
      <w:r>
        <w:t xml:space="preserve">Risques et effets indésirables</w:t>
      </w:r>
    </w:p>
    <w:p>
      <w:pPr>
        <w:pStyle w:val="FirstParagraph"/>
      </w:pPr>
      <w:r>
        <w:rPr>
          <w:bCs/>
          <w:b/>
        </w:rPr>
        <w:t xml:space="preserve">Démontrés dans des études randomisées :</w:t>
      </w:r>
    </w:p>
    <w:p>
      <w:pPr>
        <w:numPr>
          <w:ilvl w:val="0"/>
          <w:numId w:val="1038"/>
        </w:numPr>
        <w:pStyle w:val="Compact"/>
      </w:pPr>
      <w:r>
        <w:t xml:space="preserve">Les</w:t>
      </w:r>
      <w:r>
        <w:t xml:space="preserve"> </w:t>
      </w:r>
      <w:r>
        <w:rPr>
          <w:bCs/>
          <w:b/>
        </w:rPr>
        <w:t xml:space="preserve">troubles gastro-intestinaux</w:t>
      </w:r>
      <w:r>
        <w:t xml:space="preserve"> </w:t>
      </w:r>
      <w:r>
        <w:t xml:space="preserve">sont l’effet indésirable le plus fréquent. Avec la forme biquotidienne, des nausées sont survenues chez 57,1 % des personnes traitées dans la comparaison avec l’insuline glargine, des vomissements chez 17,4 %</w:t>
      </w:r>
      <w:r>
        <w:rPr>
          <w:rStyle w:val="FootnoteReference"/>
        </w:rPr>
        <w:footnoteReference w:id="269"/>
      </w:r>
      <w:r>
        <w:t xml:space="preserve">. La forme hebdomadaire provoque moins de nausées ; dans DURATION-6, elles touchaient 9 %</w:t>
      </w:r>
      <w:r>
        <w:rPr>
          <w:rStyle w:val="FootnoteReference"/>
        </w:rPr>
        <w:footnoteReference w:id="270"/>
      </w:r>
      <w:r>
        <w:t xml:space="preserve">. Les troubles diminuent généralement avec le temps.</w:t>
      </w:r>
    </w:p>
    <w:p>
      <w:pPr>
        <w:numPr>
          <w:ilvl w:val="0"/>
          <w:numId w:val="1038"/>
        </w:numPr>
        <w:pStyle w:val="Compact"/>
      </w:pPr>
      <w:r>
        <w:t xml:space="preserve">L’</w:t>
      </w:r>
      <w:r>
        <w:rPr>
          <w:bCs/>
          <w:b/>
        </w:rPr>
        <w:t xml:space="preserve">hypoglycémie</w:t>
      </w:r>
      <w:r>
        <w:t xml:space="preserve"> </w:t>
      </w:r>
      <w:r>
        <w:t xml:space="preserve">est rare en monothérapie, mais devient plus fréquente en association avec des sulfamides ou de l’insuline</w:t>
      </w:r>
      <w:r>
        <w:rPr>
          <w:rStyle w:val="FootnoteReference"/>
        </w:rPr>
        <w:footnoteReference w:id="271"/>
      </w:r>
      <w:r>
        <w:t xml:space="preserve">.</w:t>
      </w:r>
    </w:p>
    <w:p>
      <w:pPr>
        <w:numPr>
          <w:ilvl w:val="0"/>
          <w:numId w:val="1038"/>
        </w:numPr>
        <w:pStyle w:val="Compact"/>
      </w:pPr>
      <w:r>
        <w:rPr>
          <w:bCs/>
          <w:b/>
        </w:rPr>
        <w:t xml:space="preserve">Réactions au point d’injection :</w:t>
      </w:r>
      <w:r>
        <w:t xml:space="preserve"> </w:t>
      </w:r>
      <w:r>
        <w:t xml:space="preserve">avec la forme hebdomadaire, des nodules palpables se forment fréquemment sous la peau, parce que les microsphères y sont lentement dégradées. Dans l’analyse à cinq ans de DURATION-1, ces réactions sont devenues plus rares avec le temps</w:t>
      </w:r>
      <w:r>
        <w:rPr>
          <w:rStyle w:val="FootnoteReference"/>
        </w:rPr>
        <w:footnoteReference w:id="272"/>
      </w:r>
      <w:r>
        <w:t xml:space="preserve">.</w:t>
      </w:r>
    </w:p>
    <w:p>
      <w:pPr>
        <w:numPr>
          <w:ilvl w:val="0"/>
          <w:numId w:val="1038"/>
        </w:numPr>
        <w:pStyle w:val="Compact"/>
      </w:pPr>
      <w:r>
        <w:rPr>
          <w:bCs/>
          <w:b/>
        </w:rPr>
        <w:t xml:space="preserve">Formation d’anticorps :</w:t>
      </w:r>
      <w:r>
        <w:t xml:space="preserve"> </w:t>
      </w:r>
      <w:r>
        <w:t xml:space="preserve">en raison de son origine (venin de lézard), une partie des personnes traitées forme des anticorps. Ce point est décrit plus en détail dans la partie IV.</w:t>
      </w:r>
    </w:p>
    <w:p>
      <w:pPr>
        <w:pStyle w:val="FirstParagraph"/>
      </w:pPr>
      <w:r>
        <w:rPr>
          <w:bCs/>
          <w:b/>
        </w:rPr>
        <w:t xml:space="preserve">Étudiés, mais non confirmés ou incertains :</w:t>
      </w:r>
    </w:p>
    <w:p>
      <w:pPr>
        <w:numPr>
          <w:ilvl w:val="0"/>
          <w:numId w:val="1039"/>
        </w:numPr>
        <w:pStyle w:val="Compact"/>
      </w:pPr>
      <w:r>
        <w:rPr>
          <w:bCs/>
          <w:b/>
        </w:rPr>
        <w:t xml:space="preserve">Pancréatite aiguë (inflammation du pancréas) :</w:t>
      </w:r>
      <w:r>
        <w:t xml:space="preserve"> </w:t>
      </w:r>
      <w:r>
        <w:t xml:space="preserve">peu après la mise sur le marché, des notifications spontanées ont conduit à des mises en garde. Dans une analyse poolée de deux bases de données d’assurance portant sur 49 956 personnes sous exénatide deux fois par jour, le risque n’était pas augmenté sans correction (risque relatif 1,0) et légèrement augmenté après correction pour erreur de classification (1,3 ; intervalle de confiance 1,0–1,7)</w:t>
      </w:r>
      <w:r>
        <w:rPr>
          <w:rStyle w:val="FootnoteReference"/>
        </w:rPr>
        <w:footnoteReference w:id="273"/>
      </w:r>
      <w:r>
        <w:t xml:space="preserve">. Dans EXSCEL, la pancréatite n’a pas été plus fréquente que sous placebo</w:t>
      </w:r>
      <w:r>
        <w:rPr>
          <w:rStyle w:val="FootnoteReference"/>
        </w:rPr>
        <w:footnoteReference w:id="274"/>
      </w:r>
      <w:r>
        <w:t xml:space="preserve">. La pancréatite reste mentionnée comme effet indésirable rare dans le résumé des caractéristiques du produit.</w:t>
      </w:r>
    </w:p>
    <w:p>
      <w:pPr>
        <w:numPr>
          <w:ilvl w:val="0"/>
          <w:numId w:val="1039"/>
        </w:numPr>
        <w:pStyle w:val="Compact"/>
      </w:pPr>
      <w:r>
        <w:rPr>
          <w:bCs/>
          <w:b/>
        </w:rPr>
        <w:t xml:space="preserve">Cancer du pancréas et de la thyroïde :</w:t>
      </w:r>
      <w:r>
        <w:t xml:space="preserve"> </w:t>
      </w:r>
      <w:r>
        <w:t xml:space="preserve">dans une étude de cohorte américaine portant sur 33 629 personnes sous exénatide, le risque de cancer du pancréas n’était pas augmenté (HR 0,76) ; pour le cancer de la thyroïde, l’estimation était de 1,46, avec un intervalle de confiance de 0,98 à 2,19, donc sans signification statistique</w:t>
      </w:r>
      <w:r>
        <w:rPr>
          <w:rStyle w:val="FootnoteReference"/>
        </w:rPr>
        <w:footnoteReference w:id="275"/>
      </w:r>
      <w:r>
        <w:t xml:space="preserve">. Une méta-analyse de 50 études randomisées portant sur l’ensemble de la classe GLP-1 n’a globalement pas trouvé de risque accru de cancer, mais un signal pour le cancer de la thyroïde (odds ratio 1,55), qui doit faire l’objet d’études complémentaires</w:t>
      </w:r>
      <w:r>
        <w:rPr>
          <w:rStyle w:val="FootnoteReference"/>
        </w:rPr>
        <w:footnoteReference w:id="276"/>
      </w:r>
      <w:r>
        <w:t xml:space="preserve">. Une étude de sécurité européenne sur le cancer du pancréas sous exénatide est en cours</w:t>
      </w:r>
      <w:r>
        <w:rPr>
          <w:rStyle w:val="FootnoteReference"/>
        </w:rPr>
        <w:footnoteReference w:id="277"/>
      </w:r>
      <w:r>
        <w:t xml:space="preserve">.</w:t>
      </w:r>
    </w:p>
    <w:p>
      <w:pPr>
        <w:numPr>
          <w:ilvl w:val="0"/>
          <w:numId w:val="1039"/>
        </w:numPr>
        <w:pStyle w:val="Compact"/>
      </w:pPr>
      <w:r>
        <w:rPr>
          <w:bCs/>
          <w:b/>
        </w:rPr>
        <w:t xml:space="preserve">Risque cardiovasculaire :</w:t>
      </w:r>
      <w:r>
        <w:t xml:space="preserve"> </w:t>
      </w:r>
      <w:r>
        <w:t xml:space="preserve">non augmenté dans EXSCEL.</w:t>
      </w:r>
    </w:p>
    <w:p>
      <w:pPr>
        <w:pStyle w:val="FirstParagraph"/>
      </w:pPr>
      <w:r>
        <w:rPr>
          <w:bCs/>
          <w:b/>
        </w:rPr>
        <w:t xml:space="preserve">Remarques pour la pratique :</w:t>
      </w:r>
      <w:r>
        <w:t xml:space="preserve"> </w:t>
      </w:r>
      <w:r>
        <w:t xml:space="preserve">l’exénatide est éliminé par les reins ; il n’est pas recommandé en cas d’insuffisance rénale sévère. Comme tous les agonistes du récepteur du GLP-1, il ralentit la vidange gastrique et peut ainsi influencer l’absorption d’autres médicaments. Pour l’utilisation, les contre-indications et les interactions, c’est le résumé des caractéristiques du produit en vigueur qui fait foi ; le traitement relève du médecin.</w:t>
      </w:r>
    </w:p>
    <w:bookmarkEnd w:id="278"/>
    <w:bookmarkStart w:id="279" w:name="statut-juridique"/>
    <w:p>
      <w:pPr>
        <w:pStyle w:val="Heading3"/>
      </w:pPr>
      <w:r>
        <w:t xml:space="preserve">Statut juridique</w:t>
      </w:r>
    </w:p>
    <w:p>
      <w:pPr>
        <w:numPr>
          <w:ilvl w:val="0"/>
          <w:numId w:val="1040"/>
        </w:numPr>
        <w:pStyle w:val="Compact"/>
      </w:pPr>
      <w:r>
        <w:rPr>
          <w:bCs/>
          <w:b/>
        </w:rPr>
        <w:t xml:space="preserve">UE :</w:t>
      </w:r>
      <w:r>
        <w:t xml:space="preserve"> </w:t>
      </w:r>
      <w:r>
        <w:t xml:space="preserve">l’exénatide est autorisé par procédure centralisée en tant que médicament soumis à prescription pour le traitement du diabète de type 2 (Byetta depuis 2006, Bydureon depuis 2011). Il n’est pas autorisé pour la perte de poids.</w:t>
      </w:r>
    </w:p>
    <w:p>
      <w:pPr>
        <w:numPr>
          <w:ilvl w:val="0"/>
          <w:numId w:val="1040"/>
        </w:numPr>
        <w:pStyle w:val="Compact"/>
      </w:pPr>
      <w:r>
        <w:rPr>
          <w:bCs/>
          <w:b/>
        </w:rPr>
        <w:t xml:space="preserve">Allemagne et Autriche :</w:t>
      </w:r>
      <w:r>
        <w:t xml:space="preserve"> </w:t>
      </w:r>
      <w:r>
        <w:t xml:space="preserve">soumis à prescription. La prescription dans le seul but de perdre du poids serait un usage hors AMM et n’est en règle générale pas prise en charge par les caisses d’assurance maladie. Certaines formes galéniques ne sont pas commercialisées durablement dans tous les pays – à vérifier.</w:t>
      </w:r>
    </w:p>
    <w:p>
      <w:pPr>
        <w:numPr>
          <w:ilvl w:val="0"/>
          <w:numId w:val="1040"/>
        </w:numPr>
        <w:pStyle w:val="Compact"/>
      </w:pPr>
      <w:r>
        <w:rPr>
          <w:bCs/>
          <w:b/>
        </w:rPr>
        <w:t xml:space="preserve">États-Unis :</w:t>
      </w:r>
      <w:r>
        <w:t xml:space="preserve"> </w:t>
      </w:r>
      <w:r>
        <w:t xml:space="preserve">autorisé pour le diabète de type 2 ; la forme hebdomadaire aussi pour les adolescents à partir de 10 ans. Des génériques sont autorisés pour la forme biquotidienne.</w:t>
      </w:r>
    </w:p>
    <w:p>
      <w:pPr>
        <w:numPr>
          <w:ilvl w:val="0"/>
          <w:numId w:val="1040"/>
        </w:numPr>
        <w:pStyle w:val="Compact"/>
      </w:pPr>
      <w:r>
        <w:rPr>
          <w:bCs/>
          <w:b/>
        </w:rPr>
        <w:t xml:space="preserve">Sport (AMA) :</w:t>
      </w:r>
      <w:r>
        <w:t xml:space="preserve"> </w:t>
      </w:r>
      <w:r>
        <w:t xml:space="preserve">les agonistes du récepteur du GLP-1 ne figurent pas sur la liste des interdictions (état 2026, à vérifier).</w:t>
      </w:r>
    </w:p>
    <w:p>
      <w:pPr>
        <w:numPr>
          <w:ilvl w:val="0"/>
          <w:numId w:val="1040"/>
        </w:numPr>
        <w:pStyle w:val="Compact"/>
      </w:pPr>
      <w:r>
        <w:rPr>
          <w:bCs/>
          <w:b/>
        </w:rPr>
        <w:t xml:space="preserve">Marché gris :</w:t>
      </w:r>
      <w:r>
        <w:t xml:space="preserve"> </w:t>
      </w:r>
      <w:r>
        <w:t xml:space="preserve">l’exénatide ne joue guère de rôle sur le marché gris à côté du sémaglutide et du tirzépatide. La partie I décrit les risques généraux des circuits d’approvisionnement non autorisés.</w:t>
      </w:r>
    </w:p>
    <w:bookmarkEnd w:id="279"/>
    <w:bookmarkStart w:id="286" w:name="études-en-cours-et-perspectives"/>
    <w:p>
      <w:pPr>
        <w:pStyle w:val="Heading3"/>
      </w:pPr>
      <w:r>
        <w:t xml:space="preserve">Études en cours et perspectives</w:t>
      </w:r>
    </w:p>
    <w:p>
      <w:pPr>
        <w:pStyle w:val="FirstParagraph"/>
      </w:pPr>
      <w:r>
        <w:rPr>
          <w:bCs/>
          <w:b/>
        </w:rPr>
        <w:t xml:space="preserve">Établi (études enregistrées) :</w:t>
      </w:r>
      <w:r>
        <w:t xml:space="preserve"> </w:t>
      </w:r>
      <w:r>
        <w:t xml:space="preserve">en tant qu’antidiabétique, l’exénatide est largement « exploré » ; il n’y a pratiquement plus de nouvelles études d’autorisation dans cette indication. Les inscriptions actuelles aux registres concernent surtout :</w:t>
      </w:r>
    </w:p>
    <w:p>
      <w:pPr>
        <w:numPr>
          <w:ilvl w:val="0"/>
          <w:numId w:val="1041"/>
        </w:numPr>
        <w:pStyle w:val="Compact"/>
      </w:pPr>
      <w:r>
        <w:t xml:space="preserve">Des modifications de la molécule : en Chine, des variantes pégylées sont en développement. Pour le PB-119, une étude de phase 2 portant sur 251 participants a abaissé l’HbA1c après 12 semaines jusqu’à 1,18 point de pourcentage de plus que le placebo</w:t>
      </w:r>
      <w:r>
        <w:rPr>
          <w:rStyle w:val="FootnoteReference"/>
        </w:rPr>
        <w:footnoteReference w:id="280"/>
      </w:r>
      <w:r>
        <w:t xml:space="preserve">. Un autre candidat, le JY09 – exendine-4 couplée à un fragment d’anticorps (protéine de fusion Fc), injecté toutes les deux semaines dans les études –, est évalué dans des études de phase 3 contre placebo et contre dulaglutide</w:t>
      </w:r>
      <w:r>
        <w:rPr>
          <w:rStyle w:val="FootnoteReference"/>
        </w:rPr>
        <w:footnoteReference w:id="281"/>
      </w:r>
      <w:r>
        <w:t xml:space="preserve">.</w:t>
      </w:r>
    </w:p>
    <w:p>
      <w:pPr>
        <w:numPr>
          <w:ilvl w:val="0"/>
          <w:numId w:val="1041"/>
        </w:numPr>
        <w:pStyle w:val="Compact"/>
      </w:pPr>
      <w:r>
        <w:t xml:space="preserve">La neurologie : la variante pégylée NLY01 est étudiée dans la sclérose en plaques dans une étude de phase 2 portant sur 120 participants</w:t>
      </w:r>
      <w:r>
        <w:rPr>
          <w:rStyle w:val="FootnoteReference"/>
        </w:rPr>
        <w:footnoteReference w:id="282"/>
      </w:r>
      <w:r>
        <w:t xml:space="preserve">.</w:t>
      </w:r>
    </w:p>
    <w:p>
      <w:pPr>
        <w:numPr>
          <w:ilvl w:val="0"/>
          <w:numId w:val="1041"/>
        </w:numPr>
        <w:pStyle w:val="Compact"/>
      </w:pPr>
      <w:r>
        <w:t xml:space="preserve">La sécurité : outre l’étude européenne sur le cancer du pancréas</w:t>
      </w:r>
      <w:r>
        <w:rPr>
          <w:rStyle w:val="FootnoteReference"/>
        </w:rPr>
        <w:footnoteReference w:id="283"/>
      </w:r>
      <w:r>
        <w:t xml:space="preserve">, un programme de surveillance à long terme des carcinomes médullaires de la thyroïde sous agonistes du récepteur du GLP-1 est en cours</w:t>
      </w:r>
      <w:r>
        <w:rPr>
          <w:rStyle w:val="FootnoteReference"/>
        </w:rPr>
        <w:footnoteReference w:id="284"/>
      </w:r>
      <w:r>
        <w:t xml:space="preserve">.</w:t>
      </w:r>
    </w:p>
    <w:p>
      <w:pPr>
        <w:numPr>
          <w:ilvl w:val="0"/>
          <w:numId w:val="1041"/>
        </w:numPr>
        <w:pStyle w:val="Compact"/>
      </w:pPr>
      <w:r>
        <w:t xml:space="preserve">Le diagnostic : l’exendine-4 marquée radioactivement est utilisée comme traceur en imagerie TEP des insulinomes (tumeurs rares produisant de l’insuline)</w:t>
      </w:r>
      <w:r>
        <w:rPr>
          <w:rStyle w:val="FootnoteReference"/>
        </w:rPr>
        <w:footnoteReference w:id="285"/>
      </w:r>
      <w:r>
        <w:t xml:space="preserve">.</w:t>
      </w:r>
    </w:p>
    <w:p>
      <w:pPr>
        <w:pStyle w:val="FirstParagraph"/>
      </w:pPr>
      <w:r>
        <w:rPr>
          <w:bCs/>
          <w:b/>
        </w:rPr>
        <w:t xml:space="preserve">Estimation :</w:t>
      </w:r>
      <w:r>
        <w:t xml:space="preserve"> </w:t>
      </w:r>
      <w:r>
        <w:t xml:space="preserve">l’exénatide continuera de perdre de l’importance dans le traitement du diabète, car des successeurs plus puissants et plus pratiques sont disponibles. Son rôle durable est celui d’un pionnier et d’un outil pour la recherche. La renaissance éventuelle de l’hypothèse parkinsonienne dépend de substances pénétrant mieux dans le cerveau et de la clarification concernant Exenatide-PD3.</w:t>
      </w:r>
    </w:p>
    <w:bookmarkEnd w:id="286"/>
    <w:bookmarkStart w:id="287" w:name="conclusion"/>
    <w:p>
      <w:pPr>
        <w:pStyle w:val="Heading3"/>
      </w:pPr>
      <w:r>
        <w:t xml:space="preserve">Conclusion</w:t>
      </w:r>
    </w:p>
    <w:p>
      <w:pPr>
        <w:pStyle w:val="FirstParagraph"/>
      </w:pPr>
      <w:r>
        <w:t xml:space="preserve">L’exénatide a été en 2005 le premier agoniste du récepteur du GLP-1 sur le marché et fait partie des médicaments peptidiques les mieux étudiés. Dans de grandes études, il a abaissé l’HbA1c d’environ 1 à 1,5 point de pourcentage et le poids de quelques kilogrammes ; dans EXSCEL, avec 14 752 participants, sans augmentation du risque cardiovasculaire, mais aussi sans protection démontrée. En comparaison directe, il est inférieur au liraglutide et au sémaglutide. Les données initialement prometteuses sur la maladie de Parkinson ne se sont pas confirmées dans l’étude de phase 3 plus grande. Pour les personnes atteintes de diabète de type 2, l’exénatide reste une option éprouvée, mais n’est plus un premier choix – la décision relève du médecin.</w:t>
      </w:r>
    </w:p>
    <w:bookmarkEnd w:id="287"/>
    <w:bookmarkEnd w:id="288"/>
    <w:bookmarkStart w:id="341" w:name="liraglutide"/>
    <w:p>
      <w:pPr>
        <w:pStyle w:val="Heading2"/>
      </w:pPr>
      <w:r>
        <w:t xml:space="preserve">Liraglutide</w:t>
      </w:r>
    </w:p>
    <w:bookmarkStart w:id="290" w:name="fiche-signalétique-1"/>
    <w:p>
      <w:pPr>
        <w:pStyle w:val="Heading3"/>
      </w:pPr>
      <w:r>
        <w:t xml:space="preserve">Fiche signalétique</w:t>
      </w:r>
    </w:p>
    <w:p>
      <w:pPr>
        <w:numPr>
          <w:ilvl w:val="0"/>
          <w:numId w:val="1042"/>
        </w:numPr>
        <w:pStyle w:val="Compact"/>
      </w:pPr>
      <w:r>
        <w:rPr>
          <w:bCs/>
          <w:b/>
        </w:rPr>
        <w:t xml:space="preserve">Type/structure :</w:t>
      </w:r>
      <w:r>
        <w:t xml:space="preserve"> </w:t>
      </w:r>
      <w:r>
        <w:t xml:space="preserve">GLP-1 humain modifié de 31 acides aminés. Il est identique à 97 % à l’hormone de l’organisme ; un acide aminé est remplacé à une position, et à une autre est fixé, par l’intermédiaire d’un court bras de liaison, un acide gras à 16 atomes de carbone.</w:t>
      </w:r>
    </w:p>
    <w:p>
      <w:pPr>
        <w:numPr>
          <w:ilvl w:val="0"/>
          <w:numId w:val="1042"/>
        </w:numPr>
        <w:pStyle w:val="Compact"/>
      </w:pPr>
      <w:r>
        <w:rPr>
          <w:bCs/>
          <w:b/>
        </w:rPr>
        <w:t xml:space="preserve">Origine :</w:t>
      </w:r>
      <w:r>
        <w:t xml:space="preserve"> </w:t>
      </w:r>
      <w:r>
        <w:t xml:space="preserve">développé par Novo Nordisk</w:t>
      </w:r>
      <w:r>
        <w:rPr>
          <w:rStyle w:val="FootnoteReference"/>
        </w:rPr>
        <w:footnoteReference w:id="289"/>
      </w:r>
      <w:r>
        <w:t xml:space="preserve">, fabriqué par génie génétique dans des levures.</w:t>
      </w:r>
    </w:p>
    <w:p>
      <w:pPr>
        <w:numPr>
          <w:ilvl w:val="0"/>
          <w:numId w:val="1042"/>
        </w:numPr>
        <w:pStyle w:val="Compact"/>
      </w:pPr>
      <w:r>
        <w:rPr>
          <w:bCs/>
          <w:b/>
        </w:rPr>
        <w:t xml:space="preserve">Principe d’action :</w:t>
      </w:r>
      <w:r>
        <w:t xml:space="preserve"> </w:t>
      </w:r>
      <w:r>
        <w:t xml:space="preserve">agoniste du récepteur du GLP-1. L’acide gras permet à la molécule de se lier à l’albumine, une protéine du sang ; une injection par jour suffit ainsi.</w:t>
      </w:r>
    </w:p>
    <w:p>
      <w:pPr>
        <w:numPr>
          <w:ilvl w:val="0"/>
          <w:numId w:val="1042"/>
        </w:numPr>
        <w:pStyle w:val="Compact"/>
      </w:pPr>
      <w:r>
        <w:rPr>
          <w:bCs/>
          <w:b/>
        </w:rPr>
        <w:t xml:space="preserve">Préparations :</w:t>
      </w:r>
      <w:r>
        <w:t xml:space="preserve"> </w:t>
      </w:r>
      <w:r>
        <w:t xml:space="preserve">Victoza (diabète de type 2, jusqu’à 1,8 mg par jour), Saxenda (gestion du poids, jusqu’à 3,0 mg par jour), Xultophy (association fixe avec l’insuline dégludec). Des copies existent depuis 2024.</w:t>
      </w:r>
    </w:p>
    <w:p>
      <w:pPr>
        <w:numPr>
          <w:ilvl w:val="0"/>
          <w:numId w:val="1042"/>
        </w:numPr>
        <w:pStyle w:val="Compact"/>
      </w:pPr>
      <w:r>
        <w:rPr>
          <w:bCs/>
          <w:b/>
        </w:rPr>
        <w:t xml:space="preserve">Autorisation UE :</w:t>
      </w:r>
      <w:r>
        <w:t xml:space="preserve"> </w:t>
      </w:r>
      <w:r>
        <w:t xml:space="preserve">oui – diabète de type 2 (depuis 2009) et gestion du poids (depuis 2015), dans les deux cas aussi pour les adolescents.</w:t>
      </w:r>
    </w:p>
    <w:p>
      <w:pPr>
        <w:numPr>
          <w:ilvl w:val="0"/>
          <w:numId w:val="1042"/>
        </w:numPr>
        <w:pStyle w:val="Compact"/>
      </w:pPr>
      <w:r>
        <w:rPr>
          <w:bCs/>
          <w:b/>
        </w:rPr>
        <w:t xml:space="preserve">Autorisation États-Unis :</w:t>
      </w:r>
      <w:r>
        <w:t xml:space="preserve"> </w:t>
      </w:r>
      <w:r>
        <w:t xml:space="preserve">oui – diabète de type 2 (depuis 2010, à partir de 10 ans), réduction du risque cardiovasculaire dans le diabète de type 2 et gestion du poids (depuis 2014, à partir de 12 ans). Des génériques sont autorisés pour les deux indications.</w:t>
      </w:r>
    </w:p>
    <w:p>
      <w:pPr>
        <w:numPr>
          <w:ilvl w:val="0"/>
          <w:numId w:val="1042"/>
        </w:numPr>
        <w:pStyle w:val="Compact"/>
      </w:pPr>
      <w:r>
        <w:rPr>
          <w:bCs/>
          <w:b/>
        </w:rPr>
        <w:t xml:space="preserve">AMA :</w:t>
      </w:r>
      <w:r>
        <w:t xml:space="preserve"> </w:t>
      </w:r>
      <w:r>
        <w:t xml:space="preserve">non listé.</w:t>
      </w:r>
    </w:p>
    <w:p>
      <w:pPr>
        <w:numPr>
          <w:ilvl w:val="0"/>
          <w:numId w:val="1042"/>
        </w:numPr>
        <w:pStyle w:val="Compact"/>
      </w:pPr>
      <w:r>
        <w:rPr>
          <w:bCs/>
          <w:b/>
        </w:rPr>
        <w:t xml:space="preserve">Niveau de preuve :</w:t>
      </w:r>
      <w:r>
        <w:t xml:space="preserve"> </w:t>
      </w:r>
      <w:r>
        <w:rPr>
          <w:bCs/>
          <w:b/>
        </w:rPr>
        <w:t xml:space="preserve">A</w:t>
      </w:r>
      <w:r>
        <w:t xml:space="preserve"> </w:t>
      </w:r>
      <w:r>
        <w:t xml:space="preserve">– deux grands programmes d’autorisation (LEAD, SCALE), une grande étude sur critères cliniques (LEADER), des études chez l’enfant et l’adolescent.</w:t>
      </w:r>
    </w:p>
    <w:bookmarkEnd w:id="290"/>
    <w:bookmarkStart w:id="293" w:name="mode-daction-supposé-1"/>
    <w:p>
      <w:pPr>
        <w:pStyle w:val="Heading3"/>
      </w:pPr>
      <w:r>
        <w:t xml:space="preserve">Mode d’action supposé</w:t>
      </w:r>
    </w:p>
    <w:p>
      <w:pPr>
        <w:pStyle w:val="FirstParagraph"/>
      </w:pPr>
      <w:r>
        <w:t xml:space="preserve">Le liraglutide agit comme l’hormone intestinale GLP-1 de l’organisme : il renforce la sécrétion d’insuline dépendante du glucose, inhibe le glucagon qui élève la glycémie, ralentit la vidange gastrique et atténue l’appétit dans le cerveau. Le mécanisme fondamental de la classe est décrit dans le chapitre Exénatide.</w:t>
      </w:r>
    </w:p>
    <w:p>
      <w:pPr>
        <w:pStyle w:val="BodyText"/>
      </w:pPr>
      <w:r>
        <w:t xml:space="preserve">La différence réside dans la construction. Alors que l’exénatide provient du venin d’un lézard et ne ressemble qu’à moitié à l’hormone humaine, le liraglutide est presque identique au GLP-1 de l’organisme. L’astuce qui le rend durable est l’acide gras qui lui est fixé. Celui-ci fait en sorte que la molécule se lie dans le sang à l’albumine, s’assemble en petits agrégats et soit ainsi protégée contre la dégradation par l’enzyme DPP-4 et contre l’élimination rénale. La demi-vie passe ainsi de quelques minutes à environ une demi-journée.</w:t>
      </w:r>
    </w:p>
    <w:p>
      <w:pPr>
        <w:pStyle w:val="BodyText"/>
      </w:pPr>
      <w:r>
        <w:t xml:space="preserve">Ce sont surtout des effets dans le cerveau qui sont responsables de la perte de poids. Chez la souris et le rat, le liraglutide marqué atteint certaines régions de l’hypothalamus, le centre de contrôle de la faim et de la satiété, et y active des cellules nerveuses qui favorisent la sensation de satiété</w:t>
      </w:r>
      <w:r>
        <w:rPr>
          <w:rStyle w:val="FootnoteReference"/>
        </w:rPr>
        <w:footnoteReference w:id="291"/>
      </w:r>
      <w:r>
        <w:t xml:space="preserve">. Chez l’humain, cela se traduit par une moindre prise alimentaire ; une augmentation notable de la dépense énergétique n’est pas démontrée.</w:t>
      </w:r>
    </w:p>
    <w:p>
      <w:pPr>
        <w:pStyle w:val="BodyText"/>
      </w:pPr>
      <w:r>
        <w:t xml:space="preserve">Le sémaglutide est ensuite issu du liraglutide : même idée de base, mais avec une liaison à l’albumine plus forte permettant une injection par semaine</w:t>
      </w:r>
      <w:r>
        <w:rPr>
          <w:rStyle w:val="FootnoteReference"/>
        </w:rPr>
        <w:footnoteReference w:id="292"/>
      </w:r>
      <w:r>
        <w:t xml:space="preserve">.</w:t>
      </w:r>
    </w:p>
    <w:bookmarkEnd w:id="293"/>
    <w:bookmarkStart w:id="319" w:name="études-chez-lhumain-1"/>
    <w:p>
      <w:pPr>
        <w:pStyle w:val="Heading3"/>
      </w:pPr>
      <w:r>
        <w:t xml:space="preserve">Études chez l’humain</w:t>
      </w:r>
    </w:p>
    <w:p>
      <w:pPr>
        <w:pStyle w:val="FirstParagraph"/>
      </w:pPr>
      <w:r>
        <w:t xml:space="preserve">Le liraglutide fait partie des médicaments peptidiques les mieux étudiés. La recherche PubMed analysée pour ce livre (terme « liraglutide » dans le titre ou le résumé, date de recherche octobre 2026) a donné 613 études chez l’humain – plus que pour tout autre peptide de ce livre. ClinicalTrials.gov recense 517 inscriptions. Ce qui suit se concentre sur les études d’autorisation et sur critères cliniques ; il existe en outre des centaines d’études plus petites sur le foie, le cœur, le cerveau, la fertilité et les troubles du comportement alimentaire.</w:t>
      </w:r>
    </w:p>
    <w:bookmarkStart w:id="296" w:name="diabète-de-type-2-le-programme-lead"/>
    <w:p>
      <w:pPr>
        <w:pStyle w:val="Heading4"/>
      </w:pPr>
      <w:r>
        <w:t xml:space="preserve">Diabète de type 2 : le programme LEAD</w:t>
      </w:r>
    </w:p>
    <w:p>
      <w:pPr>
        <w:pStyle w:val="FirstParagraph"/>
      </w:pPr>
      <w:r>
        <w:t xml:space="preserve">Pour l’autorisation dans le diabète, le liraglutide a été évalué dans six études regroupées sous le nom LEAD (Liraglutide Effect and Action in Diabetes), chaque fois à 1,2 ou 1,8 mg par jour. Deux d’entre elles sont particulièrement instructives, car elles l’opposaient à des traitements établis à l’époque. S’y ajoute la comparaison avec l’inhibiteur de la DPP-4 sitagliptine.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LEAD-3 Mono (Garber 2009), PMID 18819705</w:t>
            </w:r>
          </w:p>
        </w:tc>
        <w:tc>
          <w:tcPr/>
          <w:p>
            <w:pPr>
              <w:pStyle w:val="Compact"/>
              <w:jc w:val="left"/>
            </w:pPr>
            <w:r>
              <w:t xml:space="preserve">746 personnes atteintes de diabète de type 2 débutant, double aveugle vs glimépiride</w:t>
            </w:r>
          </w:p>
        </w:tc>
        <w:tc>
          <w:tcPr/>
          <w:p>
            <w:pPr>
              <w:pStyle w:val="Compact"/>
              <w:jc w:val="left"/>
            </w:pPr>
            <w:r>
              <w:t xml:space="preserve">52 semaines</w:t>
            </w:r>
          </w:p>
        </w:tc>
        <w:tc>
          <w:tcPr/>
          <w:p>
            <w:pPr>
              <w:pStyle w:val="Compact"/>
              <w:jc w:val="left"/>
            </w:pPr>
            <w:r>
              <w:t xml:space="preserve">HbA1c −1,14 (1,8 mg) vs −0,51 point de pourcentage</w:t>
            </w:r>
          </w:p>
        </w:tc>
      </w:tr>
      <w:tr>
        <w:tc>
          <w:tcPr/>
          <w:p>
            <w:pPr>
              <w:pStyle w:val="Compact"/>
              <w:jc w:val="left"/>
            </w:pPr>
            <w:r>
              <w:t xml:space="preserve">LEAD-6 (Buse 2009), PMID 19515413</w:t>
            </w:r>
          </w:p>
        </w:tc>
        <w:tc>
          <w:tcPr/>
          <w:p>
            <w:pPr>
              <w:pStyle w:val="Compact"/>
              <w:jc w:val="left"/>
            </w:pPr>
            <w:r>
              <w:t xml:space="preserve">ouverte vs exénatide deux fois par jour</w:t>
            </w:r>
          </w:p>
        </w:tc>
        <w:tc>
          <w:tcPr/>
          <w:p>
            <w:pPr>
              <w:pStyle w:val="Compact"/>
              <w:jc w:val="left"/>
            </w:pPr>
            <w:r>
              <w:t xml:space="preserve">26 semaines</w:t>
            </w:r>
          </w:p>
        </w:tc>
        <w:tc>
          <w:tcPr/>
          <w:p>
            <w:pPr>
              <w:pStyle w:val="Compact"/>
              <w:jc w:val="left"/>
            </w:pPr>
            <w:r>
              <w:t xml:space="preserve">HbA1c −1,12 vs −0,79 ; poids −3,24 vs −2,87 kg</w:t>
            </w:r>
          </w:p>
        </w:tc>
      </w:tr>
      <w:tr>
        <w:tc>
          <w:tcPr/>
          <w:p>
            <w:pPr>
              <w:pStyle w:val="Compact"/>
              <w:jc w:val="left"/>
            </w:pPr>
            <w:r>
              <w:t xml:space="preserve">Pratley 2010, PMID 20417856</w:t>
            </w:r>
          </w:p>
        </w:tc>
        <w:tc>
          <w:tcPr/>
          <w:p>
            <w:pPr>
              <w:pStyle w:val="Compact"/>
              <w:jc w:val="left"/>
            </w:pPr>
            <w:r>
              <w:t xml:space="preserve">658 personnes sous metformine, ouverte vs sitagliptine</w:t>
            </w:r>
          </w:p>
        </w:tc>
        <w:tc>
          <w:tcPr/>
          <w:p>
            <w:pPr>
              <w:pStyle w:val="Compact"/>
              <w:jc w:val="left"/>
            </w:pPr>
            <w:r>
              <w:t xml:space="preserve">26 semaines</w:t>
            </w:r>
          </w:p>
        </w:tc>
        <w:tc>
          <w:tcPr/>
          <w:p>
            <w:pPr>
              <w:pStyle w:val="Compact"/>
              <w:jc w:val="left"/>
            </w:pPr>
            <w:r>
              <w:t xml:space="preserve">HbA1c −1,50 (1,8 mg) vs −0,90 ; nausées 27 % vs 5 %</w:t>
            </w:r>
          </w:p>
        </w:tc>
      </w:tr>
    </w:tbl>
    <w:p>
      <w:pPr>
        <w:pStyle w:val="BodyText"/>
      </w:pPr>
      <w:r>
        <w:t xml:space="preserve">Dans ces études, l’HbA1c a baissé sous liraglutide de 1,1 à 1,5 point de pourcentage. Dans LEAD-3</w:t>
      </w:r>
      <w:r>
        <w:rPr>
          <w:rStyle w:val="FootnoteReference"/>
        </w:rPr>
        <w:footnoteReference w:id="294"/>
      </w:r>
      <w:r>
        <w:t xml:space="preserve">, le liraglutide a été le premier antidiabétique supérieur au sulfamide glimépiride, qui abaisse la glycémie indépendamment des repas et provoque plus souvent des hypoglycémies. Face à la sitagliptine</w:t>
      </w:r>
      <w:r>
        <w:rPr>
          <w:rStyle w:val="FootnoteReference"/>
        </w:rPr>
        <w:footnoteReference w:id="295"/>
      </w:r>
      <w:r>
        <w:t xml:space="preserve">, l’avantage était de 0,6 point de pourcentage, mais avec nettement plus de nausées.</w:t>
      </w:r>
    </w:p>
    <w:bookmarkEnd w:id="296"/>
    <w:bookmarkStart w:id="301" w:name="X2af113e59034ba899de63f7274a834a29a68b0b"/>
    <w:p>
      <w:pPr>
        <w:pStyle w:val="Heading4"/>
      </w:pPr>
      <w:r>
        <w:t xml:space="preserve">Comparaisons directes au sein de la classe GLP-1</w:t>
      </w:r>
    </w:p>
    <w:p>
      <w:pPr>
        <w:pStyle w:val="FirstParagraph"/>
      </w:pPr>
      <w:r>
        <w:t xml:space="preserve">Le liraglutide est le comparateur le plus souvent utilisé de la classe. Les résultats dessinent un classement clair : le liraglutide est plus puissant que l’exénatide, à peu près aussi puissant que le dulaglutide et moins puissant que le sémaglutide.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Plan</w:t>
            </w:r>
          </w:p>
        </w:tc>
        <w:tc>
          <w:tcPr/>
          <w:p>
            <w:pPr>
              <w:pStyle w:val="Compact"/>
              <w:jc w:val="left"/>
            </w:pPr>
            <w:r>
              <w:t xml:space="preserve">Durée</w:t>
            </w:r>
          </w:p>
        </w:tc>
        <w:tc>
          <w:tcPr/>
          <w:p>
            <w:pPr>
              <w:pStyle w:val="Compact"/>
              <w:jc w:val="left"/>
            </w:pPr>
            <w:r>
              <w:t xml:space="preserve">Résultat (liraglutide vs comparateur)</w:t>
            </w:r>
          </w:p>
        </w:tc>
      </w:tr>
      <w:tr>
        <w:tc>
          <w:tcPr/>
          <w:p>
            <w:pPr>
              <w:pStyle w:val="Compact"/>
              <w:jc w:val="left"/>
            </w:pPr>
            <w:r>
              <w:t xml:space="preserve">LEAD-6 (Buse 2009), PMID 19515413</w:t>
            </w:r>
          </w:p>
        </w:tc>
        <w:tc>
          <w:tcPr/>
          <w:p>
            <w:pPr>
              <w:pStyle w:val="Compact"/>
              <w:jc w:val="left"/>
            </w:pPr>
            <w:r>
              <w:t xml:space="preserve">vs exénatide deux fois par jour</w:t>
            </w:r>
          </w:p>
        </w:tc>
        <w:tc>
          <w:tcPr/>
          <w:p>
            <w:pPr>
              <w:pStyle w:val="Compact"/>
              <w:jc w:val="left"/>
            </w:pPr>
            <w:r>
              <w:t xml:space="preserve">26 semaines</w:t>
            </w:r>
          </w:p>
        </w:tc>
        <w:tc>
          <w:tcPr/>
          <w:p>
            <w:pPr>
              <w:pStyle w:val="Compact"/>
              <w:jc w:val="left"/>
            </w:pPr>
            <w:r>
              <w:t xml:space="preserve">HbA1c −1,12 vs −0,79 ; valeur cible &lt; 7 % chez 54 % vs 43 %</w:t>
            </w:r>
          </w:p>
        </w:tc>
      </w:tr>
      <w:tr>
        <w:tc>
          <w:tcPr/>
          <w:p>
            <w:pPr>
              <w:pStyle w:val="Compact"/>
              <w:jc w:val="left"/>
            </w:pPr>
            <w:r>
              <w:t xml:space="preserve">DURATION-6 (Buse 2013), PMID 23141817</w:t>
            </w:r>
          </w:p>
        </w:tc>
        <w:tc>
          <w:tcPr/>
          <w:p>
            <w:pPr>
              <w:pStyle w:val="Compact"/>
              <w:jc w:val="left"/>
            </w:pPr>
            <w:r>
              <w:t xml:space="preserve">911 personnes, vs exénatide hebdomadaire</w:t>
            </w:r>
          </w:p>
        </w:tc>
        <w:tc>
          <w:tcPr/>
          <w:p>
            <w:pPr>
              <w:pStyle w:val="Compact"/>
              <w:jc w:val="left"/>
            </w:pPr>
            <w:r>
              <w:t xml:space="preserve">26 semaines</w:t>
            </w:r>
          </w:p>
        </w:tc>
        <w:tc>
          <w:tcPr/>
          <w:p>
            <w:pPr>
              <w:pStyle w:val="Compact"/>
              <w:jc w:val="left"/>
            </w:pPr>
            <w:r>
              <w:t xml:space="preserve">HbA1c −1,48 vs −1,28 ; nausées 21 % vs 9 %</w:t>
            </w:r>
          </w:p>
        </w:tc>
      </w:tr>
      <w:tr>
        <w:tc>
          <w:tcPr/>
          <w:p>
            <w:pPr>
              <w:pStyle w:val="Compact"/>
              <w:jc w:val="left"/>
            </w:pPr>
            <w:r>
              <w:t xml:space="preserve">AWARD-6 (Dungan 2014), PMID 25018121</w:t>
            </w:r>
          </w:p>
        </w:tc>
        <w:tc>
          <w:tcPr/>
          <w:p>
            <w:pPr>
              <w:pStyle w:val="Compact"/>
              <w:jc w:val="left"/>
            </w:pPr>
            <w:r>
              <w:t xml:space="preserve">599 personnes, vs dulaglutide hebdomadaire</w:t>
            </w:r>
          </w:p>
        </w:tc>
        <w:tc>
          <w:tcPr/>
          <w:p>
            <w:pPr>
              <w:pStyle w:val="Compact"/>
              <w:jc w:val="left"/>
            </w:pPr>
            <w:r>
              <w:t xml:space="preserve">26 semaines</w:t>
            </w:r>
          </w:p>
        </w:tc>
        <w:tc>
          <w:tcPr/>
          <w:p>
            <w:pPr>
              <w:pStyle w:val="Compact"/>
              <w:jc w:val="left"/>
            </w:pPr>
            <w:r>
              <w:t xml:space="preserve">HbA1c −1,36 vs −1,42 ; équivalents</w:t>
            </w:r>
          </w:p>
        </w:tc>
      </w:tr>
      <w:tr>
        <w:tc>
          <w:tcPr/>
          <w:p>
            <w:pPr>
              <w:pStyle w:val="Compact"/>
              <w:jc w:val="left"/>
            </w:pPr>
            <w:r>
              <w:t xml:space="preserve">PIONEER 4 (Pratley 2019), PMID 31186120</w:t>
            </w:r>
          </w:p>
        </w:tc>
        <w:tc>
          <w:tcPr/>
          <w:p>
            <w:pPr>
              <w:pStyle w:val="Compact"/>
              <w:jc w:val="left"/>
            </w:pPr>
            <w:r>
              <w:t xml:space="preserve">711 personnes, vs sémaglutide en comprimé et placebo</w:t>
            </w:r>
          </w:p>
        </w:tc>
        <w:tc>
          <w:tcPr/>
          <w:p>
            <w:pPr>
              <w:pStyle w:val="Compact"/>
              <w:jc w:val="left"/>
            </w:pPr>
            <w:r>
              <w:t xml:space="preserve">52 semaines</w:t>
            </w:r>
          </w:p>
        </w:tc>
        <w:tc>
          <w:tcPr/>
          <w:p>
            <w:pPr>
              <w:pStyle w:val="Compact"/>
              <w:jc w:val="left"/>
            </w:pPr>
            <w:r>
              <w:t xml:space="preserve">HbA1c −1,1 vs −1,2 après 26 semaines ; poids −3,1 vs −4,4 kg</w:t>
            </w:r>
          </w:p>
        </w:tc>
      </w:tr>
      <w:tr>
        <w:tc>
          <w:tcPr/>
          <w:p>
            <w:pPr>
              <w:pStyle w:val="Compact"/>
              <w:jc w:val="left"/>
            </w:pPr>
            <w:r>
              <w:t xml:space="preserve">SUSTAIN 10 (Capehorn 2020), PMID 31539622</w:t>
            </w:r>
          </w:p>
        </w:tc>
        <w:tc>
          <w:tcPr/>
          <w:p>
            <w:pPr>
              <w:pStyle w:val="Compact"/>
              <w:jc w:val="left"/>
            </w:pPr>
            <w:r>
              <w:t xml:space="preserve">liraglutide 1,2 mg vs sémaglutide 1,0 mg hebdomadaire</w:t>
            </w:r>
          </w:p>
        </w:tc>
        <w:tc>
          <w:tcPr/>
          <w:p>
            <w:pPr>
              <w:pStyle w:val="Compact"/>
              <w:jc w:val="left"/>
            </w:pPr>
            <w:r>
              <w:t xml:space="preserve">30 semaines</w:t>
            </w:r>
          </w:p>
        </w:tc>
        <w:tc>
          <w:tcPr/>
          <w:p>
            <w:pPr>
              <w:pStyle w:val="Compact"/>
              <w:jc w:val="left"/>
            </w:pPr>
            <w:r>
              <w:t xml:space="preserve">HbA1c −1,0 vs −1,7 ; poids −1,9 vs −5,8 kg</w:t>
            </w:r>
          </w:p>
        </w:tc>
      </w:tr>
      <w:tr>
        <w:tc>
          <w:tcPr/>
          <w:p>
            <w:pPr>
              <w:pStyle w:val="Compact"/>
              <w:jc w:val="left"/>
            </w:pPr>
            <w:r>
              <w:t xml:space="preserve">STEP 8 (Rubino 2022), PMID 35015037</w:t>
            </w:r>
          </w:p>
        </w:tc>
        <w:tc>
          <w:tcPr/>
          <w:p>
            <w:pPr>
              <w:pStyle w:val="Compact"/>
              <w:jc w:val="left"/>
            </w:pPr>
            <w:r>
              <w:t xml:space="preserve">338 personnes obèses sans diabète, liraglutide 3,0 mg vs sémaglutide 2,4 mg</w:t>
            </w:r>
          </w:p>
        </w:tc>
        <w:tc>
          <w:tcPr/>
          <w:p>
            <w:pPr>
              <w:pStyle w:val="Compact"/>
              <w:jc w:val="left"/>
            </w:pPr>
            <w:r>
              <w:t xml:space="preserve">68 semaines</w:t>
            </w:r>
          </w:p>
        </w:tc>
        <w:tc>
          <w:tcPr/>
          <w:p>
            <w:pPr>
              <w:pStyle w:val="Compact"/>
              <w:jc w:val="left"/>
            </w:pPr>
            <w:r>
              <w:t xml:space="preserve">poids −6,4 % vs −15,8 %</w:t>
            </w:r>
          </w:p>
        </w:tc>
      </w:tr>
    </w:tbl>
    <w:p>
      <w:pPr>
        <w:pStyle w:val="BodyText"/>
      </w:pPr>
      <w:r>
        <w:t xml:space="preserve">Dans LEAD-6</w:t>
      </w:r>
      <w:r>
        <w:rPr>
          <w:rStyle w:val="FootnoteReference"/>
        </w:rPr>
        <w:footnoteReference w:id="297"/>
      </w:r>
      <w:r>
        <w:t xml:space="preserve">, le liraglutide a abaissé la glycémie à jeun nettement plus que l’exénatide deux fois par jour, mais l’élévation glycémique après le petit-déjeuner et le dîner moins fortement – un indice que les formes à action courte agissent davantage via la vidange gastrique. Les nausées duraient moins longtemps sous liraglutide, les hypoglycémies légères étaient plus rares (25,5 % vs 33,6 % des participants).</w:t>
      </w:r>
    </w:p>
    <w:p>
      <w:pPr>
        <w:pStyle w:val="BodyText"/>
      </w:pPr>
      <w:r>
        <w:t xml:space="preserve">Face au dulaglutide, le liraglutide était équivalent dans AWARD-6</w:t>
      </w:r>
      <w:r>
        <w:rPr>
          <w:rStyle w:val="FootnoteReference"/>
        </w:rPr>
        <w:footnoteReference w:id="298"/>
      </w:r>
      <w:r>
        <w:t xml:space="preserve">, avec une tolérance similaire ; des nausées sont survenues chez 18 % contre 20 %.</w:t>
      </w:r>
    </w:p>
    <w:p>
      <w:pPr>
        <w:pStyle w:val="BodyText"/>
      </w:pPr>
      <w:r>
        <w:t xml:space="preserve">Face au sémaglutide, le liraglutide a perdu dans toutes les comparaisons. C’était le plus net dans STEP 8</w:t>
      </w:r>
      <w:r>
        <w:rPr>
          <w:rStyle w:val="FootnoteReference"/>
        </w:rPr>
        <w:footnoteReference w:id="299"/>
      </w:r>
      <w:r>
        <w:t xml:space="preserve"> </w:t>
      </w:r>
      <w:r>
        <w:t xml:space="preserve">pour le poids : avec la dose autorisée pour l’obésité dans chaque cas, les participants sous sémaglutide ont perdu en moyenne 15,8 %, sous liraglutide 6,4 % (placebo : 1,9 %). Une perte d’au moins 15 % a été atteinte par 55,6 % contre 12,0 %. 27,6 % sous liraglutide et 13,5 % sous sémaglutide avaient arrêté le traitement prématurément. Avec le comprimé de sémaglutide, la différence était plus faible dans PIONEER 4</w:t>
      </w:r>
      <w:r>
        <w:rPr>
          <w:rStyle w:val="FootnoteReference"/>
        </w:rPr>
        <w:footnoteReference w:id="300"/>
      </w:r>
      <w:r>
        <w:t xml:space="preserve"> </w:t>
      </w:r>
      <w:r>
        <w:t xml:space="preserve">: pour l’HbA1c, le comprimé n’était pas inférieur selon la méthode d’analyse principale ; pour le poids, il était supérieur de 1,2 kg. Les détails de ces études figurent dans le chapitre Sémaglutide.</w:t>
      </w:r>
    </w:p>
    <w:bookmarkEnd w:id="301"/>
    <w:bookmarkStart w:id="305" w:name="leader-cœur-circulation-et-reins"/>
    <w:p>
      <w:pPr>
        <w:pStyle w:val="Heading4"/>
      </w:pPr>
      <w:r>
        <w:t xml:space="preserve">LEADER : cœur, circulation et reins</w:t>
      </w:r>
    </w:p>
    <w:p>
      <w:pPr>
        <w:pStyle w:val="FirstParagraph"/>
      </w:pPr>
      <w:r>
        <w:t xml:space="preserve">LEADER a été la première grande étude à montrer, pour un agoniste du récepteur du GLP-1, une protection contre les événements cardiovasculaires. Elle a modifié le rôle de toute la classe dans les recommandations sur le diabète.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LEADER (Marso 2016), PMID 27295427</w:t>
            </w:r>
          </w:p>
        </w:tc>
        <w:tc>
          <w:tcPr/>
          <w:p>
            <w:pPr>
              <w:pStyle w:val="Compact"/>
              <w:jc w:val="left"/>
            </w:pPr>
            <w:r>
              <w:t xml:space="preserve">9 340 personnes atteintes de diabète de type 2 et à haut risque cardiovasculaire, ECR contre placebo</w:t>
            </w:r>
          </w:p>
        </w:tc>
        <w:tc>
          <w:tcPr/>
          <w:p>
            <w:pPr>
              <w:pStyle w:val="Compact"/>
              <w:jc w:val="left"/>
            </w:pPr>
            <w:r>
              <w:t xml:space="preserve">médiane 3,8 ans</w:t>
            </w:r>
          </w:p>
        </w:tc>
        <w:tc>
          <w:tcPr/>
          <w:p>
            <w:pPr>
              <w:pStyle w:val="Compact"/>
              <w:jc w:val="left"/>
            </w:pPr>
            <w:r>
              <w:t xml:space="preserve">Événements cardiovasculaires graves 13,0 % vs 14,9 % ; HR 0,87 (0,78–0,97)</w:t>
            </w:r>
          </w:p>
        </w:tc>
      </w:tr>
      <w:tr>
        <w:tc>
          <w:tcPr/>
          <w:p>
            <w:pPr>
              <w:pStyle w:val="Compact"/>
              <w:jc w:val="left"/>
            </w:pPr>
            <w:r>
              <w:t xml:space="preserve">LEADER, analyse rénale (Mann 2017), PMID 28854085</w:t>
            </w:r>
          </w:p>
        </w:tc>
        <w:tc>
          <w:tcPr/>
          <w:p>
            <w:pPr>
              <w:pStyle w:val="Compact"/>
              <w:jc w:val="left"/>
            </w:pPr>
            <w:r>
              <w:t xml:space="preserve">les mêmes 9 340 personnes, analyse prévue à l’avance</w:t>
            </w:r>
          </w:p>
        </w:tc>
        <w:tc>
          <w:tcPr/>
          <w:p>
            <w:pPr>
              <w:pStyle w:val="Compact"/>
              <w:jc w:val="left"/>
            </w:pPr>
            <w:r>
              <w:t xml:space="preserve">médiane 3,84 ans</w:t>
            </w:r>
          </w:p>
        </w:tc>
        <w:tc>
          <w:tcPr/>
          <w:p>
            <w:pPr>
              <w:pStyle w:val="Compact"/>
              <w:jc w:val="left"/>
            </w:pPr>
            <w:r>
              <w:t xml:space="preserve">Critère rénal 268 vs 337 cas ; HR 0,78, surtout moins de nouvelles macroalbuminuries</w:t>
            </w:r>
          </w:p>
        </w:tc>
      </w:tr>
    </w:tbl>
    <w:p>
      <w:pPr>
        <w:pStyle w:val="BodyText"/>
      </w:pPr>
      <w:r>
        <w:t xml:space="preserve">Le critère principal – décès de cause cardiovasculaire, infarctus du myocarde non mortel ou AVC – est survenu sous liraglutide chez 608 personnes sur 4 668 (13,0 %), sous placebo chez 694 sur 4 672 (14,9 %)</w:t>
      </w:r>
      <w:r>
        <w:rPr>
          <w:rStyle w:val="FootnoteReference"/>
        </w:rPr>
        <w:footnoteReference w:id="302"/>
      </w:r>
      <w:r>
        <w:t xml:space="preserve">. Cela correspond à une réduction relative du risque de 13 %. L’effet était porté surtout par une diminution des décès cardiovasculaires (4,7 % vs 6,0 % ; HR 0,78). La mortalité totale était également plus faible (8,2 % vs 9,6 % ; HR 0,85). Pris isolément, les composants infarctus, AVC et hospitalisation pour insuffisance cardiaque n’étaient pas significativement réduits.</w:t>
      </w:r>
    </w:p>
    <w:p>
      <w:pPr>
        <w:pStyle w:val="BodyText"/>
      </w:pPr>
      <w:r>
        <w:t xml:space="preserve">En chiffres absolus, cela signifie que sur près de quatre ans, environ deux personnes traitées sur cent ont eu un événement cardiovasculaire grave de moins. Pour un groupe à haut risque, c’est un effet pertinent.</w:t>
      </w:r>
    </w:p>
    <w:p>
      <w:pPr>
        <w:pStyle w:val="BodyText"/>
      </w:pPr>
      <w:r>
        <w:t xml:space="preserve">L’analyse rénale</w:t>
      </w:r>
      <w:r>
        <w:rPr>
          <w:rStyle w:val="FootnoteReference"/>
        </w:rPr>
        <w:footnoteReference w:id="303"/>
      </w:r>
      <w:r>
        <w:t xml:space="preserve"> </w:t>
      </w:r>
      <w:r>
        <w:t xml:space="preserve">a montré moins de cas d’apparition d’une excrétion urinaire importante de protéines (macroalbuminurie). Les critères rénaux durs comme le recours à la dialyse étaient rares et ne différaient pas nettement. L’insuffisance rénale aiguë est survenue à une fréquence similaire à celle observée sous placebo.</w:t>
      </w:r>
    </w:p>
    <w:p>
      <w:pPr>
        <w:pStyle w:val="BodyText"/>
      </w:pPr>
      <w:r>
        <w:t xml:space="preserve">Tous les groupes de patients cardiaques n’en bénéficient pas. Dans l’étude FIGHT portant sur 300 personnes récemment hospitalisées pour une insuffisance cardiaque sévère avec fonction de pompage fortement réduite, le liraglutide n’a pas amélioré l’évolution</w:t>
      </w:r>
      <w:r>
        <w:rPr>
          <w:rStyle w:val="FootnoteReference"/>
        </w:rPr>
        <w:footnoteReference w:id="304"/>
      </w:r>
      <w:r>
        <w:t xml:space="preserve">. Il y a même eu un peu plus de réhospitalisations pour insuffisance cardiaque (41 % vs 34 %), sans que la différence soit statistiquement significative. Les autrices et auteurs n’ont vu aucune justification à son utilisation dans cette situation.</w:t>
      </w:r>
    </w:p>
    <w:bookmarkEnd w:id="305"/>
    <w:bookmarkStart w:id="310" w:name="obésité-le-programme-scale"/>
    <w:p>
      <w:pPr>
        <w:pStyle w:val="Heading4"/>
      </w:pPr>
      <w:r>
        <w:t xml:space="preserve">Obésité : le programme SCALE</w:t>
      </w:r>
    </w:p>
    <w:p>
      <w:pPr>
        <w:pStyle w:val="FirstParagraph"/>
      </w:pPr>
      <w:r>
        <w:t xml:space="preserve">À 3,0 mg par jour – près du double de la dose maximale pour le diabète –, le liraglutide a été autorisé en 2014/2015 comme premier médicament GLP-1 pour la perte de poids. La base en était le programme d’études SCALE.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SCALE Obesity and Prediabetes (Pi-Sunyer 2015), PMID 26132939</w:t>
            </w:r>
          </w:p>
        </w:tc>
        <w:tc>
          <w:tcPr/>
          <w:p>
            <w:pPr>
              <w:pStyle w:val="Compact"/>
              <w:jc w:val="left"/>
            </w:pPr>
            <w:r>
              <w:t xml:space="preserve">3 731 adultes obèses sans diabète, ECR contre placebo</w:t>
            </w:r>
          </w:p>
        </w:tc>
        <w:tc>
          <w:tcPr/>
          <w:p>
            <w:pPr>
              <w:pStyle w:val="Compact"/>
              <w:jc w:val="left"/>
            </w:pPr>
            <w:r>
              <w:t xml:space="preserve">56 semaines</w:t>
            </w:r>
          </w:p>
        </w:tc>
        <w:tc>
          <w:tcPr/>
          <w:p>
            <w:pPr>
              <w:pStyle w:val="Compact"/>
              <w:jc w:val="left"/>
            </w:pPr>
            <w:r>
              <w:t xml:space="preserve">−8,4 kg vs −2,8 kg ; perte ≥ 5 % chez 63,2 % vs 27,1 %</w:t>
            </w:r>
          </w:p>
        </w:tc>
      </w:tr>
      <w:tr>
        <w:tc>
          <w:tcPr/>
          <w:p>
            <w:pPr>
              <w:pStyle w:val="Compact"/>
              <w:jc w:val="left"/>
            </w:pPr>
            <w:r>
              <w:t xml:space="preserve">SCALE, partie à 3 ans (le Roux 2017), PMID 28237263</w:t>
            </w:r>
          </w:p>
        </w:tc>
        <w:tc>
          <w:tcPr/>
          <w:p>
            <w:pPr>
              <w:pStyle w:val="Compact"/>
              <w:jc w:val="left"/>
            </w:pPr>
            <w:r>
              <w:t xml:space="preserve">2 254 personnes atteintes de prédiabète</w:t>
            </w:r>
          </w:p>
        </w:tc>
        <w:tc>
          <w:tcPr/>
          <w:p>
            <w:pPr>
              <w:pStyle w:val="Compact"/>
              <w:jc w:val="left"/>
            </w:pPr>
            <w:r>
              <w:t xml:space="preserve">160 semaines</w:t>
            </w:r>
          </w:p>
        </w:tc>
        <w:tc>
          <w:tcPr/>
          <w:p>
            <w:pPr>
              <w:pStyle w:val="Compact"/>
              <w:jc w:val="left"/>
            </w:pPr>
            <w:r>
              <w:t xml:space="preserve">Nouveau diabète chez 2 % vs 6 % ; poids −6,1 % vs −1,9 %</w:t>
            </w:r>
          </w:p>
        </w:tc>
      </w:tr>
      <w:tr>
        <w:tc>
          <w:tcPr/>
          <w:p>
            <w:pPr>
              <w:pStyle w:val="Compact"/>
              <w:jc w:val="left"/>
            </w:pPr>
            <w:r>
              <w:t xml:space="preserve">SCALE Diabetes (Davies 2015), PMID 26284720</w:t>
            </w:r>
          </w:p>
        </w:tc>
        <w:tc>
          <w:tcPr/>
          <w:p>
            <w:pPr>
              <w:pStyle w:val="Compact"/>
              <w:jc w:val="left"/>
            </w:pPr>
            <w:r>
              <w:t xml:space="preserve">846 personnes atteintes de diabète de type 2 et en surpoids</w:t>
            </w:r>
          </w:p>
        </w:tc>
        <w:tc>
          <w:tcPr/>
          <w:p>
            <w:pPr>
              <w:pStyle w:val="Compact"/>
              <w:jc w:val="left"/>
            </w:pPr>
            <w:r>
              <w:t xml:space="preserve">56 semaines</w:t>
            </w:r>
          </w:p>
        </w:tc>
        <w:tc>
          <w:tcPr/>
          <w:p>
            <w:pPr>
              <w:pStyle w:val="Compact"/>
              <w:jc w:val="left"/>
            </w:pPr>
            <w:r>
              <w:t xml:space="preserve">−6,0 % (3,0 mg) vs −2,0 %</w:t>
            </w:r>
          </w:p>
        </w:tc>
      </w:tr>
      <w:tr>
        <w:tc>
          <w:tcPr/>
          <w:p>
            <w:pPr>
              <w:pStyle w:val="Compact"/>
              <w:jc w:val="left"/>
            </w:pPr>
            <w:r>
              <w:t xml:space="preserve">SCALE Maintenance (Wadden 2013), PMID 23812094</w:t>
            </w:r>
          </w:p>
        </w:tc>
        <w:tc>
          <w:tcPr/>
          <w:p>
            <w:pPr>
              <w:pStyle w:val="Compact"/>
              <w:jc w:val="left"/>
            </w:pPr>
            <w:r>
              <w:t xml:space="preserve">422 personnes après un régime avec perte ≥ 5 %</w:t>
            </w:r>
          </w:p>
        </w:tc>
        <w:tc>
          <w:tcPr/>
          <w:p>
            <w:pPr>
              <w:pStyle w:val="Compact"/>
              <w:jc w:val="left"/>
            </w:pPr>
            <w:r>
              <w:t xml:space="preserve">56 semaines</w:t>
            </w:r>
          </w:p>
        </w:tc>
        <w:tc>
          <w:tcPr/>
          <w:p>
            <w:pPr>
              <w:pStyle w:val="Compact"/>
              <w:jc w:val="left"/>
            </w:pPr>
            <w:r>
              <w:t xml:space="preserve">−6,2 % supplémentaires vs −0,2 %</w:t>
            </w:r>
          </w:p>
        </w:tc>
      </w:tr>
      <w:tr>
        <w:tc>
          <w:tcPr/>
          <w:p>
            <w:pPr>
              <w:pStyle w:val="Compact"/>
              <w:jc w:val="left"/>
            </w:pPr>
            <w:r>
              <w:t xml:space="preserve">SCALE Sleep Apnea (Blackman 2016), PMID 27005405</w:t>
            </w:r>
          </w:p>
        </w:tc>
        <w:tc>
          <w:tcPr/>
          <w:p>
            <w:pPr>
              <w:pStyle w:val="Compact"/>
              <w:jc w:val="left"/>
            </w:pPr>
            <w:r>
              <w:t xml:space="preserve">adultes obèses avec apnée du sommeil modérée à sévère</w:t>
            </w:r>
          </w:p>
        </w:tc>
        <w:tc>
          <w:tcPr/>
          <w:p>
            <w:pPr>
              <w:pStyle w:val="Compact"/>
              <w:jc w:val="left"/>
            </w:pPr>
            <w:r>
              <w:t xml:space="preserve">32 semaines</w:t>
            </w:r>
          </w:p>
        </w:tc>
        <w:tc>
          <w:tcPr/>
          <w:p>
            <w:pPr>
              <w:pStyle w:val="Compact"/>
              <w:jc w:val="left"/>
            </w:pPr>
            <w:r>
              <w:t xml:space="preserve">Apnées −12,2 vs −6,1 par heure ; poids −5,7 % vs −1,6 %</w:t>
            </w:r>
          </w:p>
        </w:tc>
      </w:tr>
    </w:tbl>
    <w:p>
      <w:pPr>
        <w:pStyle w:val="BodyText"/>
      </w:pPr>
      <w:r>
        <w:t xml:space="preserve">Dans la plus grande étude</w:t>
      </w:r>
      <w:r>
        <w:rPr>
          <w:rStyle w:val="FootnoteReference"/>
        </w:rPr>
        <w:footnoteReference w:id="306"/>
      </w:r>
      <w:r>
        <w:t xml:space="preserve">, les participants sous liraglutide ont perdu en moyenne 8,4 kg, sous placebo 2,8 kg – dans les deux cas avec des conseils diététiques et d’activité physique. Un tiers (33,1 %) a perdu plus de 10 % de son poids corporel, contre 10,6 % sous placebo. Des événements indésirables graves sont survenus chez 6,2 % contre 5,0 %.</w:t>
      </w:r>
    </w:p>
    <w:p>
      <w:pPr>
        <w:pStyle w:val="BodyText"/>
      </w:pPr>
      <w:r>
        <w:t xml:space="preserve">Les participants atteints de prédiabète (stade précurseur du diabète) ont été traités pendant trois ans</w:t>
      </w:r>
      <w:r>
        <w:rPr>
          <w:rStyle w:val="FootnoteReference"/>
        </w:rPr>
        <w:footnoteReference w:id="307"/>
      </w:r>
      <w:r>
        <w:t xml:space="preserve">. Sous liraglutide, 2 % ont développé un diabète de type 2, sous placebo 6 %. L’étude présente cependant une faiblesse importante : seule la moitié des participants (50 %) est restée jusqu’à la fin, et ceux qui sont sortis n’ont plus été suivis. Les résultats doivent donc être lus avec prudence.</w:t>
      </w:r>
    </w:p>
    <w:p>
      <w:pPr>
        <w:pStyle w:val="BodyText"/>
      </w:pPr>
      <w:r>
        <w:t xml:space="preserve">Chez les personnes atteintes de diabète de type 2, la perte de poids était plus faible</w:t>
      </w:r>
      <w:r>
        <w:rPr>
          <w:rStyle w:val="FootnoteReference"/>
        </w:rPr>
        <w:footnoteReference w:id="308"/>
      </w:r>
      <w:r>
        <w:t xml:space="preserve"> </w:t>
      </w:r>
      <w:r>
        <w:t xml:space="preserve">– un schéma qui se répète avec tous les médicaments GLP-1. Dans SCALE Maintenance</w:t>
      </w:r>
      <w:r>
        <w:rPr>
          <w:rStyle w:val="FootnoteReference"/>
        </w:rPr>
        <w:footnoteReference w:id="309"/>
      </w:r>
      <w:r>
        <w:t xml:space="preserve">, le liraglutide a aidé à maintenir le poids après une phase de régime : 81,4 % ont conservé la perte de poids obtenue auparavant, contre 48,9 % sous placebo.</w:t>
      </w:r>
    </w:p>
    <w:p>
      <w:pPr>
        <w:pStyle w:val="BodyText"/>
      </w:pPr>
      <w:r>
        <w:t xml:space="preserve">Rétrospectivement, l’effet du liraglutide sur le poids paraît modeste depuis que le sémaglutide et le tirzépatide atteignent en moyenne 15 à plus de 20 %. Pour son époque, ce fut une percée : aucun médicament autorisé auparavant n’avait montré des valeurs similaires dans des études de cette taille.</w:t>
      </w:r>
    </w:p>
    <w:bookmarkEnd w:id="310"/>
    <w:bookmarkStart w:id="314" w:name="enfants-et-adolescents"/>
    <w:p>
      <w:pPr>
        <w:pStyle w:val="Heading4"/>
      </w:pPr>
      <w:r>
        <w:t xml:space="preserve">Enfants et adolescents</w:t>
      </w:r>
    </w:p>
    <w:p>
      <w:pPr>
        <w:pStyle w:val="FirstParagraph"/>
      </w:pPr>
      <w:r>
        <w:t xml:space="preserve">Le liraglutide est l’une des rares substances de cette classe à avoir été étudiées spécifiquement chez l’enfant et l’adolescent.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ELLIPSE (Tamborlane 2019), PMID 31034184</w:t>
            </w:r>
          </w:p>
        </w:tc>
        <w:tc>
          <w:tcPr/>
          <w:p>
            <w:pPr>
              <w:pStyle w:val="Compact"/>
              <w:jc w:val="left"/>
            </w:pPr>
            <w:r>
              <w:t xml:space="preserve">134 enfants et adolescents (10 à moins de 17 ans) atteints de diabète de type 2, ECR contre placebo</w:t>
            </w:r>
          </w:p>
        </w:tc>
        <w:tc>
          <w:tcPr/>
          <w:p>
            <w:pPr>
              <w:pStyle w:val="Compact"/>
              <w:jc w:val="left"/>
            </w:pPr>
            <w:r>
              <w:t xml:space="preserve">52 semaines</w:t>
            </w:r>
          </w:p>
        </w:tc>
        <w:tc>
          <w:tcPr/>
          <w:p>
            <w:pPr>
              <w:pStyle w:val="Compact"/>
              <w:jc w:val="left"/>
            </w:pPr>
            <w:r>
              <w:t xml:space="preserve">HbA1c −1,06 point de pourcentage par rapport au placebo après 26 semaines, −1,30 après 52 semaines</w:t>
            </w:r>
          </w:p>
        </w:tc>
      </w:tr>
      <w:tr>
        <w:tc>
          <w:tcPr/>
          <w:p>
            <w:pPr>
              <w:pStyle w:val="Compact"/>
              <w:jc w:val="left"/>
            </w:pPr>
            <w:r>
              <w:t xml:space="preserve">SCALE Teens (Kelly 2020), PMID 32233338</w:t>
            </w:r>
          </w:p>
        </w:tc>
        <w:tc>
          <w:tcPr/>
          <w:p>
            <w:pPr>
              <w:pStyle w:val="Compact"/>
              <w:jc w:val="left"/>
            </w:pPr>
            <w:r>
              <w:t xml:space="preserve">251 adolescents (12 à moins de 18 ans) obèses, ECR contre placebo</w:t>
            </w:r>
          </w:p>
        </w:tc>
        <w:tc>
          <w:tcPr/>
          <w:p>
            <w:pPr>
              <w:pStyle w:val="Compact"/>
              <w:jc w:val="left"/>
            </w:pPr>
            <w:r>
              <w:t xml:space="preserve">56 semaines</w:t>
            </w:r>
          </w:p>
        </w:tc>
        <w:tc>
          <w:tcPr/>
          <w:p>
            <w:pPr>
              <w:pStyle w:val="Compact"/>
              <w:jc w:val="left"/>
            </w:pPr>
            <w:r>
              <w:t xml:space="preserve">Baisse de l’IMC ≥ 5 % chez 43,3 % vs 18,7 % ; poids −4,50 kg par rapport au placebo</w:t>
            </w:r>
          </w:p>
        </w:tc>
      </w:tr>
      <w:tr>
        <w:tc>
          <w:tcPr/>
          <w:p>
            <w:pPr>
              <w:pStyle w:val="Compact"/>
              <w:jc w:val="left"/>
            </w:pPr>
            <w:r>
              <w:t xml:space="preserve">SCALE Kids (Fox 2025), PMID 39258838</w:t>
            </w:r>
          </w:p>
        </w:tc>
        <w:tc>
          <w:tcPr/>
          <w:p>
            <w:pPr>
              <w:pStyle w:val="Compact"/>
              <w:jc w:val="left"/>
            </w:pPr>
            <w:r>
              <w:t xml:space="preserve">82 enfants (6 à moins de 12 ans) obèses, ECR contre placebo</w:t>
            </w:r>
          </w:p>
        </w:tc>
        <w:tc>
          <w:tcPr/>
          <w:p>
            <w:pPr>
              <w:pStyle w:val="Compact"/>
              <w:jc w:val="left"/>
            </w:pPr>
            <w:r>
              <w:t xml:space="preserve">56 semaines</w:t>
            </w:r>
          </w:p>
        </w:tc>
        <w:tc>
          <w:tcPr/>
          <w:p>
            <w:pPr>
              <w:pStyle w:val="Compact"/>
              <w:jc w:val="left"/>
            </w:pPr>
            <w:r>
              <w:t xml:space="preserve">IMC −5,8 % vs +1,6 %</w:t>
            </w:r>
          </w:p>
        </w:tc>
      </w:tr>
    </w:tbl>
    <w:p>
      <w:pPr>
        <w:pStyle w:val="BodyText"/>
      </w:pPr>
      <w:r>
        <w:t xml:space="preserve">Dans SCALE Teens</w:t>
      </w:r>
      <w:r>
        <w:rPr>
          <w:rStyle w:val="FootnoteReference"/>
        </w:rPr>
        <w:footnoteReference w:id="311"/>
      </w:r>
      <w:r>
        <w:t xml:space="preserve">, une remontée de l’IMC est apparue après l’arrêt, plus forte que sous placebo. Les troubles gastro-intestinaux ont touché 64,8 % contre 36,5 % ; 10,4 % ont arrêté le traitement en raison d’effets indésirables. Dans le groupe liraglutide, il y a eu un suicide, que les investigateurs ont jugé probablement sans lien avec le traitement.</w:t>
      </w:r>
    </w:p>
    <w:p>
      <w:pPr>
        <w:pStyle w:val="BodyText"/>
      </w:pPr>
      <w:r>
        <w:t xml:space="preserve">Dans SCALE Kids</w:t>
      </w:r>
      <w:r>
        <w:rPr>
          <w:rStyle w:val="FootnoteReference"/>
        </w:rPr>
        <w:footnoteReference w:id="312"/>
      </w:r>
      <w:r>
        <w:t xml:space="preserve">, le poids corporel des enfants en croissance a augmenté en moyenne de 1,6 % sous liraglutide, de 10,0 % sous placebo. Des troubles gastro-intestinaux sont survenus chez 80 % contre 54 %, des événements indésirables graves chez 12 % contre 8 %. Chez l’enfant se pose particulièrement la question de la durée d’un tel traitement et de ses effets à long terme sur la croissance et les os. Une étude sur le métabolisme osseux chez les 12-21 ans sous traitement GLP-1 est notamment en cours à ce sujet</w:t>
      </w:r>
      <w:r>
        <w:rPr>
          <w:rStyle w:val="FootnoteReference"/>
        </w:rPr>
        <w:footnoteReference w:id="313"/>
      </w:r>
      <w:r>
        <w:t xml:space="preserve">.</w:t>
      </w:r>
    </w:p>
    <w:bookmarkEnd w:id="314"/>
    <w:bookmarkStart w:id="318" w:name="autres-domaines-dutilisation-étudiés-1"/>
    <w:p>
      <w:pPr>
        <w:pStyle w:val="Heading4"/>
      </w:pPr>
      <w:r>
        <w:t xml:space="preserve">Autres domaines d’utilisation étudiés</w:t>
      </w:r>
    </w:p>
    <w:p>
      <w:pPr>
        <w:numPr>
          <w:ilvl w:val="0"/>
          <w:numId w:val="1043"/>
        </w:numPr>
        <w:pStyle w:val="Compact"/>
      </w:pPr>
      <w:r>
        <w:rPr>
          <w:bCs/>
          <w:b/>
        </w:rPr>
        <w:t xml:space="preserve">Stéatohépatite (NASH/MASH) :</w:t>
      </w:r>
      <w:r>
        <w:t xml:space="preserve"> </w:t>
      </w:r>
      <w:r>
        <w:t xml:space="preserve">dans la petite étude de phase 2 LEAN portant sur 52 participants, l’inflammation à la biopsie hépatique a régressé chez 39 % sous liraglutide et chez 9 % sous placebo ; une aggravation de la cicatrisation (fibrose) a été plus rare (9 % vs 36 %)</w:t>
      </w:r>
      <w:r>
        <w:rPr>
          <w:rStyle w:val="FootnoteReference"/>
        </w:rPr>
        <w:footnoteReference w:id="315"/>
      </w:r>
      <w:r>
        <w:t xml:space="preserve">. Des études plus grandes ont été menées ensuite avec le sémaglutide.</w:t>
      </w:r>
    </w:p>
    <w:p>
      <w:pPr>
        <w:numPr>
          <w:ilvl w:val="0"/>
          <w:numId w:val="1043"/>
        </w:numPr>
        <w:pStyle w:val="Compact"/>
      </w:pPr>
      <w:r>
        <w:rPr>
          <w:bCs/>
          <w:b/>
        </w:rPr>
        <w:t xml:space="preserve">Maladie d’Alzheimer :</w:t>
      </w:r>
      <w:r>
        <w:t xml:space="preserve"> </w:t>
      </w:r>
      <w:r>
        <w:t xml:space="preserve">dans l’étude de phase 2b ELAD portant sur 204 personnes sans diabète, le critère principal, le métabolisme du glucose dans le cerveau, n’a pas changé</w:t>
      </w:r>
      <w:r>
        <w:rPr>
          <w:rStyle w:val="FootnoteReference"/>
        </w:rPr>
        <w:footnoteReference w:id="316"/>
      </w:r>
      <w:r>
        <w:t xml:space="preserve">. Pour un critère secondaire portant sur les fonctions exécutives, le liraglutide a obtenu de meilleurs résultats, mais pas pour les capacités de la vie quotidienne ni la sévérité de la démence. Les critères secondaires sans correction pour tests multiples ne sont que des indices.</w:t>
      </w:r>
    </w:p>
    <w:p>
      <w:pPr>
        <w:numPr>
          <w:ilvl w:val="0"/>
          <w:numId w:val="1043"/>
        </w:numPr>
        <w:pStyle w:val="Compact"/>
      </w:pPr>
      <w:r>
        <w:rPr>
          <w:bCs/>
          <w:b/>
        </w:rPr>
        <w:t xml:space="preserve">Alcool et autres addictions :</w:t>
      </w:r>
      <w:r>
        <w:t xml:space="preserve"> </w:t>
      </w:r>
      <w:r>
        <w:t xml:space="preserve">dans une étude de registre suédoise portant sur 227 866 personnes dépendantes à l’alcool, la prise de liraglutide était associée à un risque d’hospitalisation liée à l’alcool inférieur de 28 %</w:t>
      </w:r>
      <w:r>
        <w:rPr>
          <w:rStyle w:val="FootnoteReference"/>
        </w:rPr>
        <w:footnoteReference w:id="317"/>
      </w:r>
      <w:r>
        <w:t xml:space="preserve">. Les données observationnelles de ce type montrent des associations, pas une relation de cause à effet.</w:t>
      </w:r>
    </w:p>
    <w:bookmarkEnd w:id="318"/>
    <w:bookmarkEnd w:id="319"/>
    <w:bookmarkStart w:id="322" w:name="études-animales-et-de-laboratoire-1"/>
    <w:p>
      <w:pPr>
        <w:pStyle w:val="Heading3"/>
      </w:pPr>
      <w:r>
        <w:t xml:space="preserve">Études animales et de laboratoire</w:t>
      </w:r>
    </w:p>
    <w:p>
      <w:pPr>
        <w:pStyle w:val="FirstParagraph"/>
      </w:pPr>
      <w:r>
        <w:t xml:space="preserve">Une grande partie de la compréhension actuelle de l’action du GLP-1 dans le cerveau provient d’expérimentations animales avec le liraglutide. Chez le rat et la souris, on a montré que la molécule, malgré sa taille, atteint certaines régions cérébrales dépourvues de barrière hémato-encéphalique étanche et y stimule des cellules nerveuses coupe-faim</w:t>
      </w:r>
      <w:r>
        <w:rPr>
          <w:rStyle w:val="FootnoteReference"/>
        </w:rPr>
        <w:footnoteReference w:id="320"/>
      </w:r>
      <w:r>
        <w:t xml:space="preserve">.</w:t>
      </w:r>
    </w:p>
    <w:p>
      <w:pPr>
        <w:pStyle w:val="BodyText"/>
      </w:pPr>
      <w:r>
        <w:t xml:space="preserve">Les constats concernant la thyroïde ont eu des conséquences particulièrement importantes. Dans des expériences à long terme chez le rat et la souris, le liraglutide a entraîné une prolifération des cellules C (qui produisent l’hormone calcitonine) et des tumeurs à cellules C. L’étude du mécanisme a montré que les cellules C des rongeurs portent de nombreux récepteurs du GLP-1, alors que celles de l’humain et du singe en portent à peine</w:t>
      </w:r>
      <w:r>
        <w:rPr>
          <w:rStyle w:val="FootnoteReference"/>
        </w:rPr>
        <w:footnoteReference w:id="321"/>
      </w:r>
      <w:r>
        <w:t xml:space="preserve">. Chez le macaque crabier, 20 mois de liraglutide à une exposition plus de 60 fois supérieure à celle de l’humain n’ont pas entraîné de prolifération des cellules C. Néanmoins, une mise en garde concernant le carcinome médullaire de la thyroïde figure depuis lors dans le résumé des caractéristiques du produit de toute la classe, en particulier aux États-Unis.</w:t>
      </w:r>
    </w:p>
    <w:p>
      <w:pPr>
        <w:pStyle w:val="BodyText"/>
      </w:pPr>
      <w:r>
        <w:t xml:space="preserve">D’autres études animales ont porté sur la protection cardiaque, la neuroprotection (modèles d’Alzheimer et de Parkinson), la stéatose hépatique et les atteintes rénales. Comme pour l’exénatide, la transposabilité à l’humain est limitée : l’étude ELAD sur la maladie d’Alzheimer, par exemple, a manqué son critère principal, alors que les données animales étaient positives.</w:t>
      </w:r>
    </w:p>
    <w:bookmarkEnd w:id="322"/>
    <w:bookmarkStart w:id="332" w:name="risques-et-effets-indésirables-1"/>
    <w:p>
      <w:pPr>
        <w:pStyle w:val="Heading3"/>
      </w:pPr>
      <w:r>
        <w:t xml:space="preserve">Risques et effets indésirables</w:t>
      </w:r>
    </w:p>
    <w:p>
      <w:pPr>
        <w:pStyle w:val="FirstParagraph"/>
      </w:pPr>
      <w:r>
        <w:rPr>
          <w:bCs/>
          <w:b/>
        </w:rPr>
        <w:t xml:space="preserve">Démontrés dans des études randomisées :</w:t>
      </w:r>
    </w:p>
    <w:p>
      <w:pPr>
        <w:numPr>
          <w:ilvl w:val="0"/>
          <w:numId w:val="1044"/>
        </w:numPr>
        <w:pStyle w:val="Compact"/>
      </w:pPr>
      <w:r>
        <w:rPr>
          <w:bCs/>
          <w:b/>
        </w:rPr>
        <w:t xml:space="preserve">Troubles gastro-intestinaux :</w:t>
      </w:r>
      <w:r>
        <w:t xml:space="preserve"> </w:t>
      </w:r>
      <w:r>
        <w:t xml:space="preserve">nausées, diarrhées, vomissements et constipation sont les effets indésirables les plus fréquents et la raison la plus courante des arrêts de traitement</w:t>
      </w:r>
      <w:r>
        <w:rPr>
          <w:rStyle w:val="FootnoteReference"/>
        </w:rPr>
        <w:footnoteReference w:id="323"/>
      </w:r>
      <w:r>
        <w:t xml:space="preserve">. Ils surviennent surtout au début et après les augmentations de dose. À la dose plus élevée utilisée dans l’obésité, ils sont plus fréquents qu’à la dose utilisée dans le diabète</w:t>
      </w:r>
      <w:r>
        <w:rPr>
          <w:rStyle w:val="FootnoteReference"/>
        </w:rPr>
        <w:footnoteReference w:id="324"/>
      </w:r>
      <w:r>
        <w:t xml:space="preserve">.</w:t>
      </w:r>
    </w:p>
    <w:p>
      <w:pPr>
        <w:numPr>
          <w:ilvl w:val="0"/>
          <w:numId w:val="1044"/>
        </w:numPr>
        <w:pStyle w:val="Compact"/>
      </w:pPr>
      <w:r>
        <w:rPr>
          <w:bCs/>
          <w:b/>
        </w:rPr>
        <w:t xml:space="preserve">Vésicule biliaire :</w:t>
      </w:r>
      <w:r>
        <w:t xml:space="preserve"> </w:t>
      </w:r>
      <w:r>
        <w:t xml:space="preserve">une méta-analyse de 76 études randomisées portant sur 103 371 participants a trouvé pour la classe GLP-1 un risque relatif augmenté de 37 % de maladies de la vésicule et des voies biliaires comme les calculs biliaires et la cholécystite</w:t>
      </w:r>
      <w:r>
        <w:rPr>
          <w:rStyle w:val="FootnoteReference"/>
        </w:rPr>
        <w:footnoteReference w:id="325"/>
      </w:r>
      <w:r>
        <w:t xml:space="preserve">. Le risque était plus élevé avec les doses plus fortes, une utilisation plus longue et dans les études sur la perte de poids (risque relatif 2,29). Une partie de ce risque est probablement liée à la perte de poids rapide elle-même.</w:t>
      </w:r>
    </w:p>
    <w:p>
      <w:pPr>
        <w:numPr>
          <w:ilvl w:val="0"/>
          <w:numId w:val="1044"/>
        </w:numPr>
        <w:pStyle w:val="Compact"/>
      </w:pPr>
      <w:r>
        <w:rPr>
          <w:bCs/>
          <w:b/>
        </w:rPr>
        <w:t xml:space="preserve">Hypoglycémie :</w:t>
      </w:r>
      <w:r>
        <w:t xml:space="preserve"> </w:t>
      </w:r>
      <w:r>
        <w:t xml:space="preserve">rare en monothérapie, plus fréquente en association avec des sulfamides ou de l’insuline.</w:t>
      </w:r>
    </w:p>
    <w:p>
      <w:pPr>
        <w:numPr>
          <w:ilvl w:val="0"/>
          <w:numId w:val="1044"/>
        </w:numPr>
        <w:pStyle w:val="Compact"/>
      </w:pPr>
      <w:r>
        <w:rPr>
          <w:bCs/>
          <w:b/>
        </w:rPr>
        <w:t xml:space="preserve">Fréquence cardiaque :</w:t>
      </w:r>
      <w:r>
        <w:t xml:space="preserve"> </w:t>
      </w:r>
      <w:r>
        <w:t xml:space="preserve">le liraglutide augmente légèrement le pouls au repos de quelques battements par minute ; au vu des résultats de LEADER, la portée clinique est jugée faible.</w:t>
      </w:r>
    </w:p>
    <w:p>
      <w:pPr>
        <w:pStyle w:val="FirstParagraph"/>
      </w:pPr>
      <w:r>
        <w:rPr>
          <w:bCs/>
          <w:b/>
        </w:rPr>
        <w:t xml:space="preserve">Étudiés, mais incertains ou non confirmés :</w:t>
      </w:r>
    </w:p>
    <w:p>
      <w:pPr>
        <w:numPr>
          <w:ilvl w:val="0"/>
          <w:numId w:val="1045"/>
        </w:numPr>
        <w:pStyle w:val="Compact"/>
      </w:pPr>
      <w:r>
        <w:rPr>
          <w:bCs/>
          <w:b/>
        </w:rPr>
        <w:t xml:space="preserve">Pancréatite :</w:t>
      </w:r>
      <w:r>
        <w:t xml:space="preserve"> </w:t>
      </w:r>
      <w:r>
        <w:t xml:space="preserve">dans LEADER, elle n’a pas été plus fréquente sous liraglutide que sous placebo</w:t>
      </w:r>
      <w:r>
        <w:rPr>
          <w:rStyle w:val="FootnoteReference"/>
        </w:rPr>
        <w:footnoteReference w:id="326"/>
      </w:r>
      <w:r>
        <w:t xml:space="preserve">. Une méta-analyse plus ancienne n’a pas non plus trouvé de risque accru</w:t>
      </w:r>
      <w:r>
        <w:rPr>
          <w:rStyle w:val="FootnoteReference"/>
        </w:rPr>
        <w:footnoteReference w:id="327"/>
      </w:r>
      <w:r>
        <w:t xml:space="preserve">. Le résumé des caractéristiques du produit la mentionne néanmoins comme effet indésirable rare ; en cas de douleurs abdominales fortes et persistantes, un examen médical est nécessaire.</w:t>
      </w:r>
    </w:p>
    <w:p>
      <w:pPr>
        <w:numPr>
          <w:ilvl w:val="0"/>
          <w:numId w:val="1045"/>
        </w:numPr>
        <w:pStyle w:val="Compact"/>
      </w:pPr>
      <w:r>
        <w:rPr>
          <w:bCs/>
          <w:b/>
        </w:rPr>
        <w:t xml:space="preserve">Cancer de la thyroïde :</w:t>
      </w:r>
      <w:r>
        <w:t xml:space="preserve"> </w:t>
      </w:r>
      <w:r>
        <w:t xml:space="preserve">les constats chez l’animal sont décrits plus haut. Chez l’humain, les données sont contradictoires. Une étude cas-témoins française portant sur 2 562 cas a trouvé, après un à trois ans de traitement GLP-1, un risque accru de cancer de la thyroïde dans son ensemble (HR 1,58) et du rare carcinome médullaire (HR 1,78)</w:t>
      </w:r>
      <w:r>
        <w:rPr>
          <w:rStyle w:val="FootnoteReference"/>
        </w:rPr>
        <w:footnoteReference w:id="328"/>
      </w:r>
      <w:r>
        <w:t xml:space="preserve">. Une méta-analyse de 50 études randomisées a également montré un signal (odds ratio 1,55)</w:t>
      </w:r>
      <w:r>
        <w:rPr>
          <w:rStyle w:val="FootnoteReference"/>
        </w:rPr>
        <w:footnoteReference w:id="329"/>
      </w:r>
      <w:r>
        <w:t xml:space="preserve">. On discute de la part qui pourrait être due à des examens plus fréquents chez les personnes traitées. Selon le résumé des caractéristiques du produit, les personnes ayant des antécédents personnels ou familiaux de carcinome médullaire de la thyroïde ne doivent pas utiliser d’agonistes du récepteur du GLP-1.</w:t>
      </w:r>
    </w:p>
    <w:p>
      <w:pPr>
        <w:numPr>
          <w:ilvl w:val="0"/>
          <w:numId w:val="1045"/>
        </w:numPr>
        <w:pStyle w:val="Compact"/>
      </w:pPr>
      <w:r>
        <w:rPr>
          <w:bCs/>
          <w:b/>
        </w:rPr>
        <w:t xml:space="preserve">Effets indésirables psychiques et idées suicidaires :</w:t>
      </w:r>
      <w:r>
        <w:t xml:space="preserve"> </w:t>
      </w:r>
      <w:r>
        <w:t xml:space="preserve">après des notifications isolées, les autorités européenne et américaine ont examiné en 2023/2024 un lien possible et n’ont trouvé aucune preuve d’une relation causale. Dans une étude de cohorte scandinave portant sur 124 517 personnes sous agonistes du récepteur du GLP-1, le risque de suicide n’était pas augmenté par rapport aux inhibiteurs du SGLT2 (HR 1,25 ; intervalle de confiance 0,83–1,88)</w:t>
      </w:r>
      <w:r>
        <w:rPr>
          <w:rStyle w:val="FootnoteReference"/>
        </w:rPr>
        <w:footnoteReference w:id="330"/>
      </w:r>
      <w:r>
        <w:t xml:space="preserve">. Une méta-analyse de 2026 n’a pas non plus trouvé de lien dans les études randomisées</w:t>
      </w:r>
      <w:r>
        <w:rPr>
          <w:rStyle w:val="FootnoteReference"/>
        </w:rPr>
        <w:footnoteReference w:id="331"/>
      </w:r>
      <w:r>
        <w:t xml:space="preserve">. L’observation reste soumise à une surveillance continue.</w:t>
      </w:r>
    </w:p>
    <w:p>
      <w:pPr>
        <w:pStyle w:val="FirstParagraph"/>
      </w:pPr>
      <w:r>
        <w:rPr>
          <w:bCs/>
          <w:b/>
        </w:rPr>
        <w:t xml:space="preserve">Remarques pour la pratique :</w:t>
      </w:r>
      <w:r>
        <w:t xml:space="preserve"> </w:t>
      </w:r>
      <w:r>
        <w:t xml:space="preserve">le liraglutide n’est pas indiqué pendant la grossesse. Comme tous les agonistes du récepteur du GLP-1, il ralentit la vidange gastrique, ce qui peut jouer un rôle lors d’anesthésies et pour l’absorption d’autres médicaments. Le résumé des caractéristiques du produit et l’accompagnement médical font foi, y compris pour l’augmentation progressive de la dose.</w:t>
      </w:r>
    </w:p>
    <w:bookmarkEnd w:id="332"/>
    <w:bookmarkStart w:id="333" w:name="statut-juridique-1"/>
    <w:p>
      <w:pPr>
        <w:pStyle w:val="Heading3"/>
      </w:pPr>
      <w:r>
        <w:t xml:space="preserve">Statut juridique</w:t>
      </w:r>
    </w:p>
    <w:p>
      <w:pPr>
        <w:numPr>
          <w:ilvl w:val="0"/>
          <w:numId w:val="1046"/>
        </w:numPr>
        <w:pStyle w:val="Compact"/>
      </w:pPr>
      <w:r>
        <w:rPr>
          <w:bCs/>
          <w:b/>
        </w:rPr>
        <w:t xml:space="preserve">UE :</w:t>
      </w:r>
      <w:r>
        <w:t xml:space="preserve"> </w:t>
      </w:r>
      <w:r>
        <w:t xml:space="preserve">Victoza est autorisé depuis 2009 pour le traitement du diabète de type 2, Saxenda depuis 2015 pour la gestion du poids chez l’adulte et l’adolescent. Les deux sont soumis à prescription.</w:t>
      </w:r>
    </w:p>
    <w:p>
      <w:pPr>
        <w:numPr>
          <w:ilvl w:val="0"/>
          <w:numId w:val="1046"/>
        </w:numPr>
        <w:pStyle w:val="Compact"/>
      </w:pPr>
      <w:r>
        <w:rPr>
          <w:bCs/>
          <w:b/>
        </w:rPr>
        <w:t xml:space="preserve">Allemagne :</w:t>
      </w:r>
      <w:r>
        <w:t xml:space="preserve"> </w:t>
      </w:r>
      <w:r>
        <w:t xml:space="preserve">dans le diabète, les caisses d’assurance maladie légales remboursent le liraglutide. Les médicaments destinés à la perte de poids sont en revanche en principe exclus du remboursement en vertu du § 34 SGB V ; les assurés doivent en règle générale payer eux-mêmes Saxenda.</w:t>
      </w:r>
    </w:p>
    <w:p>
      <w:pPr>
        <w:numPr>
          <w:ilvl w:val="0"/>
          <w:numId w:val="1046"/>
        </w:numPr>
        <w:pStyle w:val="Compact"/>
      </w:pPr>
      <w:r>
        <w:rPr>
          <w:bCs/>
          <w:b/>
        </w:rPr>
        <w:t xml:space="preserve">Autriche :</w:t>
      </w:r>
      <w:r>
        <w:t xml:space="preserve"> </w:t>
      </w:r>
      <w:r>
        <w:t xml:space="preserve">soumis à prescription ; la prise en charge des coûts pour la gestion du poids est restreinte et soumise à conditions (à vérifier).</w:t>
      </w:r>
    </w:p>
    <w:p>
      <w:pPr>
        <w:numPr>
          <w:ilvl w:val="0"/>
          <w:numId w:val="1046"/>
        </w:numPr>
        <w:pStyle w:val="Compact"/>
      </w:pPr>
      <w:r>
        <w:rPr>
          <w:bCs/>
          <w:b/>
        </w:rPr>
        <w:t xml:space="preserve">États-Unis :</w:t>
      </w:r>
      <w:r>
        <w:t xml:space="preserve"> </w:t>
      </w:r>
      <w:r>
        <w:t xml:space="preserve">Victoza et Saxenda autorisés, Victoza en outre pour la réduction du risque cardiovasculaire. Des génériques de la forme pour le diabète sont sur le marché depuis 2024, de la forme pour l’obésité depuis 2025.</w:t>
      </w:r>
    </w:p>
    <w:p>
      <w:pPr>
        <w:numPr>
          <w:ilvl w:val="0"/>
          <w:numId w:val="1046"/>
        </w:numPr>
        <w:pStyle w:val="Compact"/>
      </w:pPr>
      <w:r>
        <w:rPr>
          <w:bCs/>
          <w:b/>
        </w:rPr>
        <w:t xml:space="preserve">Génériques en Europe :</w:t>
      </w:r>
      <w:r>
        <w:t xml:space="preserve"> </w:t>
      </w:r>
      <w:r>
        <w:t xml:space="preserve">le liraglutide étant un peptide pouvant être produit par synthèse ou par génie génétique et dont la protection par brevet a expiré, des copies arrivent aussi sur le marché en Europe. La situation varie selon les pays ; à vérifier.</w:t>
      </w:r>
    </w:p>
    <w:p>
      <w:pPr>
        <w:numPr>
          <w:ilvl w:val="0"/>
          <w:numId w:val="1046"/>
        </w:numPr>
        <w:pStyle w:val="Compact"/>
      </w:pPr>
      <w:r>
        <w:rPr>
          <w:bCs/>
          <w:b/>
        </w:rPr>
        <w:t xml:space="preserve">Sport (AMA) :</w:t>
      </w:r>
      <w:r>
        <w:t xml:space="preserve"> </w:t>
      </w:r>
      <w:r>
        <w:t xml:space="preserve">non listé (état 2026, à vérifier).</w:t>
      </w:r>
    </w:p>
    <w:p>
      <w:pPr>
        <w:pStyle w:val="FirstParagraph"/>
      </w:pPr>
      <w:r>
        <w:t xml:space="preserve">Les génériques font du liraglutide un cas particulier de la classe : c’est la première substance GLP-1 au bénéfice cardiovasculaire démontré dont le prix peut nettement baisser. Cela a de l’importance en particulier dans les pays aux budgets de santé limités, même si l’injection quotidienne et l’effet plus faible par rapport au sémaglutide restent des inconvénients. Pour en savoir plus sur l’expiration des brevets et les prix, voir la partie V.</w:t>
      </w:r>
    </w:p>
    <w:bookmarkEnd w:id="333"/>
    <w:bookmarkStart w:id="339" w:name="études-en-cours-et-perspectives-1"/>
    <w:p>
      <w:pPr>
        <w:pStyle w:val="Heading3"/>
      </w:pPr>
      <w:r>
        <w:t xml:space="preserve">Études en cours et perspectives</w:t>
      </w:r>
    </w:p>
    <w:p>
      <w:pPr>
        <w:pStyle w:val="FirstParagraph"/>
      </w:pPr>
      <w:r>
        <w:rPr>
          <w:bCs/>
          <w:b/>
        </w:rPr>
        <w:t xml:space="preserve">Établi (études enregistrées) :</w:t>
      </w:r>
      <w:r>
        <w:t xml:space="preserve"> </w:t>
      </w:r>
      <w:r>
        <w:t xml:space="preserve">il n’y a pratiquement plus de nouvelles études d’autorisation de Novo Nordisk ; la recherche est principalement portée par des hôpitaux et des universités. Exemples :</w:t>
      </w:r>
    </w:p>
    <w:p>
      <w:pPr>
        <w:numPr>
          <w:ilvl w:val="0"/>
          <w:numId w:val="1047"/>
        </w:numPr>
        <w:pStyle w:val="Compact"/>
      </w:pPr>
      <w:r>
        <w:t xml:space="preserve">Une étude portant sur 890 femmes obèses, ayant un désir d’enfant non satisfait et un syndrome des ovaires polykystiques (SOPK), évalue le liraglutide avant un traitement de l’infertilité</w:t>
      </w:r>
      <w:r>
        <w:rPr>
          <w:rStyle w:val="FootnoteReference"/>
        </w:rPr>
        <w:footnoteReference w:id="334"/>
      </w:r>
      <w:r>
        <w:t xml:space="preserve">.</w:t>
      </w:r>
    </w:p>
    <w:p>
      <w:pPr>
        <w:numPr>
          <w:ilvl w:val="0"/>
          <w:numId w:val="1047"/>
        </w:numPr>
        <w:pStyle w:val="Compact"/>
      </w:pPr>
      <w:r>
        <w:t xml:space="preserve">Une étude de phase 3 portant sur 260 personnes âgées diabétiques examine si le liraglutide peut prévenir un délire après une chirurgie cardiaque</w:t>
      </w:r>
      <w:r>
        <w:rPr>
          <w:rStyle w:val="FootnoteReference"/>
        </w:rPr>
        <w:footnoteReference w:id="335"/>
      </w:r>
      <w:r>
        <w:t xml:space="preserve">.</w:t>
      </w:r>
    </w:p>
    <w:p>
      <w:pPr>
        <w:numPr>
          <w:ilvl w:val="0"/>
          <w:numId w:val="1047"/>
        </w:numPr>
        <w:pStyle w:val="Compact"/>
      </w:pPr>
      <w:r>
        <w:t xml:space="preserve">Dans une forme héréditaire de diabète (MODY), le liraglutide est étudié dans une étude de phase 2</w:t>
      </w:r>
      <w:r>
        <w:rPr>
          <w:rStyle w:val="FootnoteReference"/>
        </w:rPr>
        <w:footnoteReference w:id="336"/>
      </w:r>
      <w:r>
        <w:t xml:space="preserve">.</w:t>
      </w:r>
    </w:p>
    <w:p>
      <w:pPr>
        <w:numPr>
          <w:ilvl w:val="0"/>
          <w:numId w:val="1047"/>
        </w:numPr>
        <w:pStyle w:val="Compact"/>
      </w:pPr>
      <w:r>
        <w:t xml:space="preserve">Une grande étude pragmatique portant sur 6 000 participants compare des stratégies thérapeutiques de prévention des maladies cardiaques et rénales dans le diabète de type 2</w:t>
      </w:r>
      <w:r>
        <w:rPr>
          <w:rStyle w:val="FootnoteReference"/>
        </w:rPr>
        <w:footnoteReference w:id="337"/>
      </w:r>
      <w:r>
        <w:t xml:space="preserve">.</w:t>
      </w:r>
    </w:p>
    <w:p>
      <w:pPr>
        <w:numPr>
          <w:ilvl w:val="0"/>
          <w:numId w:val="1047"/>
        </w:numPr>
        <w:pStyle w:val="Compact"/>
      </w:pPr>
      <w:r>
        <w:t xml:space="preserve">Le suivi à long terme des participants de SCALE Kids se poursuit</w:t>
      </w:r>
      <w:r>
        <w:rPr>
          <w:rStyle w:val="FootnoteReference"/>
        </w:rPr>
        <w:footnoteReference w:id="338"/>
      </w:r>
      <w:r>
        <w:t xml:space="preserve">.</w:t>
      </w:r>
    </w:p>
    <w:p>
      <w:pPr>
        <w:pStyle w:val="FirstParagraph"/>
      </w:pPr>
      <w:r>
        <w:rPr>
          <w:bCs/>
          <w:b/>
        </w:rPr>
        <w:t xml:space="preserve">Estimation :</w:t>
      </w:r>
      <w:r>
        <w:t xml:space="preserve"> </w:t>
      </w:r>
      <w:r>
        <w:t xml:space="preserve">dans les pays riches, le liraglutide est de plus en plus supplanté par des substances hebdomadaires comme le sémaglutide et le tirzépatide. Grâce aux génériques, il devrait toutefois connaître une seconde carrière comme alternative bon marché – surtout là où les médicaments plus récents ne sont pas abordables ou pas disponibles. Sur le plan scientifique, il reste un standard de comparaison important.</w:t>
      </w:r>
    </w:p>
    <w:bookmarkEnd w:id="339"/>
    <w:bookmarkStart w:id="340" w:name="conclusion-1"/>
    <w:p>
      <w:pPr>
        <w:pStyle w:val="Heading3"/>
      </w:pPr>
      <w:r>
        <w:t xml:space="preserve">Conclusion</w:t>
      </w:r>
    </w:p>
    <w:p>
      <w:pPr>
        <w:pStyle w:val="FirstParagraph"/>
      </w:pPr>
      <w:r>
        <w:t xml:space="preserve">Le liraglutide a été la première substance GLP-1 presque identique à l’hormone humaine et la première pour laquelle une grande étude a montré une protection contre les événements cardiovasculaires (LEADER, 9 340 participants, réduction relative du risque de 13 %). Sous le nom de Saxenda, il a été le premier médicament GLP-1 pour la perte de poids ; en moyenne, les participants sans diabète ont perdu environ 8 kg en un an. En comparaison directe, il est supérieur à l’exénatide, équivalent au dulaglutide et nettement inférieur au sémaglutide. Les effets indésirables les plus fréquents sont les troubles gastro-intestinaux, auxquels s’ajoute un risque accru d’atteinte de la vésicule biliaire ; la question du cancer de la thyroïde n’est pas définitivement tranchée. Avec l’expiration de la protection par brevet, il devient la première option bon marché de la classe – le traitement relève néanmoins du médecin.</w:t>
      </w:r>
    </w:p>
    <w:bookmarkEnd w:id="340"/>
    <w:bookmarkEnd w:id="341"/>
    <w:bookmarkStart w:id="401" w:name="dulaglutide"/>
    <w:p>
      <w:pPr>
        <w:pStyle w:val="Heading2"/>
      </w:pPr>
      <w:r>
        <w:t xml:space="preserve">Dulaglutide</w:t>
      </w:r>
    </w:p>
    <w:bookmarkStart w:id="343" w:name="fiche-signalétique-2"/>
    <w:p>
      <w:pPr>
        <w:pStyle w:val="Heading3"/>
      </w:pPr>
      <w:r>
        <w:t xml:space="preserve">Fiche signalétique</w:t>
      </w:r>
    </w:p>
    <w:p>
      <w:pPr>
        <w:numPr>
          <w:ilvl w:val="0"/>
          <w:numId w:val="1048"/>
        </w:numPr>
        <w:pStyle w:val="Compact"/>
      </w:pPr>
      <w:r>
        <w:rPr>
          <w:bCs/>
          <w:b/>
        </w:rPr>
        <w:t xml:space="preserve">Type/structure :</w:t>
      </w:r>
      <w:r>
        <w:t xml:space="preserve"> </w:t>
      </w:r>
      <w:r>
        <w:t xml:space="preserve">protéine de fusion. Deux chaînes de GLP-1 légèrement modifiées sont couplées par un court bras de liaison au fragment constant (fragment Fc) d’un anticorps humain de type IgG4. Le dulaglutide est ainsi bien plus grand que le liraglutide – à proprement parler plutôt une protéine qu’un petit peptide.</w:t>
      </w:r>
    </w:p>
    <w:p>
      <w:pPr>
        <w:numPr>
          <w:ilvl w:val="0"/>
          <w:numId w:val="1048"/>
        </w:numPr>
        <w:pStyle w:val="Compact"/>
      </w:pPr>
      <w:r>
        <w:rPr>
          <w:bCs/>
          <w:b/>
        </w:rPr>
        <w:t xml:space="preserve">Origine :</w:t>
      </w:r>
      <w:r>
        <w:t xml:space="preserve"> </w:t>
      </w:r>
      <w:r>
        <w:t xml:space="preserve">développé par Eli Lilly, fabriqué par génie génétique dans des cellules de mammifères</w:t>
      </w:r>
      <w:r>
        <w:rPr>
          <w:rStyle w:val="FootnoteReference"/>
        </w:rPr>
        <w:footnoteReference w:id="342"/>
      </w:r>
      <w:r>
        <w:t xml:space="preserve">.</w:t>
      </w:r>
    </w:p>
    <w:p>
      <w:pPr>
        <w:numPr>
          <w:ilvl w:val="0"/>
          <w:numId w:val="1048"/>
        </w:numPr>
        <w:pStyle w:val="Compact"/>
      </w:pPr>
      <w:r>
        <w:rPr>
          <w:bCs/>
          <w:b/>
        </w:rPr>
        <w:t xml:space="preserve">Principe d’action :</w:t>
      </w:r>
      <w:r>
        <w:t xml:space="preserve"> </w:t>
      </w:r>
      <w:r>
        <w:t xml:space="preserve">agoniste du récepteur du GLP-1. La partie anticorps protège contre la dégradation et l’élimination rénale ; une injection par semaine suffit.</w:t>
      </w:r>
    </w:p>
    <w:p>
      <w:pPr>
        <w:numPr>
          <w:ilvl w:val="0"/>
          <w:numId w:val="1048"/>
        </w:numPr>
        <w:pStyle w:val="Compact"/>
      </w:pPr>
      <w:r>
        <w:rPr>
          <w:bCs/>
          <w:b/>
        </w:rPr>
        <w:t xml:space="preserve">Préparation :</w:t>
      </w:r>
      <w:r>
        <w:t xml:space="preserve"> </w:t>
      </w:r>
      <w:r>
        <w:t xml:space="preserve">Trulicity (stylo prérempli, hebdomadaire ; dosages autorisés jusqu’à 4,5 mg).</w:t>
      </w:r>
    </w:p>
    <w:p>
      <w:pPr>
        <w:numPr>
          <w:ilvl w:val="0"/>
          <w:numId w:val="1048"/>
        </w:numPr>
        <w:pStyle w:val="Compact"/>
      </w:pPr>
      <w:r>
        <w:rPr>
          <w:bCs/>
          <w:b/>
        </w:rPr>
        <w:t xml:space="preserve">Autorisation UE :</w:t>
      </w:r>
      <w:r>
        <w:t xml:space="preserve"> </w:t>
      </w:r>
      <w:r>
        <w:t xml:space="preserve">oui, diabète de type 2 chez l’adulte et l’adolescent à partir de 10 ans. Pas d’autorisation pour la perte de poids.</w:t>
      </w:r>
    </w:p>
    <w:p>
      <w:pPr>
        <w:numPr>
          <w:ilvl w:val="0"/>
          <w:numId w:val="1048"/>
        </w:numPr>
        <w:pStyle w:val="Compact"/>
      </w:pPr>
      <w:r>
        <w:rPr>
          <w:bCs/>
          <w:b/>
        </w:rPr>
        <w:t xml:space="preserve">Autorisation États-Unis :</w:t>
      </w:r>
      <w:r>
        <w:t xml:space="preserve"> </w:t>
      </w:r>
      <w:r>
        <w:t xml:space="preserve">oui, diabète de type 2 à partir de 10 ans et réduction du risque cardiovasculaire chez l’adulte atteint de diabète de type 2.</w:t>
      </w:r>
    </w:p>
    <w:p>
      <w:pPr>
        <w:numPr>
          <w:ilvl w:val="0"/>
          <w:numId w:val="1048"/>
        </w:numPr>
        <w:pStyle w:val="Compact"/>
      </w:pPr>
      <w:r>
        <w:rPr>
          <w:bCs/>
          <w:b/>
        </w:rPr>
        <w:t xml:space="preserve">AMA :</w:t>
      </w:r>
      <w:r>
        <w:t xml:space="preserve"> </w:t>
      </w:r>
      <w:r>
        <w:t xml:space="preserve">non listé.</w:t>
      </w:r>
    </w:p>
    <w:p>
      <w:pPr>
        <w:numPr>
          <w:ilvl w:val="0"/>
          <w:numId w:val="1048"/>
        </w:numPr>
        <w:pStyle w:val="Compact"/>
      </w:pPr>
      <w:r>
        <w:rPr>
          <w:bCs/>
          <w:b/>
        </w:rPr>
        <w:t xml:space="preserve">Niveau de preuve :</w:t>
      </w:r>
      <w:r>
        <w:t xml:space="preserve"> </w:t>
      </w:r>
      <w:r>
        <w:rPr>
          <w:bCs/>
          <w:b/>
        </w:rPr>
        <w:t xml:space="preserve">A</w:t>
      </w:r>
      <w:r>
        <w:t xml:space="preserve"> </w:t>
      </w:r>
      <w:r>
        <w:t xml:space="preserve">– programme d’études AWARD avec plus de dix études randomisées de phase 3, étude sur critères cliniques REWIND, étude chez l’adolescent.</w:t>
      </w:r>
    </w:p>
    <w:bookmarkEnd w:id="343"/>
    <w:bookmarkStart w:id="346" w:name="mode-daction-supposé-2"/>
    <w:p>
      <w:pPr>
        <w:pStyle w:val="Heading3"/>
      </w:pPr>
      <w:r>
        <w:t xml:space="preserve">Mode d’action supposé</w:t>
      </w:r>
    </w:p>
    <w:p>
      <w:pPr>
        <w:pStyle w:val="FirstParagraph"/>
      </w:pPr>
      <w:r>
        <w:t xml:space="preserve">Le dulaglutide agit sur le récepteur du GLP-1 comme l’exénatide, le liraglutide et le sémaglutide : il renforce la sécrétion d’insuline dépendante du glucose, freine l’hormone glucagon, ralentit la vidange gastrique et atténue l’appétit. Le mécanisme de base est expliqué dans le chapitre Exénatide.</w:t>
      </w:r>
    </w:p>
    <w:p>
      <w:pPr>
        <w:pStyle w:val="BodyText"/>
      </w:pPr>
      <w:r>
        <w:t xml:space="preserve">La différence réside dans l’« emballage ». Le liraglutide et le sémaglutide sont liés aux protéines du sang par l’intermédiaire d’un acide gras fixé. Lilly a pris une autre voie et a couplé l’hormone au fragment Fc d’un anticorps. Cet élément est connu en biotechnologie : il rend les molécules si grandes que les reins ne peuvent plus les filtrer, et il exploite une voie de recyclage de l’organisme qui protège les anticorps de la dégradation. Chez le rat et le macaque crabier, la demi-vie de la substance était de 1,5 à 2 jours ; chez l’humain, elle est plus longue et permet une administration hebdomadaire</w:t>
      </w:r>
      <w:r>
        <w:rPr>
          <w:rStyle w:val="FootnoteReference"/>
        </w:rPr>
        <w:footnoteReference w:id="344"/>
      </w:r>
      <w:r>
        <w:t xml:space="preserve">.</w:t>
      </w:r>
    </w:p>
    <w:p>
      <w:pPr>
        <w:pStyle w:val="BodyText"/>
      </w:pPr>
      <w:r>
        <w:t xml:space="preserve">Dans les chaînes de GLP-1 elles-mêmes, certains acides aminés ont été remplacés – en partie pour empêcher la dégradation par l’enzyme DPP-4, en partie pour réduire la formation d’anticorps contre la substance. De fait, dans neuf études, seulement 1,6 % des personnes traitées par dulaglutide ont formé des anticorps contre le médicament</w:t>
      </w:r>
      <w:r>
        <w:rPr>
          <w:rStyle w:val="FootnoteReference"/>
        </w:rPr>
        <w:footnoteReference w:id="345"/>
      </w:r>
      <w:r>
        <w:t xml:space="preserve"> </w:t>
      </w:r>
      <w:r>
        <w:t xml:space="preserve">– nettement moins qu’avec l’exénatide.</w:t>
      </w:r>
    </w:p>
    <w:p>
      <w:pPr>
        <w:pStyle w:val="BodyText"/>
      </w:pPr>
      <w:r>
        <w:t xml:space="preserve">Un inconvénient de la taille : la molécule atteint probablement moins bien les régions cérébrales qui régulent l’appétit. Cela pourrait expliquer pourquoi le dulaglutide, à baisse glycémique comparable, entraîne moins de perte de poids que le sémaglutide. Cette explication est plausible, mais non démontrée.</w:t>
      </w:r>
    </w:p>
    <w:bookmarkEnd w:id="346"/>
    <w:bookmarkStart w:id="378" w:name="études-chez-lhumain-2"/>
    <w:p>
      <w:pPr>
        <w:pStyle w:val="Heading3"/>
      </w:pPr>
      <w:r>
        <w:t xml:space="preserve">Études chez l’humain</w:t>
      </w:r>
    </w:p>
    <w:p>
      <w:pPr>
        <w:pStyle w:val="FirstParagraph"/>
      </w:pPr>
      <w:r>
        <w:t xml:space="preserve">La recherche PubMed analysée pour ce livre (terme « dulaglutide » dans le titre ou le résumé, date de recherche octobre 2026) a donné 158 études chez l’humain ; ClinicalTrials.gov recense 143 inscriptions. Le nombre est inférieur à celui du liraglutide ou du sémaglutide, mais les études sont conçues de façon particulièrement systématique : le programme AWARD (Assessment of Weekly AdministRation of LY2189265 in Diabetes) a évalué le dulaglutide face à presque tous les traitements courants du diabète. On remarque en outre la fréquence à laquelle le dulaglutide sert lui-même de médicament de comparaison pour des substances plus récentes – du sémaglutide au tirzépatide, jusqu’aux nouveaux développements chinois.</w:t>
      </w:r>
    </w:p>
    <w:bookmarkStart w:id="351" w:name="le-programme-award"/>
    <w:p>
      <w:pPr>
        <w:pStyle w:val="Heading4"/>
      </w:pPr>
      <w:r>
        <w:t xml:space="preserve">Le programme AWARD</w:t>
      </w:r>
    </w:p>
    <w:p>
      <w:pPr>
        <w:pStyle w:val="FirstParagraph"/>
      </w:pPr>
      <w:r>
        <w:t xml:space="preserve">Dans la plupart des études AWARD, les doses de 0,75 et 1,5 mg par semaine ont été évaluées. Le tableau indique chaque fois le résultat de la dose la plus élevée.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 (dulaglutide 1,5 mg vs comparateur)</w:t>
            </w:r>
          </w:p>
        </w:tc>
      </w:tr>
      <w:tr>
        <w:tc>
          <w:tcPr/>
          <w:p>
            <w:pPr>
              <w:pStyle w:val="Compact"/>
              <w:jc w:val="left"/>
            </w:pPr>
            <w:r>
              <w:t xml:space="preserve">AWARD-1 (Wysham 2014), PMID 24879836</w:t>
            </w:r>
          </w:p>
        </w:tc>
        <w:tc>
          <w:tcPr/>
          <w:p>
            <w:pPr>
              <w:pStyle w:val="Compact"/>
              <w:jc w:val="left"/>
            </w:pPr>
            <w:r>
              <w:t xml:space="preserve">diabète de type 2 sous metformine et pioglitazone ; vs exénatide deux fois par jour et placebo</w:t>
            </w:r>
          </w:p>
        </w:tc>
        <w:tc>
          <w:tcPr/>
          <w:p>
            <w:pPr>
              <w:pStyle w:val="Compact"/>
              <w:jc w:val="left"/>
            </w:pPr>
            <w:r>
              <w:t xml:space="preserve">52 semaines (critère principal à 26)</w:t>
            </w:r>
          </w:p>
        </w:tc>
        <w:tc>
          <w:tcPr/>
          <w:p>
            <w:pPr>
              <w:pStyle w:val="Compact"/>
              <w:jc w:val="left"/>
            </w:pPr>
            <w:r>
              <w:t xml:space="preserve">HbA1c −1,51 vs −0,99 (exénatide) vs −0,46 (placebo)</w:t>
            </w:r>
          </w:p>
        </w:tc>
      </w:tr>
      <w:tr>
        <w:tc>
          <w:tcPr/>
          <w:p>
            <w:pPr>
              <w:pStyle w:val="Compact"/>
              <w:jc w:val="left"/>
            </w:pPr>
            <w:r>
              <w:t xml:space="preserve">AWARD-2 (Giorgino 2015), PMID 26089386</w:t>
            </w:r>
          </w:p>
        </w:tc>
        <w:tc>
          <w:tcPr/>
          <w:p>
            <w:pPr>
              <w:pStyle w:val="Compact"/>
              <w:jc w:val="left"/>
            </w:pPr>
            <w:r>
              <w:t xml:space="preserve">810 personnes sous metformine et glimépiride ; ouverte vs insuline glargine</w:t>
            </w:r>
          </w:p>
        </w:tc>
        <w:tc>
          <w:tcPr/>
          <w:p>
            <w:pPr>
              <w:pStyle w:val="Compact"/>
              <w:jc w:val="left"/>
            </w:pPr>
            <w:r>
              <w:t xml:space="preserve">78 semaines</w:t>
            </w:r>
          </w:p>
        </w:tc>
        <w:tc>
          <w:tcPr/>
          <w:p>
            <w:pPr>
              <w:pStyle w:val="Compact"/>
              <w:jc w:val="left"/>
            </w:pPr>
            <w:r>
              <w:t xml:space="preserve">HbA1c −1,08 vs −0,63 ; le poids a baissé vs augmenté</w:t>
            </w:r>
          </w:p>
        </w:tc>
      </w:tr>
      <w:tr>
        <w:tc>
          <w:tcPr/>
          <w:p>
            <w:pPr>
              <w:pStyle w:val="Compact"/>
              <w:jc w:val="left"/>
            </w:pPr>
            <w:r>
              <w:t xml:space="preserve">AWARD-3 (Umpierrez 2014), PMID 24842985</w:t>
            </w:r>
          </w:p>
        </w:tc>
        <w:tc>
          <w:tcPr/>
          <w:p>
            <w:pPr>
              <w:pStyle w:val="Compact"/>
              <w:jc w:val="left"/>
            </w:pPr>
            <w:r>
              <w:t xml:space="preserve">diabète de type 2 débutant, monothérapie ; double aveugle vs metformine</w:t>
            </w:r>
          </w:p>
        </w:tc>
        <w:tc>
          <w:tcPr/>
          <w:p>
            <w:pPr>
              <w:pStyle w:val="Compact"/>
              <w:jc w:val="left"/>
            </w:pPr>
            <w:r>
              <w:t xml:space="preserve">52 semaines (critère principal à 26)</w:t>
            </w:r>
          </w:p>
        </w:tc>
        <w:tc>
          <w:tcPr/>
          <w:p>
            <w:pPr>
              <w:pStyle w:val="Compact"/>
              <w:jc w:val="left"/>
            </w:pPr>
            <w:r>
              <w:t xml:space="preserve">HbA1c −0,78 vs −0,56</w:t>
            </w:r>
          </w:p>
        </w:tc>
      </w:tr>
      <w:tr>
        <w:tc>
          <w:tcPr/>
          <w:p>
            <w:pPr>
              <w:pStyle w:val="Compact"/>
              <w:jc w:val="left"/>
            </w:pPr>
            <w:r>
              <w:t xml:space="preserve">AWARD-4 (Blonde 2015), PMID 26009229</w:t>
            </w:r>
          </w:p>
        </w:tc>
        <w:tc>
          <w:tcPr/>
          <w:p>
            <w:pPr>
              <w:pStyle w:val="Compact"/>
              <w:jc w:val="left"/>
            </w:pPr>
            <w:r>
              <w:t xml:space="preserve">884 personnes sous insuline prandiale ; ouverte vs insuline glargine</w:t>
            </w:r>
          </w:p>
        </w:tc>
        <w:tc>
          <w:tcPr/>
          <w:p>
            <w:pPr>
              <w:pStyle w:val="Compact"/>
              <w:jc w:val="left"/>
            </w:pPr>
            <w:r>
              <w:t xml:space="preserve">52 semaines (critère principal à 26)</w:t>
            </w:r>
          </w:p>
        </w:tc>
        <w:tc>
          <w:tcPr/>
          <w:p>
            <w:pPr>
              <w:pStyle w:val="Compact"/>
              <w:jc w:val="left"/>
            </w:pPr>
            <w:r>
              <w:t xml:space="preserve">HbA1c −1,64 vs −1,41</w:t>
            </w:r>
          </w:p>
        </w:tc>
      </w:tr>
      <w:tr>
        <w:tc>
          <w:tcPr/>
          <w:p>
            <w:pPr>
              <w:pStyle w:val="Compact"/>
              <w:jc w:val="left"/>
            </w:pPr>
            <w:r>
              <w:t xml:space="preserve">AWARD-5 (Nauck 2014), PMID 24742660</w:t>
            </w:r>
          </w:p>
        </w:tc>
        <w:tc>
          <w:tcPr/>
          <w:p>
            <w:pPr>
              <w:pStyle w:val="Compact"/>
              <w:jc w:val="left"/>
            </w:pPr>
            <w:r>
              <w:t xml:space="preserve">1 098 personnes sous metformine ; vs sitagliptine</w:t>
            </w:r>
          </w:p>
        </w:tc>
        <w:tc>
          <w:tcPr/>
          <w:p>
            <w:pPr>
              <w:pStyle w:val="Compact"/>
              <w:jc w:val="left"/>
            </w:pPr>
            <w:r>
              <w:t xml:space="preserve">52 semaines</w:t>
            </w:r>
          </w:p>
        </w:tc>
        <w:tc>
          <w:tcPr/>
          <w:p>
            <w:pPr>
              <w:pStyle w:val="Compact"/>
              <w:jc w:val="left"/>
            </w:pPr>
            <w:r>
              <w:t xml:space="preserve">HbA1c −1,10 vs −0,39 ; poids −3,03 vs −1,53 kg</w:t>
            </w:r>
          </w:p>
        </w:tc>
      </w:tr>
      <w:tr>
        <w:tc>
          <w:tcPr/>
          <w:p>
            <w:pPr>
              <w:pStyle w:val="Compact"/>
              <w:jc w:val="left"/>
            </w:pPr>
            <w:r>
              <w:t xml:space="preserve">AWARD-6 (Dungan 2014), PMID 25018121</w:t>
            </w:r>
          </w:p>
        </w:tc>
        <w:tc>
          <w:tcPr/>
          <w:p>
            <w:pPr>
              <w:pStyle w:val="Compact"/>
              <w:jc w:val="left"/>
            </w:pPr>
            <w:r>
              <w:t xml:space="preserve">599 personnes sous metformine ; ouverte vs liraglutide</w:t>
            </w:r>
          </w:p>
        </w:tc>
        <w:tc>
          <w:tcPr/>
          <w:p>
            <w:pPr>
              <w:pStyle w:val="Compact"/>
              <w:jc w:val="left"/>
            </w:pPr>
            <w:r>
              <w:t xml:space="preserve">26 semaines</w:t>
            </w:r>
          </w:p>
        </w:tc>
        <w:tc>
          <w:tcPr/>
          <w:p>
            <w:pPr>
              <w:pStyle w:val="Compact"/>
              <w:jc w:val="left"/>
            </w:pPr>
            <w:r>
              <w:t xml:space="preserve">HbA1c −1,42 vs −1,36 ; équivalents</w:t>
            </w:r>
          </w:p>
        </w:tc>
      </w:tr>
      <w:tr>
        <w:tc>
          <w:tcPr/>
          <w:p>
            <w:pPr>
              <w:pStyle w:val="Compact"/>
              <w:jc w:val="left"/>
            </w:pPr>
            <w:r>
              <w:t xml:space="preserve">AWARD-7 (Tuttle 2018), PMID 29910024</w:t>
            </w:r>
          </w:p>
        </w:tc>
        <w:tc>
          <w:tcPr/>
          <w:p>
            <w:pPr>
              <w:pStyle w:val="Compact"/>
              <w:jc w:val="left"/>
            </w:pPr>
            <w:r>
              <w:t xml:space="preserve">577 personnes atteintes d’une maladie rénale chronique modérée à sévère ; vs insuline glargine</w:t>
            </w:r>
          </w:p>
        </w:tc>
        <w:tc>
          <w:tcPr/>
          <w:p>
            <w:pPr>
              <w:pStyle w:val="Compact"/>
              <w:jc w:val="left"/>
            </w:pPr>
            <w:r>
              <w:t xml:space="preserve">52 semaines</w:t>
            </w:r>
          </w:p>
        </w:tc>
        <w:tc>
          <w:tcPr/>
          <w:p>
            <w:pPr>
              <w:pStyle w:val="Compact"/>
              <w:jc w:val="left"/>
            </w:pPr>
            <w:r>
              <w:t xml:space="preserve">HbA1c −1,2 vs −1,1 ; fonction rénale mieux préservée après 52 semaines</w:t>
            </w:r>
          </w:p>
        </w:tc>
      </w:tr>
      <w:tr>
        <w:tc>
          <w:tcPr/>
          <w:p>
            <w:pPr>
              <w:pStyle w:val="Compact"/>
              <w:jc w:val="left"/>
            </w:pPr>
            <w:r>
              <w:t xml:space="preserve">AWARD-8 (Dungan 2016), PMID 26799540</w:t>
            </w:r>
          </w:p>
        </w:tc>
        <w:tc>
          <w:tcPr/>
          <w:p>
            <w:pPr>
              <w:pStyle w:val="Compact"/>
              <w:jc w:val="left"/>
            </w:pPr>
            <w:r>
              <w:t xml:space="preserve">diabète de type 2 sous glimépiride ; vs placebo</w:t>
            </w:r>
          </w:p>
        </w:tc>
        <w:tc>
          <w:tcPr/>
          <w:p>
            <w:pPr>
              <w:pStyle w:val="Compact"/>
              <w:jc w:val="left"/>
            </w:pPr>
            <w:r>
              <w:t xml:space="preserve">24 semaines</w:t>
            </w:r>
          </w:p>
        </w:tc>
        <w:tc>
          <w:tcPr/>
          <w:p>
            <w:pPr>
              <w:pStyle w:val="Compact"/>
              <w:jc w:val="left"/>
            </w:pPr>
            <w:r>
              <w:t xml:space="preserve">Différence d’HbA1c −1,3 point de pourcentage ; plus d’hypoglycémies</w:t>
            </w:r>
          </w:p>
        </w:tc>
      </w:tr>
      <w:tr>
        <w:tc>
          <w:tcPr/>
          <w:p>
            <w:pPr>
              <w:pStyle w:val="Compact"/>
              <w:jc w:val="left"/>
            </w:pPr>
            <w:r>
              <w:t xml:space="preserve">AWARD-10 (Ludvik 2018), PMID 29483060</w:t>
            </w:r>
          </w:p>
        </w:tc>
        <w:tc>
          <w:tcPr/>
          <w:p>
            <w:pPr>
              <w:pStyle w:val="Compact"/>
              <w:jc w:val="left"/>
            </w:pPr>
            <w:r>
              <w:t xml:space="preserve">424 personnes sous inhibiteur du SGLT2 ; vs placebo</w:t>
            </w:r>
          </w:p>
        </w:tc>
        <w:tc>
          <w:tcPr/>
          <w:p>
            <w:pPr>
              <w:pStyle w:val="Compact"/>
              <w:jc w:val="left"/>
            </w:pPr>
            <w:r>
              <w:t xml:space="preserve">24 semaines</w:t>
            </w:r>
          </w:p>
        </w:tc>
        <w:tc>
          <w:tcPr/>
          <w:p>
            <w:pPr>
              <w:pStyle w:val="Compact"/>
              <w:jc w:val="left"/>
            </w:pPr>
            <w:r>
              <w:t xml:space="preserve">HbA1c −1,34 vs −0,54</w:t>
            </w:r>
          </w:p>
        </w:tc>
      </w:tr>
      <w:tr>
        <w:tc>
          <w:tcPr/>
          <w:p>
            <w:pPr>
              <w:pStyle w:val="Compact"/>
              <w:jc w:val="left"/>
            </w:pPr>
            <w:r>
              <w:t xml:space="preserve">AWARD-11 (Frias 2021), PMID 33397768</w:t>
            </w:r>
          </w:p>
        </w:tc>
        <w:tc>
          <w:tcPr/>
          <w:p>
            <w:pPr>
              <w:pStyle w:val="Compact"/>
              <w:jc w:val="left"/>
            </w:pPr>
            <w:r>
              <w:t xml:space="preserve">1 842 personnes sous metformine ; 4,5 et 3,0 mg vs 1,5 mg</w:t>
            </w:r>
          </w:p>
        </w:tc>
        <w:tc>
          <w:tcPr/>
          <w:p>
            <w:pPr>
              <w:pStyle w:val="Compact"/>
              <w:jc w:val="left"/>
            </w:pPr>
            <w:r>
              <w:t xml:space="preserve">36 semaines</w:t>
            </w:r>
          </w:p>
        </w:tc>
        <w:tc>
          <w:tcPr/>
          <w:p>
            <w:pPr>
              <w:pStyle w:val="Compact"/>
              <w:jc w:val="left"/>
            </w:pPr>
            <w:r>
              <w:t xml:space="preserve">HbA1c −1,77 (4,5 mg) vs −1,54 ; poids −4,6 vs −3,0 kg</w:t>
            </w:r>
          </w:p>
        </w:tc>
      </w:tr>
    </w:tbl>
    <w:p>
      <w:pPr>
        <w:pStyle w:val="BodyText"/>
      </w:pPr>
      <w:r>
        <w:t xml:space="preserve">Certains résultats méritent une explication :</w:t>
      </w:r>
    </w:p>
    <w:p>
      <w:pPr>
        <w:pStyle w:val="BodyText"/>
      </w:pPr>
      <w:r>
        <w:rPr>
          <w:bCs/>
          <w:b/>
        </w:rPr>
        <w:t xml:space="preserve">Face à l’insuline</w:t>
      </w:r>
      <w:r>
        <w:t xml:space="preserve"> </w:t>
      </w:r>
      <w:r>
        <w:t xml:space="preserve">(AWARD-2 et AWARD-4), le dulaglutide a abaissé l’HbA1c un peu plus fortement, avec moins d’hypoglycémies et sans prise de poids</w:t>
      </w:r>
      <w:r>
        <w:rPr>
          <w:rStyle w:val="FootnoteReference"/>
        </w:rPr>
        <w:footnoteReference w:id="347"/>
      </w:r>
      <w:r>
        <w:t xml:space="preserve">. Dans AWARD-2, la dose d’insuline n’a toutefois pas été augmentée de manière conséquente ; la dose finale moyenne était de 29 unités. Une insuline titrée plus résolument aurait peut-être obtenu de meilleurs résultats. Des nausées sont survenues chez 15,4 % sous dulaglutide 1,5 mg, chez 1,5 % sous insuline.</w:t>
      </w:r>
    </w:p>
    <w:p>
      <w:pPr>
        <w:pStyle w:val="BodyText"/>
      </w:pPr>
      <w:r>
        <w:rPr>
          <w:bCs/>
          <w:b/>
        </w:rPr>
        <w:t xml:space="preserve">En cas de maladie rénale</w:t>
      </w:r>
      <w:r>
        <w:t xml:space="preserve"> </w:t>
      </w:r>
      <w:r>
        <w:t xml:space="preserve">(AWARD-7), le résultat est particulièrement intéressant : la glycémie a baissé autant que sous insuline, mais la fonction rénale estimée (DFGe) était plus élevée après 52 semaines sous dulaglutide – 34,0 contre 31,3 ml/min pour 1,73 m²</w:t>
      </w:r>
      <w:r>
        <w:rPr>
          <w:rStyle w:val="FootnoteReference"/>
        </w:rPr>
        <w:footnoteReference w:id="348"/>
      </w:r>
      <w:r>
        <w:t xml:space="preserve">. L’excrétion urinaire de protéines ne différait pas significativement. C’est un indice, mais pas une preuve d’une protection rénale.</w:t>
      </w:r>
    </w:p>
    <w:p>
      <w:pPr>
        <w:pStyle w:val="BodyText"/>
      </w:pPr>
      <w:r>
        <w:rPr>
          <w:bCs/>
          <w:b/>
        </w:rPr>
        <w:t xml:space="preserve">Avec un sulfamide</w:t>
      </w:r>
      <w:r>
        <w:t xml:space="preserve"> </w:t>
      </w:r>
      <w:r>
        <w:t xml:space="preserve">(AWARD-8), le revers apparaît : le dulaglutide a abaissé l’HbA1c de 1,3 point de pourcentage de plus que le placebo, et 55,3 % contre 18,9 % ont atteint une valeur inférieure à 7 %. Les hypoglycémies étaient cependant nettement plus fréquentes (2,37 contre 0,07 événement par personne et par an), parce que le sulfamide libère de l’insuline indépendamment de la glycémie</w:t>
      </w:r>
      <w:r>
        <w:rPr>
          <w:rStyle w:val="FootnoteReference"/>
        </w:rPr>
        <w:footnoteReference w:id="349"/>
      </w:r>
      <w:r>
        <w:t xml:space="preserve">. Aucune hypoglycémie sévère n’est survenue.</w:t>
      </w:r>
    </w:p>
    <w:p>
      <w:pPr>
        <w:pStyle w:val="BodyText"/>
      </w:pPr>
      <w:r>
        <w:rPr>
          <w:bCs/>
          <w:b/>
        </w:rPr>
        <w:t xml:space="preserve">Doses plus élevées</w:t>
      </w:r>
      <w:r>
        <w:t xml:space="preserve"> </w:t>
      </w:r>
      <w:r>
        <w:t xml:space="preserve">(AWARD-11) : pour rester au niveau du sémaglutide, Lilly a évalué 3,0 et 4,5 mg. La dose la plus élevée a abaissé l’HbA1c de 0,24 point de pourcentage supplémentaire et le poids de 1,6 kg supplémentaire par rapport à 1,5 mg</w:t>
      </w:r>
      <w:r>
        <w:rPr>
          <w:rStyle w:val="FootnoteReference"/>
        </w:rPr>
        <w:footnoteReference w:id="350"/>
      </w:r>
      <w:r>
        <w:t xml:space="preserve">. Les nausées ont légèrement augmenté (16,4 % vs 13,4 %), de même que les vomissements (9,3 % vs 5,6 %). Le gain est mesurable, mais limité.</w:t>
      </w:r>
    </w:p>
    <w:bookmarkEnd w:id="351"/>
    <w:bookmarkStart w:id="355" w:name="X6138d0a54a6983baecd967cfa51544a24ed9ffa"/>
    <w:p>
      <w:pPr>
        <w:pStyle w:val="Heading4"/>
      </w:pPr>
      <w:r>
        <w:t xml:space="preserve">Comparaisons directes au sein de la classe GLP-1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Plan</w:t>
            </w:r>
          </w:p>
        </w:tc>
        <w:tc>
          <w:tcPr/>
          <w:p>
            <w:pPr>
              <w:pStyle w:val="Compact"/>
              <w:jc w:val="left"/>
            </w:pPr>
            <w:r>
              <w:t xml:space="preserve">Durée</w:t>
            </w:r>
          </w:p>
        </w:tc>
        <w:tc>
          <w:tcPr/>
          <w:p>
            <w:pPr>
              <w:pStyle w:val="Compact"/>
              <w:jc w:val="left"/>
            </w:pPr>
            <w:r>
              <w:t xml:space="preserve">Résultat (dulaglutide vs comparateur)</w:t>
            </w:r>
          </w:p>
        </w:tc>
      </w:tr>
      <w:tr>
        <w:tc>
          <w:tcPr/>
          <w:p>
            <w:pPr>
              <w:pStyle w:val="Compact"/>
              <w:jc w:val="left"/>
            </w:pPr>
            <w:r>
              <w:t xml:space="preserve">AWARD-1 (Wysham 2014), PMID 24879836</w:t>
            </w:r>
          </w:p>
        </w:tc>
        <w:tc>
          <w:tcPr/>
          <w:p>
            <w:pPr>
              <w:pStyle w:val="Compact"/>
              <w:jc w:val="left"/>
            </w:pPr>
            <w:r>
              <w:t xml:space="preserve">vs exénatide deux fois par jour</w:t>
            </w:r>
          </w:p>
        </w:tc>
        <w:tc>
          <w:tcPr/>
          <w:p>
            <w:pPr>
              <w:pStyle w:val="Compact"/>
              <w:jc w:val="left"/>
            </w:pPr>
            <w:r>
              <w:t xml:space="preserve">26 semaines</w:t>
            </w:r>
          </w:p>
        </w:tc>
        <w:tc>
          <w:tcPr/>
          <w:p>
            <w:pPr>
              <w:pStyle w:val="Compact"/>
              <w:jc w:val="left"/>
            </w:pPr>
            <w:r>
              <w:t xml:space="preserve">HbA1c −1,51 vs −0,99 ; moins d’hypoglycémies</w:t>
            </w:r>
          </w:p>
        </w:tc>
      </w:tr>
      <w:tr>
        <w:tc>
          <w:tcPr/>
          <w:p>
            <w:pPr>
              <w:pStyle w:val="Compact"/>
              <w:jc w:val="left"/>
            </w:pPr>
            <w:r>
              <w:t xml:space="preserve">AWARD-6 (Dungan 2014), PMID 25018121</w:t>
            </w:r>
          </w:p>
        </w:tc>
        <w:tc>
          <w:tcPr/>
          <w:p>
            <w:pPr>
              <w:pStyle w:val="Compact"/>
              <w:jc w:val="left"/>
            </w:pPr>
            <w:r>
              <w:t xml:space="preserve">599 personnes, vs liraglutide 1,8 mg par jour</w:t>
            </w:r>
          </w:p>
        </w:tc>
        <w:tc>
          <w:tcPr/>
          <w:p>
            <w:pPr>
              <w:pStyle w:val="Compact"/>
              <w:jc w:val="left"/>
            </w:pPr>
            <w:r>
              <w:t xml:space="preserve">26 semaines</w:t>
            </w:r>
          </w:p>
        </w:tc>
        <w:tc>
          <w:tcPr/>
          <w:p>
            <w:pPr>
              <w:pStyle w:val="Compact"/>
              <w:jc w:val="left"/>
            </w:pPr>
            <w:r>
              <w:t xml:space="preserve">HbA1c −1,42 vs −1,36 ; nausées 20 % vs 18 %</w:t>
            </w:r>
          </w:p>
        </w:tc>
      </w:tr>
      <w:tr>
        <w:tc>
          <w:tcPr/>
          <w:p>
            <w:pPr>
              <w:pStyle w:val="Compact"/>
              <w:jc w:val="left"/>
            </w:pPr>
            <w:r>
              <w:t xml:space="preserve">SUSTAIN 7 (Pratley 2018), PMID 29397376</w:t>
            </w:r>
          </w:p>
        </w:tc>
        <w:tc>
          <w:tcPr/>
          <w:p>
            <w:pPr>
              <w:pStyle w:val="Compact"/>
              <w:jc w:val="left"/>
            </w:pPr>
            <w:r>
              <w:t xml:space="preserve">1 201 personnes, dulaglutide 0,75/1,5 mg vs sémaglutide 0,5/1,0 mg</w:t>
            </w:r>
          </w:p>
        </w:tc>
        <w:tc>
          <w:tcPr/>
          <w:p>
            <w:pPr>
              <w:pStyle w:val="Compact"/>
              <w:jc w:val="left"/>
            </w:pPr>
            <w:r>
              <w:t xml:space="preserve">40 semaines</w:t>
            </w:r>
          </w:p>
        </w:tc>
        <w:tc>
          <w:tcPr/>
          <w:p>
            <w:pPr>
              <w:pStyle w:val="Compact"/>
              <w:jc w:val="left"/>
            </w:pPr>
            <w:r>
              <w:t xml:space="preserve">HbA1c −1,4 vs −1,8 (doses élevées) ; poids −3,0 vs −6,5 kg</w:t>
            </w:r>
          </w:p>
        </w:tc>
      </w:tr>
    </w:tbl>
    <w:p>
      <w:pPr>
        <w:pStyle w:val="BodyText"/>
      </w:pPr>
      <w:r>
        <w:t xml:space="preserve">Le classement est sans ambiguïté. Le dulaglutide était clairement supérieur à l’exénatide deux fois par jour</w:t>
      </w:r>
      <w:r>
        <w:rPr>
          <w:rStyle w:val="FootnoteReference"/>
        </w:rPr>
        <w:footnoteReference w:id="352"/>
      </w:r>
      <w:r>
        <w:t xml:space="preserve"> </w:t>
      </w:r>
      <w:r>
        <w:t xml:space="preserve">et équivalent au liraglutide</w:t>
      </w:r>
      <w:r>
        <w:rPr>
          <w:rStyle w:val="FootnoteReference"/>
        </w:rPr>
        <w:footnoteReference w:id="353"/>
      </w:r>
      <w:r>
        <w:t xml:space="preserve">. Dans AWARD-6, il a ainsi été le premier agoniste hebdomadaire du récepteur du GLP-1 à tenir la comparaison directe avec le standard de l’époque, le liraglutide – avec nettement moins d’injections.</w:t>
      </w:r>
    </w:p>
    <w:p>
      <w:pPr>
        <w:pStyle w:val="BodyText"/>
      </w:pPr>
      <w:r>
        <w:t xml:space="preserve">Face au sémaglutide, le dulaglutide a perdu dans SUSTAIN 7</w:t>
      </w:r>
      <w:r>
        <w:rPr>
          <w:rStyle w:val="FootnoteReference"/>
        </w:rPr>
        <w:footnoteReference w:id="354"/>
      </w:r>
      <w:r>
        <w:t xml:space="preserve"> </w:t>
      </w:r>
      <w:r>
        <w:t xml:space="preserve">aux deux niveaux de dose. Aux doses élevées, l’HbA1c a baissé de 1,4 contre 1,8 point de pourcentage, le poids de 3,0 contre 6,5 kg. Les troubles gastro-intestinaux étaient d’une fréquence similaire (48 % sous dulaglutide 1,5 mg, 44 % sous sémaglutide 1,0 mg). On a ensuite fait remarquer de manière critique que le dulaglutide n’avait été dosé qu’à 1,5 mg au maximum dans SUSTAIN 7 ; les doses plus élevées d’AWARD-11 n’étaient pas encore disponibles à l’époque. Même avec 4,5 mg, la différence de poids devrait toutefois subsister.</w:t>
      </w:r>
    </w:p>
    <w:bookmarkEnd w:id="355"/>
    <w:bookmarkStart w:id="360" w:name="rewind-létude-cardiovasculaire"/>
    <w:p>
      <w:pPr>
        <w:pStyle w:val="Heading4"/>
      </w:pPr>
      <w:r>
        <w:t xml:space="preserve">REWIND : l’étude cardiovasculaire</w:t>
      </w:r>
    </w:p>
    <w:p>
      <w:pPr>
        <w:pStyle w:val="FirstParagraph"/>
      </w:pPr>
      <w:r>
        <w:t xml:space="preserve">REWIND se distinguait des autres études GLP-1 sur critères cliniques : elle a duré plus longtemps, a inclus des personnes âgées dont la glycémie était relativement bien équilibrée (HbA1c médiane 7,2 %) et a aussi recruté de nombreuses personnes sans maladie cardiovasculaire connue, qui présentaient seulement des facteurs de risque. La population de l’étude ressemble ainsi davantage à celle des cabinets de médecine générale que dans d’autres études sur critères cliniques.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REWIND (Gerstein 2019), PMID 31189511</w:t>
            </w:r>
          </w:p>
        </w:tc>
        <w:tc>
          <w:tcPr/>
          <w:p>
            <w:pPr>
              <w:pStyle w:val="Compact"/>
              <w:jc w:val="left"/>
            </w:pPr>
            <w:r>
              <w:t xml:space="preserve">9 901 personnes atteintes de diabète de type 2, âge moyen 66,2 ans, 46,3 % de femmes ; ECR contre placebo</w:t>
            </w:r>
          </w:p>
        </w:tc>
        <w:tc>
          <w:tcPr/>
          <w:p>
            <w:pPr>
              <w:pStyle w:val="Compact"/>
              <w:jc w:val="left"/>
            </w:pPr>
            <w:r>
              <w:t xml:space="preserve">médiane 5,4 ans</w:t>
            </w:r>
          </w:p>
        </w:tc>
        <w:tc>
          <w:tcPr/>
          <w:p>
            <w:pPr>
              <w:pStyle w:val="Compact"/>
              <w:jc w:val="left"/>
            </w:pPr>
            <w:r>
              <w:t xml:space="preserve">Événements cardiovasculaires graves 12,0 % vs 13,4 % ; HR 0,88 (0,79–0,99)</w:t>
            </w:r>
          </w:p>
        </w:tc>
      </w:tr>
      <w:tr>
        <w:tc>
          <w:tcPr/>
          <w:p>
            <w:pPr>
              <w:pStyle w:val="Compact"/>
              <w:jc w:val="left"/>
            </w:pPr>
            <w:r>
              <w:t xml:space="preserve">REWIND, reins (Gerstein 2019), PMID 31189509</w:t>
            </w:r>
          </w:p>
        </w:tc>
        <w:tc>
          <w:tcPr/>
          <w:p>
            <w:pPr>
              <w:pStyle w:val="Compact"/>
              <w:jc w:val="left"/>
            </w:pPr>
            <w:r>
              <w:t xml:space="preserve">même étude, analyse exploratoire</w:t>
            </w:r>
          </w:p>
        </w:tc>
        <w:tc>
          <w:tcPr/>
          <w:p>
            <w:pPr>
              <w:pStyle w:val="Compact"/>
              <w:jc w:val="left"/>
            </w:pPr>
            <w:r>
              <w:t xml:space="preserve">médiane 5,4 ans</w:t>
            </w:r>
          </w:p>
        </w:tc>
        <w:tc>
          <w:tcPr/>
          <w:p>
            <w:pPr>
              <w:pStyle w:val="Compact"/>
              <w:jc w:val="left"/>
            </w:pPr>
            <w:r>
              <w:t xml:space="preserve">Critère rénal 17,1 % vs 19,6 % ; HR 0,85, surtout moins de nouvelles macroalbuminuries</w:t>
            </w:r>
          </w:p>
        </w:tc>
      </w:tr>
      <w:tr>
        <w:tc>
          <w:tcPr/>
          <w:p>
            <w:pPr>
              <w:pStyle w:val="Compact"/>
              <w:jc w:val="left"/>
            </w:pPr>
            <w:r>
              <w:t xml:space="preserve">REWIND, cognition (Cukierman-Yaffe 2020), PMID 32562683</w:t>
            </w:r>
          </w:p>
        </w:tc>
        <w:tc>
          <w:tcPr/>
          <w:p>
            <w:pPr>
              <w:pStyle w:val="Compact"/>
              <w:jc w:val="left"/>
            </w:pPr>
            <w:r>
              <w:t xml:space="preserve">8 828 personnes avec tests de mémoire</w:t>
            </w:r>
          </w:p>
        </w:tc>
        <w:tc>
          <w:tcPr/>
          <w:p>
            <w:pPr>
              <w:pStyle w:val="Compact"/>
              <w:jc w:val="left"/>
            </w:pPr>
            <w:r>
              <w:t xml:space="preserve">médiane 5,4 ans</w:t>
            </w:r>
          </w:p>
        </w:tc>
        <w:tc>
          <w:tcPr/>
          <w:p>
            <w:pPr>
              <w:pStyle w:val="Compact"/>
              <w:jc w:val="left"/>
            </w:pPr>
            <w:r>
              <w:t xml:space="preserve">HR 0,93 (non significatif) ; après ajustement a posteriori HR 0,86</w:t>
            </w:r>
          </w:p>
        </w:tc>
      </w:tr>
    </w:tbl>
    <w:p>
      <w:pPr>
        <w:pStyle w:val="BodyText"/>
      </w:pPr>
      <w:r>
        <w:t xml:space="preserve">Le critère principal – décès de cause cardiovasculaire, infarctus du myocarde non mortel ou AVC – est survenu sous dulaglutide chez 594 personnes sur 4 949 (12,0 %), sous placebo chez 663 sur 4 952 (13,4 %)</w:t>
      </w:r>
      <w:r>
        <w:rPr>
          <w:rStyle w:val="FootnoteReference"/>
        </w:rPr>
        <w:footnoteReference w:id="356"/>
      </w:r>
      <w:r>
        <w:t xml:space="preserve">. Cela correspond à une réduction relative de 12 %. La mortalité totale ne différait pas significativement (10,8 % vs 12,0 % ; HR 0,90). Des effets indésirables gastro-intestinaux ont été signalés par 47,4 % contre 34,1 %.</w:t>
      </w:r>
    </w:p>
    <w:p>
      <w:pPr>
        <w:pStyle w:val="BodyText"/>
      </w:pPr>
      <w:r>
        <w:t xml:space="preserve">Dans l’analyse rénale</w:t>
      </w:r>
      <w:r>
        <w:rPr>
          <w:rStyle w:val="FootnoteReference"/>
        </w:rPr>
        <w:footnoteReference w:id="357"/>
      </w:r>
      <w:r>
        <w:t xml:space="preserve">, l’effet était surtout dû à une diminution des nouvelles macroalbuminuries (HR 0,77). Pour une baisse persistante de la fonction rénale d’au moins 30 %, l’estimation était de 0,89, pour la dialyse ou la transplantation rénale de 0,75 – les deux sans signification statistique.</w:t>
      </w:r>
    </w:p>
    <w:p>
      <w:pPr>
        <w:pStyle w:val="BodyText"/>
      </w:pPr>
      <w:r>
        <w:t xml:space="preserve">L’analyse de la performance cognitive</w:t>
      </w:r>
      <w:r>
        <w:rPr>
          <w:rStyle w:val="FootnoteReference"/>
        </w:rPr>
        <w:footnoteReference w:id="358"/>
      </w:r>
      <w:r>
        <w:t xml:space="preserve"> </w:t>
      </w:r>
      <w:r>
        <w:t xml:space="preserve">est parfois citée comme preuve d’une protection contre la démence. C’est aller trop loin : la comparaison fixée à l’avance n’était pas significative. Ce n’est qu’après un ajustement statistique a posteriori qu’est apparu un risque relatif inférieur de 14 % d’une détérioration marquée des performances cognitives (hazard ratio 0,86). Les autrices et auteurs parlent eux-mêmes d’une analyse exploratoire justifiant d’autres études.</w:t>
      </w:r>
    </w:p>
    <w:p>
      <w:pPr>
        <w:pStyle w:val="BodyText"/>
      </w:pPr>
      <w:r>
        <w:t xml:space="preserve">Dans une méta-analyse de toutes les grandes études GLP-1 sur critères cliniques, REWIND s’intégrait bien au tableau d’ensemble selon lequel la classe réduit d’environ 12 % les événements cardiovasculaires graves</w:t>
      </w:r>
      <w:r>
        <w:rPr>
          <w:rStyle w:val="FootnoteReference"/>
        </w:rPr>
        <w:footnoteReference w:id="359"/>
      </w:r>
      <w:r>
        <w:t xml:space="preserve">.</w:t>
      </w:r>
    </w:p>
    <w:bookmarkEnd w:id="360"/>
    <w:bookmarkStart w:id="365" w:name="X3895b7909a073b7b5a2e544dff64b47add4cc60"/>
    <w:p>
      <w:pPr>
        <w:pStyle w:val="Heading4"/>
      </w:pPr>
      <w:r>
        <w:t xml:space="preserve">Qu’est-ce qui explique le bénéfice – et qu’est-ce qui ne l’explique pas ?</w:t>
      </w:r>
    </w:p>
    <w:p>
      <w:pPr>
        <w:pStyle w:val="FirstParagraph"/>
      </w:pPr>
      <w:r>
        <w:t xml:space="preserve">Plusieurs analyses a posteriori de REWIND ont tenté de mieux comprendre l’effet cardiovasculaire. Dans une sous-analyse portant sur 9 543 personnes sans fibrillation auriculaire au début de l’étude, 31 % avaient déjà une maladie cardiovasculaire, les autres « seulement » des facteurs de risque</w:t>
      </w:r>
      <w:r>
        <w:rPr>
          <w:rStyle w:val="FootnoteReference"/>
        </w:rPr>
        <w:footnoteReference w:id="361"/>
      </w:r>
      <w:r>
        <w:t xml:space="preserve">. Cela souligne que REWIND a étudié bien plus que d’autres études sur critères cliniques des personnes en situation de prévention.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Analyse</w:t>
            </w:r>
          </w:p>
        </w:tc>
        <w:tc>
          <w:tcPr/>
          <w:p>
            <w:pPr>
              <w:pStyle w:val="Compact"/>
              <w:jc w:val="left"/>
            </w:pPr>
            <w:r>
              <w:t xml:space="preserve">Question</w:t>
            </w:r>
          </w:p>
        </w:tc>
        <w:tc>
          <w:tcPr/>
          <w:p>
            <w:pPr>
              <w:pStyle w:val="Compact"/>
              <w:jc w:val="left"/>
            </w:pPr>
            <w:r>
              <w:t xml:space="preserve">Résultat</w:t>
            </w:r>
          </w:p>
        </w:tc>
      </w:tr>
      <w:tr>
        <w:tc>
          <w:tcPr/>
          <w:p>
            <w:pPr>
              <w:pStyle w:val="Compact"/>
              <w:jc w:val="left"/>
            </w:pPr>
            <w:r>
              <w:t xml:space="preserve">Konig 2021, PMID 34563178</w:t>
            </w:r>
          </w:p>
        </w:tc>
        <w:tc>
          <w:tcPr/>
          <w:p>
            <w:pPr>
              <w:pStyle w:val="Compact"/>
              <w:jc w:val="left"/>
            </w:pPr>
            <w:r>
              <w:t xml:space="preserve">Quelles modifications expliquent le bénéfice ?</w:t>
            </w:r>
          </w:p>
        </w:tc>
        <w:tc>
          <w:tcPr/>
          <w:p>
            <w:pPr>
              <w:pStyle w:val="Compact"/>
              <w:jc w:val="left"/>
            </w:pPr>
            <w:r>
              <w:t xml:space="preserve">En partie la baisse de l’HbA1c et de l’excrétion urinaire de protéines, pas le poids, la pression artérielle ou le LDL-cholestérol</w:t>
            </w:r>
          </w:p>
        </w:tc>
      </w:tr>
      <w:tr>
        <w:tc>
          <w:tcPr/>
          <w:p>
            <w:pPr>
              <w:pStyle w:val="Compact"/>
              <w:jc w:val="left"/>
            </w:pPr>
            <w:r>
              <w:t xml:space="preserve">Branch 2022, PMID 36073143</w:t>
            </w:r>
          </w:p>
        </w:tc>
        <w:tc>
          <w:tcPr/>
          <w:p>
            <w:pPr>
              <w:pStyle w:val="Compact"/>
              <w:jc w:val="left"/>
            </w:pPr>
            <w:r>
              <w:t xml:space="preserve">Événements d’insuffisance cardiaque</w:t>
            </w:r>
          </w:p>
        </w:tc>
        <w:tc>
          <w:tcPr/>
          <w:p>
            <w:pPr>
              <w:pStyle w:val="Compact"/>
              <w:jc w:val="left"/>
            </w:pPr>
            <w:r>
              <w:t xml:space="preserve">4,3 % vs 4,6 % ; HR 0,93, pas de différence significative</w:t>
            </w:r>
          </w:p>
        </w:tc>
      </w:tr>
      <w:tr>
        <w:tc>
          <w:tcPr/>
          <w:p>
            <w:pPr>
              <w:pStyle w:val="Compact"/>
              <w:jc w:val="left"/>
            </w:pPr>
            <w:r>
              <w:t xml:space="preserve">Raubenheimer 2022, PMID 34984808</w:t>
            </w:r>
          </w:p>
        </w:tc>
        <w:tc>
          <w:tcPr/>
          <w:p>
            <w:pPr>
              <w:pStyle w:val="Compact"/>
              <w:jc w:val="left"/>
            </w:pPr>
            <w:r>
              <w:t xml:space="preserve">Nouvelle fibrillation ou nouveau flutter auriculaire</w:t>
            </w:r>
          </w:p>
        </w:tc>
        <w:tc>
          <w:tcPr/>
          <w:p>
            <w:pPr>
              <w:pStyle w:val="Compact"/>
              <w:jc w:val="left"/>
            </w:pPr>
            <w:r>
              <w:t xml:space="preserve">5,6 % vs 5,3 % ; pas de différence</w:t>
            </w:r>
          </w:p>
        </w:tc>
      </w:tr>
    </w:tbl>
    <w:p>
      <w:pPr>
        <w:pStyle w:val="BodyText"/>
      </w:pPr>
      <w:r>
        <w:t xml:space="preserve">Selon l’analyse de Konig 2021</w:t>
      </w:r>
      <w:r>
        <w:rPr>
          <w:rStyle w:val="FootnoteReference"/>
        </w:rPr>
        <w:footnoteReference w:id="362"/>
      </w:r>
      <w:r>
        <w:t xml:space="preserve">, une partie de l’effet pouvait s’expliquer statistiquement par un meilleur équilibre glycémique et une moindre excrétion urinaire de protéines ; une autre partie restait inexpliquée. La perte de poids n’a joué aucun rôle mesurable dans cette analyse. Cela concorde avec l’hypothèse répandue selon laquelle les agonistes du récepteur du GLP-1 auraient aussi des effets directs sur les vaisseaux et les processus inflammatoires – ce qui n’est cependant pas démontré chez l’humain.</w:t>
      </w:r>
    </w:p>
    <w:p>
      <w:pPr>
        <w:pStyle w:val="BodyText"/>
      </w:pPr>
      <w:r>
        <w:t xml:space="preserve">Le dulaglutide n’a montré aucune protection contre les événements d’insuffisance cardiaque</w:t>
      </w:r>
      <w:r>
        <w:rPr>
          <w:rStyle w:val="FootnoteReference"/>
        </w:rPr>
        <w:footnoteReference w:id="363"/>
      </w:r>
      <w:r>
        <w:t xml:space="preserve"> </w:t>
      </w:r>
      <w:r>
        <w:t xml:space="preserve">ni contre l’apparition d’une fibrillation auriculaire</w:t>
      </w:r>
      <w:r>
        <w:rPr>
          <w:rStyle w:val="FootnoteReference"/>
        </w:rPr>
        <w:footnoteReference w:id="364"/>
      </w:r>
      <w:r>
        <w:t xml:space="preserve">. Chez les 853 participants qui avaient déjà une insuffisance cardiaque au début de l’étude, le tableau n’était pas différent non plus. Pour l’insuffisance cardiaque à fraction d’éjection préservée associée à l’obésité, il existe désormais des données sur le sémaglutide et le tirzépatide ; elles font défaut pour le dulaglutide.</w:t>
      </w:r>
    </w:p>
    <w:bookmarkEnd w:id="365"/>
    <w:bookmarkStart w:id="368" w:name="X7634081390bb865e6cbfeba788330d1b6b978f2"/>
    <w:p>
      <w:pPr>
        <w:pStyle w:val="Heading4"/>
      </w:pPr>
      <w:r>
        <w:t xml:space="preserve">Le dulaglutide, standard de comparaison pour les nouvelles substances</w:t>
      </w:r>
    </w:p>
    <w:p>
      <w:pPr>
        <w:pStyle w:val="FirstParagraph"/>
      </w:pPr>
      <w:r>
        <w:t xml:space="preserve">Parce que le dulaglutide est largement utilisé dans le monde, bien toléré et doté d’un bénéfice cardiovasculaire démontré, les fabricants le choisissent souvent comme comparateur actif. Les résultats de ces études relèvent sur le fond des chapitres consacrés aux nouvelles substances concernées ; voici seulement une vue d’ensemble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SURPASS-CVOT (Nicholls 2025), PMID 41406444</w:t>
            </w:r>
          </w:p>
        </w:tc>
        <w:tc>
          <w:tcPr/>
          <w:p>
            <w:pPr>
              <w:pStyle w:val="Compact"/>
              <w:jc w:val="left"/>
            </w:pPr>
            <w:r>
              <w:t xml:space="preserve">13 165 personnes atteintes de diabète de type 2 et de maladie vasculaire ; tirzépatide vs dulaglutide</w:t>
            </w:r>
          </w:p>
        </w:tc>
        <w:tc>
          <w:tcPr/>
          <w:p>
            <w:pPr>
              <w:pStyle w:val="Compact"/>
              <w:jc w:val="left"/>
            </w:pPr>
            <w:r>
              <w:t xml:space="preserve">plusieurs années</w:t>
            </w:r>
          </w:p>
        </w:tc>
        <w:tc>
          <w:tcPr/>
          <w:p>
            <w:pPr>
              <w:pStyle w:val="Compact"/>
              <w:jc w:val="left"/>
            </w:pPr>
            <w:r>
              <w:t xml:space="preserve">Événements cardiovasculaires graves 12,2 % vs 13,1 % ; HR 0,92, non inférieur, supériorité non démontrée</w:t>
            </w:r>
          </w:p>
        </w:tc>
      </w:tr>
      <w:tr>
        <w:tc>
          <w:tcPr/>
          <w:p>
            <w:pPr>
              <w:pStyle w:val="Compact"/>
              <w:jc w:val="left"/>
            </w:pPr>
            <w:r>
              <w:t xml:space="preserve">SURPASS J-mono (Inagaki 2022), PMID 35914543</w:t>
            </w:r>
          </w:p>
        </w:tc>
        <w:tc>
          <w:tcPr/>
          <w:p>
            <w:pPr>
              <w:pStyle w:val="Compact"/>
              <w:jc w:val="left"/>
            </w:pPr>
            <w:r>
              <w:t xml:space="preserve">636 personnes au Japon ; tirzépatide vs dulaglutide 0,75 mg</w:t>
            </w:r>
          </w:p>
        </w:tc>
        <w:tc>
          <w:tcPr/>
          <w:p>
            <w:pPr>
              <w:pStyle w:val="Compact"/>
              <w:jc w:val="left"/>
            </w:pPr>
            <w:r>
              <w:t xml:space="preserve">52 semaines</w:t>
            </w:r>
          </w:p>
        </w:tc>
        <w:tc>
          <w:tcPr/>
          <w:p>
            <w:pPr>
              <w:pStyle w:val="Compact"/>
              <w:jc w:val="left"/>
            </w:pPr>
            <w:r>
              <w:t xml:space="preserve">HbA1c −2,4 à −2,8 vs −1,3</w:t>
            </w:r>
          </w:p>
        </w:tc>
      </w:tr>
      <w:tr>
        <w:tc>
          <w:tcPr/>
          <w:p>
            <w:pPr>
              <w:pStyle w:val="Compact"/>
              <w:jc w:val="left"/>
            </w:pPr>
            <w:r>
              <w:t xml:space="preserve">Guo 2026, PMID 41407860</w:t>
            </w:r>
          </w:p>
        </w:tc>
        <w:tc>
          <w:tcPr/>
          <w:p>
            <w:pPr>
              <w:pStyle w:val="Compact"/>
              <w:jc w:val="left"/>
            </w:pPr>
            <w:r>
              <w:t xml:space="preserve">731 personnes en Chine ; mazdutide vs dulaglutide 1,5 mg</w:t>
            </w:r>
          </w:p>
        </w:tc>
        <w:tc>
          <w:tcPr/>
          <w:p>
            <w:pPr>
              <w:pStyle w:val="Compact"/>
              <w:jc w:val="left"/>
            </w:pPr>
            <w:r>
              <w:t xml:space="preserve">28 semaines</w:t>
            </w:r>
          </w:p>
        </w:tc>
        <w:tc>
          <w:tcPr/>
          <w:p>
            <w:pPr>
              <w:pStyle w:val="Compact"/>
              <w:jc w:val="left"/>
            </w:pPr>
            <w:r>
              <w:t xml:space="preserve">Différence d’HbA1c de −0,24 ou −0,30 point de pourcentage en faveur du mazdutide</w:t>
            </w:r>
          </w:p>
        </w:tc>
      </w:tr>
      <w:tr>
        <w:tc>
          <w:tcPr/>
          <w:p>
            <w:pPr>
              <w:pStyle w:val="Compact"/>
              <w:jc w:val="left"/>
            </w:pPr>
            <w:r>
              <w:t xml:space="preserve">EECOH-2 (He 2025), PMID 40854315</w:t>
            </w:r>
          </w:p>
        </w:tc>
        <w:tc>
          <w:tcPr/>
          <w:p>
            <w:pPr>
              <w:pStyle w:val="Compact"/>
              <w:jc w:val="left"/>
            </w:pPr>
            <w:r>
              <w:t xml:space="preserve">621 personnes en Chine ; ecnoglutide vs dulaglutide 1,5 mg</w:t>
            </w:r>
          </w:p>
        </w:tc>
        <w:tc>
          <w:tcPr/>
          <w:p>
            <w:pPr>
              <w:pStyle w:val="Compact"/>
              <w:jc w:val="left"/>
            </w:pPr>
            <w:r>
              <w:t xml:space="preserve">52 semaines (critère principal à 32)</w:t>
            </w:r>
          </w:p>
        </w:tc>
        <w:tc>
          <w:tcPr/>
          <w:p>
            <w:pPr>
              <w:pStyle w:val="Compact"/>
              <w:jc w:val="left"/>
            </w:pPr>
            <w:r>
              <w:t xml:space="preserve">HbA1c −1,89 à −1,91 vs −1,65</w:t>
            </w:r>
          </w:p>
        </w:tc>
      </w:tr>
    </w:tbl>
    <w:p>
      <w:pPr>
        <w:pStyle w:val="BodyText"/>
      </w:pPr>
      <w:r>
        <w:t xml:space="preserve">SURPASS-CVOT</w:t>
      </w:r>
      <w:r>
        <w:rPr>
          <w:rStyle w:val="FootnoteReference"/>
        </w:rPr>
        <w:footnoteReference w:id="366"/>
      </w:r>
      <w:r>
        <w:t xml:space="preserve"> </w:t>
      </w:r>
      <w:r>
        <w:t xml:space="preserve">est particulièrement instructive : c’est la première grande étude sur critères cliniques dans laquelle deux médicaments incrétines ont été directement opposés. Le tirzépatide n’était pas inférieur, mais pas non plus supérieur de façon démontrée au dulaglutide. Comme le dulaglutide lui-même avait réduit le risque dans REWIND, un « match nul » contre le dulaglutide est un résultat fort pour les deux substances. Une analyse a posteriori avec un critère cardio-rénal plus large a trouvé un avantage pour le tirzépatide (23,7 % vs 27,4 % ; HR 0,84)</w:t>
      </w:r>
      <w:r>
        <w:rPr>
          <w:rStyle w:val="FootnoteReference"/>
        </w:rPr>
        <w:footnoteReference w:id="367"/>
      </w:r>
      <w:r>
        <w:t xml:space="preserve">. Les analyses a posteriori sont cependant moins solides que le critère principal fixé à l’avance.</w:t>
      </w:r>
    </w:p>
    <w:bookmarkEnd w:id="368"/>
    <w:bookmarkStart w:id="371" w:name="maniement-le-stylo-prérempli"/>
    <w:p>
      <w:pPr>
        <w:pStyle w:val="Heading4"/>
      </w:pPr>
      <w:r>
        <w:t xml:space="preserve">Maniement : le stylo prérempli</w:t>
      </w:r>
    </w:p>
    <w:p>
      <w:pPr>
        <w:pStyle w:val="FirstParagraph"/>
      </w:pPr>
      <w:r>
        <w:t xml:space="preserve">Un aspect pratique rarement pris en compte dans les études est l’utilisation. Le dulaglutide est fourni dans un stylo prérempli à usage unique, sur lequel il n’est nécessaire ni de fixer une aiguille ni de régler une dose. Dans une étude portant sur 211 personnes atteintes de diabète de type 2 qui ne s’étaient jamais injecté elles-mêmes un médicament, l’injection a réussi à la fin dans 99,1 % des cas ; la peur de l’injection a diminué</w:t>
      </w:r>
      <w:r>
        <w:rPr>
          <w:rStyle w:val="FootnoteReference"/>
        </w:rPr>
        <w:footnoteReference w:id="369"/>
      </w:r>
      <w:r>
        <w:t xml:space="preserve">. Dans une étude comparative financée par le fabricant portant sur 310 participants, 84,2 % ont préféré le stylo de dulaglutide à celui du sémaglutide de l’époque</w:t>
      </w:r>
      <w:r>
        <w:rPr>
          <w:rStyle w:val="FootnoteReference"/>
        </w:rPr>
        <w:footnoteReference w:id="370"/>
      </w:r>
      <w:r>
        <w:t xml:space="preserve">. Ces études de préférence ne disent rien de l’efficacité, mais peuvent expliquer pourquoi le dulaglutide est répandu précisément chez les personnes âgées.</w:t>
      </w:r>
    </w:p>
    <w:bookmarkEnd w:id="371"/>
    <w:bookmarkStart w:id="373" w:name="enfants-et-adolescents-1"/>
    <w:p>
      <w:pPr>
        <w:pStyle w:val="Heading4"/>
      </w:pPr>
      <w:r>
        <w:t xml:space="preserve">Enfants et adolescents</w:t>
      </w:r>
    </w:p>
    <w:p>
      <w:pPr>
        <w:pStyle w:val="FirstParagraph"/>
      </w:pPr>
      <w:r>
        <w:t xml:space="preserve">Dans AWARD-PEDS, portant sur 154 adolescents atteints de diabète de type 2, l’HbA1c a augmenté de 0,6 point de pourcentage sous placebo après 26 semaines et a baissé sous dulaglutide de 0,6 (0,75 mg) ou de 0,9 point de pourcentage (1,5 mg)</w:t>
      </w:r>
      <w:r>
        <w:rPr>
          <w:rStyle w:val="FootnoteReference"/>
        </w:rPr>
        <w:footnoteReference w:id="372"/>
      </w:r>
      <w:r>
        <w:t xml:space="preserve">. 51 % contre 14 % ont atteint une HbA1c inférieure à 7 %. Dans cette tranche d’âge, le dulaglutide n’a eu aucune influence sur l’indice de masse corporelle. Cette étude a été la base de l’autorisation à partir de 10 ans.</w:t>
      </w:r>
    </w:p>
    <w:bookmarkEnd w:id="373"/>
    <w:bookmarkStart w:id="377" w:name="autres-domaines-dutilisation-étudiés-2"/>
    <w:p>
      <w:pPr>
        <w:pStyle w:val="Heading4"/>
      </w:pPr>
      <w:r>
        <w:t xml:space="preserve">Autres domaines d’utilisation étudiés</w:t>
      </w:r>
    </w:p>
    <w:p>
      <w:pPr>
        <w:numPr>
          <w:ilvl w:val="0"/>
          <w:numId w:val="1049"/>
        </w:numPr>
        <w:pStyle w:val="Compact"/>
      </w:pPr>
      <w:r>
        <w:rPr>
          <w:bCs/>
          <w:b/>
        </w:rPr>
        <w:t xml:space="preserve">Sevrage tabagique :</w:t>
      </w:r>
      <w:r>
        <w:t xml:space="preserve"> </w:t>
      </w:r>
      <w:r>
        <w:t xml:space="preserve">dans une étude portant sur 255 personnes, le dulaglutide n’a pas amélioré le taux d’abstinence ; après 52 semaines, 32 % étaient non-fumeurs dans les deux groupes</w:t>
      </w:r>
      <w:r>
        <w:rPr>
          <w:rStyle w:val="FootnoteReference"/>
        </w:rPr>
        <w:footnoteReference w:id="374"/>
      </w:r>
      <w:r>
        <w:t xml:space="preserve">. La prise de poids habituelle après l’arrêt du tabac a été évitée pendant les 12 premières semaines ; après un an, la différence avait disparu.</w:t>
      </w:r>
    </w:p>
    <w:p>
      <w:pPr>
        <w:numPr>
          <w:ilvl w:val="0"/>
          <w:numId w:val="1049"/>
        </w:numPr>
        <w:pStyle w:val="Compact"/>
      </w:pPr>
      <w:r>
        <w:rPr>
          <w:bCs/>
          <w:b/>
        </w:rPr>
        <w:t xml:space="preserve">Alcool :</w:t>
      </w:r>
      <w:r>
        <w:t xml:space="preserve"> </w:t>
      </w:r>
      <w:r>
        <w:t xml:space="preserve">dans une analyse complémentaire prévue à l’avance de la même étude, les participants sous dulaglutide buvaient après 12 semaines 29 % d’alcool de moins que sous placebo</w:t>
      </w:r>
      <w:r>
        <w:rPr>
          <w:rStyle w:val="FootnoteReference"/>
        </w:rPr>
        <w:footnoteReference w:id="375"/>
      </w:r>
      <w:r>
        <w:t xml:space="preserve">. L’étude n’était pas conçue pour répondre à cette question.</w:t>
      </w:r>
    </w:p>
    <w:p>
      <w:pPr>
        <w:numPr>
          <w:ilvl w:val="0"/>
          <w:numId w:val="1049"/>
        </w:numPr>
        <w:pStyle w:val="Compact"/>
      </w:pPr>
      <w:r>
        <w:rPr>
          <w:bCs/>
          <w:b/>
        </w:rPr>
        <w:t xml:space="preserve">Polydipsie primaire</w:t>
      </w:r>
      <w:r>
        <w:t xml:space="preserve"> </w:t>
      </w:r>
      <w:r>
        <w:t xml:space="preserve">(consommation de boissons pathologiquement accrue) : dans une étude croisée portant sur 34 personnes, le dulaglutide a réduit la quantité bue pendant un test de huit heures de 490 ml, soit 17 %</w:t>
      </w:r>
      <w:r>
        <w:rPr>
          <w:rStyle w:val="FootnoteReference"/>
        </w:rPr>
        <w:footnoteReference w:id="376"/>
      </w:r>
      <w:r>
        <w:t xml:space="preserve">. Un indice que le GLP-1 influence aussi la sensation de soif.</w:t>
      </w:r>
    </w:p>
    <w:bookmarkEnd w:id="377"/>
    <w:bookmarkEnd w:id="378"/>
    <w:bookmarkStart w:id="381" w:name="études-animales-et-de-laboratoire-2"/>
    <w:p>
      <w:pPr>
        <w:pStyle w:val="Heading3"/>
      </w:pPr>
      <w:r>
        <w:t xml:space="preserve">Études animales et de laboratoire</w:t>
      </w:r>
    </w:p>
    <w:p>
      <w:pPr>
        <w:pStyle w:val="FirstParagraph"/>
      </w:pPr>
      <w:r>
        <w:t xml:space="preserve">La caractérisation préclinique du dulaglutide (à l’époque LY2189265) a été réalisée sur des cellules, des rats, des souris et des macaques crabiers</w:t>
      </w:r>
      <w:r>
        <w:rPr>
          <w:rStyle w:val="FootnoteReference"/>
        </w:rPr>
        <w:footnoteReference w:id="379"/>
      </w:r>
      <w:r>
        <w:t xml:space="preserve">. En laboratoire, la protéine de fusion a conservé toute son activité sur le récepteur du GLP-1. Chez des souris diabétiques, une seule administration a amélioré la tolérance au glucose ; des administrations deux fois par semaine pendant quatre semaines ont réduit le poids et retardé l’élévation de la glycémie. Chez le singe, l’effet sur la sécrétion d’insuline a persisté jusqu’à une semaine après une dose.</w:t>
      </w:r>
    </w:p>
    <w:p>
      <w:pPr>
        <w:pStyle w:val="BodyText"/>
      </w:pPr>
      <w:r>
        <w:t xml:space="preserve">Comme pour tous les agonistes du récepteur du GLP-1, des modifications des cellules C de la thyroïde sont apparues dans les études à long terme chez les rongeurs ; le mécanisme et sa transposabilité limitée à l’humain sont décrits dans le chapitre Liraglutide</w:t>
      </w:r>
      <w:r>
        <w:rPr>
          <w:rStyle w:val="FootnoteReference"/>
        </w:rPr>
        <w:footnoteReference w:id="380"/>
      </w:r>
      <w:r>
        <w:t xml:space="preserve">.</w:t>
      </w:r>
    </w:p>
    <w:bookmarkEnd w:id="381"/>
    <w:bookmarkStart w:id="391" w:name="risques-et-effets-indésirables-2"/>
    <w:p>
      <w:pPr>
        <w:pStyle w:val="Heading3"/>
      </w:pPr>
      <w:r>
        <w:t xml:space="preserve">Risques et effets indésirables</w:t>
      </w:r>
    </w:p>
    <w:p>
      <w:pPr>
        <w:pStyle w:val="FirstParagraph"/>
      </w:pPr>
      <w:r>
        <w:rPr>
          <w:bCs/>
          <w:b/>
        </w:rPr>
        <w:t xml:space="preserve">Démontrés dans des études randomisées :</w:t>
      </w:r>
    </w:p>
    <w:p>
      <w:pPr>
        <w:numPr>
          <w:ilvl w:val="0"/>
          <w:numId w:val="1050"/>
        </w:numPr>
        <w:pStyle w:val="Compact"/>
      </w:pPr>
      <w:r>
        <w:rPr>
          <w:bCs/>
          <w:b/>
        </w:rPr>
        <w:t xml:space="preserve">Troubles gastro-intestinaux :</w:t>
      </w:r>
      <w:r>
        <w:t xml:space="preserve"> </w:t>
      </w:r>
      <w:r>
        <w:t xml:space="preserve">nausées, diarrhées et vomissements sont les effets indésirables les plus fréquents. Dans REWIND, 47,4 % des personnes traitées ont signalé des troubles gastro-intestinaux, contre 34,1 % sous placebo</w:t>
      </w:r>
      <w:r>
        <w:rPr>
          <w:rStyle w:val="FootnoteReference"/>
        </w:rPr>
        <w:footnoteReference w:id="382"/>
      </w:r>
      <w:r>
        <w:t xml:space="preserve">. Ils augmentent avec les doses plus élevées</w:t>
      </w:r>
      <w:r>
        <w:rPr>
          <w:rStyle w:val="FootnoteReference"/>
        </w:rPr>
        <w:footnoteReference w:id="383"/>
      </w:r>
      <w:r>
        <w:t xml:space="preserve">.</w:t>
      </w:r>
    </w:p>
    <w:p>
      <w:pPr>
        <w:numPr>
          <w:ilvl w:val="0"/>
          <w:numId w:val="1050"/>
        </w:numPr>
        <w:pStyle w:val="Compact"/>
      </w:pPr>
      <w:r>
        <w:rPr>
          <w:bCs/>
          <w:b/>
        </w:rPr>
        <w:t xml:space="preserve">Hypoglycémie :</w:t>
      </w:r>
      <w:r>
        <w:t xml:space="preserve"> </w:t>
      </w:r>
      <w:r>
        <w:t xml:space="preserve">rare en monothérapie ; plus fréquente en association avec l’insuline ou des sulfamides, mais plus rare que sous insuline seule</w:t>
      </w:r>
      <w:r>
        <w:rPr>
          <w:rStyle w:val="FootnoteReference"/>
        </w:rPr>
        <w:footnoteReference w:id="384"/>
      </w:r>
      <w:r>
        <w:t xml:space="preserve">.</w:t>
      </w:r>
    </w:p>
    <w:p>
      <w:pPr>
        <w:numPr>
          <w:ilvl w:val="0"/>
          <w:numId w:val="1050"/>
        </w:numPr>
        <w:pStyle w:val="Compact"/>
      </w:pPr>
      <w:r>
        <w:rPr>
          <w:bCs/>
          <w:b/>
        </w:rPr>
        <w:t xml:space="preserve">Enzymes pancréatiques :</w:t>
      </w:r>
      <w:r>
        <w:t xml:space="preserve"> </w:t>
      </w:r>
      <w:r>
        <w:t xml:space="preserve">dans AWARD-2, les enzymes pancréatiques ont augmenté sous dulaglutide</w:t>
      </w:r>
      <w:r>
        <w:rPr>
          <w:rStyle w:val="FootnoteReference"/>
        </w:rPr>
        <w:footnoteReference w:id="385"/>
      </w:r>
      <w:r>
        <w:t xml:space="preserve">. La portée clinique de telles élévations en l’absence de symptômes n’est pas claire.</w:t>
      </w:r>
    </w:p>
    <w:p>
      <w:pPr>
        <w:numPr>
          <w:ilvl w:val="0"/>
          <w:numId w:val="1050"/>
        </w:numPr>
        <w:pStyle w:val="Compact"/>
      </w:pPr>
      <w:r>
        <w:rPr>
          <w:bCs/>
          <w:b/>
        </w:rPr>
        <w:t xml:space="preserve">Anticorps :</w:t>
      </w:r>
      <w:r>
        <w:t xml:space="preserve"> </w:t>
      </w:r>
      <w:r>
        <w:t xml:space="preserve">rares (1,6 % des personnes traitées), sans accumulation de réactions d’hypersensibilité</w:t>
      </w:r>
      <w:r>
        <w:rPr>
          <w:rStyle w:val="FootnoteReference"/>
        </w:rPr>
        <w:footnoteReference w:id="386"/>
      </w:r>
      <w:r>
        <w:t xml:space="preserve">.</w:t>
      </w:r>
    </w:p>
    <w:p>
      <w:pPr>
        <w:numPr>
          <w:ilvl w:val="0"/>
          <w:numId w:val="1050"/>
        </w:numPr>
        <w:pStyle w:val="Compact"/>
      </w:pPr>
      <w:r>
        <w:rPr>
          <w:bCs/>
          <w:b/>
        </w:rPr>
        <w:t xml:space="preserve">Vésicule biliaire :</w:t>
      </w:r>
      <w:r>
        <w:t xml:space="preserve"> </w:t>
      </w:r>
      <w:r>
        <w:t xml:space="preserve">pour l’ensemble de la classe, un risque accru de calculs biliaires et de cholécystite est démontré</w:t>
      </w:r>
      <w:r>
        <w:rPr>
          <w:rStyle w:val="FootnoteReference"/>
        </w:rPr>
        <w:footnoteReference w:id="387"/>
      </w:r>
      <w:r>
        <w:t xml:space="preserve"> </w:t>
      </w:r>
      <w:r>
        <w:t xml:space="preserve">; détails dans le chapitre Liraglutide.</w:t>
      </w:r>
    </w:p>
    <w:p>
      <w:pPr>
        <w:pStyle w:val="FirstParagraph"/>
      </w:pPr>
      <w:r>
        <w:rPr>
          <w:bCs/>
          <w:b/>
        </w:rPr>
        <w:t xml:space="preserve">Étudiés, mais incertains :</w:t>
      </w:r>
    </w:p>
    <w:p>
      <w:pPr>
        <w:numPr>
          <w:ilvl w:val="0"/>
          <w:numId w:val="1051"/>
        </w:numPr>
        <w:pStyle w:val="Compact"/>
      </w:pPr>
      <w:r>
        <w:rPr>
          <w:bCs/>
          <w:b/>
        </w:rPr>
        <w:t xml:space="preserve">Pancréatite et cancer du pancréas :</w:t>
      </w:r>
      <w:r>
        <w:t xml:space="preserve"> </w:t>
      </w:r>
      <w:r>
        <w:t xml:space="preserve">dans la méta-analyse des études sur critères cliniques, pas de risque accru pour la classe</w:t>
      </w:r>
      <w:r>
        <w:rPr>
          <w:rStyle w:val="FootnoteReference"/>
        </w:rPr>
        <w:footnoteReference w:id="388"/>
      </w:r>
      <w:r>
        <w:t xml:space="preserve">. La pancréatite figure néanmoins comme effet indésirable rare dans le résumé des caractéristiques du produit.</w:t>
      </w:r>
    </w:p>
    <w:p>
      <w:pPr>
        <w:numPr>
          <w:ilvl w:val="0"/>
          <w:numId w:val="1051"/>
        </w:numPr>
        <w:pStyle w:val="Compact"/>
      </w:pPr>
      <w:r>
        <w:rPr>
          <w:bCs/>
          <w:b/>
        </w:rPr>
        <w:t xml:space="preserve">Cancer de la thyroïde :</w:t>
      </w:r>
      <w:r>
        <w:t xml:space="preserve"> </w:t>
      </w:r>
      <w:r>
        <w:t xml:space="preserve">signal dans des études observationnelles et des méta-analyses pour l’ensemble de la classe</w:t>
      </w:r>
      <w:r>
        <w:rPr>
          <w:rStyle w:val="FootnoteReference"/>
        </w:rPr>
        <w:footnoteReference w:id="389"/>
      </w:r>
      <w:r>
        <w:t xml:space="preserve">, non spécifique au dulaglutide ; voir le chapitre Liraglutide et la partie IV.</w:t>
      </w:r>
    </w:p>
    <w:p>
      <w:pPr>
        <w:pStyle w:val="FirstParagraph"/>
      </w:pPr>
      <w:r>
        <w:rPr>
          <w:bCs/>
          <w:b/>
        </w:rPr>
        <w:t xml:space="preserve">Remarques pour la pratique :</w:t>
      </w:r>
      <w:r>
        <w:t xml:space="preserve"> </w:t>
      </w:r>
      <w:r>
        <w:t xml:space="preserve">le dulaglutide ralentit la vidange gastrique, ce qui joue un rôle lors des anesthésies et des endoscopies gastriques ; une grande étude est en cours pour savoir si les agonistes du récepteur du GLP-1 doivent être suspendus avant une endoscopie gastrique</w:t>
      </w:r>
      <w:r>
        <w:rPr>
          <w:rStyle w:val="FootnoteReference"/>
        </w:rPr>
        <w:footnoteReference w:id="390"/>
      </w:r>
      <w:r>
        <w:t xml:space="preserve">. Le résumé des caractéristiques du produit et l’accompagnement médical font foi.</w:t>
      </w:r>
    </w:p>
    <w:bookmarkEnd w:id="391"/>
    <w:bookmarkStart w:id="392" w:name="statut-juridique-2"/>
    <w:p>
      <w:pPr>
        <w:pStyle w:val="Heading3"/>
      </w:pPr>
      <w:r>
        <w:t xml:space="preserve">Statut juridique</w:t>
      </w:r>
    </w:p>
    <w:p>
      <w:pPr>
        <w:numPr>
          <w:ilvl w:val="0"/>
          <w:numId w:val="1052"/>
        </w:numPr>
        <w:pStyle w:val="Compact"/>
      </w:pPr>
      <w:r>
        <w:rPr>
          <w:bCs/>
          <w:b/>
        </w:rPr>
        <w:t xml:space="preserve">UE :</w:t>
      </w:r>
      <w:r>
        <w:t xml:space="preserve"> </w:t>
      </w:r>
      <w:r>
        <w:t xml:space="preserve">Trulicity est autorisé par procédure centralisée depuis 2014 pour le traitement du diabète de type 2, désormais aussi pour les adolescents à partir de 10 ans. Soumis à prescription. Pas d’autorisation pour la perte de poids.</w:t>
      </w:r>
    </w:p>
    <w:p>
      <w:pPr>
        <w:numPr>
          <w:ilvl w:val="0"/>
          <w:numId w:val="1052"/>
        </w:numPr>
        <w:pStyle w:val="Compact"/>
      </w:pPr>
      <w:r>
        <w:rPr>
          <w:bCs/>
          <w:b/>
        </w:rPr>
        <w:t xml:space="preserve">Allemagne et Autriche :</w:t>
      </w:r>
      <w:r>
        <w:t xml:space="preserve"> </w:t>
      </w:r>
      <w:r>
        <w:t xml:space="preserve">soumis à prescription ; remboursable dans le diabète de type 2. À partir de 2022, des pénuries temporaires sont survenues, comme pour d’autres préparations GLP-1 (à vérifier).</w:t>
      </w:r>
    </w:p>
    <w:p>
      <w:pPr>
        <w:numPr>
          <w:ilvl w:val="0"/>
          <w:numId w:val="1052"/>
        </w:numPr>
        <w:pStyle w:val="Compact"/>
      </w:pPr>
      <w:r>
        <w:rPr>
          <w:bCs/>
          <w:b/>
        </w:rPr>
        <w:t xml:space="preserve">États-Unis :</w:t>
      </w:r>
      <w:r>
        <w:t xml:space="preserve"> </w:t>
      </w:r>
      <w:r>
        <w:t xml:space="preserve">autorisé pour le diabète de type 2 à partir de 10 ans et pour la réduction du risque cardiovasculaire.</w:t>
      </w:r>
    </w:p>
    <w:p>
      <w:pPr>
        <w:numPr>
          <w:ilvl w:val="0"/>
          <w:numId w:val="1052"/>
        </w:numPr>
        <w:pStyle w:val="Compact"/>
      </w:pPr>
      <w:r>
        <w:rPr>
          <w:bCs/>
          <w:b/>
        </w:rPr>
        <w:t xml:space="preserve">Génériques :</w:t>
      </w:r>
      <w:r>
        <w:t xml:space="preserve"> </w:t>
      </w:r>
      <w:r>
        <w:t xml:space="preserve">le dulaglutide étant une protéine de fusion fabriquée par génie génétique, ses copies seraient des biosimilaires soumis à une procédure d’autorisation plus lourde que pour le liraglutide ou le sémaglutide. À la date de mise sous presse, aucun biosimilaire n’est commercialisé dans l’UE, en l’état des connaissances de l’auteur (à vérifier).</w:t>
      </w:r>
    </w:p>
    <w:p>
      <w:pPr>
        <w:numPr>
          <w:ilvl w:val="0"/>
          <w:numId w:val="1052"/>
        </w:numPr>
        <w:pStyle w:val="Compact"/>
      </w:pPr>
      <w:r>
        <w:rPr>
          <w:bCs/>
          <w:b/>
        </w:rPr>
        <w:t xml:space="preserve">Sport (AMA) :</w:t>
      </w:r>
      <w:r>
        <w:t xml:space="preserve"> </w:t>
      </w:r>
      <w:r>
        <w:t xml:space="preserve">non listé (état 2026, à vérifier).</w:t>
      </w:r>
    </w:p>
    <w:p>
      <w:pPr>
        <w:numPr>
          <w:ilvl w:val="0"/>
          <w:numId w:val="1052"/>
        </w:numPr>
        <w:pStyle w:val="Compact"/>
      </w:pPr>
      <w:r>
        <w:rPr>
          <w:bCs/>
          <w:b/>
        </w:rPr>
        <w:t xml:space="preserve">Marché gris :</w:t>
      </w:r>
      <w:r>
        <w:t xml:space="preserve"> </w:t>
      </w:r>
      <w:r>
        <w:t xml:space="preserve">le dulaglutide ne joue pratiquement aucun rôle sur le marché gris, car une grande protéine de fusion ne peut pas être fabriquée par synthèse comme les petits peptides.</w:t>
      </w:r>
    </w:p>
    <w:bookmarkEnd w:id="392"/>
    <w:bookmarkStart w:id="399" w:name="études-en-cours-et-perspectives-2"/>
    <w:p>
      <w:pPr>
        <w:pStyle w:val="Heading3"/>
      </w:pPr>
      <w:r>
        <w:t xml:space="preserve">Études en cours et perspectives</w:t>
      </w:r>
    </w:p>
    <w:p>
      <w:pPr>
        <w:pStyle w:val="FirstParagraph"/>
      </w:pPr>
      <w:r>
        <w:rPr>
          <w:bCs/>
          <w:b/>
        </w:rPr>
        <w:t xml:space="preserve">Établi (études enregistrées) :</w:t>
      </w:r>
    </w:p>
    <w:p>
      <w:pPr>
        <w:numPr>
          <w:ilvl w:val="0"/>
          <w:numId w:val="1053"/>
        </w:numPr>
        <w:pStyle w:val="Compact"/>
      </w:pPr>
      <w:r>
        <w:rPr>
          <w:bCs/>
          <w:b/>
        </w:rPr>
        <w:t xml:space="preserve">Enfants et adolescents :</w:t>
      </w:r>
      <w:r>
        <w:t xml:space="preserve"> </w:t>
      </w:r>
      <w:r>
        <w:t xml:space="preserve">Lilly évalue les doses plus élevées de 3,0 et 4,5 mg chez des adolescents atteints de diabète de type 2</w:t>
      </w:r>
      <w:r>
        <w:rPr>
          <w:rStyle w:val="FootnoteReference"/>
        </w:rPr>
        <w:footnoteReference w:id="393"/>
      </w:r>
      <w:r>
        <w:t xml:space="preserve"> </w:t>
      </w:r>
      <w:r>
        <w:t xml:space="preserve">et compare le comprimé d’orforglipron au dulaglutide dans cette tranche d’âge</w:t>
      </w:r>
      <w:r>
        <w:rPr>
          <w:rStyle w:val="FootnoteReference"/>
        </w:rPr>
        <w:footnoteReference w:id="394"/>
      </w:r>
      <w:r>
        <w:t xml:space="preserve">.</w:t>
      </w:r>
    </w:p>
    <w:p>
      <w:pPr>
        <w:numPr>
          <w:ilvl w:val="0"/>
          <w:numId w:val="1053"/>
        </w:numPr>
        <w:pStyle w:val="Compact"/>
      </w:pPr>
      <w:r>
        <w:rPr>
          <w:bCs/>
          <w:b/>
        </w:rPr>
        <w:t xml:space="preserve">Vaisseaux et chirurgie :</w:t>
      </w:r>
      <w:r>
        <w:t xml:space="preserve"> </w:t>
      </w:r>
      <w:r>
        <w:t xml:space="preserve">une étude examine le dulaglutide en cas de sténose sévère des vaisseaux cérébraux</w:t>
      </w:r>
      <w:r>
        <w:rPr>
          <w:rStyle w:val="FootnoteReference"/>
        </w:rPr>
        <w:footnoteReference w:id="395"/>
      </w:r>
      <w:r>
        <w:t xml:space="preserve">, une autre s’il réduit les lésions du muscle cardiaque après une chirurgie non cardiaque</w:t>
      </w:r>
      <w:r>
        <w:rPr>
          <w:rStyle w:val="FootnoteReference"/>
        </w:rPr>
        <w:footnoteReference w:id="396"/>
      </w:r>
      <w:r>
        <w:t xml:space="preserve">.</w:t>
      </w:r>
    </w:p>
    <w:p>
      <w:pPr>
        <w:numPr>
          <w:ilvl w:val="0"/>
          <w:numId w:val="1053"/>
        </w:numPr>
        <w:pStyle w:val="Compact"/>
      </w:pPr>
      <w:r>
        <w:rPr>
          <w:bCs/>
          <w:b/>
        </w:rPr>
        <w:t xml:space="preserve">Mucoviscidose :</w:t>
      </w:r>
      <w:r>
        <w:t xml:space="preserve"> </w:t>
      </w:r>
      <w:r>
        <w:t xml:space="preserve">une petite étude de phase 2 étudie le dulaglutide en cas de trouble de l’utilisation du glucose lié à la maladie</w:t>
      </w:r>
      <w:r>
        <w:rPr>
          <w:rStyle w:val="FootnoteReference"/>
        </w:rPr>
        <w:footnoteReference w:id="397"/>
      </w:r>
      <w:r>
        <w:t xml:space="preserve">.</w:t>
      </w:r>
    </w:p>
    <w:p>
      <w:pPr>
        <w:numPr>
          <w:ilvl w:val="0"/>
          <w:numId w:val="1053"/>
        </w:numPr>
        <w:pStyle w:val="Compact"/>
      </w:pPr>
      <w:r>
        <w:rPr>
          <w:bCs/>
          <w:b/>
        </w:rPr>
        <w:t xml:space="preserve">Comme comparateur :</w:t>
      </w:r>
      <w:r>
        <w:t xml:space="preserve"> </w:t>
      </w:r>
      <w:r>
        <w:t xml:space="preserve">de nombreuses nouvelles substances sont évaluées dans des études de phase 3 contre le dulaglutide, dont la protéine de fusion à base d’exendine-4 JY09</w:t>
      </w:r>
      <w:r>
        <w:rPr>
          <w:rStyle w:val="FootnoteReference"/>
        </w:rPr>
        <w:footnoteReference w:id="398"/>
      </w:r>
      <w:r>
        <w:t xml:space="preserve">.</w:t>
      </w:r>
    </w:p>
    <w:p>
      <w:pPr>
        <w:pStyle w:val="FirstParagraph"/>
      </w:pPr>
      <w:r>
        <w:rPr>
          <w:bCs/>
          <w:b/>
        </w:rPr>
        <w:t xml:space="preserve">Estimation :</w:t>
      </w:r>
      <w:r>
        <w:t xml:space="preserve"> </w:t>
      </w:r>
      <w:r>
        <w:t xml:space="preserve">le dulaglutide est une substance solide et bien étudiée, au bénéfice cardiovasculaire démontré, mais qui est dépassée par le sémaglutide et le tirzépatide pour la glycémie et le poids. Son rôle devrait se déplacer de plus en plus vers celui de standard de comparaison dans les études. Lilly proposant avec le tirzépatide et l’orforglipron ses propres successeurs, un développement ultérieur du dulaglutide pour de nouvelles indications est peu probable.</w:t>
      </w:r>
    </w:p>
    <w:bookmarkEnd w:id="399"/>
    <w:bookmarkStart w:id="400" w:name="conclusion-2"/>
    <w:p>
      <w:pPr>
        <w:pStyle w:val="Heading3"/>
      </w:pPr>
      <w:r>
        <w:t xml:space="preserve">Conclusion</w:t>
      </w:r>
    </w:p>
    <w:p>
      <w:pPr>
        <w:pStyle w:val="FirstParagraph"/>
      </w:pPr>
      <w:r>
        <w:t xml:space="preserve">Le dulaglutide est une protéine de fusion GLP-1 injectée une fois par semaine, qui a été évaluée dans le programme AWARD face à presque tous les antidiabétiques courants. Il a abaissé l’HbA1c à peu près autant que le liraglutide et plus que l’exénatide, la sitagliptine ou la metformine, mais il a été inférieur au sémaglutide dans SUSTAIN 7, surtout pour le poids. Dans REWIND, avec 9 901 participants dont beaucoup sans maladie cardiovasculaire connue, il a réduit les événements cardiovasculaires graves de 12 %. Les effets indésirables correspondent à ceux de la classe ; les anticorps sont rares. Il n’est pas autorisé pour la perte de poids, et le traitement relève du médecin.</w:t>
      </w:r>
    </w:p>
    <w:bookmarkEnd w:id="400"/>
    <w:bookmarkEnd w:id="401"/>
    <w:bookmarkStart w:id="476" w:name="sémaglutide"/>
    <w:p>
      <w:pPr>
        <w:pStyle w:val="Heading2"/>
      </w:pPr>
      <w:r>
        <w:t xml:space="preserve">Sémaglutide</w:t>
      </w:r>
    </w:p>
    <w:bookmarkStart w:id="403" w:name="fiche-signalétique-3"/>
    <w:p>
      <w:pPr>
        <w:pStyle w:val="Heading3"/>
      </w:pPr>
      <w:r>
        <w:t xml:space="preserve">Fiche signalétique</w:t>
      </w:r>
    </w:p>
    <w:p>
      <w:pPr>
        <w:numPr>
          <w:ilvl w:val="0"/>
          <w:numId w:val="1054"/>
        </w:numPr>
        <w:pStyle w:val="Compact"/>
      </w:pPr>
      <w:r>
        <w:rPr>
          <w:bCs/>
          <w:b/>
        </w:rPr>
        <w:t xml:space="preserve">Type/structure :</w:t>
      </w:r>
      <w:r>
        <w:t xml:space="preserve"> </w:t>
      </w:r>
      <w:r>
        <w:t xml:space="preserve">GLP-1 humain modifié de 31 acides aminés. Par rapport à l’hormone de l’organisme, deux acides aminés sont remplacés ; à une troisième position est fixée, par l’intermédiaire d’un bras de liaison, une chaîne d’acide gras qui lie fortement la molécule à l’albumine, une protéine du sang</w:t>
      </w:r>
      <w:r>
        <w:rPr>
          <w:rStyle w:val="FootnoteReference"/>
        </w:rPr>
        <w:footnoteReference w:id="402"/>
      </w:r>
      <w:r>
        <w:t xml:space="preserve">.</w:t>
      </w:r>
    </w:p>
    <w:p>
      <w:pPr>
        <w:numPr>
          <w:ilvl w:val="0"/>
          <w:numId w:val="1054"/>
        </w:numPr>
        <w:pStyle w:val="Compact"/>
      </w:pPr>
      <w:r>
        <w:rPr>
          <w:bCs/>
          <w:b/>
        </w:rPr>
        <w:t xml:space="preserve">Origine :</w:t>
      </w:r>
      <w:r>
        <w:t xml:space="preserve"> </w:t>
      </w:r>
      <w:r>
        <w:t xml:space="preserve">développé par Novo Nordisk comme évolution du liraglutide.</w:t>
      </w:r>
    </w:p>
    <w:p>
      <w:pPr>
        <w:numPr>
          <w:ilvl w:val="0"/>
          <w:numId w:val="1054"/>
        </w:numPr>
        <w:pStyle w:val="Compact"/>
      </w:pPr>
      <w:r>
        <w:rPr>
          <w:bCs/>
          <w:b/>
        </w:rPr>
        <w:t xml:space="preserve">Principe d’action :</w:t>
      </w:r>
      <w:r>
        <w:t xml:space="preserve"> </w:t>
      </w:r>
      <w:r>
        <w:t xml:space="preserve">agoniste du récepteur du GLP-1 à très longue durée d’action – une injection par semaine ou un comprimé par jour.</w:t>
      </w:r>
    </w:p>
    <w:p>
      <w:pPr>
        <w:numPr>
          <w:ilvl w:val="0"/>
          <w:numId w:val="1054"/>
        </w:numPr>
        <w:pStyle w:val="Compact"/>
      </w:pPr>
      <w:r>
        <w:rPr>
          <w:bCs/>
          <w:b/>
        </w:rPr>
        <w:t xml:space="preserve">Préparations :</w:t>
      </w:r>
      <w:r>
        <w:t xml:space="preserve"> </w:t>
      </w:r>
      <w:r>
        <w:t xml:space="preserve">Ozempic (injection, diabète de type 2), Wegovy (injection, gestion du poids et réduction du risque cardiovasculaire), Rybelsus (comprimé, diabète de type 2). Aux États-Unis, un comprimé de Wegovy pour la gestion du poids est également autorisé depuis fin 2025 (à vérifier).</w:t>
      </w:r>
    </w:p>
    <w:p>
      <w:pPr>
        <w:numPr>
          <w:ilvl w:val="0"/>
          <w:numId w:val="1054"/>
        </w:numPr>
        <w:pStyle w:val="Compact"/>
      </w:pPr>
      <w:r>
        <w:rPr>
          <w:bCs/>
          <w:b/>
        </w:rPr>
        <w:t xml:space="preserve">Autorisation UE :</w:t>
      </w:r>
      <w:r>
        <w:t xml:space="preserve"> </w:t>
      </w:r>
      <w:r>
        <w:t xml:space="preserve">oui – diabète de type 2 (injection depuis 2018, comprimé depuis 2020), gestion du poids (depuis 2022, aussi pour les adolescents à partir de 12 ans).</w:t>
      </w:r>
    </w:p>
    <w:p>
      <w:pPr>
        <w:numPr>
          <w:ilvl w:val="0"/>
          <w:numId w:val="1054"/>
        </w:numPr>
        <w:pStyle w:val="Compact"/>
      </w:pPr>
      <w:r>
        <w:rPr>
          <w:bCs/>
          <w:b/>
        </w:rPr>
        <w:t xml:space="preserve">Autorisation États-Unis :</w:t>
      </w:r>
      <w:r>
        <w:t xml:space="preserve"> </w:t>
      </w:r>
      <w:r>
        <w:t xml:space="preserve">oui – diabète de type 2, gestion du poids, réduction du risque cardiovasculaire en cas de surpoids avec maladie cardiovasculaire, protection rénale dans le diabète de type 2 avec maladie rénale chronique ainsi que stéatohépatite (MASH) avec fibrose.</w:t>
      </w:r>
    </w:p>
    <w:p>
      <w:pPr>
        <w:numPr>
          <w:ilvl w:val="0"/>
          <w:numId w:val="1054"/>
        </w:numPr>
        <w:pStyle w:val="Compact"/>
      </w:pPr>
      <w:r>
        <w:rPr>
          <w:bCs/>
          <w:b/>
        </w:rPr>
        <w:t xml:space="preserve">AMA :</w:t>
      </w:r>
      <w:r>
        <w:t xml:space="preserve"> </w:t>
      </w:r>
      <w:r>
        <w:t xml:space="preserve">non listé.</w:t>
      </w:r>
    </w:p>
    <w:p>
      <w:pPr>
        <w:numPr>
          <w:ilvl w:val="0"/>
          <w:numId w:val="1054"/>
        </w:numPr>
        <w:pStyle w:val="Compact"/>
      </w:pPr>
      <w:r>
        <w:rPr>
          <w:bCs/>
          <w:b/>
        </w:rPr>
        <w:t xml:space="preserve">Niveau de preuve :</w:t>
      </w:r>
      <w:r>
        <w:t xml:space="preserve"> </w:t>
      </w:r>
      <w:r>
        <w:rPr>
          <w:bCs/>
          <w:b/>
        </w:rPr>
        <w:t xml:space="preserve">A</w:t>
      </w:r>
      <w:r>
        <w:t xml:space="preserve"> </w:t>
      </w:r>
      <w:r>
        <w:t xml:space="preserve">– quatre grands programmes d’autorisation (SUSTAIN, PIONEER, STEP, OASIS), plusieurs études sur critères cliniques totalisant plus de 40 000 participants.</w:t>
      </w:r>
    </w:p>
    <w:bookmarkEnd w:id="403"/>
    <w:bookmarkStart w:id="406" w:name="mode-daction-supposé-3"/>
    <w:p>
      <w:pPr>
        <w:pStyle w:val="Heading3"/>
      </w:pPr>
      <w:r>
        <w:t xml:space="preserve">Mode d’action supposé</w:t>
      </w:r>
    </w:p>
    <w:p>
      <w:pPr>
        <w:pStyle w:val="FirstParagraph"/>
      </w:pPr>
      <w:r>
        <w:t xml:space="preserve">Le sémaglutide agit comme l’hormone intestinale GLP-1 : il renforce la sécrétion d’insuline dépendante du glucose, inhibe le glucagon qui élève la glycémie, ralentit la vidange gastrique et atténue dans le cerveau la faim et l’envie de manger. Le mécanisme de base de la classe est expliqué dans le chapitre Exénatide.</w:t>
      </w:r>
    </w:p>
    <w:p>
      <w:pPr>
        <w:pStyle w:val="BodyText"/>
      </w:pPr>
      <w:r>
        <w:t xml:space="preserve">La nouveauté du sémaglutide est sa durabilité. Les concepteurs sont partis du liraglutide et ont modifié deux choses</w:t>
      </w:r>
      <w:r>
        <w:rPr>
          <w:rStyle w:val="FootnoteReference"/>
        </w:rPr>
        <w:footnoteReference w:id="404"/>
      </w:r>
      <w:r>
        <w:t xml:space="preserve"> </w:t>
      </w:r>
      <w:r>
        <w:t xml:space="preserve">: un remplacement d’acide aminé en position 8 rend la molécule totalement insensible à l’enzyme de dégradation DPP-4. Et une chaîne d’acide gras plus longue avec un autre bras de liaison se lie nettement plus fortement à l’albumine. Le sémaglutide n’est ainsi libéré et éliminé que lentement. Chez le miniporc, la demi-vie après administration intraveineuse était de 46,1 heures ; chez l’humain, elle est encore plus longue et permet une injection par semaine.</w:t>
      </w:r>
    </w:p>
    <w:p>
      <w:pPr>
        <w:pStyle w:val="BodyText"/>
      </w:pPr>
      <w:r>
        <w:t xml:space="preserve">Pour la perte de poids, ce sont surtout les effets dans le cerveau qui sont déterminants. Le sémaglutide réduit la prise alimentaire, la sensation de faim et l’envie d’aliments particulièrement riches en graisses et en sucres. Une dépense énergétique nettement plus élevée n’est pas démontrée.</w:t>
      </w:r>
    </w:p>
    <w:p>
      <w:pPr>
        <w:pStyle w:val="BodyText"/>
      </w:pPr>
      <w:r>
        <w:rPr>
          <w:bCs/>
          <w:b/>
        </w:rPr>
        <w:t xml:space="preserve">Le comprimé :</w:t>
      </w:r>
      <w:r>
        <w:t xml:space="preserve"> </w:t>
      </w:r>
      <w:r>
        <w:t xml:space="preserve">les peptides sont normalement digérés dans l’estomac et à peine absorbés. Pour Rybelsus, le sémaglutide est associé à l’excipient SNAC. Celui-ci tamponne l’acide gastrique directement à la surface du comprimé, protège ainsi contre la dégradation et facilite brièvement l’absorption par la muqueuse gastrique – dans les études chez l’humain et le chien, exclusivement dans l’estomac, pas dans l’intestin</w:t>
      </w:r>
      <w:r>
        <w:rPr>
          <w:rStyle w:val="FootnoteReference"/>
        </w:rPr>
        <w:footnoteReference w:id="405"/>
      </w:r>
      <w:r>
        <w:t xml:space="preserve">. Malgré cela, seule une très petite fraction de la substance atteint le sang. Le comprimé contient donc un multiple de la dose injectable et doit être pris à jeun avec peu d’eau ; le résumé des caractéristiques du produit en précise les détails.</w:t>
      </w:r>
    </w:p>
    <w:bookmarkEnd w:id="406"/>
    <w:bookmarkStart w:id="447" w:name="études-chez-lhumain-3"/>
    <w:p>
      <w:pPr>
        <w:pStyle w:val="Heading3"/>
      </w:pPr>
      <w:r>
        <w:t xml:space="preserve">Études chez l’humain</w:t>
      </w:r>
    </w:p>
    <w:p>
      <w:pPr>
        <w:pStyle w:val="FirstParagraph"/>
      </w:pPr>
      <w:r>
        <w:t xml:space="preserve">Le sémaglutide est actuellement la substance la plus étudiée de sa classe. La recherche PubMed analysée pour ce livre (terme « semaglutide » dans le titre ou le résumé, date de recherche octobre 2026) a donné 342 études chez l’humain. Ce chiffre sous-estime le volume réel de recherche, car de nombreuses analyses de grandes études sont publiées sous le nom de celles-ci. ClinicalTrials.gov recense 793 inscriptions – plus que pour tout autre peptide de ce livre.</w:t>
      </w:r>
    </w:p>
    <w:p>
      <w:pPr>
        <w:pStyle w:val="BodyText"/>
      </w:pPr>
      <w:r>
        <w:t xml:space="preserve">Les études peuvent être réparties en quatre programmes : SUSTAIN (injection dans le diabète de type 2), PIONEER (comprimé dans le diabète de type 2), STEP (injection dans l’obésité) et OASIS (comprimé dans l’obésité). S’y ajoutent de grandes études sur critères cliniques concernant le cœur (SUSTAIN 6, PIONEER 6, SOUL, SELECT), les reins (FLOW), le foie (ESSENCE), l’insuffisance cardiaque, les articulations et le cerveau (evoke).</w:t>
      </w:r>
    </w:p>
    <w:bookmarkStart w:id="410" w:name="Xae94fc1ee5eb76e10aaa801a86a301af54f7bd9"/>
    <w:p>
      <w:pPr>
        <w:pStyle w:val="Heading4"/>
      </w:pPr>
      <w:r>
        <w:t xml:space="preserve">Diabète de type 2 avec l’injection : SUSTAIN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SUSTAIN 1 (Sorli 2017), PMID 28110911</w:t>
            </w:r>
          </w:p>
        </w:tc>
        <w:tc>
          <w:tcPr/>
          <w:p>
            <w:pPr>
              <w:pStyle w:val="Compact"/>
              <w:jc w:val="left"/>
            </w:pPr>
            <w:r>
              <w:t xml:space="preserve">388 personnes, monothérapie vs placebo</w:t>
            </w:r>
          </w:p>
        </w:tc>
        <w:tc>
          <w:tcPr/>
          <w:p>
            <w:pPr>
              <w:pStyle w:val="Compact"/>
              <w:jc w:val="left"/>
            </w:pPr>
            <w:r>
              <w:t xml:space="preserve">30 semaines</w:t>
            </w:r>
          </w:p>
        </w:tc>
        <w:tc>
          <w:tcPr/>
          <w:p>
            <w:pPr>
              <w:pStyle w:val="Compact"/>
              <w:jc w:val="left"/>
            </w:pPr>
            <w:r>
              <w:t xml:space="preserve">HbA1c −1,55 (1,0 mg) vs −0,02 point de pourcentage ; poids −4,53 vs −0,98 kg</w:t>
            </w:r>
          </w:p>
        </w:tc>
      </w:tr>
      <w:tr>
        <w:tc>
          <w:tcPr/>
          <w:p>
            <w:pPr>
              <w:pStyle w:val="Compact"/>
              <w:jc w:val="left"/>
            </w:pPr>
            <w:r>
              <w:t xml:space="preserve">SUSTAIN FORTE (Frías 2021), PMID 34293304</w:t>
            </w:r>
          </w:p>
        </w:tc>
        <w:tc>
          <w:tcPr/>
          <w:p>
            <w:pPr>
              <w:pStyle w:val="Compact"/>
              <w:jc w:val="left"/>
            </w:pPr>
            <w:r>
              <w:t xml:space="preserve">961 personnes ; 2,0 mg vs 1,0 mg</w:t>
            </w:r>
          </w:p>
        </w:tc>
        <w:tc>
          <w:tcPr/>
          <w:p>
            <w:pPr>
              <w:pStyle w:val="Compact"/>
              <w:jc w:val="left"/>
            </w:pPr>
            <w:r>
              <w:t xml:space="preserve">40 semaines</w:t>
            </w:r>
          </w:p>
        </w:tc>
        <w:tc>
          <w:tcPr/>
          <w:p>
            <w:pPr>
              <w:pStyle w:val="Compact"/>
              <w:jc w:val="left"/>
            </w:pPr>
            <w:r>
              <w:t xml:space="preserve">HbA1c −2,2 vs −1,9 ; poids −6,9 vs −6,0 kg</w:t>
            </w:r>
          </w:p>
        </w:tc>
      </w:tr>
      <w:tr>
        <w:tc>
          <w:tcPr/>
          <w:p>
            <w:pPr>
              <w:pStyle w:val="Compact"/>
              <w:jc w:val="left"/>
            </w:pPr>
            <w:r>
              <w:t xml:space="preserve">SUSTAIN 6 (Marso 2016), PMID 27633186</w:t>
            </w:r>
          </w:p>
        </w:tc>
        <w:tc>
          <w:tcPr/>
          <w:p>
            <w:pPr>
              <w:pStyle w:val="Compact"/>
              <w:jc w:val="left"/>
            </w:pPr>
            <w:r>
              <w:t xml:space="preserve">3 297 personnes à haut risque cardiovasculaire, vs placebo</w:t>
            </w:r>
          </w:p>
        </w:tc>
        <w:tc>
          <w:tcPr/>
          <w:p>
            <w:pPr>
              <w:pStyle w:val="Compact"/>
              <w:jc w:val="left"/>
            </w:pPr>
            <w:r>
              <w:t xml:space="preserve">104 semaines</w:t>
            </w:r>
          </w:p>
        </w:tc>
        <w:tc>
          <w:tcPr/>
          <w:p>
            <w:pPr>
              <w:pStyle w:val="Compact"/>
              <w:jc w:val="left"/>
            </w:pPr>
            <w:r>
              <w:t xml:space="preserve">Événements cardiovasculaires graves 6,6 % vs 8,9 % ; HR 0,74</w:t>
            </w:r>
          </w:p>
        </w:tc>
      </w:tr>
    </w:tbl>
    <w:p>
      <w:pPr>
        <w:pStyle w:val="BodyText"/>
      </w:pPr>
      <w:r>
        <w:t xml:space="preserve">Dès l’étude en monothérapie SUSTAIN 1</w:t>
      </w:r>
      <w:r>
        <w:rPr>
          <w:rStyle w:val="FootnoteReference"/>
        </w:rPr>
        <w:footnoteReference w:id="407"/>
      </w:r>
      <w:r>
        <w:t xml:space="preserve">, le sémaglutide a abaissé l’HbA1c d’environ 1,5 point de pourcentage. Dans des études ultérieures avec des participants dont les valeurs initiales étaient plus élevées, la baisse a été plus importante ; avec la dose de 2,0 mg, elle a atteint 2,2 points de pourcentage dans SUSTAIN FORTE</w:t>
      </w:r>
      <w:r>
        <w:rPr>
          <w:rStyle w:val="FootnoteReference"/>
        </w:rPr>
        <w:footnoteReference w:id="408"/>
      </w:r>
      <w:r>
        <w:t xml:space="preserve">.</w:t>
      </w:r>
    </w:p>
    <w:p>
      <w:pPr>
        <w:pStyle w:val="BodyText"/>
      </w:pPr>
      <w:r>
        <w:rPr>
          <w:bCs/>
          <w:b/>
        </w:rPr>
        <w:t xml:space="preserve">SUSTAIN 6</w:t>
      </w:r>
      <w:r>
        <w:rPr>
          <w:rStyle w:val="FootnoteReference"/>
        </w:rPr>
        <w:footnoteReference w:id="409"/>
      </w:r>
      <w:r>
        <w:t xml:space="preserve"> </w:t>
      </w:r>
      <w:r>
        <w:t xml:space="preserve">était conçue comme une étude de sécurité, mais a montré un avantage net : décès de cause cardiovasculaire, infarctus du myocarde non mortel ou AVC sont survenus chez 108 personnes sur 1 648 sous sémaglutide (6,6 %) contre 146 sur 1 649 sous placebo (8,9 %). Les AVC étaient significativement plus rares (1,6 % vs 2,7 %). En même temps est apparu un signal d’alerte : les complications de la rétinopathie diabétique – par exemple hémorragies du vitré ou lésions nécessitant un traitement – étaient plus fréquentes sous sémaglutide (HR 1,76). Ce signal est examiné dans la section Risques.</w:t>
      </w:r>
    </w:p>
    <w:bookmarkEnd w:id="410"/>
    <w:bookmarkStart w:id="416" w:name="Xed23daf08cce87605a243c4132811d62a1a953d"/>
    <w:p>
      <w:pPr>
        <w:pStyle w:val="Heading4"/>
      </w:pPr>
      <w:r>
        <w:t xml:space="preserve">Comparaisons directes au sein de la classe GLP-1</w:t>
      </w:r>
    </w:p>
    <w:p>
      <w:pPr>
        <w:pStyle w:val="FirstParagraph"/>
      </w:pPr>
      <w:r>
        <w:t xml:space="preserve">Le sémaglutide a été opposé dans des études de comparaison directe à tous les agonistes plus anciens du récepteur du GLP-1 et les a tous dépassés.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Plan</w:t>
            </w:r>
          </w:p>
        </w:tc>
        <w:tc>
          <w:tcPr/>
          <w:p>
            <w:pPr>
              <w:pStyle w:val="Compact"/>
              <w:jc w:val="left"/>
            </w:pPr>
            <w:r>
              <w:t xml:space="preserve">Durée</w:t>
            </w:r>
          </w:p>
        </w:tc>
        <w:tc>
          <w:tcPr/>
          <w:p>
            <w:pPr>
              <w:pStyle w:val="Compact"/>
              <w:jc w:val="left"/>
            </w:pPr>
            <w:r>
              <w:t xml:space="preserve">Résultat (sémaglutide vs comparateur)</w:t>
            </w:r>
          </w:p>
        </w:tc>
      </w:tr>
      <w:tr>
        <w:tc>
          <w:tcPr/>
          <w:p>
            <w:pPr>
              <w:pStyle w:val="Compact"/>
              <w:jc w:val="left"/>
            </w:pPr>
            <w:r>
              <w:t xml:space="preserve">SUSTAIN 3 (Ahmann 2018), PMID 29246950</w:t>
            </w:r>
          </w:p>
        </w:tc>
        <w:tc>
          <w:tcPr/>
          <w:p>
            <w:pPr>
              <w:pStyle w:val="Compact"/>
              <w:jc w:val="left"/>
            </w:pPr>
            <w:r>
              <w:t xml:space="preserve">vs exénatide hebdomadaire, ouverte</w:t>
            </w:r>
          </w:p>
        </w:tc>
        <w:tc>
          <w:tcPr/>
          <w:p>
            <w:pPr>
              <w:pStyle w:val="Compact"/>
              <w:jc w:val="left"/>
            </w:pPr>
            <w:r>
              <w:t xml:space="preserve">56 semaines</w:t>
            </w:r>
          </w:p>
        </w:tc>
        <w:tc>
          <w:tcPr/>
          <w:p>
            <w:pPr>
              <w:pStyle w:val="Compact"/>
              <w:jc w:val="left"/>
            </w:pPr>
            <w:r>
              <w:t xml:space="preserve">HbA1c −1,5 vs −0,9 ; poids −5,6 vs −1,9 kg</w:t>
            </w:r>
          </w:p>
        </w:tc>
      </w:tr>
      <w:tr>
        <w:tc>
          <w:tcPr/>
          <w:p>
            <w:pPr>
              <w:pStyle w:val="Compact"/>
              <w:jc w:val="left"/>
            </w:pPr>
            <w:r>
              <w:t xml:space="preserve">SUSTAIN 7 (Pratley 2018), PMID 29397376</w:t>
            </w:r>
          </w:p>
        </w:tc>
        <w:tc>
          <w:tcPr/>
          <w:p>
            <w:pPr>
              <w:pStyle w:val="Compact"/>
              <w:jc w:val="left"/>
            </w:pPr>
            <w:r>
              <w:t xml:space="preserve">1 201 personnes ; 0,5/1,0 mg vs dulaglutide 0,75/1,5 mg</w:t>
            </w:r>
          </w:p>
        </w:tc>
        <w:tc>
          <w:tcPr/>
          <w:p>
            <w:pPr>
              <w:pStyle w:val="Compact"/>
              <w:jc w:val="left"/>
            </w:pPr>
            <w:r>
              <w:t xml:space="preserve">40 semaines</w:t>
            </w:r>
          </w:p>
        </w:tc>
        <w:tc>
          <w:tcPr/>
          <w:p>
            <w:pPr>
              <w:pStyle w:val="Compact"/>
              <w:jc w:val="left"/>
            </w:pPr>
            <w:r>
              <w:t xml:space="preserve">HbA1c −1,8 vs −1,4 ; poids −6,5 vs −3,0 kg (doses élevées)</w:t>
            </w:r>
          </w:p>
        </w:tc>
      </w:tr>
      <w:tr>
        <w:tc>
          <w:tcPr/>
          <w:p>
            <w:pPr>
              <w:pStyle w:val="Compact"/>
              <w:jc w:val="left"/>
            </w:pPr>
            <w:r>
              <w:t xml:space="preserve">SUSTAIN 10 (Capehorn 2020), PMID 31539622</w:t>
            </w:r>
          </w:p>
        </w:tc>
        <w:tc>
          <w:tcPr/>
          <w:p>
            <w:pPr>
              <w:pStyle w:val="Compact"/>
              <w:jc w:val="left"/>
            </w:pPr>
            <w:r>
              <w:t xml:space="preserve">1,0 mg vs liraglutide 1,2 mg</w:t>
            </w:r>
          </w:p>
        </w:tc>
        <w:tc>
          <w:tcPr/>
          <w:p>
            <w:pPr>
              <w:pStyle w:val="Compact"/>
              <w:jc w:val="left"/>
            </w:pPr>
            <w:r>
              <w:t xml:space="preserve">30 semaines</w:t>
            </w:r>
          </w:p>
        </w:tc>
        <w:tc>
          <w:tcPr/>
          <w:p>
            <w:pPr>
              <w:pStyle w:val="Compact"/>
              <w:jc w:val="left"/>
            </w:pPr>
            <w:r>
              <w:t xml:space="preserve">HbA1c −1,7 vs −1,0 ; poids −5,8 vs −1,9 kg</w:t>
            </w:r>
          </w:p>
        </w:tc>
      </w:tr>
      <w:tr>
        <w:tc>
          <w:tcPr/>
          <w:p>
            <w:pPr>
              <w:pStyle w:val="Compact"/>
              <w:jc w:val="left"/>
            </w:pPr>
            <w:r>
              <w:t xml:space="preserve">PIONEER 4 (Pratley 2019), PMID 31186120</w:t>
            </w:r>
          </w:p>
        </w:tc>
        <w:tc>
          <w:tcPr/>
          <w:p>
            <w:pPr>
              <w:pStyle w:val="Compact"/>
              <w:jc w:val="left"/>
            </w:pPr>
            <w:r>
              <w:t xml:space="preserve">711 personnes ; comprimé 14 mg vs liraglutide injectable 1,8 mg vs placebo</w:t>
            </w:r>
          </w:p>
        </w:tc>
        <w:tc>
          <w:tcPr/>
          <w:p>
            <w:pPr>
              <w:pStyle w:val="Compact"/>
              <w:jc w:val="left"/>
            </w:pPr>
            <w:r>
              <w:t xml:space="preserve">52 semaines (analyse principale à 26 semaines)</w:t>
            </w:r>
          </w:p>
        </w:tc>
        <w:tc>
          <w:tcPr/>
          <w:p>
            <w:pPr>
              <w:pStyle w:val="Compact"/>
              <w:jc w:val="left"/>
            </w:pPr>
            <w:r>
              <w:t xml:space="preserve">HbA1c −1,2 vs −1,1 (non inférieur) ; poids −4,4 vs −3,1 kg</w:t>
            </w:r>
          </w:p>
        </w:tc>
      </w:tr>
      <w:tr>
        <w:tc>
          <w:tcPr/>
          <w:p>
            <w:pPr>
              <w:pStyle w:val="Compact"/>
              <w:jc w:val="left"/>
            </w:pPr>
            <w:r>
              <w:t xml:space="preserve">STEP 8 (Rubino 2022), PMID 35015037</w:t>
            </w:r>
          </w:p>
        </w:tc>
        <w:tc>
          <w:tcPr/>
          <w:p>
            <w:pPr>
              <w:pStyle w:val="Compact"/>
              <w:jc w:val="left"/>
            </w:pPr>
            <w:r>
              <w:t xml:space="preserve">338 personnes obèses sans diabète ; 2,4 mg vs liraglutide 3,0 mg</w:t>
            </w:r>
          </w:p>
        </w:tc>
        <w:tc>
          <w:tcPr/>
          <w:p>
            <w:pPr>
              <w:pStyle w:val="Compact"/>
              <w:jc w:val="left"/>
            </w:pPr>
            <w:r>
              <w:t xml:space="preserve">68 semaines</w:t>
            </w:r>
          </w:p>
        </w:tc>
        <w:tc>
          <w:tcPr/>
          <w:p>
            <w:pPr>
              <w:pStyle w:val="Compact"/>
              <w:jc w:val="left"/>
            </w:pPr>
            <w:r>
              <w:t xml:space="preserve">poids −15,8 % vs −6,4 %</w:t>
            </w:r>
          </w:p>
        </w:tc>
      </w:tr>
    </w:tbl>
    <w:p>
      <w:pPr>
        <w:pStyle w:val="BodyText"/>
      </w:pPr>
      <w:r>
        <w:t xml:space="preserve">Les différences d’HbA1c se situent entre 0,1 et 0,7 point de pourcentage en faveur du sémaglutide, celles de poids entre 1,2 et environ 4 kg dans le diabète. L’écart était le plus net dans l’obésité : dans STEP 8</w:t>
      </w:r>
      <w:r>
        <w:rPr>
          <w:rStyle w:val="FootnoteReference"/>
        </w:rPr>
        <w:footnoteReference w:id="411"/>
      </w:r>
      <w:r>
        <w:t xml:space="preserve">, 38,5 % des participants sous sémaglutide ont perdu au moins 20 % de leur poids, contre 6,0 % sous liraglutide. Le prix à payer, dans certaines comparaisons, est un taux un peu plus élevé de troubles gastro-intestinaux : dans SUSTAIN 10, 11,4 % contre 6,6 % ont arrêté le traitement en raison d’effets indésirables</w:t>
      </w:r>
      <w:r>
        <w:rPr>
          <w:rStyle w:val="FootnoteReference"/>
        </w:rPr>
        <w:footnoteReference w:id="412"/>
      </w:r>
      <w:r>
        <w:t xml:space="preserve">. Dans SUSTAIN 3, en revanche, les réactions au point d’injection ont été bien plus fréquentes sous exénatide (22,0 % vs 1,2 %)</w:t>
      </w:r>
      <w:r>
        <w:rPr>
          <w:rStyle w:val="FootnoteReference"/>
        </w:rPr>
        <w:footnoteReference w:id="413"/>
      </w:r>
      <w:r>
        <w:t xml:space="preserve">.</w:t>
      </w:r>
    </w:p>
    <w:p>
      <w:pPr>
        <w:pStyle w:val="BodyText"/>
      </w:pPr>
      <w:r>
        <w:t xml:space="preserve">PIONEER 4</w:t>
      </w:r>
      <w:r>
        <w:rPr>
          <w:rStyle w:val="FootnoteReference"/>
        </w:rPr>
        <w:footnoteReference w:id="414"/>
      </w:r>
      <w:r>
        <w:t xml:space="preserve"> </w:t>
      </w:r>
      <w:r>
        <w:t xml:space="preserve">est remarquable parce qu’un comprimé y était opposé à une injection : pour l’HbA1c, le comprimé de sémaglutide n’était pas inférieur à l’injection de liraglutide ; pour le poids, il était supérieur de 1,2 kg.</w:t>
      </w:r>
    </w:p>
    <w:p>
      <w:pPr>
        <w:pStyle w:val="BodyText"/>
      </w:pPr>
      <w:r>
        <w:t xml:space="preserve">En dehors de la classe GLP-1, le sémaglutide a été à son tour dépassé : en comparaison directe avec le double agoniste GIP/GLP-1 tirzépatide chez 751 personnes obèses, la perte de poids après 72 semaines était de −13,7 % contre −20,2 %</w:t>
      </w:r>
      <w:r>
        <w:rPr>
          <w:rStyle w:val="FootnoteReference"/>
        </w:rPr>
        <w:footnoteReference w:id="415"/>
      </w:r>
      <w:r>
        <w:t xml:space="preserve">. Les détails figurent dans le chapitre Tirzépatide.</w:t>
      </w:r>
    </w:p>
    <w:bookmarkEnd w:id="416"/>
    <w:bookmarkStart w:id="420" w:name="Xd35abd54f2b4d613fbe00cd89128f66b8e43a5a"/>
    <w:p>
      <w:pPr>
        <w:pStyle w:val="Heading4"/>
      </w:pPr>
      <w:r>
        <w:t xml:space="preserve">Diabète de type 2 avec le comprimé : PIONEER et SOUL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PIONEER 1 (Aroda 2019), PMID 31186300</w:t>
            </w:r>
          </w:p>
        </w:tc>
        <w:tc>
          <w:tcPr/>
          <w:p>
            <w:pPr>
              <w:pStyle w:val="Compact"/>
              <w:jc w:val="left"/>
            </w:pPr>
            <w:r>
              <w:t xml:space="preserve">703 personnes, monothérapie ; 3/7/14 mg vs placebo</w:t>
            </w:r>
          </w:p>
        </w:tc>
        <w:tc>
          <w:tcPr/>
          <w:p>
            <w:pPr>
              <w:pStyle w:val="Compact"/>
              <w:jc w:val="left"/>
            </w:pPr>
            <w:r>
              <w:t xml:space="preserve">26 semaines</w:t>
            </w:r>
          </w:p>
        </w:tc>
        <w:tc>
          <w:tcPr/>
          <w:p>
            <w:pPr>
              <w:pStyle w:val="Compact"/>
              <w:jc w:val="left"/>
            </w:pPr>
            <w:r>
              <w:t xml:space="preserve">HbA1c −1,1 point de pourcentage (14 mg) par rapport au placebo ; poids −2,3 kg par rapport au placebo</w:t>
            </w:r>
          </w:p>
        </w:tc>
      </w:tr>
      <w:tr>
        <w:tc>
          <w:tcPr/>
          <w:p>
            <w:pPr>
              <w:pStyle w:val="Compact"/>
              <w:jc w:val="left"/>
            </w:pPr>
            <w:r>
              <w:t xml:space="preserve">PIONEER 6 (Husain 2019), PMID 31185157</w:t>
            </w:r>
          </w:p>
        </w:tc>
        <w:tc>
          <w:tcPr/>
          <w:p>
            <w:pPr>
              <w:pStyle w:val="Compact"/>
              <w:jc w:val="left"/>
            </w:pPr>
            <w:r>
              <w:t xml:space="preserve">3 183 personnes à haut risque ; vs placebo</w:t>
            </w:r>
          </w:p>
        </w:tc>
        <w:tc>
          <w:tcPr/>
          <w:p>
            <w:pPr>
              <w:pStyle w:val="Compact"/>
              <w:jc w:val="left"/>
            </w:pPr>
            <w:r>
              <w:t xml:space="preserve">médiane 15,9 mois</w:t>
            </w:r>
          </w:p>
        </w:tc>
        <w:tc>
          <w:tcPr/>
          <w:p>
            <w:pPr>
              <w:pStyle w:val="Compact"/>
              <w:jc w:val="left"/>
            </w:pPr>
            <w:r>
              <w:t xml:space="preserve">Événements 3,8 % vs 4,8 % ; HR 0,79, non inférieur</w:t>
            </w:r>
          </w:p>
        </w:tc>
      </w:tr>
      <w:tr>
        <w:tc>
          <w:tcPr/>
          <w:p>
            <w:pPr>
              <w:pStyle w:val="Compact"/>
              <w:jc w:val="left"/>
            </w:pPr>
            <w:r>
              <w:t xml:space="preserve">PIONEER PLUS (Aroda 2023), PMID 37385279</w:t>
            </w:r>
          </w:p>
        </w:tc>
        <w:tc>
          <w:tcPr/>
          <w:p>
            <w:pPr>
              <w:pStyle w:val="Compact"/>
              <w:jc w:val="left"/>
            </w:pPr>
            <w:r>
              <w:t xml:space="preserve">1 606 personnes ; 25 et 50 mg vs 14 mg</w:t>
            </w:r>
          </w:p>
        </w:tc>
        <w:tc>
          <w:tcPr/>
          <w:p>
            <w:pPr>
              <w:pStyle w:val="Compact"/>
              <w:jc w:val="left"/>
            </w:pPr>
            <w:r>
              <w:t xml:space="preserve">52 semaines</w:t>
            </w:r>
          </w:p>
        </w:tc>
        <w:tc>
          <w:tcPr/>
          <w:p>
            <w:pPr>
              <w:pStyle w:val="Compact"/>
              <w:jc w:val="left"/>
            </w:pPr>
            <w:r>
              <w:t xml:space="preserve">HbA1c −2,0 (50 mg) vs −1,5 (14 mg)</w:t>
            </w:r>
          </w:p>
        </w:tc>
      </w:tr>
      <w:tr>
        <w:tc>
          <w:tcPr/>
          <w:p>
            <w:pPr>
              <w:pStyle w:val="Compact"/>
              <w:jc w:val="left"/>
            </w:pPr>
            <w:r>
              <w:t xml:space="preserve">SOUL (McGuire 2025), PMID 40162642</w:t>
            </w:r>
          </w:p>
        </w:tc>
        <w:tc>
          <w:tcPr/>
          <w:p>
            <w:pPr>
              <w:pStyle w:val="Compact"/>
              <w:jc w:val="left"/>
            </w:pPr>
            <w:r>
              <w:t xml:space="preserve">9 650 personnes avec maladie vasculaire et/ou rénale ; vs placebo</w:t>
            </w:r>
          </w:p>
        </w:tc>
        <w:tc>
          <w:tcPr/>
          <w:p>
            <w:pPr>
              <w:pStyle w:val="Compact"/>
              <w:jc w:val="left"/>
            </w:pPr>
            <w:r>
              <w:t xml:space="preserve">médiane 49,5 mois</w:t>
            </w:r>
          </w:p>
        </w:tc>
        <w:tc>
          <w:tcPr/>
          <w:p>
            <w:pPr>
              <w:pStyle w:val="Compact"/>
              <w:jc w:val="left"/>
            </w:pPr>
            <w:r>
              <w:t xml:space="preserve">Événements 12,0 % vs 13,8 % ; HR 0,86 (0,77–0,96)</w:t>
            </w:r>
          </w:p>
        </w:tc>
      </w:tr>
    </w:tbl>
    <w:p>
      <w:pPr>
        <w:pStyle w:val="BodyText"/>
      </w:pPr>
      <w:r>
        <w:t xml:space="preserve">À la dose standard de 14 mg, le comprimé est un peu moins efficace que l’injection. PIONEER PLUS</w:t>
      </w:r>
      <w:r>
        <w:rPr>
          <w:rStyle w:val="FootnoteReference"/>
        </w:rPr>
        <w:footnoteReference w:id="417"/>
      </w:r>
      <w:r>
        <w:t xml:space="preserve"> </w:t>
      </w:r>
      <w:r>
        <w:t xml:space="preserve">a montré que des doses plus élevées réduisent l’écart. PIONEER 6</w:t>
      </w:r>
      <w:r>
        <w:rPr>
          <w:rStyle w:val="FootnoteReference"/>
        </w:rPr>
        <w:footnoteReference w:id="418"/>
      </w:r>
      <w:r>
        <w:t xml:space="preserve"> </w:t>
      </w:r>
      <w:r>
        <w:t xml:space="preserve">était une courte étude de sécurité ; elle a prouvé que le comprimé n’augmente pas le risque cardiovasculaire, mais était trop petite pour démontrer un bénéfice.</w:t>
      </w:r>
    </w:p>
    <w:p>
      <w:pPr>
        <w:pStyle w:val="BodyText"/>
      </w:pPr>
      <w:r>
        <w:t xml:space="preserve">C’est</w:t>
      </w:r>
      <w:r>
        <w:t xml:space="preserve"> </w:t>
      </w:r>
      <w:r>
        <w:rPr>
          <w:bCs/>
          <w:b/>
        </w:rPr>
        <w:t xml:space="preserve">SOUL</w:t>
      </w:r>
      <w:r>
        <w:rPr>
          <w:rStyle w:val="FootnoteReference"/>
        </w:rPr>
        <w:footnoteReference w:id="419"/>
      </w:r>
      <w:r>
        <w:t xml:space="preserve"> </w:t>
      </w:r>
      <w:r>
        <w:t xml:space="preserve">qui l’a apporté : chez 9 650 personnes atteintes de diabète de type 2 et de maladie vasculaire ou rénale, le comprimé de sémaglutide a réduit de 14 % les événements cardiovasculaires graves sur environ quatre ans. Les critères secondaires confirmatoires, dont les résultats rénaux, ne différaient pas significativement. Les événements indésirables graves n’étaient pas plus fréquents sous sémaglutide (47,9 % vs 50,3 %).</w:t>
      </w:r>
    </w:p>
    <w:bookmarkEnd w:id="420"/>
    <w:bookmarkStart w:id="426" w:name="obésité-avec-linjection-step"/>
    <w:p>
      <w:pPr>
        <w:pStyle w:val="Heading4"/>
      </w:pPr>
      <w:r>
        <w:t xml:space="preserve">Obésité avec l’injection : STEP</w:t>
      </w:r>
    </w:p>
    <w:p>
      <w:pPr>
        <w:pStyle w:val="FirstParagraph"/>
      </w:pPr>
      <w:r>
        <w:t xml:space="preserve">À la dose de 2,4 mg par semaine, le sémaglutide est devenu, sous le nom de Wegovy, le premier médicament avec lequel des personnes obèses ont perdu dans de grandes études environ 15 % de leur poids corporel en moyenne.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STEP 1 (Wilding 2021), PMID 33567185</w:t>
            </w:r>
          </w:p>
        </w:tc>
        <w:tc>
          <w:tcPr/>
          <w:p>
            <w:pPr>
              <w:pStyle w:val="Compact"/>
              <w:jc w:val="left"/>
            </w:pPr>
            <w:r>
              <w:t xml:space="preserve">1 961 adultes obèses sans diabète, ECR contre placebo</w:t>
            </w:r>
          </w:p>
        </w:tc>
        <w:tc>
          <w:tcPr/>
          <w:p>
            <w:pPr>
              <w:pStyle w:val="Compact"/>
              <w:jc w:val="left"/>
            </w:pPr>
            <w:r>
              <w:t xml:space="preserve">68 semaines</w:t>
            </w:r>
          </w:p>
        </w:tc>
        <w:tc>
          <w:tcPr/>
          <w:p>
            <w:pPr>
              <w:pStyle w:val="Compact"/>
              <w:jc w:val="left"/>
            </w:pPr>
            <w:r>
              <w:t xml:space="preserve">−14,9 % de poids corporel vs −2,4 %</w:t>
            </w:r>
          </w:p>
        </w:tc>
      </w:tr>
      <w:tr>
        <w:tc>
          <w:tcPr/>
          <w:p>
            <w:pPr>
              <w:pStyle w:val="Compact"/>
              <w:jc w:val="left"/>
            </w:pPr>
            <w:r>
              <w:t xml:space="preserve">STEP 2 (Davies 2021), PMID 33667417</w:t>
            </w:r>
          </w:p>
        </w:tc>
        <w:tc>
          <w:tcPr/>
          <w:p>
            <w:pPr>
              <w:pStyle w:val="Compact"/>
              <w:jc w:val="left"/>
            </w:pPr>
            <w:r>
              <w:t xml:space="preserve">1 210 personnes en surpoids atteintes de diabète de type 2</w:t>
            </w:r>
          </w:p>
        </w:tc>
        <w:tc>
          <w:tcPr/>
          <w:p>
            <w:pPr>
              <w:pStyle w:val="Compact"/>
              <w:jc w:val="left"/>
            </w:pPr>
            <w:r>
              <w:t xml:space="preserve">68 semaines</w:t>
            </w:r>
          </w:p>
        </w:tc>
        <w:tc>
          <w:tcPr/>
          <w:p>
            <w:pPr>
              <w:pStyle w:val="Compact"/>
              <w:jc w:val="left"/>
            </w:pPr>
            <w:r>
              <w:t xml:space="preserve">−9,6 % vs −3,4 %</w:t>
            </w:r>
          </w:p>
        </w:tc>
      </w:tr>
      <w:tr>
        <w:tc>
          <w:tcPr/>
          <w:p>
            <w:pPr>
              <w:pStyle w:val="Compact"/>
              <w:jc w:val="left"/>
            </w:pPr>
            <w:r>
              <w:t xml:space="preserve">STEP 3 (Wadden 2021), PMID 33625476</w:t>
            </w:r>
          </w:p>
        </w:tc>
        <w:tc>
          <w:tcPr/>
          <w:p>
            <w:pPr>
              <w:pStyle w:val="Compact"/>
              <w:jc w:val="left"/>
            </w:pPr>
            <w:r>
              <w:t xml:space="preserve">611 personnes, avec en plus une thérapie comportementale intensive</w:t>
            </w:r>
          </w:p>
        </w:tc>
        <w:tc>
          <w:tcPr/>
          <w:p>
            <w:pPr>
              <w:pStyle w:val="Compact"/>
              <w:jc w:val="left"/>
            </w:pPr>
            <w:r>
              <w:t xml:space="preserve">68 semaines</w:t>
            </w:r>
          </w:p>
        </w:tc>
        <w:tc>
          <w:tcPr/>
          <w:p>
            <w:pPr>
              <w:pStyle w:val="Compact"/>
              <w:jc w:val="left"/>
            </w:pPr>
            <w:r>
              <w:t xml:space="preserve">−16,0 % vs −5,7 %</w:t>
            </w:r>
          </w:p>
        </w:tc>
      </w:tr>
      <w:tr>
        <w:tc>
          <w:tcPr/>
          <w:p>
            <w:pPr>
              <w:pStyle w:val="Compact"/>
              <w:jc w:val="left"/>
            </w:pPr>
            <w:r>
              <w:t xml:space="preserve">STEP 4 (Rubino 2021), PMID 33755728</w:t>
            </w:r>
          </w:p>
        </w:tc>
        <w:tc>
          <w:tcPr/>
          <w:p>
            <w:pPr>
              <w:pStyle w:val="Compact"/>
              <w:jc w:val="left"/>
            </w:pPr>
            <w:r>
              <w:t xml:space="preserve">803 personnes après 20 semaines de sémaglutide : poursuite ou passage au placebo</w:t>
            </w:r>
          </w:p>
        </w:tc>
        <w:tc>
          <w:tcPr/>
          <w:p>
            <w:pPr>
              <w:pStyle w:val="Compact"/>
              <w:jc w:val="left"/>
            </w:pPr>
            <w:r>
              <w:t xml:space="preserve">48 semaines</w:t>
            </w:r>
          </w:p>
        </w:tc>
        <w:tc>
          <w:tcPr/>
          <w:p>
            <w:pPr>
              <w:pStyle w:val="Compact"/>
              <w:jc w:val="left"/>
            </w:pPr>
            <w:r>
              <w:t xml:space="preserve">−7,9 % (poursuite) vs +6,9 % (arrêt)</w:t>
            </w:r>
          </w:p>
        </w:tc>
      </w:tr>
      <w:tr>
        <w:tc>
          <w:tcPr/>
          <w:p>
            <w:pPr>
              <w:pStyle w:val="Compact"/>
              <w:jc w:val="left"/>
            </w:pPr>
            <w:r>
              <w:t xml:space="preserve">STEP 5 (Garvey 2022), PMID 36216945</w:t>
            </w:r>
          </w:p>
        </w:tc>
        <w:tc>
          <w:tcPr/>
          <w:p>
            <w:pPr>
              <w:pStyle w:val="Compact"/>
              <w:jc w:val="left"/>
            </w:pPr>
            <w:r>
              <w:t xml:space="preserve">304 personnes</w:t>
            </w:r>
          </w:p>
        </w:tc>
        <w:tc>
          <w:tcPr/>
          <w:p>
            <w:pPr>
              <w:pStyle w:val="Compact"/>
              <w:jc w:val="left"/>
            </w:pPr>
            <w:r>
              <w:t xml:space="preserve">104 semaines</w:t>
            </w:r>
          </w:p>
        </w:tc>
        <w:tc>
          <w:tcPr/>
          <w:p>
            <w:pPr>
              <w:pStyle w:val="Compact"/>
              <w:jc w:val="left"/>
            </w:pPr>
            <w:r>
              <w:t xml:space="preserve">−15,2 % vs −2,6 %</w:t>
            </w:r>
          </w:p>
        </w:tc>
      </w:tr>
      <w:tr>
        <w:tc>
          <w:tcPr/>
          <w:p>
            <w:pPr>
              <w:pStyle w:val="Compact"/>
              <w:jc w:val="left"/>
            </w:pPr>
            <w:r>
              <w:t xml:space="preserve">STEP 6 (Kadowaki 2022), PMID 35131037</w:t>
            </w:r>
          </w:p>
        </w:tc>
        <w:tc>
          <w:tcPr/>
          <w:p>
            <w:pPr>
              <w:pStyle w:val="Compact"/>
              <w:jc w:val="left"/>
            </w:pPr>
            <w:r>
              <w:t xml:space="preserve">401 personnes en Asie de l’Est</w:t>
            </w:r>
          </w:p>
        </w:tc>
        <w:tc>
          <w:tcPr/>
          <w:p>
            <w:pPr>
              <w:pStyle w:val="Compact"/>
              <w:jc w:val="left"/>
            </w:pPr>
            <w:r>
              <w:t xml:space="preserve">68 semaines</w:t>
            </w:r>
          </w:p>
        </w:tc>
        <w:tc>
          <w:tcPr/>
          <w:p>
            <w:pPr>
              <w:pStyle w:val="Compact"/>
              <w:jc w:val="left"/>
            </w:pPr>
            <w:r>
              <w:t xml:space="preserve">−13,2 % vs −2,1 %</w:t>
            </w:r>
          </w:p>
        </w:tc>
      </w:tr>
      <w:tr>
        <w:tc>
          <w:tcPr/>
          <w:p>
            <w:pPr>
              <w:pStyle w:val="Compact"/>
              <w:jc w:val="left"/>
            </w:pPr>
            <w:r>
              <w:t xml:space="preserve">STEP UP (Wharton 2025), PMID 40961952</w:t>
            </w:r>
          </w:p>
        </w:tc>
        <w:tc>
          <w:tcPr/>
          <w:p>
            <w:pPr>
              <w:pStyle w:val="Compact"/>
              <w:jc w:val="left"/>
            </w:pPr>
            <w:r>
              <w:t xml:space="preserve">1 407 personnes ; 7,2 mg vs 2,4 mg vs placebo</w:t>
            </w:r>
          </w:p>
        </w:tc>
        <w:tc>
          <w:tcPr/>
          <w:p>
            <w:pPr>
              <w:pStyle w:val="Compact"/>
              <w:jc w:val="left"/>
            </w:pPr>
            <w:r>
              <w:t xml:space="preserve">72 semaines</w:t>
            </w:r>
          </w:p>
        </w:tc>
        <w:tc>
          <w:tcPr/>
          <w:p>
            <w:pPr>
              <w:pStyle w:val="Compact"/>
              <w:jc w:val="left"/>
            </w:pPr>
            <w:r>
              <w:t xml:space="preserve">−18,7 % vs −15,6 % vs −3,9 %</w:t>
            </w:r>
          </w:p>
        </w:tc>
      </w:tr>
    </w:tbl>
    <w:p>
      <w:pPr>
        <w:pStyle w:val="BodyText"/>
      </w:pPr>
      <w:r>
        <w:t xml:space="preserve">Dans</w:t>
      </w:r>
      <w:r>
        <w:t xml:space="preserve"> </w:t>
      </w:r>
      <w:r>
        <w:rPr>
          <w:bCs/>
          <w:b/>
        </w:rPr>
        <w:t xml:space="preserve">STEP 1</w:t>
      </w:r>
      <w:r>
        <w:rPr>
          <w:rStyle w:val="FootnoteReference"/>
        </w:rPr>
        <w:footnoteReference w:id="421"/>
      </w:r>
      <w:r>
        <w:t xml:space="preserve">, les participants ont perdu en moyenne 15,3 kg, contre 2,6 kg sous placebo. La moitié (50,5 %) a perdu au moins 15 % de son poids. En raison de troubles gastro-intestinaux, 4,5 % ont arrêté le traitement, contre 0,8 % sous placebo.</w:t>
      </w:r>
    </w:p>
    <w:p>
      <w:pPr>
        <w:pStyle w:val="BodyText"/>
      </w:pPr>
      <w:r>
        <w:t xml:space="preserve">Chez les personnes atteintes de diabète de type 2, la perte était plus faible (STEP 2, Davies 2021, PMID 33667417) – un schéma qui se retrouve avec toutes les substances de cette classe. Dans</w:t>
      </w:r>
      <w:r>
        <w:t xml:space="preserve"> </w:t>
      </w:r>
      <w:r>
        <w:rPr>
          <w:bCs/>
          <w:b/>
        </w:rPr>
        <w:t xml:space="preserve">STEP 5</w:t>
      </w:r>
      <w:r>
        <w:rPr>
          <w:rStyle w:val="FootnoteReference"/>
        </w:rPr>
        <w:footnoteReference w:id="422"/>
      </w:r>
      <w:r>
        <w:t xml:space="preserve">, l’effet est resté stable sur deux ans.</w:t>
      </w:r>
    </w:p>
    <w:p>
      <w:pPr>
        <w:pStyle w:val="BodyText"/>
      </w:pPr>
      <w:r>
        <w:rPr>
          <w:bCs/>
          <w:b/>
        </w:rPr>
        <w:t xml:space="preserve">Que se passe-t-il après l’arrêt ?</w:t>
      </w:r>
      <w:r>
        <w:t xml:space="preserve"> </w:t>
      </w:r>
      <w:r>
        <w:t xml:space="preserve">Cette question est centrale pour la pratique. Dans STEP 4</w:t>
      </w:r>
      <w:r>
        <w:rPr>
          <w:rStyle w:val="FootnoteReference"/>
        </w:rPr>
        <w:footnoteReference w:id="423"/>
      </w:r>
      <w:r>
        <w:t xml:space="preserve">, tous les participants ont d’abord reçu 20 semaines de sémaglutide et avaient perdu en moyenne 10,6 %. Ceux qui sont ensuite passés au placebo ont repris 6,9 % au cours des 48 semaines suivantes ; ceux qui ont poursuivi le traitement ont perdu 7,9 % supplémentaires. Dans la prolongation de STEP 1</w:t>
      </w:r>
      <w:r>
        <w:rPr>
          <w:rStyle w:val="FootnoteReference"/>
        </w:rPr>
        <w:footnoteReference w:id="424"/>
      </w:r>
      <w:r>
        <w:t xml:space="preserve">, les participants avaient, un an après l’arrêt, repris environ les deux tiers du poids perdu ; la pression artérielle, les lipides sanguins et la glycémie se rapprochaient également à nouveau des valeurs initiales. Les autrices et auteurs en concluent que l’obésité est une maladie chronique et que le traitement devrait probablement être permanent.</w:t>
      </w:r>
    </w:p>
    <w:p>
      <w:pPr>
        <w:pStyle w:val="BodyText"/>
      </w:pPr>
      <w:r>
        <w:rPr>
          <w:bCs/>
          <w:b/>
        </w:rPr>
        <w:t xml:space="preserve">Dose plus élevée :</w:t>
      </w:r>
      <w:r>
        <w:t xml:space="preserve"> </w:t>
      </w:r>
      <w:r>
        <w:t xml:space="preserve">dans STEP UP</w:t>
      </w:r>
      <w:r>
        <w:rPr>
          <w:rStyle w:val="FootnoteReference"/>
        </w:rPr>
        <w:footnoteReference w:id="425"/>
      </w:r>
      <w:r>
        <w:t xml:space="preserve">, la dose triple de 7,2 mg a entraîné une perte de poids de 18,7 %. Les troubles gastro-intestinaux étaient plus fréquents (70,8 % vs 61,2 % sous 2,4 mg), et 22,9 % ont signalé des sensations cutanées anormales (dysesthésie), contre 6,0 % sous 2,4 mg.</w:t>
      </w:r>
    </w:p>
    <w:bookmarkEnd w:id="426"/>
    <w:bookmarkStart w:id="428" w:name="obésité-avec-le-comprimé-oasis"/>
    <w:p>
      <w:pPr>
        <w:pStyle w:val="Heading4"/>
      </w:pPr>
      <w:r>
        <w:t xml:space="preserve">Obésité avec le comprimé : OASIS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OASIS 1 (Knop 2023), PMID 37385278</w:t>
            </w:r>
          </w:p>
        </w:tc>
        <w:tc>
          <w:tcPr/>
          <w:p>
            <w:pPr>
              <w:pStyle w:val="Compact"/>
              <w:jc w:val="left"/>
            </w:pPr>
            <w:r>
              <w:t xml:space="preserve">667 personnes obèses sans diabète ; 50 mg par jour vs placebo</w:t>
            </w:r>
          </w:p>
        </w:tc>
        <w:tc>
          <w:tcPr/>
          <w:p>
            <w:pPr>
              <w:pStyle w:val="Compact"/>
              <w:jc w:val="left"/>
            </w:pPr>
            <w:r>
              <w:t xml:space="preserve">68 semaines</w:t>
            </w:r>
          </w:p>
        </w:tc>
        <w:tc>
          <w:tcPr/>
          <w:p>
            <w:pPr>
              <w:pStyle w:val="Compact"/>
              <w:jc w:val="left"/>
            </w:pPr>
            <w:r>
              <w:t xml:space="preserve">−15,1 % vs −2,4 %</w:t>
            </w:r>
          </w:p>
        </w:tc>
      </w:tr>
      <w:tr>
        <w:tc>
          <w:tcPr/>
          <w:p>
            <w:pPr>
              <w:pStyle w:val="Compact"/>
              <w:jc w:val="left"/>
            </w:pPr>
            <w:r>
              <w:t xml:space="preserve">OASIS 4 (Wharton 2025), PMID 40934115</w:t>
            </w:r>
          </w:p>
        </w:tc>
        <w:tc>
          <w:tcPr/>
          <w:p>
            <w:pPr>
              <w:pStyle w:val="Compact"/>
              <w:jc w:val="left"/>
            </w:pPr>
            <w:r>
              <w:t xml:space="preserve">307 personnes ; 25 mg par jour vs placebo</w:t>
            </w:r>
          </w:p>
        </w:tc>
        <w:tc>
          <w:tcPr/>
          <w:p>
            <w:pPr>
              <w:pStyle w:val="Compact"/>
              <w:jc w:val="left"/>
            </w:pPr>
            <w:r>
              <w:t xml:space="preserve">64 semaines</w:t>
            </w:r>
          </w:p>
        </w:tc>
        <w:tc>
          <w:tcPr/>
          <w:p>
            <w:pPr>
              <w:pStyle w:val="Compact"/>
              <w:jc w:val="left"/>
            </w:pPr>
            <w:r>
              <w:t xml:space="preserve">−13,6 % vs −2,2 %</w:t>
            </w:r>
          </w:p>
        </w:tc>
      </w:tr>
    </w:tbl>
    <w:p>
      <w:pPr>
        <w:pStyle w:val="BodyText"/>
      </w:pPr>
      <w:r>
        <w:t xml:space="preserve">Dans ces études, les comprimés ont atteint des valeurs similaires à celles de l’injection dans STEP 1</w:t>
      </w:r>
      <w:r>
        <w:rPr>
          <w:rStyle w:val="FootnoteReference"/>
        </w:rPr>
        <w:footnoteReference w:id="427"/>
      </w:r>
      <w:r>
        <w:t xml:space="preserve">. Des troubles gastro-intestinaux sont survenus chez 74 % à 80 % des participants. Le comprimé de 25 mg d’OASIS 4 est la base du comprimé de Wegovy autorisé aux États-Unis. Une comparaison directe avec l’injection dans une grande étude fait jusqu’ici défaut.</w:t>
      </w:r>
    </w:p>
    <w:bookmarkEnd w:id="428"/>
    <w:bookmarkStart w:id="431" w:name="enfants-et-adolescents-2"/>
    <w:p>
      <w:pPr>
        <w:pStyle w:val="Heading4"/>
      </w:pPr>
      <w:r>
        <w:t xml:space="preserve">Enfants et adolescents</w:t>
      </w:r>
    </w:p>
    <w:p>
      <w:pPr>
        <w:pStyle w:val="FirstParagraph"/>
      </w:pPr>
      <w:r>
        <w:t xml:space="preserve">Dans</w:t>
      </w:r>
      <w:r>
        <w:t xml:space="preserve"> </w:t>
      </w:r>
      <w:r>
        <w:rPr>
          <w:bCs/>
          <w:b/>
        </w:rPr>
        <w:t xml:space="preserve">STEP TEENS</w:t>
      </w:r>
      <w:r>
        <w:t xml:space="preserve">, portant sur 201 adolescents obèses, l’indice de masse corporelle (IMC) a baissé de 16,1 % après 68 semaines, tandis qu’il a augmenté de 0,6 % sous placebo</w:t>
      </w:r>
      <w:r>
        <w:rPr>
          <w:rStyle w:val="FootnoteReference"/>
        </w:rPr>
        <w:footnoteReference w:id="429"/>
      </w:r>
      <w:r>
        <w:t xml:space="preserve">. 73 % ont perdu au moins 5 % de leur poids, contre 18 % sous placebo. Cinq adolescents (4 %) sous sémaglutide ont développé des calculs biliaires, aucun sous placebo. Une étude chez des enfants à partir de 6 ans est en cours</w:t>
      </w:r>
      <w:r>
        <w:rPr>
          <w:rStyle w:val="FootnoteReference"/>
        </w:rPr>
        <w:footnoteReference w:id="430"/>
      </w:r>
      <w:r>
        <w:t xml:space="preserve">.</w:t>
      </w:r>
    </w:p>
    <w:bookmarkEnd w:id="431"/>
    <w:bookmarkStart w:id="433" w:name="X59a22d066a6a64141faa5bfd3e3379b18d41295"/>
    <w:p>
      <w:pPr>
        <w:pStyle w:val="Heading4"/>
      </w:pPr>
      <w:r>
        <w:t xml:space="preserve">SELECT : protection cardiaque même sans diabète</w:t>
      </w:r>
    </w:p>
    <w:p>
      <w:pPr>
        <w:pStyle w:val="FirstParagraph"/>
      </w:pPr>
      <w:r>
        <w:t xml:space="preserve">SELECT a été une étape majeure, car elle a montré pour la première fois qu’un médicament amaigrissant réduit les infarctus, les AVC et les décès cardiovasculaires chez des personnes sans diabète.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SELECT (Lincoff 2023), PMID 37952131</w:t>
            </w:r>
          </w:p>
        </w:tc>
        <w:tc>
          <w:tcPr/>
          <w:p>
            <w:pPr>
              <w:pStyle w:val="Compact"/>
              <w:jc w:val="left"/>
            </w:pPr>
            <w:r>
              <w:t xml:space="preserve">17 604 personnes en surpoids ou obèses atteintes d’une maladie cardiovasculaire, sans diabète ; 2,4 mg vs placebo</w:t>
            </w:r>
          </w:p>
        </w:tc>
        <w:tc>
          <w:tcPr/>
          <w:p>
            <w:pPr>
              <w:pStyle w:val="Compact"/>
              <w:jc w:val="left"/>
            </w:pPr>
            <w:r>
              <w:t xml:space="preserve">suivi moyen 39,8 mois</w:t>
            </w:r>
          </w:p>
        </w:tc>
        <w:tc>
          <w:tcPr/>
          <w:p>
            <w:pPr>
              <w:pStyle w:val="Compact"/>
              <w:jc w:val="left"/>
            </w:pPr>
            <w:r>
              <w:t xml:space="preserve">Événements cardiovasculaires graves 6,5 % vs 8,0 % ; HR 0,80 (0,72–0,90)</w:t>
            </w:r>
          </w:p>
        </w:tc>
      </w:tr>
    </w:tbl>
    <w:p>
      <w:pPr>
        <w:pStyle w:val="BodyText"/>
      </w:pPr>
      <w:r>
        <w:t xml:space="preserve">La réduction relative du risque était de 20 %</w:t>
      </w:r>
      <w:r>
        <w:rPr>
          <w:rStyle w:val="FootnoteReference"/>
        </w:rPr>
        <w:footnoteReference w:id="432"/>
      </w:r>
      <w:r>
        <w:t xml:space="preserve">. En chiffres absolus, sur un peu plus de trois ans, environ 1,5 personne traitée sur cent a eu un tel événement de moins. Le taux d’abandon élevé était frappant : 16,6 % ont arrêté définitivement le traitement en raison d’effets indésirables, contre 8,2 % sous placebo. Que le bénéfice repose uniquement sur la perte de poids ou aussi sur des effets directs sur les vaisseaux et l’inflammation n’est pas définitivement établi.</w:t>
      </w:r>
    </w:p>
    <w:bookmarkEnd w:id="433"/>
    <w:bookmarkStart w:id="435" w:name="flow-protection-des-reins"/>
    <w:p>
      <w:pPr>
        <w:pStyle w:val="Heading4"/>
      </w:pPr>
      <w:r>
        <w:t xml:space="preserve">FLOW : protection des reins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FLOW (Perkovic 2024), PMID 38785209</w:t>
            </w:r>
          </w:p>
        </w:tc>
        <w:tc>
          <w:tcPr/>
          <w:p>
            <w:pPr>
              <w:pStyle w:val="Compact"/>
              <w:jc w:val="left"/>
            </w:pPr>
            <w:r>
              <w:t xml:space="preserve">3 533 personnes atteintes de diabète de type 2 et de maladie rénale chronique ; 1,0 mg vs placebo</w:t>
            </w:r>
          </w:p>
        </w:tc>
        <w:tc>
          <w:tcPr/>
          <w:p>
            <w:pPr>
              <w:pStyle w:val="Compact"/>
              <w:jc w:val="left"/>
            </w:pPr>
            <w:r>
              <w:t xml:space="preserve">médiane 3,4 ans (arrêtée prématurément pour efficacité)</w:t>
            </w:r>
          </w:p>
        </w:tc>
        <w:tc>
          <w:tcPr/>
          <w:p>
            <w:pPr>
              <w:pStyle w:val="Compact"/>
              <w:jc w:val="left"/>
            </w:pPr>
            <w:r>
              <w:t xml:space="preserve">Critère rénal 331 vs 410 événements ; HR 0,76 ; mortalité totale HR 0,80</w:t>
            </w:r>
          </w:p>
        </w:tc>
      </w:tr>
    </w:tbl>
    <w:p>
      <w:pPr>
        <w:pStyle w:val="BodyText"/>
      </w:pPr>
      <w:r>
        <w:t xml:space="preserve">FLOW</w:t>
      </w:r>
      <w:r>
        <w:rPr>
          <w:rStyle w:val="FootnoteReference"/>
        </w:rPr>
        <w:footnoteReference w:id="434"/>
      </w:r>
      <w:r>
        <w:t xml:space="preserve"> </w:t>
      </w:r>
      <w:r>
        <w:t xml:space="preserve">a été la première grande étude avec un agoniste du récepteur du GLP-1 dont l’objectif principal était un critère rénal dur – insuffisance rénale, perte de fonction importante ou décès de cause rénale ou cardiovasculaire. Elle a été arrêtée prématurément après une analyse intermédiaire en raison d’une efficacité manifeste. La perte annuelle de fonction rénale (DFGe) était inférieure de 1,16 ml/min pour 1,73 m² sous sémaglutide. Les événements cardiovasculaires (HR 0,82) et la mortalité totale (HR 0,80) étaient également réduits.</w:t>
      </w:r>
    </w:p>
    <w:bookmarkEnd w:id="435"/>
    <w:bookmarkStart w:id="441" w:name="X01d529606445eee5b4b92b02cfe4851621b000e"/>
    <w:p>
      <w:pPr>
        <w:pStyle w:val="Heading4"/>
      </w:pPr>
      <w:r>
        <w:t xml:space="preserve">Autres organes : foie, insuffisance cardiaque, vaisseaux, articulations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ESSENCE (Sanyal 2025), PMID 40305708</w:t>
            </w:r>
          </w:p>
        </w:tc>
        <w:tc>
          <w:tcPr/>
          <w:p>
            <w:pPr>
              <w:pStyle w:val="Compact"/>
              <w:jc w:val="left"/>
            </w:pPr>
            <w:r>
              <w:t xml:space="preserve">1 197 personnes atteintes de stéatohépatite (MASH) avec fibrose de stade 2–3 ; analyse intermédiaire des 800 premières</w:t>
            </w:r>
          </w:p>
        </w:tc>
        <w:tc>
          <w:tcPr/>
          <w:p>
            <w:pPr>
              <w:pStyle w:val="Compact"/>
              <w:jc w:val="left"/>
            </w:pPr>
            <w:r>
              <w:t xml:space="preserve">72 semaines (première partie)</w:t>
            </w:r>
          </w:p>
        </w:tc>
        <w:tc>
          <w:tcPr/>
          <w:p>
            <w:pPr>
              <w:pStyle w:val="Compact"/>
              <w:jc w:val="left"/>
            </w:pPr>
            <w:r>
              <w:t xml:space="preserve">Régression de l’inflammation 62,9 % vs 34,3 % ; moins de fibrose 36,8 % vs 22,4 %</w:t>
            </w:r>
          </w:p>
        </w:tc>
      </w:tr>
      <w:tr>
        <w:tc>
          <w:tcPr/>
          <w:p>
            <w:pPr>
              <w:pStyle w:val="Compact"/>
              <w:jc w:val="left"/>
            </w:pPr>
            <w:r>
              <w:t xml:space="preserve">STEP-HFpEF (Kosiborod 2023), PMID 37622681</w:t>
            </w:r>
          </w:p>
        </w:tc>
        <w:tc>
          <w:tcPr/>
          <w:p>
            <w:pPr>
              <w:pStyle w:val="Compact"/>
              <w:jc w:val="left"/>
            </w:pPr>
            <w:r>
              <w:t xml:space="preserve">529 personnes atteintes d’insuffisance cardiaque à fraction d’éjection préservée et d’obésité ; 2,4 mg vs placebo</w:t>
            </w:r>
          </w:p>
        </w:tc>
        <w:tc>
          <w:tcPr/>
          <w:p>
            <w:pPr>
              <w:pStyle w:val="Compact"/>
              <w:jc w:val="left"/>
            </w:pPr>
            <w:r>
              <w:t xml:space="preserve">52 semaines</w:t>
            </w:r>
          </w:p>
        </w:tc>
        <w:tc>
          <w:tcPr/>
          <w:p>
            <w:pPr>
              <w:pStyle w:val="Compact"/>
              <w:jc w:val="left"/>
            </w:pPr>
            <w:r>
              <w:t xml:space="preserve">Score de symptômes +16,6 vs +8,7 points ; distance de marche +21,5 vs +1,2 m</w:t>
            </w:r>
          </w:p>
        </w:tc>
      </w:tr>
      <w:tr>
        <w:tc>
          <w:tcPr/>
          <w:p>
            <w:pPr>
              <w:pStyle w:val="Compact"/>
              <w:jc w:val="left"/>
            </w:pPr>
            <w:r>
              <w:t xml:space="preserve">STRIDE (Bonaca 2025), PMID 40169145</w:t>
            </w:r>
          </w:p>
        </w:tc>
        <w:tc>
          <w:tcPr/>
          <w:p>
            <w:pPr>
              <w:pStyle w:val="Compact"/>
              <w:jc w:val="left"/>
            </w:pPr>
            <w:r>
              <w:t xml:space="preserve">792 personnes atteintes d’artériopathie des membres inférieurs et de diabète de type 2 ; 1,0 mg vs placebo</w:t>
            </w:r>
          </w:p>
        </w:tc>
        <w:tc>
          <w:tcPr/>
          <w:p>
            <w:pPr>
              <w:pStyle w:val="Compact"/>
              <w:jc w:val="left"/>
            </w:pPr>
            <w:r>
              <w:t xml:space="preserve">52 semaines</w:t>
            </w:r>
          </w:p>
        </w:tc>
        <w:tc>
          <w:tcPr/>
          <w:p>
            <w:pPr>
              <w:pStyle w:val="Compact"/>
              <w:jc w:val="left"/>
            </w:pPr>
            <w:r>
              <w:t xml:space="preserve">distance de marche maximale améliorée de 13 % de plus</w:t>
            </w:r>
          </w:p>
        </w:tc>
      </w:tr>
      <w:tr>
        <w:tc>
          <w:tcPr/>
          <w:p>
            <w:pPr>
              <w:pStyle w:val="Compact"/>
              <w:jc w:val="left"/>
            </w:pPr>
            <w:r>
              <w:t xml:space="preserve">STEP 9 (Bliddal 2024), PMID 39476339</w:t>
            </w:r>
          </w:p>
        </w:tc>
        <w:tc>
          <w:tcPr/>
          <w:p>
            <w:pPr>
              <w:pStyle w:val="Compact"/>
              <w:jc w:val="left"/>
            </w:pPr>
            <w:r>
              <w:t xml:space="preserve">407 personnes obèses atteintes d’arthrose du genou</w:t>
            </w:r>
          </w:p>
        </w:tc>
        <w:tc>
          <w:tcPr/>
          <w:p>
            <w:pPr>
              <w:pStyle w:val="Compact"/>
              <w:jc w:val="left"/>
            </w:pPr>
            <w:r>
              <w:t xml:space="preserve">68 semaines</w:t>
            </w:r>
          </w:p>
        </w:tc>
        <w:tc>
          <w:tcPr/>
          <w:p>
            <w:pPr>
              <w:pStyle w:val="Compact"/>
              <w:jc w:val="left"/>
            </w:pPr>
            <w:r>
              <w:t xml:space="preserve">Score de douleur −41,7 vs −27,5 points ; poids −13,7 % vs −3,2 %</w:t>
            </w:r>
          </w:p>
        </w:tc>
      </w:tr>
    </w:tbl>
    <w:p>
      <w:pPr>
        <w:pStyle w:val="BodyText"/>
      </w:pPr>
      <w:r>
        <w:rPr>
          <w:bCs/>
          <w:b/>
        </w:rPr>
        <w:t xml:space="preserve">Foie :</w:t>
      </w:r>
      <w:r>
        <w:t xml:space="preserve"> </w:t>
      </w:r>
      <w:r>
        <w:t xml:space="preserve">dans ESSENCE</w:t>
      </w:r>
      <w:r>
        <w:rPr>
          <w:rStyle w:val="FootnoteReference"/>
        </w:rPr>
        <w:footnoteReference w:id="436"/>
      </w:r>
      <w:r>
        <w:t xml:space="preserve">, la stéatohépatite a régressé à la biopsie chez près des deux tiers des personnes traitées, sans aggravation de la cicatrisation. Une réduction de la fibrose – l’objectif cliniquement le plus important – a été obtenue chez 36,8 % contre 22,4 %. La seconde partie de l’étude, avec des critères hépatiques durs comme la cirrhose, se poursuit jusqu’en 2029</w:t>
      </w:r>
      <w:r>
        <w:rPr>
          <w:rStyle w:val="FootnoteReference"/>
        </w:rPr>
        <w:footnoteReference w:id="437"/>
      </w:r>
      <w:r>
        <w:t xml:space="preserve">.</w:t>
      </w:r>
    </w:p>
    <w:p>
      <w:pPr>
        <w:pStyle w:val="BodyText"/>
      </w:pPr>
      <w:r>
        <w:rPr>
          <w:bCs/>
          <w:b/>
        </w:rPr>
        <w:t xml:space="preserve">Insuffisance cardiaque :</w:t>
      </w:r>
      <w:r>
        <w:t xml:space="preserve"> </w:t>
      </w:r>
      <w:r>
        <w:t xml:space="preserve">dans l’insuffisance cardiaque à fraction d’éjection préservée associée à l’obésité, les symptômes et la capacité d’effort se sont nettement améliorés</w:t>
      </w:r>
      <w:r>
        <w:rPr>
          <w:rStyle w:val="FootnoteReference"/>
        </w:rPr>
        <w:footnoteReference w:id="438"/>
      </w:r>
      <w:r>
        <w:t xml:space="preserve">. Les événements indésirables graves étaient plus rares sous sémaglutide (13,3 % vs 26,7 %). Savoir si le sémaglutide réduit aussi les hospitalisations ou les décès par insuffisance cardiaque n’était pas l’objectif principal de cette étude.</w:t>
      </w:r>
    </w:p>
    <w:p>
      <w:pPr>
        <w:pStyle w:val="BodyText"/>
      </w:pPr>
      <w:r>
        <w:rPr>
          <w:bCs/>
          <w:b/>
        </w:rPr>
        <w:t xml:space="preserve">Artériopathie des membres inférieurs :</w:t>
      </w:r>
      <w:r>
        <w:t xml:space="preserve"> </w:t>
      </w:r>
      <w:r>
        <w:t xml:space="preserve">dans cette maladie artérielle périphérique occlusive, le sémaglutide a allongé la distance de marche maximale</w:t>
      </w:r>
      <w:r>
        <w:rPr>
          <w:rStyle w:val="FootnoteReference"/>
        </w:rPr>
        <w:footnoteReference w:id="439"/>
      </w:r>
      <w:r>
        <w:t xml:space="preserve">.</w:t>
      </w:r>
    </w:p>
    <w:p>
      <w:pPr>
        <w:pStyle w:val="BodyText"/>
      </w:pPr>
      <w:r>
        <w:rPr>
          <w:bCs/>
          <w:b/>
        </w:rPr>
        <w:t xml:space="preserve">Arthrose du genou :</w:t>
      </w:r>
      <w:r>
        <w:t xml:space="preserve"> </w:t>
      </w:r>
      <w:r>
        <w:t xml:space="preserve">dans STEP 9</w:t>
      </w:r>
      <w:r>
        <w:rPr>
          <w:rStyle w:val="FootnoteReference"/>
        </w:rPr>
        <w:footnoteReference w:id="440"/>
      </w:r>
      <w:r>
        <w:t xml:space="preserve">, les douleurs du genou ont diminué davantage que sous placebo. L’étude ne permet pas de dire si cela tient uniquement à la perte de poids.</w:t>
      </w:r>
    </w:p>
    <w:bookmarkEnd w:id="441"/>
    <w:bookmarkStart w:id="446" w:name="cerveau-et-addiction"/>
    <w:p>
      <w:pPr>
        <w:pStyle w:val="Heading4"/>
      </w:pPr>
      <w:r>
        <w:t xml:space="preserve">Cerveau et addiction</w:t>
      </w:r>
    </w:p>
    <w:p>
      <w:pPr>
        <w:pStyle w:val="FirstParagraph"/>
      </w:pPr>
      <w:r>
        <w:rPr>
          <w:bCs/>
          <w:b/>
        </w:rPr>
        <w:t xml:space="preserve">Maladie d’Alzheimer :</w:t>
      </w:r>
      <w:r>
        <w:t xml:space="preserve"> </w:t>
      </w:r>
      <w:r>
        <w:t xml:space="preserve">l’espoir que les agonistes du récepteur du GLP-1 puissent freiner le déclin cognitif reposait sur des expériences animales et des données observationnelles. Novo Nordisk l’a évalué dans deux grandes études de phase 3, evoke et evoke+, portant au total sur 3 808 personnes atteintes d’une maladie d’Alzheimer débutante, qui ont reçu pendant 104 semaines des comprimés de sémaglutide ou un placebo chaque jour</w:t>
      </w:r>
      <w:r>
        <w:rPr>
          <w:rStyle w:val="FootnoteReference"/>
        </w:rPr>
        <w:footnoteReference w:id="442"/>
      </w:r>
      <w:r>
        <w:t xml:space="preserve">. Le résultat a été clairement négatif : la maladie a progressé à la même vitesse dans les deux groupes (différence sur l’échelle de démence CDR-SB de −0,08 et +0,10 point, non significative). En l’état actuel des connaissances, le sémaglutide a donc échoué comme médicament contre la maladie d’Alzheimer ; un commentaire publié dans la même revue discute des conséquences pour ce domaine de recherche</w:t>
      </w:r>
      <w:r>
        <w:rPr>
          <w:rStyle w:val="FootnoteReference"/>
        </w:rPr>
        <w:footnoteReference w:id="443"/>
      </w:r>
      <w:r>
        <w:t xml:space="preserve">.</w:t>
      </w:r>
    </w:p>
    <w:p>
      <w:pPr>
        <w:pStyle w:val="BodyText"/>
      </w:pPr>
      <w:r>
        <w:rPr>
          <w:bCs/>
          <w:b/>
        </w:rPr>
        <w:t xml:space="preserve">Alcool :</w:t>
      </w:r>
      <w:r>
        <w:t xml:space="preserve"> </w:t>
      </w:r>
      <w:r>
        <w:t xml:space="preserve">dans une petite étude randomisée portant sur 48 personnes souffrant d’un trouble de l’usage de l’alcool, le sémaglutide à faible dose a réduit la quantité d’alcool bue lors d’un test en laboratoire, l’envie d’alcool et le nombre de verres les jours de consommation ; le nombre de jours de consommation n’a pas changé</w:t>
      </w:r>
      <w:r>
        <w:rPr>
          <w:rStyle w:val="FootnoteReference"/>
        </w:rPr>
        <w:footnoteReference w:id="444"/>
      </w:r>
      <w:r>
        <w:t xml:space="preserve">. Dans une étude de registre suédoise, le sémaglutide était associé à un risque d’hospitalisation liée à l’alcool inférieur de 36 %</w:t>
      </w:r>
      <w:r>
        <w:rPr>
          <w:rStyle w:val="FootnoteReference"/>
        </w:rPr>
        <w:footnoteReference w:id="445"/>
      </w:r>
      <w:r>
        <w:t xml:space="preserve">. Des études randomisées plus grandes sont en cours.</w:t>
      </w:r>
    </w:p>
    <w:bookmarkEnd w:id="446"/>
    <w:bookmarkEnd w:id="447"/>
    <w:bookmarkStart w:id="451" w:name="études-animales-et-de-laboratoire-3"/>
    <w:p>
      <w:pPr>
        <w:pStyle w:val="Heading3"/>
      </w:pPr>
      <w:r>
        <w:t xml:space="preserve">Études animales et de laboratoire</w:t>
      </w:r>
    </w:p>
    <w:p>
      <w:pPr>
        <w:pStyle w:val="FirstParagraph"/>
      </w:pPr>
      <w:r>
        <w:t xml:space="preserve">Le sémaglutide a été délibérément conçu sur la planche à dessin : parmi de nombreuses variantes, les concepteurs ont choisi celle offrant la meilleure combinaison de liaison à l’albumine, d’action sur le récepteur et de stabilité</w:t>
      </w:r>
      <w:r>
        <w:rPr>
          <w:rStyle w:val="FootnoteReference"/>
        </w:rPr>
        <w:footnoteReference w:id="448"/>
      </w:r>
      <w:r>
        <w:t xml:space="preserve">. La demi-vie a d’abord été déterminée chez le miniporc. L’absorption du comprimé par la muqueuse gastrique a été étudiée chez le chien et chez l’humain</w:t>
      </w:r>
      <w:r>
        <w:rPr>
          <w:rStyle w:val="FootnoteReference"/>
        </w:rPr>
        <w:footnoteReference w:id="449"/>
      </w:r>
      <w:r>
        <w:t xml:space="preserve">.</w:t>
      </w:r>
    </w:p>
    <w:p>
      <w:pPr>
        <w:pStyle w:val="BodyText"/>
      </w:pPr>
      <w:r>
        <w:t xml:space="preserve">Comme pour le liraglutide, des expériences à long terme chez les rongeurs ont entraîné des tumeurs des cellules C de la thyroïde ; leur transposabilité à l’humain est jugée douteuse en raison de la faible densité de récepteurs dans les cellules C humaines</w:t>
      </w:r>
      <w:r>
        <w:rPr>
          <w:rStyle w:val="FootnoteReference"/>
        </w:rPr>
        <w:footnoteReference w:id="450"/>
      </w:r>
      <w:r>
        <w:t xml:space="preserve">. Les expériences animales sur la neuroprotection, l’addiction et l’inflammation ont servi de base aux études chez l’humain décrites plus haut – avec des résultats mitigés, comme le montre l’échec d’evoke.</w:t>
      </w:r>
    </w:p>
    <w:bookmarkEnd w:id="451"/>
    <w:bookmarkStart w:id="463" w:name="risques-et-effets-indésirables-3"/>
    <w:p>
      <w:pPr>
        <w:pStyle w:val="Heading3"/>
      </w:pPr>
      <w:r>
        <w:t xml:space="preserve">Risques et effets indésirables</w:t>
      </w:r>
    </w:p>
    <w:p>
      <w:pPr>
        <w:pStyle w:val="FirstParagraph"/>
      </w:pPr>
      <w:r>
        <w:rPr>
          <w:bCs/>
          <w:b/>
        </w:rPr>
        <w:t xml:space="preserve">Démontrés dans des études randomisées :</w:t>
      </w:r>
    </w:p>
    <w:p>
      <w:pPr>
        <w:numPr>
          <w:ilvl w:val="0"/>
          <w:numId w:val="1055"/>
        </w:numPr>
        <w:pStyle w:val="Compact"/>
      </w:pPr>
      <w:r>
        <w:rPr>
          <w:bCs/>
          <w:b/>
        </w:rPr>
        <w:t xml:space="preserve">Troubles gastro-intestinaux :</w:t>
      </w:r>
      <w:r>
        <w:t xml:space="preserve"> </w:t>
      </w:r>
      <w:r>
        <w:t xml:space="preserve">nausées, diarrhées, vomissements et constipation touchent la majorité des personnes traitées dans les études sur l’obésité ; ils sont le plus souvent légers à modérés et transitoires, surtout pendant l’augmentation de la dose</w:t>
      </w:r>
      <w:r>
        <w:rPr>
          <w:rStyle w:val="FootnoteReference"/>
        </w:rPr>
        <w:footnoteReference w:id="452"/>
      </w:r>
      <w:r>
        <w:t xml:space="preserve">. Ils sont la raison la plus fréquente des arrêts de traitement.</w:t>
      </w:r>
    </w:p>
    <w:p>
      <w:pPr>
        <w:numPr>
          <w:ilvl w:val="0"/>
          <w:numId w:val="1055"/>
        </w:numPr>
        <w:pStyle w:val="Compact"/>
      </w:pPr>
      <w:r>
        <w:rPr>
          <w:bCs/>
          <w:b/>
        </w:rPr>
        <w:t xml:space="preserve">Calculs biliaires et cholécystite :</w:t>
      </w:r>
      <w:r>
        <w:t xml:space="preserve"> </w:t>
      </w:r>
      <w:r>
        <w:t xml:space="preserve">augmentés pour l’ensemble de la classe, en particulier à doses élevées et pour la perte de poids</w:t>
      </w:r>
      <w:r>
        <w:rPr>
          <w:rStyle w:val="FootnoteReference"/>
        </w:rPr>
        <w:footnoteReference w:id="453"/>
      </w:r>
      <w:r>
        <w:t xml:space="preserve"> </w:t>
      </w:r>
      <w:r>
        <w:t xml:space="preserve">; dans STEP TEENS chez 4 % des adolescents</w:t>
      </w:r>
      <w:r>
        <w:rPr>
          <w:rStyle w:val="FootnoteReference"/>
        </w:rPr>
        <w:footnoteReference w:id="454"/>
      </w:r>
      <w:r>
        <w:t xml:space="preserve">.</w:t>
      </w:r>
    </w:p>
    <w:p>
      <w:pPr>
        <w:numPr>
          <w:ilvl w:val="0"/>
          <w:numId w:val="1055"/>
        </w:numPr>
        <w:pStyle w:val="Compact"/>
      </w:pPr>
      <w:r>
        <w:rPr>
          <w:bCs/>
          <w:b/>
        </w:rPr>
        <w:t xml:space="preserve">Aggravation d’une rétinopathie diabétique :</w:t>
      </w:r>
      <w:r>
        <w:t xml:space="preserve"> </w:t>
      </w:r>
      <w:r>
        <w:t xml:space="preserve">plus fréquente dans SUSTAIN 6 (HR 1,76)</w:t>
      </w:r>
      <w:r>
        <w:rPr>
          <w:rStyle w:val="FootnoteReference"/>
        </w:rPr>
        <w:footnoteReference w:id="455"/>
      </w:r>
      <w:r>
        <w:t xml:space="preserve">. On suppose qu’une baisse très rapide de la glycémie nuit temporairement en cas de rétinopathie préexistante – un effet connu aussi avec l’insuline. Une étude spécifique portant sur 1 500 participants est en cours sur cette question</w:t>
      </w:r>
      <w:r>
        <w:rPr>
          <w:rStyle w:val="FootnoteReference"/>
        </w:rPr>
        <w:footnoteReference w:id="456"/>
      </w:r>
      <w:r>
        <w:t xml:space="preserve">. Les personnes atteintes de rétinopathie devraient bénéficier d’un suivi ophtalmologique.</w:t>
      </w:r>
    </w:p>
    <w:p>
      <w:pPr>
        <w:numPr>
          <w:ilvl w:val="0"/>
          <w:numId w:val="1055"/>
        </w:numPr>
        <w:pStyle w:val="Compact"/>
      </w:pPr>
      <w:r>
        <w:rPr>
          <w:bCs/>
          <w:b/>
        </w:rPr>
        <w:t xml:space="preserve">Perte de masse musculaire :</w:t>
      </w:r>
      <w:r>
        <w:t xml:space="preserve"> </w:t>
      </w:r>
      <w:r>
        <w:t xml:space="preserve">toute perte de poids importante s’accompagne aussi d’une perte de masse maigre. L’importance de ce phénomène sous sémaglutide, en particulier chez les personnes âgées, est encore à l’étude ; la partie IV y revient.</w:t>
      </w:r>
    </w:p>
    <w:p>
      <w:pPr>
        <w:pStyle w:val="FirstParagraph"/>
      </w:pPr>
      <w:r>
        <w:rPr>
          <w:bCs/>
          <w:b/>
        </w:rPr>
        <w:t xml:space="preserve">Données observationnelles et signaux :</w:t>
      </w:r>
    </w:p>
    <w:p>
      <w:pPr>
        <w:numPr>
          <w:ilvl w:val="0"/>
          <w:numId w:val="1056"/>
        </w:numPr>
        <w:pStyle w:val="Compact"/>
      </w:pPr>
      <w:r>
        <w:rPr>
          <w:bCs/>
          <w:b/>
        </w:rPr>
        <w:t xml:space="preserve">NAION (trouble circulatoire du nerf optique) :</w:t>
      </w:r>
      <w:r>
        <w:t xml:space="preserve"> </w:t>
      </w:r>
      <w:r>
        <w:t xml:space="preserve">en 2024, une étude américaine menée dans une clinique ophtalmologique a rapporté un risque nettement accru de neuropathie optique ischémique antérieure non artéritique, une perte de vision soudaine, le plus souvent indolore, d’un œil</w:t>
      </w:r>
      <w:r>
        <w:rPr>
          <w:rStyle w:val="FootnoteReference"/>
        </w:rPr>
        <w:footnoteReference w:id="457"/>
      </w:r>
      <w:r>
        <w:t xml:space="preserve">. Dans cette étude, le hazard ratio était de 4,28 (diabète) et de 7,64 (obésité), mais avec de très petits effectifs. Une étude de registre dano-norvégienne portant sur plus de 60 000 personnes atteintes de diabète de type 2 a confirmé un risque relatif accru (HR 2,81), avec un risque absolu faible : environ 1,4 cas supplémentaire pour 10 000 années-personnes</w:t>
      </w:r>
      <w:r>
        <w:rPr>
          <w:rStyle w:val="FootnoteReference"/>
        </w:rPr>
        <w:footnoteReference w:id="458"/>
      </w:r>
      <w:r>
        <w:t xml:space="preserve">. Une méta-analyse de 2026 n’a trouvé le signal que dans les études observationnelles dans le diabète (HR 1,85), pas dans les études randomisées ni dans l’obésité</w:t>
      </w:r>
      <w:r>
        <w:rPr>
          <w:rStyle w:val="FootnoteReference"/>
        </w:rPr>
        <w:footnoteReference w:id="459"/>
      </w:r>
      <w:r>
        <w:t xml:space="preserve">. L’Agence européenne des médicaments a ajouté en 2025 la NAION comme effet indésirable très rare au résumé des caractéristiques du produit. Toute personne dont la vue baisse soudainement sous sémaglutide doit consulter immédiatement un médecin.</w:t>
      </w:r>
    </w:p>
    <w:p>
      <w:pPr>
        <w:numPr>
          <w:ilvl w:val="0"/>
          <w:numId w:val="1056"/>
        </w:numPr>
        <w:pStyle w:val="Compact"/>
      </w:pPr>
      <w:r>
        <w:rPr>
          <w:bCs/>
          <w:b/>
        </w:rPr>
        <w:t xml:space="preserve">Pancréatite et occlusion intestinale :</w:t>
      </w:r>
      <w:r>
        <w:t xml:space="preserve"> </w:t>
      </w:r>
      <w:r>
        <w:t xml:space="preserve">une analyse de données d’assurance a trouvé, pour les agonistes du récepteur du GLP-1 utilisés pour perdre du poids, un risque accru de pancréatite, d’occlusion intestinale et de gastroparésie</w:t>
      </w:r>
      <w:r>
        <w:rPr>
          <w:rStyle w:val="FootnoteReference"/>
        </w:rPr>
        <w:footnoteReference w:id="460"/>
      </w:r>
      <w:r>
        <w:t xml:space="preserve">. Dans les grandes études randomisées, la pancréatite était rare. Le résumé des caractéristiques du produit la mentionne comme effet indésirable possible.</w:t>
      </w:r>
    </w:p>
    <w:p>
      <w:pPr>
        <w:numPr>
          <w:ilvl w:val="0"/>
          <w:numId w:val="1056"/>
        </w:numPr>
        <w:pStyle w:val="Compact"/>
      </w:pPr>
      <w:r>
        <w:rPr>
          <w:bCs/>
          <w:b/>
        </w:rPr>
        <w:t xml:space="preserve">Cancer de la thyroïde :</w:t>
      </w:r>
      <w:r>
        <w:t xml:space="preserve"> </w:t>
      </w:r>
      <w:r>
        <w:t xml:space="preserve">signal dans des études observationnelles et des méta-analyses pour la classe</w:t>
      </w:r>
      <w:r>
        <w:rPr>
          <w:rStyle w:val="FootnoteReference"/>
        </w:rPr>
        <w:footnoteReference w:id="461"/>
      </w:r>
      <w:r>
        <w:t xml:space="preserve"> </w:t>
      </w:r>
      <w:r>
        <w:t xml:space="preserve">; voir le chapitre Liraglutide.</w:t>
      </w:r>
    </w:p>
    <w:p>
      <w:pPr>
        <w:numPr>
          <w:ilvl w:val="0"/>
          <w:numId w:val="1056"/>
        </w:numPr>
        <w:pStyle w:val="Compact"/>
      </w:pPr>
      <w:r>
        <w:rPr>
          <w:bCs/>
          <w:b/>
        </w:rPr>
        <w:t xml:space="preserve">Effets indésirables psychiques :</w:t>
      </w:r>
      <w:r>
        <w:t xml:space="preserve"> </w:t>
      </w:r>
      <w:r>
        <w:t xml:space="preserve">après des notifications d’idées suicidaires, les autorités ont procédé à des examens en 2023/2024 et n’ont trouvé aucune preuve d’un lien de causalité. Dans une grande cohorte américaine portant sur 240 618 personnes en surpoids, le sémaglutide était même associé à moins d’apparitions d’idées suicidaires que d’autres médicaments amaigrissants</w:t>
      </w:r>
      <w:r>
        <w:rPr>
          <w:rStyle w:val="FootnoteReference"/>
        </w:rPr>
        <w:footnoteReference w:id="462"/>
      </w:r>
      <w:r>
        <w:t xml:space="preserve">. Les données observationnelles ne peuvent pas exclure avec certitude les biais.</w:t>
      </w:r>
    </w:p>
    <w:p>
      <w:pPr>
        <w:pStyle w:val="FirstParagraph"/>
      </w:pPr>
      <w:r>
        <w:rPr>
          <w:bCs/>
          <w:b/>
        </w:rPr>
        <w:t xml:space="preserve">Remarques pour la pratique :</w:t>
      </w:r>
      <w:r>
        <w:t xml:space="preserve"> </w:t>
      </w:r>
      <w:r>
        <w:t xml:space="preserve">le sémaglutide n’est pas indiqué pendant la grossesse ; le résumé des caractéristiques du produit recommande de l’arrêter suffisamment tôt avant une grossesse planifiée. En raison du ralentissement de la vidange gastrique, il peut exister lors des anesthésies un risque accru d’inhalation du contenu gastrique dans les poumons ; les personnes traitées doivent le signaler avant une opération ou une endoscopie gastrique. Pour l’utilisation, l’augmentation de la dose et les contre-indications, le résumé des caractéristiques du produit et l’accompagnement médical font foi.</w:t>
      </w:r>
    </w:p>
    <w:bookmarkEnd w:id="463"/>
    <w:bookmarkStart w:id="467" w:name="X678de749f1103f6944bcc45be0f5c7275334451"/>
    <w:p>
      <w:pPr>
        <w:pStyle w:val="Heading3"/>
      </w:pPr>
      <w:r>
        <w:t xml:space="preserve">Marché gris, préparations magistrales et contrefaçons</w:t>
      </w:r>
    </w:p>
    <w:p>
      <w:pPr>
        <w:pStyle w:val="FirstParagraph"/>
      </w:pPr>
      <w:r>
        <w:t xml:space="preserve">Aucun autre peptide de ce livre n’est aussi souvent obtenu en dehors des circuits réguliers que le sémaglutide. À partir de 2022, la demande a dépassé l’offre pendant des années. Trois problèmes sont à distinguer.</w:t>
      </w:r>
    </w:p>
    <w:p>
      <w:pPr>
        <w:pStyle w:val="BodyText"/>
      </w:pPr>
      <w:r>
        <w:rPr>
          <w:bCs/>
          <w:b/>
        </w:rPr>
        <w:t xml:space="preserve">Préparations magistrales (États-Unis) :</w:t>
      </w:r>
      <w:r>
        <w:t xml:space="preserve"> </w:t>
      </w:r>
      <w:r>
        <w:t xml:space="preserve">pendant les pénuries officielles, les pharmacies américaines ont été autorisées à fabriquer elles-mêmes du sémaglutide (« compounding »), souvent sous forme de poudre ou de solution en flacons, parfois avec d’autres sels de la substance active. Depuis la fin de la pénurie, la FDA a fortement restreint cette pratique. Une série de cas d’un centre antipoison a décrit des surdosages d’un facteur dix, parce que des patientes et patients manipulaient des seringues et des flacons au lieu de stylos préremplis et confondaient millilitres, unités et milligrammes</w:t>
      </w:r>
      <w:r>
        <w:rPr>
          <w:rStyle w:val="FootnoteReference"/>
        </w:rPr>
        <w:footnoteReference w:id="464"/>
      </w:r>
      <w:r>
        <w:t xml:space="preserve">. Dans une analyse de la base de données américaine des effets indésirables, les notifications concernant des erreurs de fabrication, des contaminations et des hospitalisations étaient disproportionnellement fréquentes pour les produits préparés en pharmacie</w:t>
      </w:r>
      <w:r>
        <w:rPr>
          <w:rStyle w:val="FootnoteReference"/>
        </w:rPr>
        <w:footnoteReference w:id="465"/>
      </w:r>
      <w:r>
        <w:t xml:space="preserve">.</w:t>
      </w:r>
    </w:p>
    <w:p>
      <w:pPr>
        <w:pStyle w:val="BodyText"/>
      </w:pPr>
      <w:r>
        <w:rPr>
          <w:bCs/>
          <w:b/>
        </w:rPr>
        <w:t xml:space="preserve">Boutiques en ligne illégales :</w:t>
      </w:r>
      <w:r>
        <w:t xml:space="preserve"> </w:t>
      </w:r>
      <w:r>
        <w:t xml:space="preserve">dans une étude de marché, 42,3 % des liens vers des pharmacies en ligne trouvés menaient à des vendeurs illégaux qui vendaient du sémaglutide sans ordonnance</w:t>
      </w:r>
      <w:r>
        <w:rPr>
          <w:rStyle w:val="FootnoteReference"/>
        </w:rPr>
        <w:footnoteReference w:id="466"/>
      </w:r>
      <w:r>
        <w:t xml:space="preserve">. Lors d’achats tests, les stylos d’Ozempic commandés ne sont jamais arrivés. Les flacons livrés contenaient certes du sémaglutide, mais la pureté n’était que de 7,7 % à 14,37 % au lieu des 99 % indiqués, et des endotoxines (composants bactériens pouvant provoquer fièvre et inflammations) ont été détectées dans tous les échantillons.</w:t>
      </w:r>
    </w:p>
    <w:p>
      <w:pPr>
        <w:pStyle w:val="BodyText"/>
      </w:pPr>
      <w:r>
        <w:rPr>
          <w:bCs/>
          <w:b/>
        </w:rPr>
        <w:t xml:space="preserve">Contrefaçons :</w:t>
      </w:r>
      <w:r>
        <w:t xml:space="preserve"> </w:t>
      </w:r>
      <w:r>
        <w:t xml:space="preserve">des stylos d’Ozempic falsifiés sont apparus en Europe et aux États-Unis, parfois remplis d’insuline ou dépourvus de substance active ; les autorités du médicament et l’Organisation mondiale de la santé ont émis plusieurs mises en garde. Vous trouverez des informations générales sur les produits du marché gris dans les parties I et IV. Seule la voie régulière est sûre : prescription médicale et délivrance en pharmacie.</w:t>
      </w:r>
    </w:p>
    <w:bookmarkEnd w:id="467"/>
    <w:bookmarkStart w:id="468" w:name="statut-juridique-3"/>
    <w:p>
      <w:pPr>
        <w:pStyle w:val="Heading3"/>
      </w:pPr>
      <w:r>
        <w:t xml:space="preserve">Statut juridique</w:t>
      </w:r>
    </w:p>
    <w:p>
      <w:pPr>
        <w:numPr>
          <w:ilvl w:val="0"/>
          <w:numId w:val="1057"/>
        </w:numPr>
        <w:pStyle w:val="Compact"/>
      </w:pPr>
      <w:r>
        <w:rPr>
          <w:bCs/>
          <w:b/>
        </w:rPr>
        <w:t xml:space="preserve">UE :</w:t>
      </w:r>
      <w:r>
        <w:t xml:space="preserve"> </w:t>
      </w:r>
      <w:r>
        <w:t xml:space="preserve">Ozempic (2018), Rybelsus (2020) et Wegovy (2022) sont autorisés par procédure centralisée et soumis à prescription. Wegovy est autorisé pour la gestion du poids chez l’adulte et l’adolescent à partir de 12 ans ; le résumé des caractéristiques du produit contient désormais aussi des indications sur la réduction du risque cardiovasculaire issues de SELECT.</w:t>
      </w:r>
    </w:p>
    <w:p>
      <w:pPr>
        <w:numPr>
          <w:ilvl w:val="0"/>
          <w:numId w:val="1057"/>
        </w:numPr>
        <w:pStyle w:val="Compact"/>
      </w:pPr>
      <w:r>
        <w:rPr>
          <w:bCs/>
          <w:b/>
        </w:rPr>
        <w:t xml:space="preserve">Allemagne :</w:t>
      </w:r>
      <w:r>
        <w:t xml:space="preserve"> </w:t>
      </w:r>
      <w:r>
        <w:t xml:space="preserve">Ozempic et Rybelsus sont remboursés dans le diabète de type 2. Wegovy est considéré comme un médicament destiné à la perte de poids et est en principe exclu du remboursement par l’assurance maladie légale en vertu du § 34 SGB V ; une modification fait l’objet d’un débat politique. La prescription d’Ozempic dans le seul but de perdre du poids constitue un usage hors AMM et a été expressément critiquée par les autorités pendant les pénuries.</w:t>
      </w:r>
    </w:p>
    <w:p>
      <w:pPr>
        <w:numPr>
          <w:ilvl w:val="0"/>
          <w:numId w:val="1057"/>
        </w:numPr>
        <w:pStyle w:val="Compact"/>
      </w:pPr>
      <w:r>
        <w:rPr>
          <w:bCs/>
          <w:b/>
        </w:rPr>
        <w:t xml:space="preserve">Autriche :</w:t>
      </w:r>
      <w:r>
        <w:t xml:space="preserve"> </w:t>
      </w:r>
      <w:r>
        <w:t xml:space="preserve">soumis à prescription ; prise en charge des coûts pour la gestion du poids seulement restreinte (à vérifier).</w:t>
      </w:r>
    </w:p>
    <w:p>
      <w:pPr>
        <w:numPr>
          <w:ilvl w:val="0"/>
          <w:numId w:val="1057"/>
        </w:numPr>
        <w:pStyle w:val="Compact"/>
      </w:pPr>
      <w:r>
        <w:rPr>
          <w:bCs/>
          <w:b/>
        </w:rPr>
        <w:t xml:space="preserve">États-Unis :</w:t>
      </w:r>
      <w:r>
        <w:t xml:space="preserve"> </w:t>
      </w:r>
      <w:r>
        <w:t xml:space="preserve">Ozempic, Rybelsus et Wegovy (injection et comprimé) autorisés, avec des indications élargies pour le cœur, les reins et la MASH.</w:t>
      </w:r>
    </w:p>
    <w:p>
      <w:pPr>
        <w:numPr>
          <w:ilvl w:val="0"/>
          <w:numId w:val="1057"/>
        </w:numPr>
        <w:pStyle w:val="Compact"/>
      </w:pPr>
      <w:r>
        <w:rPr>
          <w:bCs/>
          <w:b/>
        </w:rPr>
        <w:t xml:space="preserve">Brevets et génériques :</w:t>
      </w:r>
      <w:r>
        <w:t xml:space="preserve"> </w:t>
      </w:r>
      <w:r>
        <w:t xml:space="preserve">dans plusieurs grands marchés hors UE et États-Unis – dont le Canada, la Chine, l’Inde et le Brésil –, la protection par brevet du sémaglutide expire en 2026 ; de premières copies y sont annoncées ou commercialisées. Dans l’UE et aux États-Unis, les génériques ne sont attendus que vers 2031/2032. Pour en savoir plus, voir la partie V.</w:t>
      </w:r>
    </w:p>
    <w:p>
      <w:pPr>
        <w:numPr>
          <w:ilvl w:val="0"/>
          <w:numId w:val="1057"/>
        </w:numPr>
        <w:pStyle w:val="Compact"/>
      </w:pPr>
      <w:r>
        <w:rPr>
          <w:bCs/>
          <w:b/>
        </w:rPr>
        <w:t xml:space="preserve">Sport (AMA) :</w:t>
      </w:r>
      <w:r>
        <w:t xml:space="preserve"> </w:t>
      </w:r>
      <w:r>
        <w:t xml:space="preserve">non listé (état 2026, à vérifier).</w:t>
      </w:r>
    </w:p>
    <w:bookmarkEnd w:id="468"/>
    <w:bookmarkStart w:id="474" w:name="études-en-cours-et-perspectives-3"/>
    <w:p>
      <w:pPr>
        <w:pStyle w:val="Heading3"/>
      </w:pPr>
      <w:r>
        <w:t xml:space="preserve">Études en cours et perspectives</w:t>
      </w:r>
    </w:p>
    <w:p>
      <w:pPr>
        <w:pStyle w:val="FirstParagraph"/>
      </w:pPr>
      <w:r>
        <w:rPr>
          <w:bCs/>
          <w:b/>
        </w:rPr>
        <w:t xml:space="preserve">Établi (études enregistrées) :</w:t>
      </w:r>
      <w:r>
        <w:t xml:space="preserve"> </w:t>
      </w:r>
      <w:r>
        <w:t xml:space="preserve">sur les 793 inscriptions aux registres, une grande partie concerne des associations et des successeurs. Exemples :</w:t>
      </w:r>
    </w:p>
    <w:p>
      <w:pPr>
        <w:numPr>
          <w:ilvl w:val="0"/>
          <w:numId w:val="1058"/>
        </w:numPr>
        <w:pStyle w:val="Compact"/>
      </w:pPr>
      <w:r>
        <w:rPr>
          <w:bCs/>
          <w:b/>
        </w:rPr>
        <w:t xml:space="preserve">Yeux :</w:t>
      </w:r>
      <w:r>
        <w:t xml:space="preserve"> </w:t>
      </w:r>
      <w:r>
        <w:t xml:space="preserve">une étude portant sur 1 500 participants examine spécifiquement l’effet sur la rétinopathie diabétique</w:t>
      </w:r>
      <w:r>
        <w:rPr>
          <w:rStyle w:val="FootnoteReference"/>
        </w:rPr>
        <w:footnoteReference w:id="469"/>
      </w:r>
      <w:r>
        <w:t xml:space="preserve">.</w:t>
      </w:r>
    </w:p>
    <w:p>
      <w:pPr>
        <w:numPr>
          <w:ilvl w:val="0"/>
          <w:numId w:val="1058"/>
        </w:numPr>
        <w:pStyle w:val="Compact"/>
      </w:pPr>
      <w:r>
        <w:rPr>
          <w:bCs/>
          <w:b/>
        </w:rPr>
        <w:t xml:space="preserve">Foie :</w:t>
      </w:r>
      <w:r>
        <w:t xml:space="preserve"> </w:t>
      </w:r>
      <w:r>
        <w:t xml:space="preserve">la seconde partie d’ESSENCE, portant sur 1 205 participants, doit déterminer si le sémaglutide prévient la cirrhose et les complications hépatiques</w:t>
      </w:r>
      <w:r>
        <w:rPr>
          <w:rStyle w:val="FootnoteReference"/>
        </w:rPr>
        <w:footnoteReference w:id="470"/>
      </w:r>
      <w:r>
        <w:t xml:space="preserve">.</w:t>
      </w:r>
    </w:p>
    <w:p>
      <w:pPr>
        <w:numPr>
          <w:ilvl w:val="0"/>
          <w:numId w:val="1058"/>
        </w:numPr>
        <w:pStyle w:val="Compact"/>
      </w:pPr>
      <w:r>
        <w:rPr>
          <w:bCs/>
          <w:b/>
        </w:rPr>
        <w:t xml:space="preserve">Enfants :</w:t>
      </w:r>
      <w:r>
        <w:t xml:space="preserve"> </w:t>
      </w:r>
      <w:r>
        <w:t xml:space="preserve">une étude portant sur 212 enfants et adolescents est en cours</w:t>
      </w:r>
      <w:r>
        <w:rPr>
          <w:rStyle w:val="FootnoteReference"/>
        </w:rPr>
        <w:footnoteReference w:id="471"/>
      </w:r>
      <w:r>
        <w:t xml:space="preserve">.</w:t>
      </w:r>
    </w:p>
    <w:p>
      <w:pPr>
        <w:numPr>
          <w:ilvl w:val="0"/>
          <w:numId w:val="1058"/>
        </w:numPr>
        <w:pStyle w:val="Compact"/>
      </w:pPr>
      <w:r>
        <w:rPr>
          <w:bCs/>
          <w:b/>
        </w:rPr>
        <w:t xml:space="preserve">Comprimé :</w:t>
      </w:r>
      <w:r>
        <w:t xml:space="preserve"> </w:t>
      </w:r>
      <w:r>
        <w:t xml:space="preserve">d’autres études de phase 3 sur le comprimé dans l’obésité ont débuté</w:t>
      </w:r>
      <w:r>
        <w:rPr>
          <w:rStyle w:val="FootnoteReference"/>
        </w:rPr>
        <w:footnoteReference w:id="472"/>
      </w:r>
      <w:r>
        <w:t xml:space="preserve">.</w:t>
      </w:r>
    </w:p>
    <w:p>
      <w:pPr>
        <w:numPr>
          <w:ilvl w:val="0"/>
          <w:numId w:val="1058"/>
        </w:numPr>
        <w:pStyle w:val="Compact"/>
      </w:pPr>
      <w:r>
        <w:rPr>
          <w:bCs/>
          <w:b/>
        </w:rPr>
        <w:t xml:space="preserve">Association CagriSema :</w:t>
      </w:r>
      <w:r>
        <w:t xml:space="preserve"> </w:t>
      </w:r>
      <w:r>
        <w:t xml:space="preserve">le sémaglutide en association fixe avec l’analogue de l’amyline cagrilintide est évalué dans une étude cardiovasculaire portant sur 7 101 participants</w:t>
      </w:r>
      <w:r>
        <w:rPr>
          <w:rStyle w:val="FootnoteReference"/>
        </w:rPr>
        <w:footnoteReference w:id="473"/>
      </w:r>
      <w:r>
        <w:t xml:space="preserve"> </w:t>
      </w:r>
      <w:r>
        <w:t xml:space="preserve">; détails dans le chapitre Cagrilintide/CagriSema.</w:t>
      </w:r>
    </w:p>
    <w:p>
      <w:pPr>
        <w:pStyle w:val="FirstParagraph"/>
      </w:pPr>
      <w:r>
        <w:rPr>
          <w:bCs/>
          <w:b/>
        </w:rPr>
        <w:t xml:space="preserve">Estimation :</w:t>
      </w:r>
      <w:r>
        <w:t xml:space="preserve"> </w:t>
      </w:r>
      <w:r>
        <w:t xml:space="preserve">dans les années à venir, le sémaglutide subira une pression de deux côtés – de successeurs plus efficaces comme le tirzépatide, le CagriSema ou le rétatrutide et des génériques dans de grands marchés. En même temps, c’est la substance disposant de la base de preuves la plus large pour des critères durs (cœur, reins, foie). La forme comprimé pourrait élargir nettement l’accès. Les études sur la maladie d’Alzheimer qui ont échoué montrent que tous les espoirs issus d’expériences animales et de données observationnelles ne se concrétisent pas.</w:t>
      </w:r>
    </w:p>
    <w:bookmarkEnd w:id="474"/>
    <w:bookmarkStart w:id="475" w:name="conclusion-3"/>
    <w:p>
      <w:pPr>
        <w:pStyle w:val="Heading3"/>
      </w:pPr>
      <w:r>
        <w:t xml:space="preserve">Conclusion</w:t>
      </w:r>
    </w:p>
    <w:p>
      <w:pPr>
        <w:pStyle w:val="FirstParagraph"/>
      </w:pPr>
      <w:r>
        <w:t xml:space="preserve">Le sémaglutide est l’agoniste du récepteur du GLP-1 le plus largement étudié et a dépassé en comparaison directe l’exénatide, le liraglutide et le dulaglutide. À la dose de 2,4 mg par semaine, les personnes obèses ont perdu dans STEP 1 en moyenne 14,9 % de leur poids ; après l’arrêt, la majeure partie du poids est reprise. De grandes études sur critères cliniques ont montré une réduction des événements cardiovasculaires graves – même sans diabète (SELECT, 20 %) – ainsi qu’une protection des reins (FLOW) et des améliorations de la stéatohépatite. Les effets indésirables fréquents concernent le tube digestif et la vésicule biliaire ; des signaux rares comme la NAION continuent d’être surveillés, tandis que les études sur la maladie d’Alzheimer n’ont montré aucun bénéfice. Les produits du marché gris comportent des risques considérables – le traitement relève du médecin et de la pharmacie.</w:t>
      </w:r>
    </w:p>
    <w:bookmarkEnd w:id="475"/>
    <w:bookmarkEnd w:id="476"/>
    <w:bookmarkStart w:id="536" w:name="tirzépatide"/>
    <w:p>
      <w:pPr>
        <w:pStyle w:val="Heading2"/>
      </w:pPr>
      <w:r>
        <w:t xml:space="preserve">Tirzépatide</w:t>
      </w:r>
    </w:p>
    <w:bookmarkStart w:id="477" w:name="fiche-signalétique-4"/>
    <w:p>
      <w:pPr>
        <w:pStyle w:val="Heading3"/>
      </w:pPr>
      <w:r>
        <w:t xml:space="preserve">Fiche signalétique</w:t>
      </w:r>
    </w:p>
    <w:p>
      <w:pPr>
        <w:numPr>
          <w:ilvl w:val="0"/>
          <w:numId w:val="1059"/>
        </w:numPr>
        <w:pStyle w:val="Compact"/>
      </w:pPr>
      <w:r>
        <w:rPr>
          <w:bCs/>
          <w:b/>
        </w:rPr>
        <w:t xml:space="preserve">Type/structure :</w:t>
      </w:r>
      <w:r>
        <w:t xml:space="preserve"> </w:t>
      </w:r>
      <w:r>
        <w:t xml:space="preserve">peptide de synthèse dont la structure de base s’inspire de l’hormone intestinale GIP produite par l’organisme ; une chaîne d’acide gras fixée le lie à l’albumine dans le sang et prolonge sa durée d’action au point qu’une injection par semaine suffit.</w:t>
      </w:r>
    </w:p>
    <w:p>
      <w:pPr>
        <w:numPr>
          <w:ilvl w:val="0"/>
          <w:numId w:val="1059"/>
        </w:numPr>
        <w:pStyle w:val="Compact"/>
      </w:pPr>
      <w:r>
        <w:rPr>
          <w:bCs/>
          <w:b/>
        </w:rPr>
        <w:t xml:space="preserve">Origine :</w:t>
      </w:r>
      <w:r>
        <w:t xml:space="preserve"> </w:t>
      </w:r>
      <w:r>
        <w:t xml:space="preserve">développé par Eli Lilly, désigné dans les premières études sous le code LY3298176.</w:t>
      </w:r>
    </w:p>
    <w:p>
      <w:pPr>
        <w:numPr>
          <w:ilvl w:val="0"/>
          <w:numId w:val="1059"/>
        </w:numPr>
        <w:pStyle w:val="Compact"/>
      </w:pPr>
      <w:r>
        <w:rPr>
          <w:bCs/>
          <w:b/>
        </w:rPr>
        <w:t xml:space="preserve">Principe d’action :</w:t>
      </w:r>
      <w:r>
        <w:t xml:space="preserve"> </w:t>
      </w:r>
      <w:r>
        <w:t xml:space="preserve">double agoniste (activateur) de deux récepteurs : le récepteur du GIP et le récepteur du GLP-1. D’où aussi les appellations « twincrétine » ou « double agoniste des incrétines ».</w:t>
      </w:r>
    </w:p>
    <w:p>
      <w:pPr>
        <w:numPr>
          <w:ilvl w:val="0"/>
          <w:numId w:val="1059"/>
        </w:numPr>
        <w:pStyle w:val="Compact"/>
      </w:pPr>
      <w:r>
        <w:rPr>
          <w:bCs/>
          <w:b/>
        </w:rPr>
        <w:t xml:space="preserve">Autorisation UE :</w:t>
      </w:r>
      <w:r>
        <w:t xml:space="preserve"> </w:t>
      </w:r>
      <w:r>
        <w:t xml:space="preserve">oui (Mounjaro) pour le diabète de type 2 et pour la gestion du poids en cas d’obésité et de surpoids avec comorbidités.</w:t>
      </w:r>
    </w:p>
    <w:p>
      <w:pPr>
        <w:numPr>
          <w:ilvl w:val="0"/>
          <w:numId w:val="1059"/>
        </w:numPr>
        <w:pStyle w:val="Compact"/>
      </w:pPr>
      <w:r>
        <w:rPr>
          <w:bCs/>
          <w:b/>
        </w:rPr>
        <w:t xml:space="preserve">Autorisation États-Unis :</w:t>
      </w:r>
      <w:r>
        <w:t xml:space="preserve"> </w:t>
      </w:r>
      <w:r>
        <w:t xml:space="preserve">oui (Mounjaro pour le diabète de type 2 ; Zepbound pour l’obésité et pour l’apnée obstructive du sommeil modérée à sévère associée à l’obésité).</w:t>
      </w:r>
    </w:p>
    <w:p>
      <w:pPr>
        <w:numPr>
          <w:ilvl w:val="0"/>
          <w:numId w:val="1059"/>
        </w:numPr>
        <w:pStyle w:val="Compact"/>
      </w:pPr>
      <w:r>
        <w:rPr>
          <w:bCs/>
          <w:b/>
        </w:rPr>
        <w:t xml:space="preserve">AMA :</w:t>
      </w:r>
      <w:r>
        <w:t xml:space="preserve"> </w:t>
      </w:r>
      <w:r>
        <w:t xml:space="preserve">ne figure pas sur la liste des interdictions.</w:t>
      </w:r>
    </w:p>
    <w:p>
      <w:pPr>
        <w:numPr>
          <w:ilvl w:val="0"/>
          <w:numId w:val="1059"/>
        </w:numPr>
        <w:pStyle w:val="Compact"/>
      </w:pPr>
      <w:r>
        <w:rPr>
          <w:bCs/>
          <w:b/>
        </w:rPr>
        <w:t xml:space="preserve">Niveau de preuve :</w:t>
      </w:r>
      <w:r>
        <w:t xml:space="preserve"> </w:t>
      </w:r>
      <w:r>
        <w:rPr>
          <w:bCs/>
          <w:b/>
        </w:rPr>
        <w:t xml:space="preserve">A</w:t>
      </w:r>
      <w:r>
        <w:t xml:space="preserve"> </w:t>
      </w:r>
      <w:r>
        <w:t xml:space="preserve">– nombreuses grandes études randomisées, études sur critères cliniques concernant le cœur et l’insuffisance cardiaque, autorisation dans de nombreux pays.</w:t>
      </w:r>
    </w:p>
    <w:bookmarkEnd w:id="477"/>
    <w:bookmarkStart w:id="481" w:name="mode-daction-supposé-4"/>
    <w:p>
      <w:pPr>
        <w:pStyle w:val="Heading3"/>
      </w:pPr>
      <w:r>
        <w:t xml:space="preserve">Mode d’action supposé</w:t>
      </w:r>
    </w:p>
    <w:p>
      <w:pPr>
        <w:pStyle w:val="FirstParagraph"/>
      </w:pPr>
      <w:r>
        <w:t xml:space="preserve">Après un repas, l’intestin sécrète deux hormones appelées incrétines : le GLP-1 (glucagon-like peptide-1) et le GIP (polypeptide insulinotrope dépendant du glucose). Toutes deux signalent au pancréas « de la nourriture arrive » et renforcent la sécrétion d’insuline – mais seulement tant que la glycémie est élevée. C’est la raison pour laquelle les médicaments incrétines utilisés seuls provoquent rarement des hypoglycémies. Le GLP-1 freine en outre la vidange gastrique et agit dans le cerveau sur les centres de la satiété. Le rôle du GIP dans l’appétit est moins clair et a longtemps été controversé ; dans certains travaux plus anciens, le GIP était même plutôt considéré comme une « hormone qui fait grossir ».</w:t>
      </w:r>
    </w:p>
    <w:p>
      <w:pPr>
        <w:pStyle w:val="BodyText"/>
      </w:pPr>
      <w:r>
        <w:t xml:space="preserve">Le tirzépatide combine les deux signaux dans une seule molécule. Des études en laboratoire sur des lignées cellulaires ont montré deux particularités</w:t>
      </w:r>
      <w:r>
        <w:rPr>
          <w:rStyle w:val="FootnoteReference"/>
        </w:rPr>
        <w:footnoteReference w:id="478"/>
      </w:r>
      <w:r>
        <w:t xml:space="preserve"> </w:t>
      </w:r>
      <w:r>
        <w:t xml:space="preserve">: premièrement, le tirzépatide est « déséquilibré » – aux concentrations atteintes avec les doses thérapeutiques, il occupe davantage le récepteur du GIP que le récepteur du GLP-1. Deuxièmement, au niveau du récepteur du GLP-1, il active de préférence une voie de signalisation particulière (AMPc) et déclenche moins l’internalisation du récepteur, au cours de laquelle celui-ci est attiré à l’intérieur de la cellule et ainsi temporairement désactivé. Que cette signalisation « biaisée » joue un rôle chez l’humain est une hypothèse issue de données de laboratoire.</w:t>
      </w:r>
    </w:p>
    <w:p>
      <w:pPr>
        <w:pStyle w:val="BodyText"/>
      </w:pPr>
      <w:r>
        <w:t xml:space="preserve">Chez des souris en surpoids, le tirzépatide a amélioré la sensibilité à l’insuline davantage qu’un agoniste pur du GLP-1, et ce en partie indépendamment de la perte de poids – par l’intermédiaire du récepteur du GIP et d’une meilleure captation du glucose dans le tissu adipeux</w:t>
      </w:r>
      <w:r>
        <w:rPr>
          <w:rStyle w:val="FootnoteReference"/>
        </w:rPr>
        <w:footnoteReference w:id="479"/>
      </w:r>
      <w:r>
        <w:t xml:space="preserve">. Chez l’humain, c’est surtout la prise alimentaire qui diminue sous tirzépatide ; dans une étude portant sur 117 personnes atteintes de diabète de type 2, l’appétit, l’apport énergétique et la masse grasse ont diminué sous tirzépatide par rapport au placebo. Pour l’appétit, il ne se distinguait toutefois pas de façon mesurable du sémaglutide, bien que la perte de poids ait été plus importante – les autrices et auteurs jugent donc possibles d’autres mécanismes</w:t>
      </w:r>
      <w:r>
        <w:rPr>
          <w:rStyle w:val="FootnoteReference"/>
        </w:rPr>
        <w:footnoteReference w:id="480"/>
      </w:r>
      <w:r>
        <w:t xml:space="preserve">.</w:t>
      </w:r>
    </w:p>
    <w:p>
      <w:pPr>
        <w:pStyle w:val="BodyText"/>
      </w:pPr>
      <w:r>
        <w:t xml:space="preserve">En termes simples : le tirzépatide agit comme un médicament GLP-1 doté d’un « amplificateur » GIP supplémentaire. Les études montrent que cet ensemble a plus d’effet sur le poids et la glycémie que les agonistes purs du GLP-1 disponibles jusqu’ici – pourquoi exactement, ce n’est pas encore entièrement compris.</w:t>
      </w:r>
    </w:p>
    <w:bookmarkEnd w:id="481"/>
    <w:bookmarkStart w:id="514" w:name="études-chez-lhumain-4"/>
    <w:p>
      <w:pPr>
        <w:pStyle w:val="Heading3"/>
      </w:pPr>
      <w:r>
        <w:t xml:space="preserve">Études chez l’humain</w:t>
      </w:r>
    </w:p>
    <w:p>
      <w:pPr>
        <w:pStyle w:val="FirstParagraph"/>
      </w:pPr>
      <w:r>
        <w:rPr>
          <w:bCs/>
          <w:b/>
        </w:rPr>
        <w:t xml:space="preserve">Ampleur des données :</w:t>
      </w:r>
      <w:r>
        <w:t xml:space="preserve"> </w:t>
      </w:r>
      <w:r>
        <w:t xml:space="preserve">la recherche PubMed automatisée (octobre 2026) a donné 144 publications classées comme études chez l’humain avec « tirzepatide » dans le titre ou le résumé, ainsi que de très nombreuses revues et méta-analyses. 307 études étaient enregistrées sur ClinicalTrials.gov, dont plus de 100 encore en phase de recrutement (une inscription d’exemple manifestement fictive d’un sponsor inconnu n’a pas été comptée). Le tirzépatide fait ainsi partie des substances les mieux étudiées de ce livre. L’essentiel repose sur deux programmes d’autorisation :</w:t>
      </w:r>
      <w:r>
        <w:t xml:space="preserve"> </w:t>
      </w:r>
      <w:r>
        <w:rPr>
          <w:bCs/>
          <w:b/>
        </w:rPr>
        <w:t xml:space="preserve">SURPASS</w:t>
      </w:r>
      <w:r>
        <w:t xml:space="preserve"> </w:t>
      </w:r>
      <w:r>
        <w:t xml:space="preserve">(diabète de type 2) et</w:t>
      </w:r>
      <w:r>
        <w:t xml:space="preserve"> </w:t>
      </w:r>
      <w:r>
        <w:rPr>
          <w:bCs/>
          <w:b/>
        </w:rPr>
        <w:t xml:space="preserve">SURMOUNT</w:t>
      </w:r>
      <w:r>
        <w:t xml:space="preserve"> </w:t>
      </w:r>
      <w:r>
        <w:t xml:space="preserve">(obésité), complétés par des études sur l’insuffisance cardiaque, l’apnée du sommeil et la stéatose hépatique.</w:t>
      </w:r>
    </w:p>
    <w:bookmarkStart w:id="484" w:name="Xb194ae9d6fd976fe7818bc9eff686c390039227"/>
    <w:p>
      <w:pPr>
        <w:pStyle w:val="Heading4"/>
      </w:pPr>
      <w:r>
        <w:t xml:space="preserve">Du laboratoire à la clinique : phases 1 et 2</w:t>
      </w:r>
    </w:p>
    <w:p>
      <w:pPr>
        <w:pStyle w:val="FirstParagraph"/>
      </w:pPr>
      <w:r>
        <w:t xml:space="preserve">Les premières données chez l’humain proviennent d’une étude combinée de phase 1 portant sur 142 personnes qui ont reçu du tirzépatide, du dulaglutide ou un placebo. Chez les personnes atteintes de diabète de type 2, les doses plus élevées ont nettement abaissé la glycémie à jeun après quatre semaines ; les effets indésirables les plus fréquents concernaient le tube digestif</w:t>
      </w:r>
      <w:r>
        <w:rPr>
          <w:rStyle w:val="FootnoteReference"/>
        </w:rPr>
        <w:footnoteReference w:id="482"/>
      </w:r>
      <w:r>
        <w:t xml:space="preserve">.</w:t>
      </w:r>
    </w:p>
    <w:p>
      <w:pPr>
        <w:pStyle w:val="BodyText"/>
      </w:pPr>
      <w:r>
        <w:t xml:space="preserve">Dans l’étude de phase 2, 318 personnes atteintes de diabète de type 2 ont reçu pendant 26 semaines l’une des quatre doses de tirzépatide, du dulaglutide ou un placebo. L’HbA1c a baissé de façon dose-dépendante jusqu’à 1,94 point de pourcentage (dulaglutide : −1,21 ; placebo : −0,06). Le poids corporel a varié de −0,9 à −11,3 kg sous tirzépatide, de −2,7 kg sous dulaglutide</w:t>
      </w:r>
      <w:r>
        <w:rPr>
          <w:rStyle w:val="FootnoteReference"/>
        </w:rPr>
        <w:footnoteReference w:id="483"/>
      </w:r>
      <w:r>
        <w:t xml:space="preserve">. Cet ordre de grandeur de la perte de poids – dans une étude sur le diabète – a été à l’origine du grand programme sur l’obésité.</w:t>
      </w:r>
    </w:p>
    <w:bookmarkEnd w:id="484"/>
    <w:bookmarkStart w:id="490" w:name="surpass-diabète-de-type-2"/>
    <w:p>
      <w:pPr>
        <w:pStyle w:val="Heading4"/>
      </w:pPr>
      <w:r>
        <w:t xml:space="preserve">SURPASS : diabète de type 2</w:t>
      </w:r>
    </w:p>
    <w:p>
      <w:pPr>
        <w:pStyle w:val="FirstParagraph"/>
      </w:pPr>
      <w:r>
        <w:t xml:space="preserve">Le programme SURPASS a évalué le tirzépatide à trois doses (5, 10 et 15 mg par semaine) contre placebo, contre sémaglutide et contre des insulines. La valeur de l’HbA1c reflète la glycémie moyenne des deux à trois derniers mois ; une valeur inférieure à 7 % est considérée comme objectif thérapeutique pour de nombreuses personnes diabétiques.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SURPASS-1 (Rosenstock 2021), PMID 34186022</w:t>
            </w:r>
          </w:p>
        </w:tc>
        <w:tc>
          <w:tcPr/>
          <w:p>
            <w:pPr>
              <w:pStyle w:val="Compact"/>
              <w:jc w:val="left"/>
            </w:pPr>
            <w:r>
              <w:t xml:space="preserve">478 adultes, régime et activité physique seuls, contre placebo</w:t>
            </w:r>
          </w:p>
        </w:tc>
        <w:tc>
          <w:tcPr/>
          <w:p>
            <w:pPr>
              <w:pStyle w:val="Compact"/>
              <w:jc w:val="left"/>
            </w:pPr>
            <w:r>
              <w:t xml:space="preserve">40 semaines</w:t>
            </w:r>
          </w:p>
        </w:tc>
        <w:tc>
          <w:tcPr/>
          <w:p>
            <w:pPr>
              <w:pStyle w:val="Compact"/>
              <w:jc w:val="left"/>
            </w:pPr>
            <w:r>
              <w:t xml:space="preserve">HbA1c −1,87 à −2,07 points vs +0,04 ; poids −7,0 à −9,5 kg</w:t>
            </w:r>
          </w:p>
        </w:tc>
      </w:tr>
      <w:tr>
        <w:tc>
          <w:tcPr/>
          <w:p>
            <w:pPr>
              <w:pStyle w:val="Compact"/>
              <w:jc w:val="left"/>
            </w:pPr>
            <w:r>
              <w:t xml:space="preserve">SURPASS-2 (Frías 2021), PMID 34170647</w:t>
            </w:r>
          </w:p>
        </w:tc>
        <w:tc>
          <w:tcPr/>
          <w:p>
            <w:pPr>
              <w:pStyle w:val="Compact"/>
              <w:jc w:val="left"/>
            </w:pPr>
            <w:r>
              <w:t xml:space="preserve">1 879 adultes sous metformine, ouverte contre sémaglutide 1 mg</w:t>
            </w:r>
          </w:p>
        </w:tc>
        <w:tc>
          <w:tcPr/>
          <w:p>
            <w:pPr>
              <w:pStyle w:val="Compact"/>
              <w:jc w:val="left"/>
            </w:pPr>
            <w:r>
              <w:t xml:space="preserve">40 semaines</w:t>
            </w:r>
          </w:p>
        </w:tc>
        <w:tc>
          <w:tcPr/>
          <w:p>
            <w:pPr>
              <w:pStyle w:val="Compact"/>
              <w:jc w:val="left"/>
            </w:pPr>
            <w:r>
              <w:t xml:space="preserve">HbA1c −2,01 à −2,30 vs −1,86 ; poids −1,9 à −5,5 kg supplémentaires</w:t>
            </w:r>
          </w:p>
        </w:tc>
      </w:tr>
      <w:tr>
        <w:tc>
          <w:tcPr/>
          <w:p>
            <w:pPr>
              <w:pStyle w:val="Compact"/>
              <w:jc w:val="left"/>
            </w:pPr>
            <w:r>
              <w:t xml:space="preserve">SURPASS-3 (Ludvik 2021), PMID 34370970</w:t>
            </w:r>
          </w:p>
        </w:tc>
        <w:tc>
          <w:tcPr/>
          <w:p>
            <w:pPr>
              <w:pStyle w:val="Compact"/>
              <w:jc w:val="left"/>
            </w:pPr>
            <w:r>
              <w:t xml:space="preserve">1 444 adultes, ouverte contre insuline dégludec</w:t>
            </w:r>
          </w:p>
        </w:tc>
        <w:tc>
          <w:tcPr/>
          <w:p>
            <w:pPr>
              <w:pStyle w:val="Compact"/>
              <w:jc w:val="left"/>
            </w:pPr>
            <w:r>
              <w:t xml:space="preserve">52 semaines</w:t>
            </w:r>
          </w:p>
        </w:tc>
        <w:tc>
          <w:tcPr/>
          <w:p>
            <w:pPr>
              <w:pStyle w:val="Compact"/>
              <w:jc w:val="left"/>
            </w:pPr>
            <w:r>
              <w:t xml:space="preserve">HbA1c −1,93 à −2,37 vs −1,34 ; poids −7,5 à −12,9 kg vs +2,3 kg</w:t>
            </w:r>
          </w:p>
        </w:tc>
      </w:tr>
      <w:tr>
        <w:tc>
          <w:tcPr/>
          <w:p>
            <w:pPr>
              <w:pStyle w:val="Compact"/>
              <w:jc w:val="left"/>
            </w:pPr>
            <w:r>
              <w:t xml:space="preserve">SURPASS-4 (Del Prato 2021), PMID 34672967</w:t>
            </w:r>
          </w:p>
        </w:tc>
        <w:tc>
          <w:tcPr/>
          <w:p>
            <w:pPr>
              <w:pStyle w:val="Compact"/>
              <w:jc w:val="left"/>
            </w:pPr>
            <w:r>
              <w:t xml:space="preserve">2 002 adultes à haut risque cardiovasculaire, ouverte contre insuline glargine</w:t>
            </w:r>
          </w:p>
        </w:tc>
        <w:tc>
          <w:tcPr/>
          <w:p>
            <w:pPr>
              <w:pStyle w:val="Compact"/>
              <w:jc w:val="left"/>
            </w:pPr>
            <w:r>
              <w:t xml:space="preserve">52 à 104 semaines</w:t>
            </w:r>
          </w:p>
        </w:tc>
        <w:tc>
          <w:tcPr/>
          <w:p>
            <w:pPr>
              <w:pStyle w:val="Compact"/>
              <w:jc w:val="left"/>
            </w:pPr>
            <w:r>
              <w:t xml:space="preserve">HbA1c −2,43/−2,58 vs −1,44 ; MACE-4 non augmentés (HR 0,74)</w:t>
            </w:r>
          </w:p>
        </w:tc>
      </w:tr>
      <w:tr>
        <w:tc>
          <w:tcPr/>
          <w:p>
            <w:pPr>
              <w:pStyle w:val="Compact"/>
              <w:jc w:val="left"/>
            </w:pPr>
            <w:r>
              <w:t xml:space="preserve">SURPASS-5 (Dahl 2022), PMID 35133415</w:t>
            </w:r>
          </w:p>
        </w:tc>
        <w:tc>
          <w:tcPr/>
          <w:p>
            <w:pPr>
              <w:pStyle w:val="Compact"/>
              <w:jc w:val="left"/>
            </w:pPr>
            <w:r>
              <w:t xml:space="preserve">475 adultes sous insuline glargine, contre placebo</w:t>
            </w:r>
          </w:p>
        </w:tc>
        <w:tc>
          <w:tcPr/>
          <w:p>
            <w:pPr>
              <w:pStyle w:val="Compact"/>
              <w:jc w:val="left"/>
            </w:pPr>
            <w:r>
              <w:t xml:space="preserve">40 semaines</w:t>
            </w:r>
          </w:p>
        </w:tc>
        <w:tc>
          <w:tcPr/>
          <w:p>
            <w:pPr>
              <w:pStyle w:val="Compact"/>
              <w:jc w:val="left"/>
            </w:pPr>
            <w:r>
              <w:t xml:space="preserve">HbA1c −2,11 à −2,40 vs −0,86 ; poids −5,4 à −8,8 kg vs +1,6 kg</w:t>
            </w:r>
          </w:p>
        </w:tc>
      </w:tr>
      <w:tr>
        <w:tc>
          <w:tcPr/>
          <w:p>
            <w:pPr>
              <w:pStyle w:val="Compact"/>
              <w:jc w:val="left"/>
            </w:pPr>
            <w:r>
              <w:t xml:space="preserve">SURPASS-PEDS (Hannon 2025), PMID 40975112</w:t>
            </w:r>
          </w:p>
        </w:tc>
        <w:tc>
          <w:tcPr/>
          <w:p>
            <w:pPr>
              <w:pStyle w:val="Compact"/>
              <w:jc w:val="left"/>
            </w:pPr>
            <w:r>
              <w:t xml:space="preserve">99 adolescents (10–17 ans) atteints de diabète de type 2, contre placebo</w:t>
            </w:r>
          </w:p>
        </w:tc>
        <w:tc>
          <w:tcPr/>
          <w:p>
            <w:pPr>
              <w:pStyle w:val="Compact"/>
              <w:jc w:val="left"/>
            </w:pPr>
            <w:r>
              <w:t xml:space="preserve">30 semaines (+22 en ouvert)</w:t>
            </w:r>
          </w:p>
        </w:tc>
        <w:tc>
          <w:tcPr/>
          <w:p>
            <w:pPr>
              <w:pStyle w:val="Compact"/>
              <w:jc w:val="left"/>
            </w:pPr>
            <w:r>
              <w:t xml:space="preserve">HbA1c −2,23 vs +0,05 ; IMC −7,4 à −11,2 %</w:t>
            </w:r>
          </w:p>
        </w:tc>
      </w:tr>
    </w:tbl>
    <w:p>
      <w:pPr>
        <w:pStyle w:val="BodyText"/>
      </w:pPr>
      <w:r>
        <w:t xml:space="preserve">Quelques points méritent d’être soulignés :</w:t>
      </w:r>
    </w:p>
    <w:p>
      <w:pPr>
        <w:numPr>
          <w:ilvl w:val="0"/>
          <w:numId w:val="1060"/>
        </w:numPr>
        <w:pStyle w:val="Compact"/>
      </w:pPr>
      <w:r>
        <w:rPr>
          <w:bCs/>
          <w:b/>
        </w:rPr>
        <w:t xml:space="preserve">En comparaison directe avec le sémaglutide</w:t>
      </w:r>
      <w:r>
        <w:t xml:space="preserve"> </w:t>
      </w:r>
      <w:r>
        <w:t xml:space="preserve">(SURPASS-2), le tirzépatide était, aux trois doses, non inférieur et supérieur pour l’HbA1c. L’étude utilisait toutefois le sémaglutide à la dose de 1 mg ; la dose plus élevée autorisée ultérieurement dans le diabète n’était pas le comparateur. La fréquence des nausées (17–22 % vs 18 %) et des vomissements (6–10 % vs 8 %) était similaire ; des événements indésirables graves sont survenus chez 5–7 % sous tirzépatide contre 3 % sous sémaglutide</w:t>
      </w:r>
      <w:r>
        <w:rPr>
          <w:rStyle w:val="FootnoteReference"/>
        </w:rPr>
        <w:footnoteReference w:id="485"/>
      </w:r>
      <w:r>
        <w:t xml:space="preserve">.</w:t>
      </w:r>
    </w:p>
    <w:p>
      <w:pPr>
        <w:numPr>
          <w:ilvl w:val="0"/>
          <w:numId w:val="1060"/>
        </w:numPr>
        <w:pStyle w:val="Compact"/>
      </w:pPr>
      <w:r>
        <w:rPr>
          <w:bCs/>
          <w:b/>
        </w:rPr>
        <w:t xml:space="preserve">Par rapport à l’insuline</w:t>
      </w:r>
      <w:r>
        <w:t xml:space="preserve">, le tirzépatide a entraîné une baisse plus importante de la glycémie et, en même temps, une perte de poids au lieu d’une prise de poids. Les hypoglycémies (inférieures à 54 mg/dl ou sévères) étaient nettement plus rares dans SURPASS-3 : 1–2 % contre 7 % sous insuline dégludec</w:t>
      </w:r>
      <w:r>
        <w:rPr>
          <w:rStyle w:val="FootnoteReference"/>
        </w:rPr>
        <w:footnoteReference w:id="486"/>
      </w:r>
      <w:r>
        <w:t xml:space="preserve">.</w:t>
      </w:r>
    </w:p>
    <w:p>
      <w:pPr>
        <w:numPr>
          <w:ilvl w:val="0"/>
          <w:numId w:val="1060"/>
        </w:numPr>
        <w:pStyle w:val="Compact"/>
      </w:pPr>
      <w:r>
        <w:rPr>
          <w:bCs/>
          <w:b/>
        </w:rPr>
        <w:t xml:space="preserve">Enfants et adolescents :</w:t>
      </w:r>
      <w:r>
        <w:t xml:space="preserve"> </w:t>
      </w:r>
      <w:r>
        <w:t xml:space="preserve">SURPASS-PEDS est l’une des rares études sur les incrétines dans le diabète de type 2 de l’adolescent. L’effet s’est maintenu dans la prolongation ouverte jusqu’à la semaine 52 ; le profil d’effets indésirables correspondait à celui des adultes</w:t>
      </w:r>
      <w:r>
        <w:rPr>
          <w:rStyle w:val="FootnoteReference"/>
        </w:rPr>
        <w:footnoteReference w:id="487"/>
      </w:r>
      <w:r>
        <w:t xml:space="preserve">.</w:t>
      </w:r>
    </w:p>
    <w:p>
      <w:pPr>
        <w:numPr>
          <w:ilvl w:val="0"/>
          <w:numId w:val="1060"/>
        </w:numPr>
        <w:pStyle w:val="Compact"/>
      </w:pPr>
      <w:r>
        <w:rPr>
          <w:bCs/>
          <w:b/>
        </w:rPr>
        <w:t xml:space="preserve">Diabète de type 1 :</w:t>
      </w:r>
      <w:r>
        <w:t xml:space="preserve"> </w:t>
      </w:r>
      <w:r>
        <w:t xml:space="preserve">une petite étude de phase 2 portant sur 24 adultes atteints de diabète de type 1 et d’obésité a montré après douze semaines une perte de poids de 10,3 kg contre 0,7 kg sous placebo et des besoins en insuline inférieurs de 35 %</w:t>
      </w:r>
      <w:r>
        <w:rPr>
          <w:rStyle w:val="FootnoteReference"/>
        </w:rPr>
        <w:footnoteReference w:id="488"/>
      </w:r>
      <w:r>
        <w:t xml:space="preserve">. Le tirzépatide n’est pas autorisé dans le diabète de type 1 ; des études plus grandes sont en cours (voir Perspectives).</w:t>
      </w:r>
    </w:p>
    <w:p>
      <w:pPr>
        <w:pStyle w:val="FirstParagraph"/>
      </w:pPr>
      <w:r>
        <w:t xml:space="preserve">Une méta-analyse prévue à l’avance de l’ensemble des sept études SURPASS d’une durée d’au moins 26 semaines (4 887 personnes sous tirzépatide, 2 328 dans les groupes témoins) n’a pas trouvé de risque accru d’événements cardiovasculaires graves (MACE-4, hazard ratio 0,80 ; intervalle de confiance à 95 % 0,57–1,11)</w:t>
      </w:r>
      <w:r>
        <w:rPr>
          <w:rStyle w:val="FootnoteReference"/>
        </w:rPr>
        <w:footnoteReference w:id="489"/>
      </w:r>
      <w:r>
        <w:t xml:space="preserve">. C’est une affirmation de sécurité, pas de bénéfice – pour cela, l’étude sur critères cliniques SURPASS-CVOT était nécessaire.</w:t>
      </w:r>
    </w:p>
    <w:bookmarkEnd w:id="490"/>
    <w:bookmarkStart w:id="494" w:name="surpass-cvot-critères-cardiovasculaires"/>
    <w:p>
      <w:pPr>
        <w:pStyle w:val="Heading4"/>
      </w:pPr>
      <w:r>
        <w:t xml:space="preserve">SURPASS-CVOT : critères cardiovasculaires</w:t>
      </w:r>
    </w:p>
    <w:p>
      <w:pPr>
        <w:pStyle w:val="FirstParagraph"/>
      </w:pPr>
      <w:r>
        <w:t xml:space="preserve">Pour les médicaments antidiabétiques, les autorités exigent la preuve qu’ils ne mettent pas le cœur en danger. SURPASS-CVOT est allée plus loin : au lieu d’un placebo, le tirzépatide a été opposé au dulaglutide, un médicament GLP-1 qui avait lui-même réduit les événements cardiovasculaires dans l’étude REWIND. 13 299 personnes atteintes de diabète de type 2 et d’une maladie athéroscléreuse existante ont été randomisées ; 13 165 ont été analysées</w:t>
      </w:r>
      <w:r>
        <w:rPr>
          <w:rStyle w:val="FootnoteReference"/>
        </w:rPr>
        <w:footnoteReference w:id="491"/>
      </w:r>
      <w:r>
        <w:t xml:space="preserve">.</w:t>
      </w:r>
    </w:p>
    <w:p>
      <w:pPr>
        <w:pStyle w:val="BodyText"/>
      </w:pPr>
      <w:r>
        <w:t xml:space="preserve">Le critère principal – décès cardiovasculaire, infarctus ou AVC – est survenu chez 801 personnes (12,2 %) sous tirzépatide et chez 862 (13,1 %) sous dulaglutide (hazard ratio 0,92 ; IC à 95,3 % 0,83–1,01). Le tirzépatide était ainsi</w:t>
      </w:r>
      <w:r>
        <w:t xml:space="preserve"> </w:t>
      </w:r>
      <w:r>
        <w:rPr>
          <w:bCs/>
          <w:b/>
        </w:rPr>
        <w:t xml:space="preserve">non inférieur</w:t>
      </w:r>
      <w:r>
        <w:t xml:space="preserve"> </w:t>
      </w:r>
      <w:r>
        <w:t xml:space="preserve">; la supériorité formelle a été manquée de peu (p = 0,09). Les effets indésirables gastro-intestinaux étaient plus fréquents sous tirzépatide.</w:t>
      </w:r>
    </w:p>
    <w:p>
      <w:pPr>
        <w:pStyle w:val="BodyText"/>
      </w:pPr>
      <w:r>
        <w:t xml:space="preserve">Une analyse a posteriori (post hoc) avec un critère plus large à six composantes – décès toutes causes, infarctus, AVC, revascularisation, hospitalisation pour insuffisance cardiaque et événements rénaux – a trouvé, après une durée de traitement médiane de près de quatre ans, des événements chez 23,7 % contre 27,4 % (hazard ratio 0,84 ; IC à 95 % 0,79–0,90)</w:t>
      </w:r>
      <w:r>
        <w:rPr>
          <w:rStyle w:val="FootnoteReference"/>
        </w:rPr>
        <w:footnoteReference w:id="492"/>
      </w:r>
      <w:r>
        <w:t xml:space="preserve">. Les analyses post hoc génèrent des hypothèses ; elles ne peuvent pas remplacer une analyse principale fixée à l’avance.</w:t>
      </w:r>
    </w:p>
    <w:p>
      <w:pPr>
        <w:pStyle w:val="BodyText"/>
      </w:pPr>
      <w:r>
        <w:t xml:space="preserve">L’ampleur du bénéfice par rapport à une</w:t>
      </w:r>
      <w:r>
        <w:t xml:space="preserve"> </w:t>
      </w:r>
      <w:r>
        <w:rPr>
          <w:iCs/>
          <w:i/>
        </w:rPr>
        <w:t xml:space="preserve">absence</w:t>
      </w:r>
      <w:r>
        <w:t xml:space="preserve"> </w:t>
      </w:r>
      <w:r>
        <w:t xml:space="preserve">de traitement ne peut pas être directement déduite d’une comparaison avec un médicament efficace. Une analyse prévue à l’avance, mais indirecte, a calculé un « bras placebo » à partir des données de l’étude REWIND et a obtenu pour le tirzépatide, par rapport à ce placebo calculé, un hazard ratio de 0,72 (IC à 95 % 0,55–0,94) pour décès cardiovasculaire, infarctus ou AVC</w:t>
      </w:r>
      <w:r>
        <w:rPr>
          <w:rStyle w:val="FootnoteReference"/>
        </w:rPr>
        <w:footnoteReference w:id="493"/>
      </w:r>
      <w:r>
        <w:t xml:space="preserve">. De tels calculs de modélisation reposent sur des hypothèses et ne remplacent pas une véritable comparaison avec placebo.</w:t>
      </w:r>
    </w:p>
    <w:bookmarkEnd w:id="494"/>
    <w:bookmarkStart w:id="500" w:name="surmount-obésité"/>
    <w:p>
      <w:pPr>
        <w:pStyle w:val="Heading4"/>
      </w:pPr>
      <w:r>
        <w:t xml:space="preserve">SURMOUNT : obésité</w:t>
      </w:r>
    </w:p>
    <w:p>
      <w:pPr>
        <w:pStyle w:val="FirstParagraph"/>
      </w:pPr>
      <w:r>
        <w:t xml:space="preserve">Dans le programme sur l’obésité, le tirzépatide a été étudié chez des personnes ayant un indice de masse corporelle (IMC) d’au moins 30, ou d’au moins 27 avec une comorbidité, toujours en complément de conseils diététiques et d’activité physique.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SURMOUNT-1 (Jastreboff 2022), PMID 35658024</w:t>
            </w:r>
          </w:p>
        </w:tc>
        <w:tc>
          <w:tcPr/>
          <w:p>
            <w:pPr>
              <w:pStyle w:val="Compact"/>
              <w:jc w:val="left"/>
            </w:pPr>
            <w:r>
              <w:t xml:space="preserve">2 539 adultes sans diabète, contre placebo</w:t>
            </w:r>
          </w:p>
        </w:tc>
        <w:tc>
          <w:tcPr/>
          <w:p>
            <w:pPr>
              <w:pStyle w:val="Compact"/>
              <w:jc w:val="left"/>
            </w:pPr>
            <w:r>
              <w:t xml:space="preserve">72 semaines</w:t>
            </w:r>
          </w:p>
        </w:tc>
        <w:tc>
          <w:tcPr/>
          <w:p>
            <w:pPr>
              <w:pStyle w:val="Compact"/>
              <w:jc w:val="left"/>
            </w:pPr>
            <w:r>
              <w:t xml:space="preserve">−15,0 / −19,5 / −20,9 % de poids (5/10/15 mg) vs −3,1 %</w:t>
            </w:r>
          </w:p>
        </w:tc>
      </w:tr>
      <w:tr>
        <w:tc>
          <w:tcPr/>
          <w:p>
            <w:pPr>
              <w:pStyle w:val="Compact"/>
              <w:jc w:val="left"/>
            </w:pPr>
            <w:r>
              <w:t xml:space="preserve">SURMOUNT-2 (Garvey 2023), PMID 37385275</w:t>
            </w:r>
          </w:p>
        </w:tc>
        <w:tc>
          <w:tcPr/>
          <w:p>
            <w:pPr>
              <w:pStyle w:val="Compact"/>
              <w:jc w:val="left"/>
            </w:pPr>
            <w:r>
              <w:t xml:space="preserve">938 adultes atteints de diabète de type 2, contre placebo</w:t>
            </w:r>
          </w:p>
        </w:tc>
        <w:tc>
          <w:tcPr/>
          <w:p>
            <w:pPr>
              <w:pStyle w:val="Compact"/>
              <w:jc w:val="left"/>
            </w:pPr>
            <w:r>
              <w:t xml:space="preserve">72 semaines</w:t>
            </w:r>
          </w:p>
        </w:tc>
        <w:tc>
          <w:tcPr/>
          <w:p>
            <w:pPr>
              <w:pStyle w:val="Compact"/>
              <w:jc w:val="left"/>
            </w:pPr>
            <w:r>
              <w:t xml:space="preserve">−12,8 / −14,7 % vs −3,2 %</w:t>
            </w:r>
          </w:p>
        </w:tc>
      </w:tr>
      <w:tr>
        <w:tc>
          <w:tcPr/>
          <w:p>
            <w:pPr>
              <w:pStyle w:val="Compact"/>
              <w:jc w:val="left"/>
            </w:pPr>
            <w:r>
              <w:t xml:space="preserve">SURMOUNT-3 (Wadden 2023), PMID 37840095</w:t>
            </w:r>
          </w:p>
        </w:tc>
        <w:tc>
          <w:tcPr/>
          <w:p>
            <w:pPr>
              <w:pStyle w:val="Compact"/>
              <w:jc w:val="left"/>
            </w:pPr>
            <w:r>
              <w:t xml:space="preserve">579 adultes après une intervention réussie de 12 semaines sur le mode de vie</w:t>
            </w:r>
          </w:p>
        </w:tc>
        <w:tc>
          <w:tcPr/>
          <w:p>
            <w:pPr>
              <w:pStyle w:val="Compact"/>
              <w:jc w:val="left"/>
            </w:pPr>
            <w:r>
              <w:t xml:space="preserve">72 semaines</w:t>
            </w:r>
          </w:p>
        </w:tc>
        <w:tc>
          <w:tcPr/>
          <w:p>
            <w:pPr>
              <w:pStyle w:val="Compact"/>
              <w:jc w:val="left"/>
            </w:pPr>
            <w:r>
              <w:t xml:space="preserve">−18,4 % supplémentaires vs +2,5 %</w:t>
            </w:r>
          </w:p>
        </w:tc>
      </w:tr>
      <w:tr>
        <w:tc>
          <w:tcPr/>
          <w:p>
            <w:pPr>
              <w:pStyle w:val="Compact"/>
              <w:jc w:val="left"/>
            </w:pPr>
            <w:r>
              <w:t xml:space="preserve">SURMOUNT-4 (Aronne 2024), PMID 38078870</w:t>
            </w:r>
          </w:p>
        </w:tc>
        <w:tc>
          <w:tcPr/>
          <w:p>
            <w:pPr>
              <w:pStyle w:val="Compact"/>
              <w:jc w:val="left"/>
            </w:pPr>
            <w:r>
              <w:t xml:space="preserve">670 adultes après 36 semaines de tirzépatide, poursuite vs arrêt</w:t>
            </w:r>
          </w:p>
        </w:tc>
        <w:tc>
          <w:tcPr/>
          <w:p>
            <w:pPr>
              <w:pStyle w:val="Compact"/>
              <w:jc w:val="left"/>
            </w:pPr>
            <w:r>
              <w:t xml:space="preserve">52 semaines (après la phase initiale)</w:t>
            </w:r>
          </w:p>
        </w:tc>
        <w:tc>
          <w:tcPr/>
          <w:p>
            <w:pPr>
              <w:pStyle w:val="Compact"/>
              <w:jc w:val="left"/>
            </w:pPr>
            <w:r>
              <w:t xml:space="preserve">−5,5 % en poursuivant vs +14,0 % de reprise</w:t>
            </w:r>
          </w:p>
        </w:tc>
      </w:tr>
      <w:tr>
        <w:tc>
          <w:tcPr/>
          <w:p>
            <w:pPr>
              <w:pStyle w:val="Compact"/>
              <w:jc w:val="left"/>
            </w:pPr>
            <w:r>
              <w:t xml:space="preserve">SURMOUNT-5 (Aronne 2025), PMID 40353578</w:t>
            </w:r>
          </w:p>
        </w:tc>
        <w:tc>
          <w:tcPr/>
          <w:p>
            <w:pPr>
              <w:pStyle w:val="Compact"/>
              <w:jc w:val="left"/>
            </w:pPr>
            <w:r>
              <w:t xml:space="preserve">751 adultes sans diabète, ouverte contre sémaglutide 2,4 mg</w:t>
            </w:r>
          </w:p>
        </w:tc>
        <w:tc>
          <w:tcPr/>
          <w:p>
            <w:pPr>
              <w:pStyle w:val="Compact"/>
              <w:jc w:val="left"/>
            </w:pPr>
            <w:r>
              <w:t xml:space="preserve">72 semaines</w:t>
            </w:r>
          </w:p>
        </w:tc>
        <w:tc>
          <w:tcPr/>
          <w:p>
            <w:pPr>
              <w:pStyle w:val="Compact"/>
              <w:jc w:val="left"/>
            </w:pPr>
            <w:r>
              <w:t xml:space="preserve">−20,2 % vs −13,7 %</w:t>
            </w:r>
          </w:p>
        </w:tc>
      </w:tr>
      <w:tr>
        <w:tc>
          <w:tcPr/>
          <w:p>
            <w:pPr>
              <w:pStyle w:val="Compact"/>
              <w:jc w:val="left"/>
            </w:pPr>
            <w:r>
              <w:t xml:space="preserve">SURMOUNT-1, données à 3 ans (Jastreboff 2025), PMID 39536238</w:t>
            </w:r>
          </w:p>
        </w:tc>
        <w:tc>
          <w:tcPr/>
          <w:p>
            <w:pPr>
              <w:pStyle w:val="Compact"/>
              <w:jc w:val="left"/>
            </w:pPr>
            <w:r>
              <w:t xml:space="preserve">1 032 adultes obèses avec prédiabète</w:t>
            </w:r>
          </w:p>
        </w:tc>
        <w:tc>
          <w:tcPr/>
          <w:p>
            <w:pPr>
              <w:pStyle w:val="Compact"/>
              <w:jc w:val="left"/>
            </w:pPr>
            <w:r>
              <w:t xml:space="preserve">176 semaines</w:t>
            </w:r>
          </w:p>
        </w:tc>
        <w:tc>
          <w:tcPr/>
          <w:p>
            <w:pPr>
              <w:pStyle w:val="Compact"/>
              <w:jc w:val="left"/>
            </w:pPr>
            <w:r>
              <w:t xml:space="preserve">−12,3 à −19,7 % vs −1,3 % ; diabète de type 2 1,3 % vs 13,3 %</w:t>
            </w:r>
          </w:p>
        </w:tc>
      </w:tr>
    </w:tbl>
    <w:p>
      <w:pPr>
        <w:pStyle w:val="BodyText"/>
      </w:pPr>
      <w:r>
        <w:rPr>
          <w:bCs/>
          <w:b/>
        </w:rPr>
        <w:t xml:space="preserve">SURMOUNT-1</w:t>
      </w:r>
      <w:r>
        <w:t xml:space="preserve"> </w:t>
      </w:r>
      <w:r>
        <w:t xml:space="preserve">est l’étude qui a fait connaître le tirzépatide comme médicament contre l’obésité. Avec un poids initial de 104,8 kg en moyenne, les participants ont perdu à la dose la plus élevée en moyenne 20,9 % de leur poids corporel. 57 % du groupe 15 mg ont atteint une perte de poids d’au moins 20 %, contre 3 % sous placebo. En raison d’effets indésirables, 4,3–7,1 % sous tirzépatide et 2,6 % sous placebo ont arrêté le traitement</w:t>
      </w:r>
      <w:r>
        <w:rPr>
          <w:rStyle w:val="FootnoteReference"/>
        </w:rPr>
        <w:footnoteReference w:id="495"/>
      </w:r>
      <w:r>
        <w:t xml:space="preserve">.</w:t>
      </w:r>
    </w:p>
    <w:p>
      <w:pPr>
        <w:pStyle w:val="BodyText"/>
      </w:pPr>
      <w:r>
        <w:rPr>
          <w:bCs/>
          <w:b/>
        </w:rPr>
        <w:t xml:space="preserve">Les personnes atteintes de diabète de type 2</w:t>
      </w:r>
      <w:r>
        <w:t xml:space="preserve"> </w:t>
      </w:r>
      <w:r>
        <w:t xml:space="preserve">perdent moins de poids que les personnes sans diabète avec tous les médicaments incrétines. SURMOUNT-2 l’a également montré : la différence par rapport au placebo était de 9,6 et 11,6 points de pourcentage</w:t>
      </w:r>
      <w:r>
        <w:rPr>
          <w:rStyle w:val="FootnoteReference"/>
        </w:rPr>
        <w:footnoteReference w:id="496"/>
      </w:r>
      <w:r>
        <w:t xml:space="preserve">.</w:t>
      </w:r>
    </w:p>
    <w:p>
      <w:pPr>
        <w:pStyle w:val="BodyText"/>
      </w:pPr>
      <w:r>
        <w:rPr>
          <w:bCs/>
          <w:b/>
        </w:rPr>
        <w:t xml:space="preserve">Que se passe-t-il après l’arrêt ?</w:t>
      </w:r>
      <w:r>
        <w:t xml:space="preserve"> </w:t>
      </w:r>
      <w:r>
        <w:t xml:space="preserve">SURMOUNT-4 a répondu à cette question avec un plan de « retrait randomisé » : tous les participants ont d’abord reçu 36 semaines de tirzépatide et perdu en moyenne 20,9 %. Puis on a tiré au sort qui poursuivait le tirzépatide et qui recevait, sans le savoir, un placebo. Au cours des 52 semaines suivantes, le groupe placebo a repris 14,0 %, le groupe tirzépatide a perdu 5,5 % supplémentaires. Sur toute la durée de l’étude, la perte de poids était de 25,3 % contre 9,9 %</w:t>
      </w:r>
      <w:r>
        <w:rPr>
          <w:rStyle w:val="FootnoteReference"/>
        </w:rPr>
        <w:footnoteReference w:id="497"/>
      </w:r>
      <w:r>
        <w:t xml:space="preserve">. Le message des autrices et auteurs : l’obésité se comporte comme une maladie chronique dont le traitement doit le plus souvent être permanent.</w:t>
      </w:r>
    </w:p>
    <w:p>
      <w:pPr>
        <w:pStyle w:val="BodyText"/>
      </w:pPr>
      <w:r>
        <w:rPr>
          <w:bCs/>
          <w:b/>
        </w:rPr>
        <w:t xml:space="preserve">Dose d’entretien plus faible :</w:t>
      </w:r>
      <w:r>
        <w:t xml:space="preserve"> </w:t>
      </w:r>
      <w:r>
        <w:t xml:space="preserve">la possibilité de passer à une dose plus faible après la perte de poids a été étudiée dans SURMOUNT-MAINTAIN, avec 378 personnes randomisées aux États-Unis. Après 60 semaines à la dose maximale, elles ont été réparties en trois groupes. À la semaine 112, la perte de poids depuis le début de l’étude était de −21,9 % (poursuite de la dose maximale), −16,6 % (réduction à 5 mg) et −9,9 % (placebo). Un traitement de secours pour une reprise d’au moins 50 % a été nécessaire chez 8 %, 25 % et 67 % respectivement</w:t>
      </w:r>
      <w:r>
        <w:rPr>
          <w:rStyle w:val="FootnoteReference"/>
        </w:rPr>
        <w:footnoteReference w:id="498"/>
      </w:r>
      <w:r>
        <w:t xml:space="preserve">. La réduction de dose est donc une solution intermédiaire au succès très variable d’une personne à l’autre.</w:t>
      </w:r>
    </w:p>
    <w:p>
      <w:pPr>
        <w:pStyle w:val="BodyText"/>
      </w:pPr>
      <w:r>
        <w:rPr>
          <w:bCs/>
          <w:b/>
        </w:rPr>
        <w:t xml:space="preserve">Prévention du diabète :</w:t>
      </w:r>
      <w:r>
        <w:t xml:space="preserve"> </w:t>
      </w:r>
      <w:r>
        <w:t xml:space="preserve">dans l’analyse à trois ans de SURMOUNT-1 chez les personnes atteintes de prédiabète (stade précurseur du diabète), 1,3 % sous tirzépatide et 13,3 % sous placebo ont développé un diabète de type 2. Même 17 semaines après l’arrêt, la différence restait nette (2,4 % vs 13,7 %). Aucun nouveau signal de sécurité n’est apparu au cours de ces trois ans</w:t>
      </w:r>
      <w:r>
        <w:rPr>
          <w:rStyle w:val="FootnoteReference"/>
        </w:rPr>
        <w:footnoteReference w:id="499"/>
      </w:r>
      <w:r>
        <w:t xml:space="preserve">.</w:t>
      </w:r>
    </w:p>
    <w:bookmarkEnd w:id="500"/>
    <w:bookmarkStart w:id="503" w:name="Xe7cb8120f2f607587921cfa77fa3b1eb7be6a9b"/>
    <w:p>
      <w:pPr>
        <w:pStyle w:val="Heading4"/>
      </w:pPr>
      <w:r>
        <w:t xml:space="preserve">SURMOUNT-5 : tirzépatide contre sémaglutide</w:t>
      </w:r>
    </w:p>
    <w:p>
      <w:pPr>
        <w:pStyle w:val="FirstParagraph"/>
      </w:pPr>
      <w:r>
        <w:t xml:space="preserve">La comparaison directe attendue par beaucoup dans l’obésité sans diabète a été fournie par SURMOUNT-5</w:t>
      </w:r>
      <w:r>
        <w:rPr>
          <w:rStyle w:val="FootnoteReference"/>
        </w:rPr>
        <w:footnoteReference w:id="501"/>
      </w:r>
      <w:r>
        <w:t xml:space="preserve">. 751 adultes ont reçu en ouvert (c’est-à-dire sans insu) la dose maximale tolérée de tirzépatide (10 ou 15 mg) ou de sémaglutide (1,7 ou 2,4 mg). Après 72 semaines :</w:t>
      </w:r>
    </w:p>
    <w:p>
      <w:pPr>
        <w:numPr>
          <w:ilvl w:val="0"/>
          <w:numId w:val="1061"/>
        </w:numPr>
        <w:pStyle w:val="Compact"/>
      </w:pPr>
      <w:r>
        <w:t xml:space="preserve">Variation de poids : −20,2 % avec le tirzépatide contre −13,7 % avec le sémaglutide.</w:t>
      </w:r>
    </w:p>
    <w:p>
      <w:pPr>
        <w:numPr>
          <w:ilvl w:val="0"/>
          <w:numId w:val="1061"/>
        </w:numPr>
        <w:pStyle w:val="Compact"/>
      </w:pPr>
      <w:r>
        <w:t xml:space="preserve">Tour de taille : −18,4 cm contre −13,0 cm.</w:t>
      </w:r>
    </w:p>
    <w:p>
      <w:pPr>
        <w:numPr>
          <w:ilvl w:val="0"/>
          <w:numId w:val="1061"/>
        </w:numPr>
        <w:pStyle w:val="Compact"/>
      </w:pPr>
      <w:r>
        <w:t xml:space="preserve">Davantage de participants sous tirzépatide ont atteint chacun des seuils de 10, 15, 20 et 25 %.</w:t>
      </w:r>
    </w:p>
    <w:p>
      <w:pPr>
        <w:numPr>
          <w:ilvl w:val="0"/>
          <w:numId w:val="1061"/>
        </w:numPr>
        <w:pStyle w:val="Compact"/>
      </w:pPr>
      <w:r>
        <w:t xml:space="preserve">Les effets indésirables étaient, dans les deux groupes, principalement des troubles gastro-intestinaux, le plus souvent légers à modérés et surtout pendant la phase d’augmentation de la dose.</w:t>
      </w:r>
    </w:p>
    <w:p>
      <w:pPr>
        <w:pStyle w:val="FirstParagraph"/>
      </w:pPr>
      <w:r>
        <w:t xml:space="preserve">Une analyse ultérieure a montré que 44 % sous tirzépatide et 21 % sous sémaglutide avaient déjà perdu au moins 15 % à la semaine 24 (« répondeurs rapides »). Ceux-ci ont eu un peu plus d’événements gastro-intestinaux et biliaires, mais n’ont pas arrêté le traitement plus souvent</w:t>
      </w:r>
      <w:r>
        <w:rPr>
          <w:rStyle w:val="FootnoteReference"/>
        </w:rPr>
        <w:footnoteReference w:id="502"/>
      </w:r>
      <w:r>
        <w:t xml:space="preserve">.</w:t>
      </w:r>
    </w:p>
    <w:p>
      <w:pPr>
        <w:pStyle w:val="BodyText"/>
      </w:pPr>
      <w:r>
        <w:t xml:space="preserve">Pour situer ce résultat : SURMOUNT-5 a été financée par le fabricant du tirzépatide et menée en ouvert. La différence est néanmoins suffisamment grande pour qu’elle puisse difficilement s’expliquer par ces seules limites. Vous trouverez une comparaison de tous les médicaments GLP-1 dans la partie III.</w:t>
      </w:r>
    </w:p>
    <w:bookmarkEnd w:id="503"/>
    <w:bookmarkStart w:id="506" w:name="insuffisance-cardiaque-summit"/>
    <w:p>
      <w:pPr>
        <w:pStyle w:val="Heading4"/>
      </w:pPr>
      <w:r>
        <w:t xml:space="preserve">Insuffisance cardiaque : SUMMIT</w:t>
      </w:r>
    </w:p>
    <w:p>
      <w:pPr>
        <w:pStyle w:val="FirstParagraph"/>
      </w:pPr>
      <w:r>
        <w:t xml:space="preserve">L’insuffisance cardiaque à fraction d’éjection préservée (ICFEp) est une forme fréquente d’insuffisance cardiaque dans laquelle le cœur éjecte normalement, mais se remplit mal. L’obésité en est un moteur important. Dans SUMMIT, 731 personnes atteintes d’ICFEp et ayant un IMC d’au moins 30 ont été randomisées sous tirzépatide ou placebo et suivies pendant une médiane de 104 semaines</w:t>
      </w:r>
      <w:r>
        <w:rPr>
          <w:rStyle w:val="FootnoteReference"/>
        </w:rPr>
        <w:footnoteReference w:id="504"/>
      </w:r>
      <w:r>
        <w:t xml:space="preserve">.</w:t>
      </w:r>
    </w:p>
    <w:p>
      <w:pPr>
        <w:numPr>
          <w:ilvl w:val="0"/>
          <w:numId w:val="1062"/>
        </w:numPr>
        <w:pStyle w:val="Compact"/>
      </w:pPr>
      <w:r>
        <w:t xml:space="preserve">Décès cardiovasculaire ou aggravation de l’insuffisance cardiaque : 9,9 % sous tirzépatide vs 15,3 % sous placebo (hazard ratio 0,62 ; IC à 95 % 0,41–0,95).</w:t>
      </w:r>
    </w:p>
    <w:p>
      <w:pPr>
        <w:numPr>
          <w:ilvl w:val="0"/>
          <w:numId w:val="1062"/>
        </w:numPr>
        <w:pStyle w:val="Compact"/>
      </w:pPr>
      <w:r>
        <w:t xml:space="preserve">Cette différence reposait sur moins d’événements d’aggravation (8,0 % vs 14,2 %). Les décès cardiovasculaires étaient rares et numériquement même un peu plus fréquents sous tirzépatide (2,2 % vs 1,4 %), avec une marge d’incertitude très large.</w:t>
      </w:r>
    </w:p>
    <w:p>
      <w:pPr>
        <w:numPr>
          <w:ilvl w:val="0"/>
          <w:numId w:val="1062"/>
        </w:numPr>
        <w:pStyle w:val="Compact"/>
      </w:pPr>
      <w:r>
        <w:t xml:space="preserve">La qualité de vie (questionnaire KCCQ) s’est améliorée davantage : +19,5 contre +12,7 points.</w:t>
      </w:r>
    </w:p>
    <w:p>
      <w:pPr>
        <w:numPr>
          <w:ilvl w:val="0"/>
          <w:numId w:val="1062"/>
        </w:numPr>
        <w:pStyle w:val="Compact"/>
      </w:pPr>
      <w:r>
        <w:t xml:space="preserve">Arrêts pour effets indésirables : 6,3 % vs 1,4 %.</w:t>
      </w:r>
    </w:p>
    <w:p>
      <w:pPr>
        <w:pStyle w:val="FirstParagraph"/>
      </w:pPr>
      <w:r>
        <w:t xml:space="preserve">Une sous-étude par IRM cardiaque a montré une diminution de la masse musculaire ventriculaire gauche et du tissu adipeux autour du cœur</w:t>
      </w:r>
      <w:r>
        <w:rPr>
          <w:rStyle w:val="FootnoteReference"/>
        </w:rPr>
        <w:footnoteReference w:id="505"/>
      </w:r>
      <w:r>
        <w:t xml:space="preserve">. Avec 731 personnes et 92 événements, SUMMIT est une étude sur critères cliniques relativement petite ; les résultats sont encourageants, mais pas aussi solides que des données issues d’études portant sur des milliers de participants.</w:t>
      </w:r>
    </w:p>
    <w:bookmarkEnd w:id="506"/>
    <w:bookmarkStart w:id="508" w:name="X6acf12615a4d418cfdc0786cd37a23e1eb55c30"/>
    <w:p>
      <w:pPr>
        <w:pStyle w:val="Heading4"/>
      </w:pPr>
      <w:r>
        <w:t xml:space="preserve">Apnée obstructive du sommeil : SURMOUNT-OSA</w:t>
      </w:r>
    </w:p>
    <w:p>
      <w:pPr>
        <w:pStyle w:val="FirstParagraph"/>
      </w:pPr>
      <w:r>
        <w:t xml:space="preserve">Dans l’apnée obstructive du sommeil, les voies respiratoires supérieures s’affaissent à répétition pendant le sommeil ; la respiration s’interrompt (apnée) ou devient superficielle (hypopnée). L’indice d’apnées-hypopnées (IAH) compte ces événements par heure ; à partir de 30, l’apnée du sommeil est considérée comme sévère. L’excès de poids est un facteur de risque majeur.</w:t>
      </w:r>
    </w:p>
    <w:p>
      <w:pPr>
        <w:pStyle w:val="BodyText"/>
      </w:pPr>
      <w:r>
        <w:t xml:space="preserve">SURMOUNT-OSA comprenait deux études parallèles chez des personnes obèses atteintes d’apnée du sommeil modérée à sévère : sans traitement par masque respiratoire (étude 1) et avec masque (PPC, étude 2). IAH initial d’environ 50 événements par heure. Après 52 semaines</w:t>
      </w:r>
      <w:r>
        <w:rPr>
          <w:rStyle w:val="FootnoteReference"/>
        </w:rPr>
        <w:footnoteReference w:id="507"/>
      </w:r>
      <w:r>
        <w:t xml:space="preserve"> </w:t>
      </w:r>
      <w:r>
        <w:t xml:space="preserve">:</w:t>
      </w:r>
    </w:p>
    <w:p>
      <w:pPr>
        <w:numPr>
          <w:ilvl w:val="0"/>
          <w:numId w:val="1063"/>
        </w:numPr>
        <w:pStyle w:val="Compact"/>
      </w:pPr>
      <w:r>
        <w:t xml:space="preserve">Étude 1 : IAH −25,3 événements/heure avec le tirzépatide vs −5,3 avec le placebo.</w:t>
      </w:r>
    </w:p>
    <w:p>
      <w:pPr>
        <w:numPr>
          <w:ilvl w:val="0"/>
          <w:numId w:val="1063"/>
        </w:numPr>
        <w:pStyle w:val="Compact"/>
      </w:pPr>
      <w:r>
        <w:t xml:space="preserve">Étude 2 : IAH −29,3 vs −5,5.</w:t>
      </w:r>
    </w:p>
    <w:p>
      <w:pPr>
        <w:numPr>
          <w:ilvl w:val="0"/>
          <w:numId w:val="1063"/>
        </w:numPr>
        <w:pStyle w:val="Compact"/>
      </w:pPr>
      <w:r>
        <w:t xml:space="preserve">En outre, la charge hypoxique, les marqueurs inflammatoires (CRPus), la pression artérielle et les troubles du sommeil rapportés par les participants se sont améliorés.</w:t>
      </w:r>
    </w:p>
    <w:p>
      <w:pPr>
        <w:pStyle w:val="FirstParagraph"/>
      </w:pPr>
      <w:r>
        <w:t xml:space="preserve">Sur cette base, le tirzépatide a été autorisé aux États-Unis comme premier médicament pour le traitement de l’apnée du sommeil associée à l’obésité. Il ne remplace pas automatiquement un masque respiratoire : même après la diminution, l’IAH restait chez de nombreux participants dans une zone nécessitant un traitement. La décision thérapeutique relève de spécialistes de la médecine du sommeil.</w:t>
      </w:r>
    </w:p>
    <w:bookmarkEnd w:id="508"/>
    <w:bookmarkStart w:id="510" w:name="stéatose-hépatique-mash"/>
    <w:p>
      <w:pPr>
        <w:pStyle w:val="Heading4"/>
      </w:pPr>
      <w:r>
        <w:t xml:space="preserve">Stéatose hépatique (MASH)</w:t>
      </w:r>
    </w:p>
    <w:p>
      <w:pPr>
        <w:pStyle w:val="FirstParagraph"/>
      </w:pPr>
      <w:r>
        <w:t xml:space="preserve">La stéatohépatite associée à un dysfonctionnement métabolique (MASH, anciennement NASH) est une forme inflammatoire de stéatose hépatique qui peut évoluer vers une cicatrisation (fibrose) et une cirrhose. Dans l’étude de phase 2 SYNERGY-NASH, 190 personnes atteintes de MASH prouvée par biopsie et de fibrose modérée à sévère ont reçu du tirzépatide ou un placebo. Après 52 semaines, la MASH a disparu sans aggravation de la fibrose chez 44–62 % sous tirzépatide contre 10 % sous placebo ; une amélioration de la fibrose d’au moins un stade a été observée chez 51–55 % contre 30 %</w:t>
      </w:r>
      <w:r>
        <w:rPr>
          <w:rStyle w:val="FootnoteReference"/>
        </w:rPr>
        <w:footnoteReference w:id="509"/>
      </w:r>
      <w:r>
        <w:t xml:space="preserve">. Une étude de phase 3 est en cours (voir Perspectives).</w:t>
      </w:r>
    </w:p>
    <w:bookmarkEnd w:id="510"/>
    <w:bookmarkStart w:id="513" w:name="Xcd0593717874c2f677b8d2821c19b695515b98b"/>
    <w:p>
      <w:pPr>
        <w:pStyle w:val="Heading4"/>
      </w:pPr>
      <w:r>
        <w:t xml:space="preserve">Autres domaines d’utilisation et méta-analyses</w:t>
      </w:r>
    </w:p>
    <w:p>
      <w:pPr>
        <w:pStyle w:val="FirstParagraph"/>
      </w:pPr>
      <w:r>
        <w:t xml:space="preserve">La littérature sur le tirzépatide croît très rapidement. Outre les grands programmes, il existe des études sur le psoriasis et le rhumatisme psoriasique en association avec des biothérapies : dans une étude ouverte de phase 3b portant sur 274 personnes, 27,1 % sous ixékizumab plus tirzépatide ont obtenu simultanément une disparition complète des plaques cutanées (PASI 100) et une perte de poids d’au moins 10 %, contre 5,8 % sous ixékizumab seul</w:t>
      </w:r>
      <w:r>
        <w:rPr>
          <w:rStyle w:val="FootnoteReference"/>
        </w:rPr>
        <w:footnoteReference w:id="511"/>
      </w:r>
      <w:r>
        <w:t xml:space="preserve">. D’autres travaux portent sur le syndrome des ovaires polykystiques, la fonction rénale et des populations spécifiques à l’Asie (SURMOUNT-J, SURMOUNT-CN, SURPASS-AP-Combo). Une présentation exhaustive de toutes les études dépasserait le cadre de ce livre ; elles sont répertoriées dans la liste des études en annexe.</w:t>
      </w:r>
    </w:p>
    <w:p>
      <w:pPr>
        <w:pStyle w:val="BodyText"/>
      </w:pPr>
      <w:r>
        <w:t xml:space="preserve">Concernant la composition corporelle : dans une sous-étude DXA de SURMOUNT-1 portant sur 160 personnes, environ 75 % du poids perdu était de la graisse et environ 25 % de la masse maigre (dont fait partie la musculature) – dans la même proportion que dans le groupe placebo</w:t>
      </w:r>
      <w:r>
        <w:rPr>
          <w:rStyle w:val="FootnoteReference"/>
        </w:rPr>
        <w:footnoteReference w:id="512"/>
      </w:r>
      <w:r>
        <w:t xml:space="preserve">. L’inquiétude concernant la perte musculaire est donc justifiée, mais il ne s’agit pas d’un effet spécifique au tirzépatide : elle est typique de toute perte de poids importante.</w:t>
      </w:r>
    </w:p>
    <w:bookmarkEnd w:id="513"/>
    <w:bookmarkEnd w:id="514"/>
    <w:bookmarkStart w:id="518" w:name="études-animales-et-de-laboratoire-4"/>
    <w:p>
      <w:pPr>
        <w:pStyle w:val="Heading3"/>
      </w:pPr>
      <w:r>
        <w:t xml:space="preserve">Études animales et de laboratoire</w:t>
      </w:r>
    </w:p>
    <w:p>
      <w:pPr>
        <w:pStyle w:val="FirstParagraph"/>
      </w:pPr>
      <w:r>
        <w:t xml:space="preserve">Le développement préclinique est inhabituellement bien publié. Dans des cultures cellulaires, le tirzépatide active les deux récepteurs ; chez la souris, il a réduit le poids et la prise alimentaire davantage qu’un agoniste pur du GLP-1</w:t>
      </w:r>
      <w:r>
        <w:rPr>
          <w:rStyle w:val="FootnoteReference"/>
        </w:rPr>
        <w:footnoteReference w:id="515"/>
      </w:r>
      <w:r>
        <w:t xml:space="preserve">. Des études chez des souris dépourvues de récepteur du GLP-1 fonctionnel ont montré que la composante GIP améliore la sensibilité à l’insuline dans le tissu adipeux</w:t>
      </w:r>
      <w:r>
        <w:rPr>
          <w:rStyle w:val="FootnoteReference"/>
        </w:rPr>
        <w:footnoteReference w:id="516"/>
      </w:r>
      <w:r>
        <w:t xml:space="preserve">. Concernant la distribution et la dégradation dans l’organisme, des études existent chez l’humain, le rat et le singe : la molécule est métabolisée par clivage de la structure peptidique et dégradation de la chaîne d’acide gras ; chez l’humain, environ 66 % de la substance marquée ont été retrouvés dans les urines et environ 33 % dans les selles, mais le tirzépatide inchangé n’a été retrouvé ni dans les unes ni dans les autres</w:t>
      </w:r>
      <w:r>
        <w:rPr>
          <w:rStyle w:val="FootnoteReference"/>
        </w:rPr>
        <w:footnoteReference w:id="517"/>
      </w:r>
      <w:r>
        <w:t xml:space="preserve">.</w:t>
      </w:r>
    </w:p>
    <w:p>
      <w:pPr>
        <w:pStyle w:val="BodyText"/>
      </w:pPr>
      <w:r>
        <w:t xml:space="preserve">Comme pour tous les agonistes du GLP-1 à longue durée d’action, des tumeurs des cellules C de la thyroïde sont apparues dans des études à long terme chez les rongeurs. La transposabilité de ce résultat à l’humain n’est pas établie, car les rongeurs portent nettement plus de récepteurs du GLP-1 sur ces cellules. Ce résultat animal est à l’origine des mises en garde figurant dans le résumé des caractéristiques du produit (voir ci-dessous).</w:t>
      </w:r>
    </w:p>
    <w:bookmarkEnd w:id="518"/>
    <w:bookmarkStart w:id="527" w:name="risques-et-effets-indésirables-4"/>
    <w:p>
      <w:pPr>
        <w:pStyle w:val="Heading3"/>
      </w:pPr>
      <w:r>
        <w:t xml:space="preserve">Risques et effets indésirables</w:t>
      </w:r>
    </w:p>
    <w:p>
      <w:pPr>
        <w:pStyle w:val="FirstParagraph"/>
      </w:pPr>
      <w:r>
        <w:rPr>
          <w:bCs/>
          <w:b/>
        </w:rPr>
        <w:t xml:space="preserve">Démontrés dans des études :</w:t>
      </w:r>
    </w:p>
    <w:p>
      <w:pPr>
        <w:numPr>
          <w:ilvl w:val="0"/>
          <w:numId w:val="1064"/>
        </w:numPr>
        <w:pStyle w:val="Compact"/>
      </w:pPr>
      <w:r>
        <w:t xml:space="preserve">Les</w:t>
      </w:r>
      <w:r>
        <w:t xml:space="preserve"> </w:t>
      </w:r>
      <w:r>
        <w:rPr>
          <w:bCs/>
          <w:b/>
        </w:rPr>
        <w:t xml:space="preserve">troubles gastro-intestinaux</w:t>
      </w:r>
      <w:r>
        <w:t xml:space="preserve"> </w:t>
      </w:r>
      <w:r>
        <w:t xml:space="preserve">sont de loin les plus fréquents : nausées, diarrhées, vomissements, constipation, diminution de l’appétit. Dans SURPASS-3, 12–24 % ont signalé des nausées, 15–17 % des diarrhées et 6–10 % des vomissements</w:t>
      </w:r>
      <w:r>
        <w:rPr>
          <w:rStyle w:val="FootnoteReference"/>
        </w:rPr>
        <w:footnoteReference w:id="519"/>
      </w:r>
      <w:r>
        <w:t xml:space="preserve">. Les troubles surviennent surtout pendant la phase d’augmentation de la dose et s’atténuent le plus souvent. Ils sont la raison la plus fréquente des arrêts de traitement.</w:t>
      </w:r>
    </w:p>
    <w:p>
      <w:pPr>
        <w:numPr>
          <w:ilvl w:val="0"/>
          <w:numId w:val="1064"/>
        </w:numPr>
        <w:pStyle w:val="Compact"/>
      </w:pPr>
      <w:r>
        <w:rPr>
          <w:bCs/>
          <w:b/>
        </w:rPr>
        <w:t xml:space="preserve">Vésicule et voies biliaires :</w:t>
      </w:r>
      <w:r>
        <w:t xml:space="preserve"> </w:t>
      </w:r>
      <w:r>
        <w:t xml:space="preserve">une méta-analyse de neuf études portant sur 9 871 participants a trouvé un risque accru pour la catégorie regroupant les maladies de la vésicule ou des voies biliaires par rapport au placebo ou à l’insuline (risque relatif 1,97 ; IC à 95 % 1,14–3,42), mais pas d’augmentation statistiquement significative de la pancréatite</w:t>
      </w:r>
      <w:r>
        <w:rPr>
          <w:rStyle w:val="FootnoteReference"/>
        </w:rPr>
        <w:footnoteReference w:id="520"/>
      </w:r>
      <w:r>
        <w:t xml:space="preserve">. Une perte de poids rapide favorise elle-même les calculs biliaires.</w:t>
      </w:r>
    </w:p>
    <w:p>
      <w:pPr>
        <w:numPr>
          <w:ilvl w:val="0"/>
          <w:numId w:val="1064"/>
        </w:numPr>
        <w:pStyle w:val="Compact"/>
      </w:pPr>
      <w:r>
        <w:rPr>
          <w:bCs/>
          <w:b/>
        </w:rPr>
        <w:t xml:space="preserve">Hypoglycémie :</w:t>
      </w:r>
      <w:r>
        <w:t xml:space="preserve"> </w:t>
      </w:r>
      <w:r>
        <w:t xml:space="preserve">rare en monothérapie. Le risque augmente en cas de prise simultanée d’insuline ou de sulfamides – dans SURPASS-4, des hypoglycémies sont survenues sans sulfamide chez 1–3 %</w:t>
      </w:r>
      <w:r>
        <w:rPr>
          <w:rStyle w:val="FootnoteReference"/>
        </w:rPr>
        <w:footnoteReference w:id="521"/>
      </w:r>
      <w:r>
        <w:t xml:space="preserve">.</w:t>
      </w:r>
    </w:p>
    <w:p>
      <w:pPr>
        <w:numPr>
          <w:ilvl w:val="0"/>
          <w:numId w:val="1064"/>
        </w:numPr>
        <w:pStyle w:val="Compact"/>
      </w:pPr>
      <w:r>
        <w:rPr>
          <w:bCs/>
          <w:b/>
        </w:rPr>
        <w:t xml:space="preserve">Santé mentale :</w:t>
      </w:r>
      <w:r>
        <w:t xml:space="preserve"> </w:t>
      </w:r>
      <w:r>
        <w:t xml:space="preserve">une analyse ultérieure de SURMOUNT-1 à -3 portant sur 4 056 personnes sans maladie psychiatrique grave connue n’a trouvé aucun indice d’une augmentation des dépressions ; des idées suicidaires ont été signalées par 0,6 % dans les deux groupes</w:t>
      </w:r>
      <w:r>
        <w:rPr>
          <w:rStyle w:val="FootnoteReference"/>
        </w:rPr>
        <w:footnoteReference w:id="522"/>
      </w:r>
      <w:r>
        <w:t xml:space="preserve">. Les données sont insuffisantes pour les personnes atteintes de maladies psychiatriques graves.</w:t>
      </w:r>
    </w:p>
    <w:p>
      <w:pPr>
        <w:numPr>
          <w:ilvl w:val="0"/>
          <w:numId w:val="1064"/>
        </w:numPr>
        <w:pStyle w:val="Compact"/>
      </w:pPr>
      <w:r>
        <w:rPr>
          <w:bCs/>
          <w:b/>
        </w:rPr>
        <w:t xml:space="preserve">Perte de masse maigre :</w:t>
      </w:r>
      <w:r>
        <w:t xml:space="preserve"> </w:t>
      </w:r>
      <w:r>
        <w:t xml:space="preserve">environ un quart du poids perdu</w:t>
      </w:r>
      <w:r>
        <w:rPr>
          <w:rStyle w:val="FootnoteReference"/>
        </w:rPr>
        <w:footnoteReference w:id="523"/>
      </w:r>
      <w:r>
        <w:t xml:space="preserve">. Les spécialistes recommandent un entraînement en force et un apport suffisant en protéines pour compenser ; les données d’études solides sur le bénéfice fonctionnel sont limitées.</w:t>
      </w:r>
    </w:p>
    <w:p>
      <w:pPr>
        <w:pStyle w:val="FirstParagraph"/>
      </w:pPr>
      <w:r>
        <w:rPr>
          <w:bCs/>
          <w:b/>
        </w:rPr>
        <w:t xml:space="preserve">Issus des données après la mise sur le marché :</w:t>
      </w:r>
      <w:r>
        <w:t xml:space="preserve"> </w:t>
      </w:r>
      <w:r>
        <w:t xml:space="preserve">une analyse de la base de données américaine des effets indésirables FAERS a trouvé un nombre disproportionné de notifications de nausées, de pancréatites, de rétinopathies diabétiques et de cancers médullaires de la thyroïde – mais pas de risque accru par rapport à d’autres agonistes du GLP-1</w:t>
      </w:r>
      <w:r>
        <w:rPr>
          <w:rStyle w:val="FootnoteReference"/>
        </w:rPr>
        <w:footnoteReference w:id="524"/>
      </w:r>
      <w:r>
        <w:t xml:space="preserve">. Ces données de notification montrent des signaux, pas des causes : les risques connus sont signalés plus souvent. Dans une grande étude de cohorte portant sur plus de 46 000 paires en pratique courante, le risque d’événements gastro-intestinaux graves (pancréatite, maladies des voies biliaires, occlusion intestinale, gastroparésie, constipation sévère) ne différait pas notablement entre le tirzépatide et le sémaglutide (hazard ratio 1,07 ; IC à 95 % 0,90–1,26)</w:t>
      </w:r>
      <w:r>
        <w:rPr>
          <w:rStyle w:val="FootnoteReference"/>
        </w:rPr>
        <w:footnoteReference w:id="525"/>
      </w:r>
      <w:r>
        <w:t xml:space="preserve">.</w:t>
      </w:r>
    </w:p>
    <w:p>
      <w:pPr>
        <w:pStyle w:val="BodyText"/>
      </w:pPr>
      <w:r>
        <w:rPr>
          <w:bCs/>
          <w:b/>
        </w:rPr>
        <w:t xml:space="preserve">Théoriques ou déduits de données animales :</w:t>
      </w:r>
      <w:r>
        <w:t xml:space="preserve"> </w:t>
      </w:r>
      <w:r>
        <w:t xml:space="preserve">cancer médullaire de la thyroïde (résultat chez l’animal, voir plus haut). C’est pourquoi les résumés des caractéristiques du produit comportent une mise en garde ou une contre-indication en cas d’antécédents personnels ou familiaux de carcinome médullaire de la thyroïde et en cas de syndrome NEM 2.</w:t>
      </w:r>
    </w:p>
    <w:p>
      <w:pPr>
        <w:pStyle w:val="BodyText"/>
      </w:pPr>
      <w:r>
        <w:rPr>
          <w:bCs/>
          <w:b/>
        </w:rPr>
        <w:t xml:space="preserve">Important pour la pratique (selon le résumé des caractéristiques du produit, à ne pas comprendre comme un mode d’emploi) :</w:t>
      </w:r>
      <w:r>
        <w:t xml:space="preserve"> </w:t>
      </w:r>
      <w:r>
        <w:t xml:space="preserve">le ralentissement de la vidange gastrique peut influencer l’absorption de comprimés, ce qui est pertinent par exemple pour la pilule contraceptive. Le tirzépatide n’est pas utilisé pendant la grossesse et l’allaitement. Avant une opération sous anesthésie, il faut tenir compte du ralentissement de la vidange gastrique. Le résumé des caractéristiques du produit et le médecin traitant fournissent tous les détails.</w:t>
      </w:r>
    </w:p>
    <w:p>
      <w:pPr>
        <w:pStyle w:val="BodyText"/>
      </w:pPr>
      <w:r>
        <w:rPr>
          <w:bCs/>
          <w:b/>
        </w:rPr>
        <w:t xml:space="preserve">Produits d’imitation :</w:t>
      </w:r>
      <w:r>
        <w:t xml:space="preserve"> </w:t>
      </w:r>
      <w:r>
        <w:t xml:space="preserve">pendant les pénuries des années 2022 à 2024, des préparations de tirzépatide ont été fabriquées en pharmacie aux États-Unis (« compounding »), et parallèlement s’est développé un vaste marché gris en ligne. Une étude de 2025 a recensé 33 préparations de sémaglutide ou de tirzépatide sous des formes galéniques non autorisées – par exemple des comprimés à sucer ou des mélanges avec des vitamines ; les données d’efficacité et de sécurité font défaut pour ces produits</w:t>
      </w:r>
      <w:r>
        <w:rPr>
          <w:rStyle w:val="FootnoteReference"/>
        </w:rPr>
        <w:footnoteReference w:id="526"/>
      </w:r>
      <w:r>
        <w:t xml:space="preserve">. C’est encore plus vrai pour les produits « de recherche » sans autorisation de mise sur le marché (voir parties I et IV).</w:t>
      </w:r>
    </w:p>
    <w:bookmarkEnd w:id="527"/>
    <w:bookmarkStart w:id="528" w:name="statut-juridique-4"/>
    <w:p>
      <w:pPr>
        <w:pStyle w:val="Heading3"/>
      </w:pPr>
      <w:r>
        <w:t xml:space="preserve">Statut juridique</w:t>
      </w:r>
    </w:p>
    <w:p>
      <w:pPr>
        <w:numPr>
          <w:ilvl w:val="0"/>
          <w:numId w:val="1065"/>
        </w:numPr>
        <w:pStyle w:val="Compact"/>
      </w:pPr>
      <w:r>
        <w:rPr>
          <w:bCs/>
          <w:b/>
        </w:rPr>
        <w:t xml:space="preserve">UE / Autriche / Allemagne :</w:t>
      </w:r>
      <w:r>
        <w:t xml:space="preserve"> </w:t>
      </w:r>
      <w:r>
        <w:t xml:space="preserve">le tirzépatide est autorisé par procédure centralisée dans l’UE sous le nom de Mounjaro (2022 pour le diabète de type 2, depuis fin 2023 aussi pour la gestion du poids). Il est soumis à prescription. La prise en charge des coûts par l’assurance maladie dépend de l’indication : pour le diabète de type 2, un remboursement est en principe possible ; les médicaments destinés à la perte de poids sont en Allemagne largement exclus du remboursement par la loi, et en Autriche des règles propres et restrictives s’appliquent. Les détails évoluent – à vérifier.</w:t>
      </w:r>
    </w:p>
    <w:p>
      <w:pPr>
        <w:numPr>
          <w:ilvl w:val="0"/>
          <w:numId w:val="1065"/>
        </w:numPr>
        <w:pStyle w:val="Compact"/>
      </w:pPr>
      <w:r>
        <w:rPr>
          <w:bCs/>
          <w:b/>
        </w:rPr>
        <w:t xml:space="preserve">États-Unis :</w:t>
      </w:r>
      <w:r>
        <w:t xml:space="preserve"> </w:t>
      </w:r>
      <w:r>
        <w:t xml:space="preserve">autorisé sous le nom de Mounjaro (2022, diabète de type 2) et de Zepbound (2023, gestion chronique du poids ; en 2024 en plus apnée obstructive du sommeil associée à l’obésité). Depuis la fin de la pénurie officielle, la FDA a fortement restreint la fabrication de copies en pharmacie.</w:t>
      </w:r>
    </w:p>
    <w:p>
      <w:pPr>
        <w:numPr>
          <w:ilvl w:val="0"/>
          <w:numId w:val="1065"/>
        </w:numPr>
        <w:pStyle w:val="Compact"/>
      </w:pPr>
      <w:r>
        <w:rPr>
          <w:bCs/>
          <w:b/>
        </w:rPr>
        <w:t xml:space="preserve">Sport :</w:t>
      </w:r>
      <w:r>
        <w:t xml:space="preserve"> </w:t>
      </w:r>
      <w:r>
        <w:t xml:space="preserve">le tirzépatide ne figure pas sur la liste des interdictions de l’AMA (état 2026, à vérifier).</w:t>
      </w:r>
    </w:p>
    <w:p>
      <w:pPr>
        <w:numPr>
          <w:ilvl w:val="0"/>
          <w:numId w:val="1065"/>
        </w:numPr>
        <w:pStyle w:val="Compact"/>
      </w:pPr>
      <w:r>
        <w:rPr>
          <w:bCs/>
          <w:b/>
        </w:rPr>
        <w:t xml:space="preserve">Marché gris :</w:t>
      </w:r>
      <w:r>
        <w:t xml:space="preserve"> </w:t>
      </w:r>
      <w:r>
        <w:t xml:space="preserve">le commerce de produits de tirzépatide non autorisés (« for research use only ») n’est pas, dans l’UE, une voie légale d’accès à un médicament ; ces produits ne sont soumis à aucun contrôle de qualité.</w:t>
      </w:r>
    </w:p>
    <w:bookmarkEnd w:id="528"/>
    <w:bookmarkStart w:id="534" w:name="études-en-cours-et-perspectives-4"/>
    <w:p>
      <w:pPr>
        <w:pStyle w:val="Heading3"/>
      </w:pPr>
      <w:r>
        <w:t xml:space="preserve">Études en cours et perspectives</w:t>
      </w:r>
    </w:p>
    <w:p>
      <w:pPr>
        <w:pStyle w:val="FirstParagraph"/>
      </w:pPr>
      <w:r>
        <w:rPr>
          <w:bCs/>
          <w:b/>
        </w:rPr>
        <w:t xml:space="preserve">Établi (études enregistrées, état octobre 2026) :</w:t>
      </w:r>
    </w:p>
    <w:p>
      <w:pPr>
        <w:numPr>
          <w:ilvl w:val="0"/>
          <w:numId w:val="1066"/>
        </w:numPr>
        <w:pStyle w:val="Compact"/>
      </w:pPr>
      <w:r>
        <w:rPr>
          <w:bCs/>
          <w:b/>
        </w:rPr>
        <w:t xml:space="preserve">SURMOUNT-MMO</w:t>
      </w:r>
      <w:r>
        <w:rPr>
          <w:rStyle w:val="FootnoteReference"/>
        </w:rPr>
        <w:footnoteReference w:id="529"/>
      </w:r>
      <w:r>
        <w:t xml:space="preserve"> </w:t>
      </w:r>
      <w:r>
        <w:t xml:space="preserve">: étude sur critères cliniques portant sur environ 15 000 personnes obèses sans diabète et à haut risque cardiovasculaire, tirzépatide contre placebo. Le critère principal regroupe infarctus, AVC, revascularisation, événements d’insuffisance cardiaque et décès toutes causes ; fin prévue en 2027. Selon la publication décrivant son plan, c’est la première étude sur critères cliniques avec une incrétine qui examine à la fois la prévention primaire et secondaire des maladies cardiovasculaires</w:t>
      </w:r>
      <w:r>
        <w:rPr>
          <w:rStyle w:val="FootnoteReference"/>
        </w:rPr>
        <w:footnoteReference w:id="530"/>
      </w:r>
      <w:r>
        <w:t xml:space="preserve">.</w:t>
      </w:r>
    </w:p>
    <w:p>
      <w:pPr>
        <w:numPr>
          <w:ilvl w:val="0"/>
          <w:numId w:val="1066"/>
        </w:numPr>
        <w:pStyle w:val="Compact"/>
      </w:pPr>
      <w:r>
        <w:rPr>
          <w:bCs/>
          <w:b/>
        </w:rPr>
        <w:t xml:space="preserve">SYNERGY-Outcomes</w:t>
      </w:r>
      <w:r>
        <w:rPr>
          <w:rStyle w:val="FootnoteReference"/>
        </w:rPr>
        <w:footnoteReference w:id="531"/>
      </w:r>
      <w:r>
        <w:t xml:space="preserve"> </w:t>
      </w:r>
      <w:r>
        <w:t xml:space="preserve">: protocole maître de phase 3 sur la maladie hépatique stéatosique, avec 4 500 participants prévus.</w:t>
      </w:r>
    </w:p>
    <w:p>
      <w:pPr>
        <w:numPr>
          <w:ilvl w:val="0"/>
          <w:numId w:val="1066"/>
        </w:numPr>
        <w:pStyle w:val="Compact"/>
      </w:pPr>
      <w:r>
        <w:rPr>
          <w:bCs/>
          <w:b/>
        </w:rPr>
        <w:t xml:space="preserve">Diabète de type 1 avec obésité</w:t>
      </w:r>
      <w:r>
        <w:rPr>
          <w:rStyle w:val="FootnoteReference"/>
        </w:rPr>
        <w:footnoteReference w:id="532"/>
      </w:r>
      <w:r>
        <w:t xml:space="preserve"> </w:t>
      </w:r>
      <w:r>
        <w:t xml:space="preserve">: deux études de phase 3.</w:t>
      </w:r>
    </w:p>
    <w:p>
      <w:pPr>
        <w:numPr>
          <w:ilvl w:val="0"/>
          <w:numId w:val="1066"/>
        </w:numPr>
        <w:pStyle w:val="Compact"/>
      </w:pPr>
      <w:r>
        <w:rPr>
          <w:bCs/>
          <w:b/>
        </w:rPr>
        <w:t xml:space="preserve">Adolescents obèses</w:t>
      </w:r>
      <w:r>
        <w:t xml:space="preserve"> </w:t>
      </w:r>
      <w:r>
        <w:t xml:space="preserve">(NCT06439277, SURMOUNT-ADOLESCENTS-2) et enfants</w:t>
      </w:r>
      <w:r>
        <w:rPr>
          <w:rStyle w:val="FootnoteReference"/>
        </w:rPr>
        <w:footnoteReference w:id="533"/>
      </w:r>
      <w:r>
        <w:t xml:space="preserve">.</w:t>
      </w:r>
    </w:p>
    <w:p>
      <w:pPr>
        <w:numPr>
          <w:ilvl w:val="0"/>
          <w:numId w:val="1066"/>
        </w:numPr>
        <w:pStyle w:val="Compact"/>
      </w:pPr>
      <w:r>
        <w:rPr>
          <w:bCs/>
          <w:b/>
        </w:rPr>
        <w:t xml:space="preserve">Comparaison directe avec le successeur rétatrutide</w:t>
      </w:r>
      <w:r>
        <w:t xml:space="preserve"> </w:t>
      </w:r>
      <w:r>
        <w:t xml:space="preserve">(NCT06662383, voir le chapitre Rétatrutide).</w:t>
      </w:r>
    </w:p>
    <w:p>
      <w:pPr>
        <w:numPr>
          <w:ilvl w:val="0"/>
          <w:numId w:val="1066"/>
        </w:numPr>
        <w:pStyle w:val="Compact"/>
      </w:pPr>
      <w:r>
        <w:t xml:space="preserve">De nombreuses études sur l’arthrose du genou, le psoriasis, les maladies rénales et l’AVC.</w:t>
      </w:r>
    </w:p>
    <w:p>
      <w:pPr>
        <w:pStyle w:val="FirstParagraph"/>
      </w:pPr>
      <w:r>
        <w:rPr>
          <w:bCs/>
          <w:b/>
        </w:rPr>
        <w:t xml:space="preserve">Estimation :</w:t>
      </w:r>
      <w:r>
        <w:t xml:space="preserve"> </w:t>
      </w:r>
      <w:r>
        <w:t xml:space="preserve">en 2026, le tirzépatide est la référence à laquelle les nouveaux médicaments amaigrissants doivent se mesurer. La prochaine grande question est de savoir si SURMOUNT-MMO montrera chez des personnes sans diabète un bénéfice cardiovasculaire similaire à celui de l’étude SELECT pour le sémaglutide. La concurrence vient des triples agonistes (rétatrutide), des associations avec l’amyline (CagriSema, amycrétine) et des comprimés (orforglipron). La partie V traite de la date d’expiration des brevets et de l’arrivée possible de copies moins chères.</w:t>
      </w:r>
    </w:p>
    <w:bookmarkEnd w:id="534"/>
    <w:bookmarkStart w:id="535" w:name="conclusion-4"/>
    <w:p>
      <w:pPr>
        <w:pStyle w:val="Heading3"/>
      </w:pPr>
      <w:r>
        <w:t xml:space="preserve">Conclusion</w:t>
      </w:r>
    </w:p>
    <w:p>
      <w:pPr>
        <w:pStyle w:val="FirstParagraph"/>
      </w:pPr>
      <w:r>
        <w:t xml:space="preserve">Le tirzépatide est un double agoniste GIP/GLP-1 étudié dans l’un des plus grands programmes d’études de la médecine du diabète et de l’obésité. Dans SURMOUNT-1, le poids corporel a diminué en moyenne d’environ 21 % à la dose la plus élevée ; en comparaison directe avec le sémaglutide (SURMOUNT-5), de 20,2 % contre 13,7 %. Face au dulaglutide, il était non inférieur pour les événements cardiovasculaires, et des effets favorables sont apparus dans l’insuffisance cardiaque à fraction d’éjection préservée et l’apnée du sommeil. Les effets indésirables concernent surtout le tube digestif et la vésicule biliaire ; après l’arrêt, une grande partie du poids est reprise. Le traitement relève du médecin – avec la préparation originale, pas avec des produits du marché gris.</w:t>
      </w:r>
    </w:p>
    <w:bookmarkEnd w:id="535"/>
    <w:bookmarkEnd w:id="536"/>
    <w:bookmarkStart w:id="576" w:name="rétatrutide"/>
    <w:p>
      <w:pPr>
        <w:pStyle w:val="Heading2"/>
      </w:pPr>
      <w:r>
        <w:t xml:space="preserve">Rétatrutide</w:t>
      </w:r>
    </w:p>
    <w:bookmarkStart w:id="537" w:name="fiche-signalétique-5"/>
    <w:p>
      <w:pPr>
        <w:pStyle w:val="Heading3"/>
      </w:pPr>
      <w:r>
        <w:t xml:space="preserve">Fiche signalétique</w:t>
      </w:r>
    </w:p>
    <w:p>
      <w:pPr>
        <w:numPr>
          <w:ilvl w:val="0"/>
          <w:numId w:val="1067"/>
        </w:numPr>
        <w:pStyle w:val="Compact"/>
      </w:pPr>
      <w:r>
        <w:rPr>
          <w:bCs/>
          <w:b/>
        </w:rPr>
        <w:t xml:space="preserve">Type/structure :</w:t>
      </w:r>
      <w:r>
        <w:t xml:space="preserve"> </w:t>
      </w:r>
      <w:r>
        <w:t xml:space="preserve">peptide de synthèse portant une chaîne d’acide gras pour une administration sous-cutanée une fois par semaine ; code de développement LY3437943.</w:t>
      </w:r>
    </w:p>
    <w:p>
      <w:pPr>
        <w:numPr>
          <w:ilvl w:val="0"/>
          <w:numId w:val="1067"/>
        </w:numPr>
        <w:pStyle w:val="Compact"/>
      </w:pPr>
      <w:r>
        <w:rPr>
          <w:bCs/>
          <w:b/>
        </w:rPr>
        <w:t xml:space="preserve">Origine :</w:t>
      </w:r>
      <w:r>
        <w:t xml:space="preserve"> </w:t>
      </w:r>
      <w:r>
        <w:t xml:space="preserve">développé par Eli Lilly comme successeur du tirzépatide.</w:t>
      </w:r>
    </w:p>
    <w:p>
      <w:pPr>
        <w:numPr>
          <w:ilvl w:val="0"/>
          <w:numId w:val="1067"/>
        </w:numPr>
        <w:pStyle w:val="Compact"/>
      </w:pPr>
      <w:r>
        <w:rPr>
          <w:bCs/>
          <w:b/>
        </w:rPr>
        <w:t xml:space="preserve">Principe d’action :</w:t>
      </w:r>
      <w:r>
        <w:t xml:space="preserve"> </w:t>
      </w:r>
      <w:r>
        <w:t xml:space="preserve">« triple agoniste » agissant sur trois récepteurs : GIP, GLP-1 et glucagon. Souvent surnommé « Triple G » dans les médias.</w:t>
      </w:r>
    </w:p>
    <w:p>
      <w:pPr>
        <w:numPr>
          <w:ilvl w:val="0"/>
          <w:numId w:val="1067"/>
        </w:numPr>
        <w:pStyle w:val="Compact"/>
      </w:pPr>
      <w:r>
        <w:rPr>
          <w:bCs/>
          <w:b/>
        </w:rPr>
        <w:t xml:space="preserve">Autorisation UE :</w:t>
      </w:r>
      <w:r>
        <w:t xml:space="preserve"> </w:t>
      </w:r>
      <w:r>
        <w:t xml:space="preserve">non (état octobre 2026 ; programme de phase 3 TRIUMPH en partie terminé).</w:t>
      </w:r>
    </w:p>
    <w:p>
      <w:pPr>
        <w:numPr>
          <w:ilvl w:val="0"/>
          <w:numId w:val="1067"/>
        </w:numPr>
        <w:pStyle w:val="Compact"/>
      </w:pPr>
      <w:r>
        <w:rPr>
          <w:bCs/>
          <w:b/>
        </w:rPr>
        <w:t xml:space="preserve">Autorisation États-Unis :</w:t>
      </w:r>
      <w:r>
        <w:t xml:space="preserve"> </w:t>
      </w:r>
      <w:r>
        <w:t xml:space="preserve">non (état octobre 2026, à vérifier).</w:t>
      </w:r>
    </w:p>
    <w:p>
      <w:pPr>
        <w:numPr>
          <w:ilvl w:val="0"/>
          <w:numId w:val="1067"/>
        </w:numPr>
        <w:pStyle w:val="Compact"/>
      </w:pPr>
      <w:r>
        <w:rPr>
          <w:bCs/>
          <w:b/>
        </w:rPr>
        <w:t xml:space="preserve">AMA (WADA) :</w:t>
      </w:r>
      <w:r>
        <w:t xml:space="preserve"> </w:t>
      </w:r>
      <w:r>
        <w:t xml:space="preserve">non cité nommément ; en tant que substance autorisée nulle part, le rétatrutide relève toutefois de la classe S0 « Substances non approuvées » et est donc interdit en permanence dans le sport.</w:t>
      </w:r>
    </w:p>
    <w:p>
      <w:pPr>
        <w:numPr>
          <w:ilvl w:val="0"/>
          <w:numId w:val="1067"/>
        </w:numPr>
        <w:pStyle w:val="Compact"/>
      </w:pPr>
      <w:r>
        <w:rPr>
          <w:bCs/>
          <w:b/>
        </w:rPr>
        <w:t xml:space="preserve">Niveau de preuve :</w:t>
      </w:r>
      <w:r>
        <w:t xml:space="preserve"> </w:t>
      </w:r>
      <w:r>
        <w:rPr>
          <w:bCs/>
          <w:b/>
        </w:rPr>
        <w:t xml:space="preserve">B</w:t>
      </w:r>
      <w:r>
        <w:t xml:space="preserve"> </w:t>
      </w:r>
      <w:r>
        <w:t xml:space="preserve">– plusieurs grandes études de phase 3 publiées, mais pas encore d’autorisation ni de données sur les critères cliniques cardiaques et rénaux. Une autorisation permettrait d’atteindre le niveau A.</w:t>
      </w:r>
    </w:p>
    <w:bookmarkEnd w:id="537"/>
    <w:bookmarkStart w:id="541" w:name="mode-daction-supposé-5"/>
    <w:p>
      <w:pPr>
        <w:pStyle w:val="Heading3"/>
      </w:pPr>
      <w:r>
        <w:t xml:space="preserve">Mode d’action supposé</w:t>
      </w:r>
    </w:p>
    <w:p>
      <w:pPr>
        <w:pStyle w:val="FirstParagraph"/>
      </w:pPr>
      <w:r>
        <w:t xml:space="preserve">Le rétatrutide reprend le principe du tirzépatide (voir ce chapitre) et y ajoute une troisième cible : le récepteur du glucagon. Cela semble d’abord contradictoire, car le glucagon est l’« hormone antagoniste » de l’insuline – il fait libérer du sucre par le foie et augmente la glycémie. Mais le glucagon a d’autres effets : il augmente la dépense énergétique, favorise la dégradation des graisses dans le foie et contribue à la satiété. L’idée derrière le rétatrutide est d’exploiter ces effets favorables, tandis que les composantes GLP-1 et GIP compensent l’effet hyperglycémiant.</w:t>
      </w:r>
    </w:p>
    <w:p>
      <w:pPr>
        <w:pStyle w:val="BodyText"/>
      </w:pPr>
      <w:r>
        <w:t xml:space="preserve">Dans les essais sur cellules, le rétatrutide agit avec une intensité à peu près égale sur les récepteurs du glucagon et du GLP-1, et plus fortement sur le récepteur du GIP. Chez des souris en surpoids, la composante glucagon a amplifié la perte de poids par une hausse de la dépense énergétique, tandis que le GIP et le GLP-1 réduisaient l’apport calorique</w:t>
      </w:r>
      <w:r>
        <w:rPr>
          <w:rStyle w:val="FootnoteReference"/>
        </w:rPr>
        <w:footnoteReference w:id="538"/>
      </w:r>
      <w:r>
        <w:t xml:space="preserve">. On ne sait pas encore suffisamment si la dépense énergétique augmente de façon notable chez l’humain ; une étude de phase 1 sur ce point est enregistrée</w:t>
      </w:r>
      <w:r>
        <w:rPr>
          <w:rStyle w:val="FootnoteReference"/>
        </w:rPr>
        <w:footnoteReference w:id="539"/>
      </w:r>
      <w:r>
        <w:t xml:space="preserve">.</w:t>
      </w:r>
    </w:p>
    <w:p>
      <w:pPr>
        <w:pStyle w:val="BodyText"/>
      </w:pPr>
      <w:r>
        <w:t xml:space="preserve">Chez l’humain, les participants d’une étude de phase 2 ont rapporté, sous les doses plus élevées, moins de faim et moins de tendance à la « perte de contrôle » face à la nourriture ; ces changements étaient liés à la perte de poids</w:t>
      </w:r>
      <w:r>
        <w:rPr>
          <w:rStyle w:val="FootnoteReference"/>
        </w:rPr>
        <w:footnoteReference w:id="540"/>
      </w:r>
      <w:r>
        <w:t xml:space="preserve">.</w:t>
      </w:r>
    </w:p>
    <w:bookmarkEnd w:id="541"/>
    <w:bookmarkStart w:id="556" w:name="études-chez-lhumain-5"/>
    <w:p>
      <w:pPr>
        <w:pStyle w:val="Heading3"/>
      </w:pPr>
      <w:r>
        <w:t xml:space="preserve">Études chez l’humain</w:t>
      </w:r>
    </w:p>
    <w:p>
      <w:pPr>
        <w:pStyle w:val="FirstParagraph"/>
      </w:pPr>
      <w:r>
        <w:rPr>
          <w:bCs/>
          <w:b/>
        </w:rPr>
        <w:t xml:space="preserve">Ampleur des données :</w:t>
      </w:r>
      <w:r>
        <w:t xml:space="preserve"> </w:t>
      </w:r>
      <w:r>
        <w:t xml:space="preserve">la requête PubMed automatisée (octobre 2026) a fourni 10 études chez l’humain, complétées par une recherche ciblée des publications de phase 1 et de phase 3. Sur ClinicalTrials.gov, 32 études étaient enregistrées (une entrée d’exemple manifestement fictive n’est pas comptée), dont le programme d’homologation TRIUMPH (obésité) et TRANSCEND (diabète de type 2). Pour une substance non autorisée, c’est une base de données exceptionnellement solide – elle provient toutefois presque entièrement d’études financées par le fabricant.</w:t>
      </w:r>
    </w:p>
    <w:bookmarkStart w:id="544" w:name="premières-études"/>
    <w:p>
      <w:pPr>
        <w:pStyle w:val="Heading4"/>
      </w:pPr>
      <w:r>
        <w:t xml:space="preserve">Premières études</w:t>
      </w:r>
    </w:p>
    <w:p>
      <w:pPr>
        <w:pStyle w:val="FirstParagraph"/>
      </w:pPr>
      <w:r>
        <w:t xml:space="preserve">Après une étude à dose unique chez des volontaires sains, dans laquelle le poids corporel est resté diminué jusqu’à 43 jours après une seule injection</w:t>
      </w:r>
      <w:r>
        <w:rPr>
          <w:rStyle w:val="FootnoteReference"/>
        </w:rPr>
        <w:footnoteReference w:id="542"/>
      </w:r>
      <w:r>
        <w:t xml:space="preserve">, a suivi une étude de phase 1b de douze semaines chez 72 personnes atteintes de diabète de type 2. La demi-vie était d’environ six jours, ce qui permet une administration hebdomadaire. Dans le groupe à la dose la plus élevée, la perte de poids par rapport au placebo atteignait près de 9 kg</w:t>
      </w:r>
      <w:r>
        <w:rPr>
          <w:rStyle w:val="FootnoteReference"/>
        </w:rPr>
        <w:footnoteReference w:id="543"/>
      </w:r>
      <w:r>
        <w:t xml:space="preserve">.</w:t>
      </w:r>
    </w:p>
    <w:bookmarkEnd w:id="544"/>
    <w:bookmarkStart w:id="550" w:name="phase-2-obésité-et-diabète-de-type-2"/>
    <w:p>
      <w:pPr>
        <w:pStyle w:val="Heading4"/>
      </w:pPr>
      <w:r>
        <w:t xml:space="preserve">Phase 2 : obésité et diabète de type 2</w:t>
      </w:r>
    </w:p>
    <w:p>
      <w:pPr>
        <w:pStyle w:val="FirstParagraph"/>
      </w:pPr>
      <w:r>
        <w:t xml:space="preserve">L’étude de phase 2 dans l’obésité a fait les gros titres en 2023</w:t>
      </w:r>
      <w:r>
        <w:rPr>
          <w:rStyle w:val="FootnoteReference"/>
        </w:rPr>
        <w:footnoteReference w:id="545"/>
      </w:r>
      <w:r>
        <w:t xml:space="preserve">. 338 adultes ont reçu pendant 48 semaines différentes doses ou un placebo. Dans le groupe à la dose la plus élevée, le poids corporel a diminué en moyenne de 24,2 % (placebo : −2,1 %) ; 83 % de ce groupe ont perdu au moins 15 %. C’étaient les valeurs les plus élevées mesurées jusque-là dans une étude médicamenteuse sur l’obésité. Les effets indésirables digestifs augmentaient avec la dose et étaient moindres avec une titration plus lente. La fréquence cardiaque augmentait de façon dose-dépendante, atteignait son maximum après 24 semaines puis diminuait.</w:t>
      </w:r>
    </w:p>
    <w:p>
      <w:pPr>
        <w:pStyle w:val="BodyText"/>
      </w:pPr>
      <w:r>
        <w:t xml:space="preserve">L’étude de phase 2 parallèle chez 281 personnes atteintes de diabète de type 2 a montré après 24 semaines des baisses de l’HbA1c allant jusqu’à 2,02 points de pourcentage (dulaglutide : −1,41) et après 36 semaines une perte de poids allant jusqu’à 16,94 %</w:t>
      </w:r>
      <w:r>
        <w:rPr>
          <w:rStyle w:val="FootnoteReference"/>
        </w:rPr>
        <w:footnoteReference w:id="546"/>
      </w:r>
      <w:r>
        <w:t xml:space="preserve">. Dans une sous-étude avec mesure de la composition corporelle (DXA), la masse grasse a diminué de 23 à 26 % sous les doses les plus élevées</w:t>
      </w:r>
      <w:r>
        <w:rPr>
          <w:rStyle w:val="FootnoteReference"/>
        </w:rPr>
        <w:footnoteReference w:id="547"/>
      </w:r>
      <w:r>
        <w:t xml:space="preserve">.</w:t>
      </w:r>
    </w:p>
    <w:p>
      <w:pPr>
        <w:pStyle w:val="BodyText"/>
      </w:pPr>
      <w:r>
        <w:t xml:space="preserve">Une sous-étude chez 98 participants atteints de stéatose hépatique (au moins 10 % de graisse hépatique) a constaté après 24 semaines une réduction relative de la graisse hépatique allant jusqu’à 82,4 % ; à la dose la plus élevée, 86 % présentaient ensuite des valeurs normales de graisse hépatique, contre personne sous placebo</w:t>
      </w:r>
      <w:r>
        <w:rPr>
          <w:rStyle w:val="FootnoteReference"/>
        </w:rPr>
        <w:footnoteReference w:id="548"/>
      </w:r>
      <w:r>
        <w:t xml:space="preserve">. La teneur en graisse du foie est un critère de substitution – il n’est pas encore démontré que l’inflammation hépatique, la fibrose et la cirrhose en soient réduites.</w:t>
      </w:r>
    </w:p>
    <w:p>
      <w:pPr>
        <w:pStyle w:val="BodyText"/>
      </w:pPr>
      <w:r>
        <w:t xml:space="preserve">Des analyses complémentaires des études de phase 2 ont montré des améliorations des lipides sanguins et des marqueurs inflammatoires, par exemple un cholestérol non-HDL inférieur de jusqu’à 26,9 % et une CRP inférieure de 54,8 % dans l’étude sur l’obésité</w:t>
      </w:r>
      <w:r>
        <w:rPr>
          <w:rStyle w:val="FootnoteReference"/>
        </w:rPr>
        <w:footnoteReference w:id="549"/>
      </w:r>
      <w:r>
        <w:t xml:space="preserve">. Ce sont là aussi des valeurs biologiques, et non des critères cliniques forts.</w:t>
      </w:r>
    </w:p>
    <w:bookmarkEnd w:id="550"/>
    <w:bookmarkStart w:id="555" w:name="Xd65e2dc586439a885984eb9a1592814a18f9992"/>
    <w:p>
      <w:pPr>
        <w:pStyle w:val="Heading4"/>
      </w:pPr>
      <w:r>
        <w:t xml:space="preserve">Phase 3 : les programmes TRIUMPH et TRANSCEND</w:t>
      </w:r>
    </w:p>
    <w:p>
      <w:pPr>
        <w:pStyle w:val="FirstParagraph"/>
      </w:pPr>
      <w:r>
        <w:t xml:space="preserve">Le programme d’homologation dans l’obésité, TRIUMPH, comprend quatre études regroupant au total plus de 5 800 participants. Une particularité est le schéma « basket » : au sein des grandes études sur le poids, des sous-groupes atteints de gonarthrose ou d’apnée du sommeil ont été analysés avec leurs propres critères principaux</w:t>
      </w:r>
      <w:r>
        <w:rPr>
          <w:rStyle w:val="FootnoteReference"/>
        </w:rPr>
        <w:footnoteReference w:id="551"/>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schéma</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Phase 2 obésité (Jastreboff 2023), PMID 37366315</w:t>
            </w:r>
          </w:p>
        </w:tc>
        <w:tc>
          <w:tcPr/>
          <w:p>
            <w:pPr>
              <w:pStyle w:val="Compact"/>
              <w:jc w:val="left"/>
            </w:pPr>
            <w:r>
              <w:t xml:space="preserve">338 adultes sans diabète, contre placebo</w:t>
            </w:r>
          </w:p>
        </w:tc>
        <w:tc>
          <w:tcPr/>
          <w:p>
            <w:pPr>
              <w:pStyle w:val="Compact"/>
              <w:jc w:val="left"/>
            </w:pPr>
            <w:r>
              <w:t xml:space="preserve">48 semaines</w:t>
            </w:r>
          </w:p>
        </w:tc>
        <w:tc>
          <w:tcPr/>
          <w:p>
            <w:pPr>
              <w:pStyle w:val="Compact"/>
              <w:jc w:val="left"/>
            </w:pPr>
            <w:r>
              <w:t xml:space="preserve">jusqu’à −24,2 % de poids vs −2,1 %</w:t>
            </w:r>
          </w:p>
        </w:tc>
      </w:tr>
      <w:tr>
        <w:tc>
          <w:tcPr/>
          <w:p>
            <w:pPr>
              <w:pStyle w:val="Compact"/>
              <w:jc w:val="left"/>
            </w:pPr>
            <w:r>
              <w:t xml:space="preserve">Phase 2 diabète de type 2 (Rosenstock 2023), PMID 37385280</w:t>
            </w:r>
          </w:p>
        </w:tc>
        <w:tc>
          <w:tcPr/>
          <w:p>
            <w:pPr>
              <w:pStyle w:val="Compact"/>
              <w:jc w:val="left"/>
            </w:pPr>
            <w:r>
              <w:t xml:space="preserve">281 adultes, contre placebo et dulaglutide</w:t>
            </w:r>
          </w:p>
        </w:tc>
        <w:tc>
          <w:tcPr/>
          <w:p>
            <w:pPr>
              <w:pStyle w:val="Compact"/>
              <w:jc w:val="left"/>
            </w:pPr>
            <w:r>
              <w:t xml:space="preserve">36 semaines</w:t>
            </w:r>
          </w:p>
        </w:tc>
        <w:tc>
          <w:tcPr/>
          <w:p>
            <w:pPr>
              <w:pStyle w:val="Compact"/>
              <w:jc w:val="left"/>
            </w:pPr>
            <w:r>
              <w:t xml:space="preserve">HbA1c jusqu’à −2,02 points ; poids jusqu’à −16,94 %</w:t>
            </w:r>
          </w:p>
        </w:tc>
      </w:tr>
      <w:tr>
        <w:tc>
          <w:tcPr/>
          <w:p>
            <w:pPr>
              <w:pStyle w:val="Compact"/>
              <w:jc w:val="left"/>
            </w:pPr>
            <w:r>
              <w:t xml:space="preserve">TRIUMPH-1 (Jastreboff 2026), PMID 42814954</w:t>
            </w:r>
          </w:p>
        </w:tc>
        <w:tc>
          <w:tcPr/>
          <w:p>
            <w:pPr>
              <w:pStyle w:val="Compact"/>
              <w:jc w:val="left"/>
            </w:pPr>
            <w:r>
              <w:t xml:space="preserve">2 339 adultes obèses sans diabète, contre placebo</w:t>
            </w:r>
          </w:p>
        </w:tc>
        <w:tc>
          <w:tcPr/>
          <w:p>
            <w:pPr>
              <w:pStyle w:val="Compact"/>
              <w:jc w:val="left"/>
            </w:pPr>
            <w:r>
              <w:t xml:space="preserve">80 semaines</w:t>
            </w:r>
          </w:p>
        </w:tc>
        <w:tc>
          <w:tcPr/>
          <w:p>
            <w:pPr>
              <w:pStyle w:val="Compact"/>
              <w:jc w:val="left"/>
            </w:pPr>
            <w:r>
              <w:t xml:space="preserve">−17,6 / −23,7 / −25,0 % (4/9/12 mg) vs −3,9 %</w:t>
            </w:r>
          </w:p>
        </w:tc>
      </w:tr>
      <w:tr>
        <w:tc>
          <w:tcPr/>
          <w:p>
            <w:pPr>
              <w:pStyle w:val="Compact"/>
              <w:jc w:val="left"/>
            </w:pPr>
            <w:r>
              <w:t xml:space="preserve">TRIUMPH-2 (Bellido 2026), PMID 42810372</w:t>
            </w:r>
          </w:p>
        </w:tc>
        <w:tc>
          <w:tcPr/>
          <w:p>
            <w:pPr>
              <w:pStyle w:val="Compact"/>
              <w:jc w:val="left"/>
            </w:pPr>
            <w:r>
              <w:t xml:space="preserve">1 152 adultes obèses atteints de diabète de type 2, contre placebo</w:t>
            </w:r>
          </w:p>
        </w:tc>
        <w:tc>
          <w:tcPr/>
          <w:p>
            <w:pPr>
              <w:pStyle w:val="Compact"/>
              <w:jc w:val="left"/>
            </w:pPr>
            <w:r>
              <w:t xml:space="preserve">80 semaines</w:t>
            </w:r>
          </w:p>
        </w:tc>
        <w:tc>
          <w:tcPr/>
          <w:p>
            <w:pPr>
              <w:pStyle w:val="Compact"/>
              <w:jc w:val="left"/>
            </w:pPr>
            <w:r>
              <w:t xml:space="preserve">−11,9 / −16,8 / −18,8 % vs −5,1 %</w:t>
            </w:r>
          </w:p>
        </w:tc>
      </w:tr>
      <w:tr>
        <w:tc>
          <w:tcPr/>
          <w:p>
            <w:pPr>
              <w:pStyle w:val="Compact"/>
              <w:jc w:val="left"/>
            </w:pPr>
            <w:r>
              <w:t xml:space="preserve">TRANSCEND-T2D-1 (Bajaj 2026), PMID 42250575</w:t>
            </w:r>
          </w:p>
        </w:tc>
        <w:tc>
          <w:tcPr/>
          <w:p>
            <w:pPr>
              <w:pStyle w:val="Compact"/>
              <w:jc w:val="left"/>
            </w:pPr>
            <w:r>
              <w:t xml:space="preserve">537 adultes atteints de diabète de type 2 sans traitement, contre placebo</w:t>
            </w:r>
          </w:p>
        </w:tc>
        <w:tc>
          <w:tcPr/>
          <w:p>
            <w:pPr>
              <w:pStyle w:val="Compact"/>
              <w:jc w:val="left"/>
            </w:pPr>
            <w:r>
              <w:t xml:space="preserve">40 semaines</w:t>
            </w:r>
          </w:p>
        </w:tc>
        <w:tc>
          <w:tcPr/>
          <w:p>
            <w:pPr>
              <w:pStyle w:val="Compact"/>
              <w:jc w:val="left"/>
            </w:pPr>
            <w:r>
              <w:t xml:space="preserve">HbA1c −1,69 à −1,94 vs −0,81 ; poids jusqu’à −15,3 %</w:t>
            </w:r>
          </w:p>
        </w:tc>
      </w:tr>
    </w:tbl>
    <w:p>
      <w:pPr>
        <w:pStyle w:val="BodyText"/>
      </w:pPr>
      <w:r>
        <w:rPr>
          <w:bCs/>
          <w:b/>
        </w:rPr>
        <w:t xml:space="preserve">TRIUMPH-1</w:t>
      </w:r>
      <w:r>
        <w:rPr>
          <w:rStyle w:val="FootnoteReference"/>
        </w:rPr>
        <w:footnoteReference w:id="552"/>
      </w:r>
      <w:r>
        <w:t xml:space="preserve"> </w:t>
      </w:r>
      <w:r>
        <w:t xml:space="preserve">est l’étude principale. Chez 2 339 adultes obèses sans diabète, le poids corporel a diminué après 80 semaines de 25,0 % en moyenne à la dose la plus élevée. À titre de comparaison : dans SURMOUNT-1, le tirzépatide à la dose la plus élevée atteignait 20,9 % après 72 semaines. Une telle comparaison croisée entre études de durées et de populations différentes n’est cependant qu’un repère grossier ; la comparaison directe doit être fournie par une étude en cours (voir Perspectives).</w:t>
      </w:r>
    </w:p>
    <w:p>
      <w:pPr>
        <w:pStyle w:val="BodyText"/>
      </w:pPr>
      <w:r>
        <w:t xml:space="preserve">Dans les sous-études intégrées :</w:t>
      </w:r>
    </w:p>
    <w:p>
      <w:pPr>
        <w:numPr>
          <w:ilvl w:val="0"/>
          <w:numId w:val="1068"/>
        </w:numPr>
        <w:pStyle w:val="Compact"/>
      </w:pPr>
      <w:r>
        <w:rPr>
          <w:bCs/>
          <w:b/>
        </w:rPr>
        <w:t xml:space="preserve">Gonarthrose</w:t>
      </w:r>
      <w:r>
        <w:t xml:space="preserve"> </w:t>
      </w:r>
      <w:r>
        <w:t xml:space="preserve">(574 participants) : le score de douleur (WOMAC, échelle de 1 à 10) a baissé de 3,5 et 3,6 points sous 9 et 12 mg respectivement, contre 1,9 point sous placebo.</w:t>
      </w:r>
    </w:p>
    <w:p>
      <w:pPr>
        <w:numPr>
          <w:ilvl w:val="0"/>
          <w:numId w:val="1068"/>
        </w:numPr>
        <w:pStyle w:val="Compact"/>
      </w:pPr>
      <w:r>
        <w:rPr>
          <w:bCs/>
          <w:b/>
        </w:rPr>
        <w:t xml:space="preserve">Apnée du sommeil</w:t>
      </w:r>
      <w:r>
        <w:t xml:space="preserve"> </w:t>
      </w:r>
      <w:r>
        <w:t xml:space="preserve">(243 participants) : l’index d’apnées-hypopnées a diminué d’environ 32 à 34 événements par heure, contre un peu moins de 10 sous placebo.</w:t>
      </w:r>
    </w:p>
    <w:p>
      <w:pPr>
        <w:pStyle w:val="FirstParagraph"/>
      </w:pPr>
      <w:r>
        <w:rPr>
          <w:bCs/>
          <w:b/>
        </w:rPr>
        <w:t xml:space="preserve">TRIUMPH-2</w:t>
      </w:r>
      <w:r>
        <w:rPr>
          <w:rStyle w:val="FootnoteReference"/>
        </w:rPr>
        <w:footnoteReference w:id="553"/>
      </w:r>
      <w:r>
        <w:t xml:space="preserve"> </w:t>
      </w:r>
      <w:r>
        <w:t xml:space="preserve">a confirmé le schéma connu selon lequel les personnes atteintes de diabète de type 2 perdent moins de poids : −18,8 % à la dose la plus élevée contre −5,1 % sous placebo. Cette étude a aussi fourni les données de sécurité les plus précises à ce jour (voir ci-dessous).</w:t>
      </w:r>
    </w:p>
    <w:p>
      <w:pPr>
        <w:pStyle w:val="BodyText"/>
      </w:pPr>
      <w:r>
        <w:rPr>
          <w:bCs/>
          <w:b/>
        </w:rPr>
        <w:t xml:space="preserve">TRANSCEND-T2D-1</w:t>
      </w:r>
      <w:r>
        <w:rPr>
          <w:rStyle w:val="FootnoteReference"/>
        </w:rPr>
        <w:footnoteReference w:id="554"/>
      </w:r>
      <w:r>
        <w:t xml:space="preserve"> </w:t>
      </w:r>
      <w:r>
        <w:t xml:space="preserve">a évalué le rétatrutide comme traitement antidiabétique unique chez des personnes dont le diabète était récent. L’HbA1c a baissé de jusqu’à 1,94 point de pourcentage, le poids de jusqu’à 15,3 % ; aucune hypoglycémie sévère n’est survenue.</w:t>
      </w:r>
    </w:p>
    <w:p>
      <w:pPr>
        <w:pStyle w:val="BodyText"/>
      </w:pPr>
      <w:r>
        <w:t xml:space="preserve">Selon le registre, TRIUMPH-3 (obésité avec maladie cardiovasculaire, NCT05882045) et TRIUMPH-4 (gonarthrose, NCT05931367) sont terminées ; aucune publication évaluée par les pairs n’était encore disponible à la clôture de la rédaction de ces chapitres.</w:t>
      </w:r>
    </w:p>
    <w:bookmarkEnd w:id="555"/>
    <w:bookmarkEnd w:id="556"/>
    <w:bookmarkStart w:id="560" w:name="études-animales-et-de-laboratoire-5"/>
    <w:p>
      <w:pPr>
        <w:pStyle w:val="Heading3"/>
      </w:pPr>
      <w:r>
        <w:t xml:space="preserve">Études animales et de laboratoire</w:t>
      </w:r>
    </w:p>
    <w:p>
      <w:pPr>
        <w:pStyle w:val="FirstParagraph"/>
      </w:pPr>
      <w:r>
        <w:t xml:space="preserve">Les bases précliniques proviennent principalement du fabricant. En culture cellulaire, le rétatrutide active les trois récepteurs ; chez des souris en surpoids, il a réduit le poids et la glycémie, la composante glucagon augmentant la dépense énergétique</w:t>
      </w:r>
      <w:r>
        <w:rPr>
          <w:rStyle w:val="FootnoteReference"/>
        </w:rPr>
        <w:footnoteReference w:id="557"/>
      </w:r>
      <w:r>
        <w:t xml:space="preserve">. Un travail sur des souris en surpoids décrit que des tumeurs pancréatiques et pulmonaires transplantées prenaient moins souvent et croissaient plus lentement sous rétatrutide</w:t>
      </w:r>
      <w:r>
        <w:rPr>
          <w:rStyle w:val="FootnoteReference"/>
        </w:rPr>
        <w:footnoteReference w:id="558"/>
      </w:r>
      <w:r>
        <w:t xml:space="preserve"> </w:t>
      </w:r>
      <w:r>
        <w:t xml:space="preserve">– un résultat animal dont on ne peut rien déduire pour l’humain.</w:t>
      </w:r>
    </w:p>
    <w:p>
      <w:pPr>
        <w:pStyle w:val="BodyText"/>
      </w:pPr>
      <w:r>
        <w:t xml:space="preserve">Pour l’analytique antidopage, une méthode de détection a été développée en 2026. Pour cela, on a analysé des échantillons de sang et d’urine de quatre personnes qui s’étaient elles-mêmes injecté du rétatrutide en dehors de toute étude. Aucun rétatrutide intact n’a été trouvé dans l’urine ; dans le sang, il était détectable jusqu’à environ 56 jours après la première injection</w:t>
      </w:r>
      <w:r>
        <w:rPr>
          <w:rStyle w:val="FootnoteReference"/>
        </w:rPr>
        <w:footnoteReference w:id="559"/>
      </w:r>
      <w:r>
        <w:t xml:space="preserve">. Les auteurs font état de rapports sur son usage chez des sportifs amateurs.</w:t>
      </w:r>
    </w:p>
    <w:bookmarkEnd w:id="560"/>
    <w:bookmarkStart w:id="564" w:name="risques-et-effets-indésirables-5"/>
    <w:p>
      <w:pPr>
        <w:pStyle w:val="Heading3"/>
      </w:pPr>
      <w:r>
        <w:t xml:space="preserve">Risques et effets indésirables</w:t>
      </w:r>
    </w:p>
    <w:p>
      <w:pPr>
        <w:pStyle w:val="FirstParagraph"/>
      </w:pPr>
      <w:r>
        <w:rPr>
          <w:bCs/>
          <w:b/>
        </w:rPr>
        <w:t xml:space="preserve">Établi par les études :</w:t>
      </w:r>
    </w:p>
    <w:p>
      <w:pPr>
        <w:numPr>
          <w:ilvl w:val="0"/>
          <w:numId w:val="1069"/>
        </w:numPr>
        <w:pStyle w:val="Compact"/>
      </w:pPr>
      <w:r>
        <w:rPr>
          <w:bCs/>
          <w:b/>
        </w:rPr>
        <w:t xml:space="preserve">Troubles digestifs</w:t>
      </w:r>
      <w:r>
        <w:t xml:space="preserve"> </w:t>
      </w:r>
      <w:r>
        <w:t xml:space="preserve">: ce sont les effets indésirables les plus fréquents, nettement dose-dépendants. Dans TRIUMPH-2, des diarrhées sont survenues chez 27 à 34 % (placebo 13 %) et des nausées chez 14 à 28 % (placebo 8 %)</w:t>
      </w:r>
      <w:r>
        <w:rPr>
          <w:rStyle w:val="FootnoteReference"/>
        </w:rPr>
        <w:footnoteReference w:id="561"/>
      </w:r>
      <w:r>
        <w:t xml:space="preserve">.</w:t>
      </w:r>
    </w:p>
    <w:p>
      <w:pPr>
        <w:numPr>
          <w:ilvl w:val="0"/>
          <w:numId w:val="1069"/>
        </w:numPr>
        <w:pStyle w:val="Compact"/>
      </w:pPr>
      <w:r>
        <w:rPr>
          <w:bCs/>
          <w:b/>
        </w:rPr>
        <w:t xml:space="preserve">Arrêts de traitement :</w:t>
      </w:r>
      <w:r>
        <w:t xml:space="preserve"> </w:t>
      </w:r>
      <w:r>
        <w:t xml:space="preserve">dans TRIUMPH-2, 12 % (9 mg) et 8 % (12 mg) ont arrêté le traitement en raison d’effets indésirables ou de décès, contre 4 % sous 4 mg et 5 % sous placebo.</w:t>
      </w:r>
    </w:p>
    <w:p>
      <w:pPr>
        <w:numPr>
          <w:ilvl w:val="0"/>
          <w:numId w:val="1069"/>
        </w:numPr>
        <w:pStyle w:val="Compact"/>
      </w:pPr>
      <w:r>
        <w:rPr>
          <w:bCs/>
          <w:b/>
        </w:rPr>
        <w:t xml:space="preserve">Dysesthésie</w:t>
      </w:r>
      <w:r>
        <w:t xml:space="preserve"> </w:t>
      </w:r>
      <w:r>
        <w:t xml:space="preserve">– sensations cutanées désagréables comme picotements, brûlures ou sensibilité au toucher – est survenue dans TRIUMPH-2 de façon dose-dépendante chez 4 à 7 % contre 1 % sous placebo. Ce signal est relativement nouveau pour le rétatrutide ; sa cause n’est pas élucidée.</w:t>
      </w:r>
    </w:p>
    <w:p>
      <w:pPr>
        <w:numPr>
          <w:ilvl w:val="0"/>
          <w:numId w:val="1069"/>
        </w:numPr>
        <w:pStyle w:val="Compact"/>
      </w:pPr>
      <w:r>
        <w:rPr>
          <w:bCs/>
          <w:b/>
        </w:rPr>
        <w:t xml:space="preserve">Pression artérielle basse</w:t>
      </w:r>
      <w:r>
        <w:t xml:space="preserve"> </w:t>
      </w:r>
      <w:r>
        <w:t xml:space="preserve">(hypotension) : 1 à 6 % contre moins de 1 % sous placebo (TRIUMPH-2).</w:t>
      </w:r>
    </w:p>
    <w:p>
      <w:pPr>
        <w:numPr>
          <w:ilvl w:val="0"/>
          <w:numId w:val="1069"/>
        </w:numPr>
        <w:pStyle w:val="Compact"/>
      </w:pPr>
      <w:r>
        <w:rPr>
          <w:bCs/>
          <w:b/>
        </w:rPr>
        <w:t xml:space="preserve">Fréquence cardiaque :</w:t>
      </w:r>
      <w:r>
        <w:t xml:space="preserve"> </w:t>
      </w:r>
      <w:r>
        <w:t xml:space="preserve">dans l’étude de phase 2, le pouls augmentait de façon dose-dépendante puis redescendait après 24 semaines</w:t>
      </w:r>
      <w:r>
        <w:rPr>
          <w:rStyle w:val="FootnoteReference"/>
        </w:rPr>
        <w:footnoteReference w:id="562"/>
      </w:r>
      <w:r>
        <w:t xml:space="preserve">. Une fréquence cardiaque de repos plus élevée est connue pour tous les médicaments GLP-1 ; les études sur critères cliniques doivent établir si elle est cliniquement significative avec le triple agoniste.</w:t>
      </w:r>
    </w:p>
    <w:p>
      <w:pPr>
        <w:numPr>
          <w:ilvl w:val="0"/>
          <w:numId w:val="1069"/>
        </w:numPr>
        <w:pStyle w:val="Compact"/>
      </w:pPr>
      <w:r>
        <w:rPr>
          <w:bCs/>
          <w:b/>
        </w:rPr>
        <w:t xml:space="preserve">Perte de masse maigre :</w:t>
      </w:r>
      <w:r>
        <w:t xml:space="preserve"> </w:t>
      </w:r>
      <w:r>
        <w:t xml:space="preserve">comme pour toute perte de poids importante (voir tirzépatide).</w:t>
      </w:r>
    </w:p>
    <w:p>
      <w:pPr>
        <w:pStyle w:val="FirstParagraph"/>
      </w:pPr>
      <w:r>
        <w:rPr>
          <w:bCs/>
          <w:b/>
        </w:rPr>
        <w:t xml:space="preserve">Théorique ou encore insuffisamment étudié :</w:t>
      </w:r>
      <w:r>
        <w:t xml:space="preserve"> </w:t>
      </w:r>
      <w:r>
        <w:t xml:space="preserve">la composante glucagon pourrait avoir à long terme des effets sur le métabolisme des acides aminés, le rythme cardiaque et les os ; il n’existe pas de données solides à long terme sur ce point. Pour les risques de classe des médicaments GLP-1 (vésicule biliaire, pancréas, cellules C thyroïdiennes chez l’animal), il y a encore trop peu d’années-patients avec le rétatrutide pour en tirer des conclusions propres.</w:t>
      </w:r>
    </w:p>
    <w:p>
      <w:pPr>
        <w:pStyle w:val="BodyText"/>
      </w:pPr>
      <w:r>
        <w:rPr>
          <w:bCs/>
          <w:b/>
        </w:rPr>
        <w:t xml:space="preserve">Marché gris :</w:t>
      </w:r>
      <w:r>
        <w:t xml:space="preserve"> </w:t>
      </w:r>
      <w:r>
        <w:t xml:space="preserve">depuis la publication de phase 2, le rétatrutide est proposé sur Internet comme « research peptide » ; la revue JAMA a fait état en 2026 d’un marché noir croissant du rétatrutide et du zénagamtide</w:t>
      </w:r>
      <w:r>
        <w:rPr>
          <w:rStyle w:val="FootnoteReference"/>
        </w:rPr>
        <w:footnoteReference w:id="563"/>
      </w:r>
      <w:r>
        <w:t xml:space="preserve">. Ces produits ne sont pas des médicaments, leur contenu n’est pas contrôlé, et les schémas de titration utilisés dans les études ne peuvent pas être reproduits de façon fiable avec eux. L’accumulation d’effets indésirables en cas d’augmentation rapide de la dose dans les études montre que ce point est justement déterminant pour la tolérance. Voir à ce sujet la partie I et la partie IV.</w:t>
      </w:r>
    </w:p>
    <w:bookmarkEnd w:id="564"/>
    <w:bookmarkStart w:id="566" w:name="statut-juridique-5"/>
    <w:p>
      <w:pPr>
        <w:pStyle w:val="Heading3"/>
      </w:pPr>
      <w:r>
        <w:t xml:space="preserve">Statut juridique</w:t>
      </w:r>
    </w:p>
    <w:p>
      <w:pPr>
        <w:numPr>
          <w:ilvl w:val="0"/>
          <w:numId w:val="1070"/>
        </w:numPr>
        <w:pStyle w:val="Compact"/>
      </w:pPr>
      <w:r>
        <w:rPr>
          <w:bCs/>
          <w:b/>
        </w:rPr>
        <w:t xml:space="preserve">UE / Autriche / Allemagne :</w:t>
      </w:r>
      <w:r>
        <w:t xml:space="preserve"> </w:t>
      </w:r>
      <w:r>
        <w:t xml:space="preserve">non autorisé. Le rétatrutide ne peut être utilisé que dans le cadre d’essais cliniques. Sa vente comme « produit chimique de recherche » destiné à un usage humain est illégale au regard du droit pharmaceutique.</w:t>
      </w:r>
    </w:p>
    <w:p>
      <w:pPr>
        <w:numPr>
          <w:ilvl w:val="0"/>
          <w:numId w:val="1070"/>
        </w:numPr>
        <w:pStyle w:val="Compact"/>
      </w:pPr>
      <w:r>
        <w:rPr>
          <w:bCs/>
          <w:b/>
        </w:rPr>
        <w:t xml:space="preserve">États-Unis :</w:t>
      </w:r>
      <w:r>
        <w:t xml:space="preserve"> </w:t>
      </w:r>
      <w:r>
        <w:t xml:space="preserve">non autorisé (état octobre 2026). Un programme d’accès élargi avant autorisation (« Expanded Access ») est inscrit au registre</w:t>
      </w:r>
      <w:r>
        <w:rPr>
          <w:rStyle w:val="FootnoteReference"/>
        </w:rPr>
        <w:footnoteReference w:id="565"/>
      </w:r>
      <w:r>
        <w:t xml:space="preserve">. Si et quand une demande d’autorisation sera ou a été déposée : à vérifier.</w:t>
      </w:r>
    </w:p>
    <w:p>
      <w:pPr>
        <w:numPr>
          <w:ilvl w:val="0"/>
          <w:numId w:val="1070"/>
        </w:numPr>
        <w:pStyle w:val="Compact"/>
      </w:pPr>
      <w:r>
        <w:rPr>
          <w:bCs/>
          <w:b/>
        </w:rPr>
        <w:t xml:space="preserve">Sport :</w:t>
      </w:r>
      <w:r>
        <w:t xml:space="preserve"> </w:t>
      </w:r>
      <w:r>
        <w:t xml:space="preserve">en tant que substance non autorisée, le rétatrutide relève de la classe S0 de la WADA (état 2026, à vérifier). Une méthode de détection spécifique dans le sang a été décrite.</w:t>
      </w:r>
    </w:p>
    <w:bookmarkEnd w:id="566"/>
    <w:bookmarkStart w:id="574" w:name="études-en-cours-et-perspectives-5"/>
    <w:p>
      <w:pPr>
        <w:pStyle w:val="Heading3"/>
      </w:pPr>
      <w:r>
        <w:t xml:space="preserve">Études en cours et perspectives</w:t>
      </w:r>
    </w:p>
    <w:p>
      <w:pPr>
        <w:pStyle w:val="FirstParagraph"/>
      </w:pPr>
      <w:r>
        <w:rPr>
          <w:bCs/>
          <w:b/>
        </w:rPr>
        <w:t xml:space="preserve">Établi (études enregistrées, état octobre 2026) :</w:t>
      </w:r>
    </w:p>
    <w:p>
      <w:pPr>
        <w:numPr>
          <w:ilvl w:val="0"/>
          <w:numId w:val="1071"/>
        </w:numPr>
        <w:pStyle w:val="Compact"/>
      </w:pPr>
      <w:r>
        <w:rPr>
          <w:bCs/>
          <w:b/>
        </w:rPr>
        <w:t xml:space="preserve">TRIUMPH-Outcomes</w:t>
      </w:r>
      <w:r>
        <w:rPr>
          <w:rStyle w:val="FootnoteReference"/>
        </w:rPr>
        <w:footnoteReference w:id="567"/>
      </w:r>
      <w:r>
        <w:t xml:space="preserve"> </w:t>
      </w:r>
      <w:r>
        <w:t xml:space="preserve">: étude sur critères cliniques cardiovasculaires et rénaux chez environ 10 000 participants obèses, fin prévue en 2029.</w:t>
      </w:r>
    </w:p>
    <w:p>
      <w:pPr>
        <w:numPr>
          <w:ilvl w:val="0"/>
          <w:numId w:val="1071"/>
        </w:numPr>
        <w:pStyle w:val="Compact"/>
      </w:pPr>
      <w:r>
        <w:rPr>
          <w:bCs/>
          <w:b/>
        </w:rPr>
        <w:t xml:space="preserve">Rétatrutide contre tirzépatide</w:t>
      </w:r>
      <w:r>
        <w:rPr>
          <w:rStyle w:val="FootnoteReference"/>
        </w:rPr>
        <w:footnoteReference w:id="568"/>
      </w:r>
      <w:r>
        <w:t xml:space="preserve"> </w:t>
      </w:r>
      <w:r>
        <w:t xml:space="preserve">: comparaison directe chez 800 adultes obèses, fin d’étude prévue en décembre 2026.</w:t>
      </w:r>
    </w:p>
    <w:p>
      <w:pPr>
        <w:numPr>
          <w:ilvl w:val="0"/>
          <w:numId w:val="1071"/>
        </w:numPr>
        <w:pStyle w:val="Compact"/>
      </w:pPr>
      <w:r>
        <w:rPr>
          <w:bCs/>
          <w:b/>
        </w:rPr>
        <w:t xml:space="preserve">Rétatrutide contre sémaglutide</w:t>
      </w:r>
      <w:r>
        <w:t xml:space="preserve"> </w:t>
      </w:r>
      <w:r>
        <w:t xml:space="preserve">dans le diabète de type 2</w:t>
      </w:r>
      <w:r>
        <w:rPr>
          <w:rStyle w:val="FootnoteReference"/>
        </w:rPr>
        <w:footnoteReference w:id="569"/>
      </w:r>
      <w:r>
        <w:t xml:space="preserve">.</w:t>
      </w:r>
    </w:p>
    <w:p>
      <w:pPr>
        <w:numPr>
          <w:ilvl w:val="0"/>
          <w:numId w:val="1071"/>
        </w:numPr>
        <w:pStyle w:val="Compact"/>
      </w:pPr>
      <w:r>
        <w:rPr>
          <w:bCs/>
          <w:b/>
        </w:rPr>
        <w:t xml:space="preserve">Maintien du poids</w:t>
      </w:r>
      <w:r>
        <w:t xml:space="preserve"> </w:t>
      </w:r>
      <w:r>
        <w:t xml:space="preserve">après perte de poids</w:t>
      </w:r>
      <w:r>
        <w:rPr>
          <w:rStyle w:val="FootnoteReference"/>
        </w:rPr>
        <w:footnoteReference w:id="570"/>
      </w:r>
      <w:r>
        <w:t xml:space="preserve">,</w:t>
      </w:r>
      <w:r>
        <w:t xml:space="preserve"> </w:t>
      </w:r>
      <w:r>
        <w:rPr>
          <w:bCs/>
          <w:b/>
        </w:rPr>
        <w:t xml:space="preserve">fonction rénale</w:t>
      </w:r>
      <w:r>
        <w:t xml:space="preserve"> </w:t>
      </w:r>
      <w:r>
        <w:t xml:space="preserve">dans le diabète de type 2 avec insuffisance rénale</w:t>
      </w:r>
      <w:r>
        <w:rPr>
          <w:rStyle w:val="FootnoteReference"/>
        </w:rPr>
        <w:footnoteReference w:id="571"/>
      </w:r>
      <w:r>
        <w:t xml:space="preserve">,</w:t>
      </w:r>
      <w:r>
        <w:t xml:space="preserve"> </w:t>
      </w:r>
      <w:r>
        <w:rPr>
          <w:bCs/>
          <w:b/>
        </w:rPr>
        <w:t xml:space="preserve">lombalgies chroniques</w:t>
      </w:r>
      <w:r>
        <w:t xml:space="preserve"> </w:t>
      </w:r>
      <w:r>
        <w:t xml:space="preserve">en cas d’obésité</w:t>
      </w:r>
      <w:r>
        <w:rPr>
          <w:rStyle w:val="FootnoteReference"/>
        </w:rPr>
        <w:footnoteReference w:id="572"/>
      </w:r>
      <w:r>
        <w:t xml:space="preserve">.</w:t>
      </w:r>
    </w:p>
    <w:p>
      <w:pPr>
        <w:numPr>
          <w:ilvl w:val="0"/>
          <w:numId w:val="1071"/>
        </w:numPr>
        <w:pStyle w:val="Compact"/>
      </w:pPr>
      <w:r>
        <w:t xml:space="preserve">Le rétatrutide fait par ailleurs partie d’un protocole cadre de phase 3 sur la stéatose hépatique</w:t>
      </w:r>
      <w:r>
        <w:rPr>
          <w:rStyle w:val="FootnoteReference"/>
        </w:rPr>
        <w:footnoteReference w:id="573"/>
      </w:r>
      <w:r>
        <w:t xml:space="preserve">.</w:t>
      </w:r>
    </w:p>
    <w:p>
      <w:pPr>
        <w:pStyle w:val="FirstParagraph"/>
      </w:pPr>
      <w:r>
        <w:rPr>
          <w:bCs/>
          <w:b/>
        </w:rPr>
        <w:t xml:space="preserve">Appréciation :</w:t>
      </w:r>
      <w:r>
        <w:t xml:space="preserve"> </w:t>
      </w:r>
      <w:r>
        <w:t xml:space="preserve">au vu des données de TRIUMPH-1 et TRIUMPH-2, il faut s’attendre à des demandes d’autorisation aux États-Unis et dans l’UE ; une mise sur le marché en 2027 ou 2028 paraît plausible, mais n’est pas assurée. La comparaison directe montrera si une perte de poids supplémentaire par rapport au tirzépatide compense les taux d’arrêt un peu plus élevés et le nouveau signal de dysesthésie. Pour beaucoup de personnes, une perte de poids moyenne et bien tolérée compte davantage qu’une valeur record.</w:t>
      </w:r>
    </w:p>
    <w:bookmarkEnd w:id="574"/>
    <w:bookmarkStart w:id="575" w:name="conclusion-5"/>
    <w:p>
      <w:pPr>
        <w:pStyle w:val="Heading3"/>
      </w:pPr>
      <w:r>
        <w:t xml:space="preserve">Conclusion</w:t>
      </w:r>
    </w:p>
    <w:p>
      <w:pPr>
        <w:pStyle w:val="FirstParagraph"/>
      </w:pPr>
      <w:r>
        <w:t xml:space="preserve">Le rétatrutide est un triple agoniste des récepteurs du GIP, du GLP-1 et du glucagon ; dans l’étude de phase 3 TRIUMPH-1, il a obtenu une perte de poids moyenne de 25,0 % après 80 semaines – la valeur la plus élevée mesurée à ce jour dans une grande étude médicamenteuse. Des effets nets ont aussi été observés dans le diabète de type 2, la gonarthrose et l’apnée du sommeil. Les effets indésirables concernent surtout le tube digestif ; les troubles de la sensibilité cutanée sont nouveaux, et les taux d’arrêt augmentent aux doses élevées. Les données sur les événements cardiovasculaires et une autorisation se font encore attendre. Les produits du marché gris portant l’étiquette « Retatrutide » ne sont pas un raccourci sûr vers ce médicament.</w:t>
      </w:r>
    </w:p>
    <w:bookmarkEnd w:id="575"/>
    <w:bookmarkEnd w:id="576"/>
    <w:bookmarkStart w:id="612" w:name="survodutide"/>
    <w:p>
      <w:pPr>
        <w:pStyle w:val="Heading2"/>
      </w:pPr>
      <w:r>
        <w:t xml:space="preserve">Survodutide</w:t>
      </w:r>
    </w:p>
    <w:bookmarkStart w:id="577" w:name="fiche-signalétique-6"/>
    <w:p>
      <w:pPr>
        <w:pStyle w:val="Heading3"/>
      </w:pPr>
      <w:r>
        <w:t xml:space="preserve">Fiche signalétique</w:t>
      </w:r>
    </w:p>
    <w:p>
      <w:pPr>
        <w:numPr>
          <w:ilvl w:val="0"/>
          <w:numId w:val="1072"/>
        </w:numPr>
        <w:pStyle w:val="Compact"/>
      </w:pPr>
      <w:r>
        <w:rPr>
          <w:bCs/>
          <w:b/>
        </w:rPr>
        <w:t xml:space="preserve">Type/structure :</w:t>
      </w:r>
      <w:r>
        <w:t xml:space="preserve"> </w:t>
      </w:r>
      <w:r>
        <w:t xml:space="preserve">peptide de synthèse modifié par un acide gras, pour une administration sous-cutanée une fois par semaine ; code de développement BI 456906.</w:t>
      </w:r>
    </w:p>
    <w:p>
      <w:pPr>
        <w:numPr>
          <w:ilvl w:val="0"/>
          <w:numId w:val="1072"/>
        </w:numPr>
        <w:pStyle w:val="Compact"/>
      </w:pPr>
      <w:r>
        <w:rPr>
          <w:bCs/>
          <w:b/>
        </w:rPr>
        <w:t xml:space="preserve">Origine :</w:t>
      </w:r>
      <w:r>
        <w:t xml:space="preserve"> </w:t>
      </w:r>
      <w:r>
        <w:t xml:space="preserve">développé par Boehringer Ingelheim en collaboration avec l’entreprise danoise Zealand Pharma.</w:t>
      </w:r>
    </w:p>
    <w:p>
      <w:pPr>
        <w:numPr>
          <w:ilvl w:val="0"/>
          <w:numId w:val="1072"/>
        </w:numPr>
        <w:pStyle w:val="Compact"/>
      </w:pPr>
      <w:r>
        <w:rPr>
          <w:bCs/>
          <w:b/>
        </w:rPr>
        <w:t xml:space="preserve">Principe d’action :</w:t>
      </w:r>
      <w:r>
        <w:t xml:space="preserve"> </w:t>
      </w:r>
      <w:r>
        <w:t xml:space="preserve">double agoniste des récepteurs du glucagon et du GLP-1 (sans composante GIP).</w:t>
      </w:r>
    </w:p>
    <w:p>
      <w:pPr>
        <w:numPr>
          <w:ilvl w:val="0"/>
          <w:numId w:val="1072"/>
        </w:numPr>
        <w:pStyle w:val="Compact"/>
      </w:pPr>
      <w:r>
        <w:rPr>
          <w:bCs/>
          <w:b/>
        </w:rPr>
        <w:t xml:space="preserve">Autorisation UE :</w:t>
      </w:r>
      <w:r>
        <w:t xml:space="preserve"> </w:t>
      </w:r>
      <w:r>
        <w:t xml:space="preserve">non (état octobre 2026).</w:t>
      </w:r>
    </w:p>
    <w:p>
      <w:pPr>
        <w:numPr>
          <w:ilvl w:val="0"/>
          <w:numId w:val="1072"/>
        </w:numPr>
        <w:pStyle w:val="Compact"/>
      </w:pPr>
      <w:r>
        <w:rPr>
          <w:bCs/>
          <w:b/>
        </w:rPr>
        <w:t xml:space="preserve">Autorisation États-Unis :</w:t>
      </w:r>
      <w:r>
        <w:t xml:space="preserve"> </w:t>
      </w:r>
      <w:r>
        <w:t xml:space="preserve">non (état octobre 2026).</w:t>
      </w:r>
    </w:p>
    <w:p>
      <w:pPr>
        <w:numPr>
          <w:ilvl w:val="0"/>
          <w:numId w:val="1072"/>
        </w:numPr>
        <w:pStyle w:val="Compact"/>
      </w:pPr>
      <w:r>
        <w:rPr>
          <w:bCs/>
          <w:b/>
        </w:rPr>
        <w:t xml:space="preserve">AMA (WADA) :</w:t>
      </w:r>
      <w:r>
        <w:t xml:space="preserve"> </w:t>
      </w:r>
      <w:r>
        <w:t xml:space="preserve">en tant que substance autorisée nulle part, interdit au titre de S0 « Substances non approuvées ».</w:t>
      </w:r>
    </w:p>
    <w:p>
      <w:pPr>
        <w:numPr>
          <w:ilvl w:val="0"/>
          <w:numId w:val="1072"/>
        </w:numPr>
        <w:pStyle w:val="Compact"/>
      </w:pPr>
      <w:r>
        <w:rPr>
          <w:bCs/>
          <w:b/>
        </w:rPr>
        <w:t xml:space="preserve">Niveau de preuve :</w:t>
      </w:r>
      <w:r>
        <w:t xml:space="preserve"> </w:t>
      </w:r>
      <w:r>
        <w:rPr>
          <w:bCs/>
          <w:b/>
        </w:rPr>
        <w:t xml:space="preserve">B</w:t>
      </w:r>
      <w:r>
        <w:t xml:space="preserve"> </w:t>
      </w:r>
      <w:r>
        <w:t xml:space="preserve">– études randomisées de phase 2 et premières études de phase 3 publiées, pas d’autorisation.</w:t>
      </w:r>
    </w:p>
    <w:bookmarkEnd w:id="577"/>
    <w:bookmarkStart w:id="581" w:name="mode-daction-supposé-6"/>
    <w:p>
      <w:pPr>
        <w:pStyle w:val="Heading3"/>
      </w:pPr>
      <w:r>
        <w:t xml:space="preserve">Mode d’action supposé</w:t>
      </w:r>
    </w:p>
    <w:p>
      <w:pPr>
        <w:pStyle w:val="FirstParagraph"/>
      </w:pPr>
      <w:r>
        <w:t xml:space="preserve">Le survodutide associe deux hormones de l’intestin et du pancréas : le GLP-1, qui favorise la satiété et renforce la sécrétion d’insuline, et le glucagon, qui augmente la dépense énergétique et stimule la dégradation des graisses dans le foie. Alors que le tirzépatide mise sur le GIP plus le GLP-1 et que le rétatrutide réunit les trois signaux, le survodutide renonce à la composante GIP et met plutôt l’accent sur l’effet du glucagon. Le fabricant vise ainsi particulièrement le foie : la stéatohépatite MASH est, à côté de l’obésité, le second grand domaine de développement.</w:t>
      </w:r>
    </w:p>
    <w:p>
      <w:pPr>
        <w:pStyle w:val="BodyText"/>
      </w:pPr>
      <w:r>
        <w:t xml:space="preserve">Le survodutide a été choisi parmi 19 candidats similaires parce qu’il activait de façon équilibrée les deux récepteurs dans les expériences animales. Chez des souris en surpoids, le poids corporel a diminué d’environ un quart</w:t>
      </w:r>
      <w:r>
        <w:rPr>
          <w:rStyle w:val="FootnoteReference"/>
        </w:rPr>
        <w:footnoteReference w:id="578"/>
      </w:r>
      <w:r>
        <w:t xml:space="preserve">. Des travaux chez la souris suggèrent que l’effet coupe-faim dans le cerveau passe surtout par le récepteur du GLP-1 ; la composante glucagon agit plutôt dans l’organisme, par exemple dans le foie</w:t>
      </w:r>
      <w:r>
        <w:rPr>
          <w:rStyle w:val="FootnoteReference"/>
        </w:rPr>
        <w:footnoteReference w:id="579"/>
      </w:r>
      <w:r>
        <w:t xml:space="preserve">. Ce sont des résultats animaux ; chez l’humain, l’effet sur la dépense énergétique est actuellement mesuré dans une étude dédiée</w:t>
      </w:r>
      <w:r>
        <w:rPr>
          <w:rStyle w:val="FootnoteReference"/>
        </w:rPr>
        <w:footnoteReference w:id="580"/>
      </w:r>
      <w:r>
        <w:t xml:space="preserve">.</w:t>
      </w:r>
    </w:p>
    <w:bookmarkEnd w:id="581"/>
    <w:bookmarkStart w:id="591" w:name="études-chez-lhumain-6"/>
    <w:p>
      <w:pPr>
        <w:pStyle w:val="Heading3"/>
      </w:pPr>
      <w:r>
        <w:t xml:space="preserve">Études chez l’humain</w:t>
      </w:r>
    </w:p>
    <w:p>
      <w:pPr>
        <w:pStyle w:val="FirstParagraph"/>
      </w:pPr>
      <w:r>
        <w:rPr>
          <w:bCs/>
          <w:b/>
        </w:rPr>
        <w:t xml:space="preserve">Ampleur des données :</w:t>
      </w:r>
      <w:r>
        <w:t xml:space="preserve"> </w:t>
      </w:r>
      <w:r>
        <w:t xml:space="preserve">la requête PubMed automatisée (octobre 2026) a fourni 10 études chez l’humain ; s’y ajoute la publication de l’étude de phase 3 SYNCHRONIZE-2, recherchée de façon ciblée. Sur ClinicalTrials.gov, 29 études étaient enregistrées, dont le programme de phase 3 SYNCHRONIZE (obésité) et LIVERAGE (MASH).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schéma</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Phase 2 diabète de type 2 (Blüher 2024), PMID 38095657</w:t>
            </w:r>
          </w:p>
        </w:tc>
        <w:tc>
          <w:tcPr/>
          <w:p>
            <w:pPr>
              <w:pStyle w:val="Compact"/>
              <w:jc w:val="left"/>
            </w:pPr>
            <w:r>
              <w:t xml:space="preserve">413 adultes sous metformine, contre placebo et sémaglutide en ouvert</w:t>
            </w:r>
          </w:p>
        </w:tc>
        <w:tc>
          <w:tcPr/>
          <w:p>
            <w:pPr>
              <w:pStyle w:val="Compact"/>
              <w:jc w:val="left"/>
            </w:pPr>
            <w:r>
              <w:t xml:space="preserve">16 semaines</w:t>
            </w:r>
          </w:p>
        </w:tc>
        <w:tc>
          <w:tcPr/>
          <w:p>
            <w:pPr>
              <w:pStyle w:val="Compact"/>
              <w:jc w:val="left"/>
            </w:pPr>
            <w:r>
              <w:t xml:space="preserve">HbA1c jusqu’à −1,71 point ; poids jusqu’à −8,7 % (sémaglutide −5,3 %)</w:t>
            </w:r>
          </w:p>
        </w:tc>
      </w:tr>
      <w:tr>
        <w:tc>
          <w:tcPr/>
          <w:p>
            <w:pPr>
              <w:pStyle w:val="Compact"/>
              <w:jc w:val="left"/>
            </w:pPr>
            <w:r>
              <w:t xml:space="preserve">Phase 2 obésité (le Roux 2024), PMID 38330987</w:t>
            </w:r>
          </w:p>
        </w:tc>
        <w:tc>
          <w:tcPr/>
          <w:p>
            <w:pPr>
              <w:pStyle w:val="Compact"/>
              <w:jc w:val="left"/>
            </w:pPr>
            <w:r>
              <w:t xml:space="preserve">387 adultes sans diabète, contre placebo</w:t>
            </w:r>
          </w:p>
        </w:tc>
        <w:tc>
          <w:tcPr/>
          <w:p>
            <w:pPr>
              <w:pStyle w:val="Compact"/>
              <w:jc w:val="left"/>
            </w:pPr>
            <w:r>
              <w:t xml:space="preserve">46 semaines</w:t>
            </w:r>
          </w:p>
        </w:tc>
        <w:tc>
          <w:tcPr/>
          <w:p>
            <w:pPr>
              <w:pStyle w:val="Compact"/>
              <w:jc w:val="left"/>
            </w:pPr>
            <w:r>
              <w:t xml:space="preserve">−6,2 à −14,9 % de poids vs −2,8 %</w:t>
            </w:r>
          </w:p>
        </w:tc>
      </w:tr>
      <w:tr>
        <w:tc>
          <w:tcPr/>
          <w:p>
            <w:pPr>
              <w:pStyle w:val="Compact"/>
              <w:jc w:val="left"/>
            </w:pPr>
            <w:r>
              <w:t xml:space="preserve">Phase 2 MASH (Sanyal 2024), PMID 38847460</w:t>
            </w:r>
          </w:p>
        </w:tc>
        <w:tc>
          <w:tcPr/>
          <w:p>
            <w:pPr>
              <w:pStyle w:val="Compact"/>
              <w:jc w:val="left"/>
            </w:pPr>
            <w:r>
              <w:t xml:space="preserve">293 adultes avec MASH prouvée par biopsie et fibrose F1–F3</w:t>
            </w:r>
          </w:p>
        </w:tc>
        <w:tc>
          <w:tcPr/>
          <w:p>
            <w:pPr>
              <w:pStyle w:val="Compact"/>
              <w:jc w:val="left"/>
            </w:pPr>
            <w:r>
              <w:t xml:space="preserve">48 semaines</w:t>
            </w:r>
          </w:p>
        </w:tc>
        <w:tc>
          <w:tcPr/>
          <w:p>
            <w:pPr>
              <w:pStyle w:val="Compact"/>
              <w:jc w:val="left"/>
            </w:pPr>
            <w:r>
              <w:t xml:space="preserve">amélioration de la MASH chez 43–62 % vs 14 %</w:t>
            </w:r>
          </w:p>
        </w:tc>
      </w:tr>
      <w:tr>
        <w:tc>
          <w:tcPr/>
          <w:p>
            <w:pPr>
              <w:pStyle w:val="Compact"/>
              <w:jc w:val="left"/>
            </w:pPr>
            <w:r>
              <w:t xml:space="preserve">SYNCHRONIZE-1 (le Roux 2026), PMID 42253238</w:t>
            </w:r>
          </w:p>
        </w:tc>
        <w:tc>
          <w:tcPr/>
          <w:p>
            <w:pPr>
              <w:pStyle w:val="Compact"/>
              <w:jc w:val="left"/>
            </w:pPr>
            <w:r>
              <w:t xml:space="preserve">725 adultes obèses sans diabète, contre placebo</w:t>
            </w:r>
          </w:p>
        </w:tc>
        <w:tc>
          <w:tcPr/>
          <w:p>
            <w:pPr>
              <w:pStyle w:val="Compact"/>
              <w:jc w:val="left"/>
            </w:pPr>
            <w:r>
              <w:t xml:space="preserve">76 semaines</w:t>
            </w:r>
          </w:p>
        </w:tc>
        <w:tc>
          <w:tcPr/>
          <w:p>
            <w:pPr>
              <w:pStyle w:val="Compact"/>
              <w:jc w:val="left"/>
            </w:pPr>
            <w:r>
              <w:t xml:space="preserve">−12,2 / −13,0 % (3,6/6,0 mg) vs −5,4 %</w:t>
            </w:r>
          </w:p>
        </w:tc>
      </w:tr>
      <w:tr>
        <w:tc>
          <w:tcPr/>
          <w:p>
            <w:pPr>
              <w:pStyle w:val="Compact"/>
              <w:jc w:val="left"/>
            </w:pPr>
            <w:r>
              <w:t xml:space="preserve">SYNCHRONIZE-2 (Wharton 2026), PMID 42820639</w:t>
            </w:r>
          </w:p>
        </w:tc>
        <w:tc>
          <w:tcPr/>
          <w:p>
            <w:pPr>
              <w:pStyle w:val="Compact"/>
              <w:jc w:val="left"/>
            </w:pPr>
            <w:r>
              <w:t xml:space="preserve">752 adultes obèses atteints de diabète de type 2, contre placebo</w:t>
            </w:r>
          </w:p>
        </w:tc>
        <w:tc>
          <w:tcPr/>
          <w:p>
            <w:pPr>
              <w:pStyle w:val="Compact"/>
              <w:jc w:val="left"/>
            </w:pPr>
            <w:r>
              <w:t xml:space="preserve">76 semaines</w:t>
            </w:r>
          </w:p>
        </w:tc>
        <w:tc>
          <w:tcPr/>
          <w:p>
            <w:pPr>
              <w:pStyle w:val="Compact"/>
              <w:jc w:val="left"/>
            </w:pPr>
            <w:r>
              <w:t xml:space="preserve">−8,2 / −9,8 % vs −3,9 %</w:t>
            </w:r>
          </w:p>
        </w:tc>
      </w:tr>
      <w:tr>
        <w:tc>
          <w:tcPr/>
          <w:p>
            <w:pPr>
              <w:pStyle w:val="Compact"/>
              <w:jc w:val="left"/>
            </w:pPr>
            <w:r>
              <w:t xml:space="preserve">SYNCHRONIZE-MASLD (Kaplan 2026), PMID 42252333</w:t>
            </w:r>
          </w:p>
        </w:tc>
        <w:tc>
          <w:tcPr/>
          <w:p>
            <w:pPr>
              <w:pStyle w:val="Compact"/>
              <w:jc w:val="left"/>
            </w:pPr>
            <w:r>
              <w:t xml:space="preserve">216 adultes obèses avec stéatose hépatique et signes de risque</w:t>
            </w:r>
          </w:p>
        </w:tc>
        <w:tc>
          <w:tcPr/>
          <w:p>
            <w:pPr>
              <w:pStyle w:val="Compact"/>
              <w:jc w:val="left"/>
            </w:pPr>
            <w:r>
              <w:t xml:space="preserve">48 semaines</w:t>
            </w:r>
          </w:p>
        </w:tc>
        <w:tc>
          <w:tcPr/>
          <w:p>
            <w:pPr>
              <w:pStyle w:val="Compact"/>
              <w:jc w:val="left"/>
            </w:pPr>
            <w:r>
              <w:t xml:space="preserve">graisse hépatique −30 % ou plus chez 84,2 % vs 24,3 %</w:t>
            </w:r>
          </w:p>
        </w:tc>
      </w:tr>
    </w:tbl>
    <w:bookmarkStart w:id="586" w:name="obésité-et-diabète-de-type-2"/>
    <w:p>
      <w:pPr>
        <w:pStyle w:val="Heading4"/>
      </w:pPr>
      <w:r>
        <w:t xml:space="preserve">Obésité et diabète de type 2</w:t>
      </w:r>
    </w:p>
    <w:p>
      <w:pPr>
        <w:pStyle w:val="FirstParagraph"/>
      </w:pPr>
      <w:r>
        <w:t xml:space="preserve">L’étude de phase 2 dans l’obésité</w:t>
      </w:r>
      <w:r>
        <w:rPr>
          <w:rStyle w:val="FootnoteReference"/>
        </w:rPr>
        <w:footnoteReference w:id="582"/>
      </w:r>
      <w:r>
        <w:t xml:space="preserve"> </w:t>
      </w:r>
      <w:r>
        <w:t xml:space="preserve">a montré après 46 semaines une perte de poids dose-dépendante allant jusqu’à 14,9 %. Le taux d’abandon élevé était frappant : seuls 61 % des participants sous survodutide ont achevé les 46 semaines de traitement, mais aussi seulement 60 % sous placebo. Des effets indésirables digestifs sont survenus chez 75 % sous survodutide et 42 % sous placebo. La titration était relativement rapide dans cette étude.</w:t>
      </w:r>
    </w:p>
    <w:p>
      <w:pPr>
        <w:pStyle w:val="BodyText"/>
      </w:pPr>
      <w:r>
        <w:t xml:space="preserve">Dans l’étude de phase 3</w:t>
      </w:r>
      <w:r>
        <w:t xml:space="preserve"> </w:t>
      </w:r>
      <w:r>
        <w:rPr>
          <w:bCs/>
          <w:b/>
        </w:rPr>
        <w:t xml:space="preserve">SYNCHRONIZE-1</w:t>
      </w:r>
      <w:r>
        <w:rPr>
          <w:rStyle w:val="FootnoteReference"/>
        </w:rPr>
        <w:footnoteReference w:id="583"/>
      </w:r>
      <w:r>
        <w:t xml:space="preserve">, la titration a été plus lente. Après 76 semaines, les participants à la dose la plus élevée ont perdu 13,0 % de leur poids corporel, contre 5,4 % sous placebo. C’est moins que les valeurs atteintes par le tirzépatide ou le rétatrutide dans des études de conception similaire. Il faut noter que l’analyse principale incluait toutes les personnes – y compris celles qui ont arrêté le traitement ou dont la titration a été prolongée. Les troubles digestifs ont concerné 80,9 % et 89,7 % contre 47,9 % sous placebo ; aucun décès n’est survenu.</w:t>
      </w:r>
    </w:p>
    <w:p>
      <w:pPr>
        <w:pStyle w:val="BodyText"/>
      </w:pPr>
      <w:r>
        <w:rPr>
          <w:bCs/>
          <w:b/>
        </w:rPr>
        <w:t xml:space="preserve">SYNCHRONIZE-2</w:t>
      </w:r>
      <w:r>
        <w:rPr>
          <w:rStyle w:val="FootnoteReference"/>
        </w:rPr>
        <w:footnoteReference w:id="584"/>
      </w:r>
      <w:r>
        <w:t xml:space="preserve"> </w:t>
      </w:r>
      <w:r>
        <w:t xml:space="preserve">a étudié 752 personnes obèses atteintes de diabète de type 2. La perte de poids après 76 semaines était de 8,2 % et 9,8 % contre 3,9 % sous placebo ; l’HbA1c, partant de 7,4 %, a baissé de 0,8 à 0,9 point de pourcentage.</w:t>
      </w:r>
    </w:p>
    <w:p>
      <w:pPr>
        <w:pStyle w:val="BodyText"/>
      </w:pPr>
      <w:r>
        <w:t xml:space="preserve">Dans l’étude de phase 2 dans le diabète de type 2, le survodutide à faible dose a abaissé l’HbA1c après 16 semaines à peu près autant que le sémaglutide 1 mg (environ −1,46 et −1,47 point respectivement) ; les doses plus élevées ont entraîné une perte de poids supérieure à celle du sémaglutide</w:t>
      </w:r>
      <w:r>
        <w:rPr>
          <w:rStyle w:val="FootnoteReference"/>
        </w:rPr>
        <w:footnoteReference w:id="585"/>
      </w:r>
      <w:r>
        <w:t xml:space="preserve">. Le bras sémaglutide était toutefois en ouvert et l’étude courte.</w:t>
      </w:r>
    </w:p>
    <w:bookmarkEnd w:id="586"/>
    <w:bookmarkStart w:id="590" w:name="stéatose-hépatique-masld-et-mash"/>
    <w:p>
      <w:pPr>
        <w:pStyle w:val="Heading4"/>
      </w:pPr>
      <w:r>
        <w:t xml:space="preserve">Stéatose hépatique (MASLD et MASH)</w:t>
      </w:r>
    </w:p>
    <w:p>
      <w:pPr>
        <w:pStyle w:val="FirstParagraph"/>
      </w:pPr>
      <w:r>
        <w:t xml:space="preserve">C’est ici que réside la véritable force des données actuelles. Dans l’étude de phase 2 chez des personnes atteintes de MASH prouvée par biopsie avec fibrose</w:t>
      </w:r>
      <w:r>
        <w:rPr>
          <w:rStyle w:val="FootnoteReference"/>
        </w:rPr>
        <w:footnoteReference w:id="587"/>
      </w:r>
      <w:r>
        <w:t xml:space="preserve">, l’inflammation hépatique s’est améliorée sans aggravation de la fibrose chez 47 %, 62 % et 43 % des trois groupes de dose, contre 14 % sous placebo. Une amélioration de la fibrose d’au moins un stade a été observée chez 34 à 36 % contre 22 %. La courbe dose-effet n’était pas linéaire : la dose intermédiaire a obtenu les meilleurs résultats.</w:t>
      </w:r>
    </w:p>
    <w:p>
      <w:pPr>
        <w:pStyle w:val="BodyText"/>
      </w:pPr>
      <w:r>
        <w:t xml:space="preserve">L’étude de phase 3</w:t>
      </w:r>
      <w:r>
        <w:t xml:space="preserve"> </w:t>
      </w:r>
      <w:r>
        <w:rPr>
          <w:bCs/>
          <w:b/>
        </w:rPr>
        <w:t xml:space="preserve">SYNCHRONIZE-MASLD</w:t>
      </w:r>
      <w:r>
        <w:rPr>
          <w:rStyle w:val="FootnoteReference"/>
        </w:rPr>
        <w:footnoteReference w:id="588"/>
      </w:r>
      <w:r>
        <w:t xml:space="preserve">, menée chez 216 adultes, a montré après 48 semaines une diminution de la graisse hépatique d’au moins 30 % chez 84,2 % des participants sous survodutide (placebo 24,3 %), mesurée par IRM. Selon l’analyse plus stricte, qui tient aussi compte des arrêts de traitement, ces chiffres étaient de 68,5 % contre 28,6 %. Les auteurs citent eux-mêmes comme limites la courte durée et un recrutement limité aux États-Unis et à l’Espagne.</w:t>
      </w:r>
    </w:p>
    <w:p>
      <w:pPr>
        <w:pStyle w:val="BodyText"/>
      </w:pPr>
      <w:r>
        <w:t xml:space="preserve">Dans une étude de phase 1 en ouvert, le survodutide a aussi été étudié chez des personnes atteintes de cirrhose, y compris à des stades avancés. Les concentrations sanguines ne différaient pas notablement de celles des personnes au foie sain ; la graisse hépatique, la rigidité hépatique et le poids corporel ont diminué sur 28 semaines</w:t>
      </w:r>
      <w:r>
        <w:rPr>
          <w:rStyle w:val="FootnoteReference"/>
        </w:rPr>
        <w:footnoteReference w:id="589"/>
      </w:r>
      <w:r>
        <w:t xml:space="preserve">. Cette étude était petite et non contrôlée.</w:t>
      </w:r>
    </w:p>
    <w:bookmarkEnd w:id="590"/>
    <w:bookmarkEnd w:id="591"/>
    <w:bookmarkStart w:id="594" w:name="études-animales-et-de-laboratoire-6"/>
    <w:p>
      <w:pPr>
        <w:pStyle w:val="Heading3"/>
      </w:pPr>
      <w:r>
        <w:t xml:space="preserve">Études animales et de laboratoire</w:t>
      </w:r>
    </w:p>
    <w:p>
      <w:pPr>
        <w:pStyle w:val="FirstParagraph"/>
      </w:pPr>
      <w:r>
        <w:t xml:space="preserve">Les données précliniques proviennent principalement des laboratoires du fabricant : profils de récepteurs dans des lignées cellulaires, perte de poids chez des souris atteintes d’obésité d’origine alimentaire et baisse de la glycémie chez des souris diabétiques</w:t>
      </w:r>
      <w:r>
        <w:rPr>
          <w:rStyle w:val="FootnoteReference"/>
        </w:rPr>
        <w:footnoteReference w:id="592"/>
      </w:r>
      <w:r>
        <w:t xml:space="preserve">. Sur le site d’action dans le cerveau, il existe des travaux chez la souris et sur du tissu humain</w:t>
      </w:r>
      <w:r>
        <w:rPr>
          <w:rStyle w:val="FootnoteReference"/>
        </w:rPr>
        <w:footnoteReference w:id="593"/>
      </w:r>
      <w:r>
        <w:t xml:space="preserve">. Les études animales indépendantes sont rares.</w:t>
      </w:r>
    </w:p>
    <w:bookmarkEnd w:id="594"/>
    <w:bookmarkStart w:id="598" w:name="risques-et-effets-indésirables-6"/>
    <w:p>
      <w:pPr>
        <w:pStyle w:val="Heading3"/>
      </w:pPr>
      <w:r>
        <w:t xml:space="preserve">Risques et effets indésirables</w:t>
      </w:r>
    </w:p>
    <w:p>
      <w:pPr>
        <w:pStyle w:val="FirstParagraph"/>
      </w:pPr>
      <w:r>
        <w:rPr>
          <w:bCs/>
          <w:b/>
        </w:rPr>
        <w:t xml:space="preserve">Établi par les études :</w:t>
      </w:r>
    </w:p>
    <w:p>
      <w:pPr>
        <w:numPr>
          <w:ilvl w:val="0"/>
          <w:numId w:val="1073"/>
        </w:numPr>
        <w:pStyle w:val="Compact"/>
      </w:pPr>
      <w:r>
        <w:rPr>
          <w:bCs/>
          <w:b/>
        </w:rPr>
        <w:t xml:space="preserve">Troubles digestifs</w:t>
      </w:r>
      <w:r>
        <w:t xml:space="preserve"> </w:t>
      </w:r>
      <w:r>
        <w:t xml:space="preserve">: ils sont particulièrement fréquents avec le survodutide. Dans l’étude MASH, des nausées sont survenues chez 66 % (placebo 23 %), des diarrhées chez 49 % (23 %) et des vomissements chez 41 % (4 %)</w:t>
      </w:r>
      <w:r>
        <w:rPr>
          <w:rStyle w:val="FootnoteReference"/>
        </w:rPr>
        <w:footnoteReference w:id="595"/>
      </w:r>
      <w:r>
        <w:t xml:space="preserve">. Dans SYNCHRONIZE-1, jusqu’à 89,7 % ont signalé des troubles digestifs</w:t>
      </w:r>
      <w:r>
        <w:rPr>
          <w:rStyle w:val="FootnoteReference"/>
        </w:rPr>
        <w:footnoteReference w:id="596"/>
      </w:r>
      <w:r>
        <w:t xml:space="preserve">. Cette fréquence est élevée par rapport aux autres médicaments incrétiniques, même si la plupart des troubles étaient légers à modérés.</w:t>
      </w:r>
    </w:p>
    <w:p>
      <w:pPr>
        <w:numPr>
          <w:ilvl w:val="0"/>
          <w:numId w:val="1073"/>
        </w:numPr>
        <w:pStyle w:val="Compact"/>
      </w:pPr>
      <w:r>
        <w:rPr>
          <w:bCs/>
          <w:b/>
        </w:rPr>
        <w:t xml:space="preserve">Événements indésirables graves :</w:t>
      </w:r>
      <w:r>
        <w:t xml:space="preserve"> </w:t>
      </w:r>
      <w:r>
        <w:t xml:space="preserve">dans l’étude MASH, ils étaient de fréquence similaire, avec 8 % sous survodutide et 7 % sous placebo.</w:t>
      </w:r>
    </w:p>
    <w:p>
      <w:pPr>
        <w:numPr>
          <w:ilvl w:val="0"/>
          <w:numId w:val="1073"/>
        </w:numPr>
        <w:pStyle w:val="Compact"/>
      </w:pPr>
      <w:r>
        <w:rPr>
          <w:bCs/>
          <w:b/>
        </w:rPr>
        <w:t xml:space="preserve">Abandons :</w:t>
      </w:r>
      <w:r>
        <w:t xml:space="preserve"> </w:t>
      </w:r>
      <w:r>
        <w:t xml:space="preserve">dans l’étude de phase 2 sur l’obésité, seuls environ 60 % ont terminé la phase de traitement – dans les deux groupes.</w:t>
      </w:r>
    </w:p>
    <w:p>
      <w:pPr>
        <w:pStyle w:val="FirstParagraph"/>
      </w:pPr>
      <w:r>
        <w:rPr>
          <w:bCs/>
          <w:b/>
        </w:rPr>
        <w:t xml:space="preserve">Encore ouvert :</w:t>
      </w:r>
      <w:r>
        <w:t xml:space="preserve"> </w:t>
      </w:r>
      <w:r>
        <w:t xml:space="preserve">des augmentations de la fréquence cardiaque sont connues avec les agonistes du glucagon et du GLP-1 ; une étude dédiée à la sécurité cardiaque a été menée</w:t>
      </w:r>
      <w:r>
        <w:rPr>
          <w:rStyle w:val="FootnoteReference"/>
        </w:rPr>
        <w:footnoteReference w:id="597"/>
      </w:r>
      <w:r>
        <w:t xml:space="preserve">. La grande étude de sécurité cardiovasculaire SYNCHRONIZE-CVOT est terminée selon le registre ; ses résultats n’étaient pas encore publiés dans une revue à comité de lecture à la clôture de la rédaction. Les effets à long terme de la composante glucagon sur les muscles, les os et le métabolisme des acides aminés n’ont pas été étudiés.</w:t>
      </w:r>
    </w:p>
    <w:bookmarkEnd w:id="598"/>
    <w:bookmarkStart w:id="599" w:name="statut-juridique-6"/>
    <w:p>
      <w:pPr>
        <w:pStyle w:val="Heading3"/>
      </w:pPr>
      <w:r>
        <w:t xml:space="preserve">Statut juridique</w:t>
      </w:r>
    </w:p>
    <w:p>
      <w:pPr>
        <w:numPr>
          <w:ilvl w:val="0"/>
          <w:numId w:val="1074"/>
        </w:numPr>
        <w:pStyle w:val="Compact"/>
      </w:pPr>
      <w:r>
        <w:rPr>
          <w:bCs/>
          <w:b/>
        </w:rPr>
        <w:t xml:space="preserve">UE / Autriche / Allemagne :</w:t>
      </w:r>
      <w:r>
        <w:t xml:space="preserve"> </w:t>
      </w:r>
      <w:r>
        <w:t xml:space="preserve">non autorisé ; utilisation uniquement dans des essais cliniques. Les offres du marché gris ne sont pas des médicaments légaux.</w:t>
      </w:r>
    </w:p>
    <w:p>
      <w:pPr>
        <w:numPr>
          <w:ilvl w:val="0"/>
          <w:numId w:val="1074"/>
        </w:numPr>
        <w:pStyle w:val="Compact"/>
      </w:pPr>
      <w:r>
        <w:rPr>
          <w:bCs/>
          <w:b/>
        </w:rPr>
        <w:t xml:space="preserve">États-Unis :</w:t>
      </w:r>
      <w:r>
        <w:t xml:space="preserve"> </w:t>
      </w:r>
      <w:r>
        <w:t xml:space="preserve">non autorisé. La FDA a classé le survodutide comme « Breakthrough Therapy » pour le traitement de la MASH, ce qui peut accélérer la procédure d’évaluation.</w:t>
      </w:r>
    </w:p>
    <w:p>
      <w:pPr>
        <w:numPr>
          <w:ilvl w:val="0"/>
          <w:numId w:val="1074"/>
        </w:numPr>
        <w:pStyle w:val="Compact"/>
      </w:pPr>
      <w:r>
        <w:rPr>
          <w:bCs/>
          <w:b/>
        </w:rPr>
        <w:t xml:space="preserve">Sport :</w:t>
      </w:r>
      <w:r>
        <w:t xml:space="preserve"> </w:t>
      </w:r>
      <w:r>
        <w:t xml:space="preserve">classe S0 de la WADA (substance non approuvée), état 2026, à vérifier.</w:t>
      </w:r>
    </w:p>
    <w:bookmarkEnd w:id="599"/>
    <w:bookmarkStart w:id="610" w:name="études-en-cours-et-perspectives-6"/>
    <w:p>
      <w:pPr>
        <w:pStyle w:val="Heading3"/>
      </w:pPr>
      <w:r>
        <w:t xml:space="preserve">Études en cours et perspectives</w:t>
      </w:r>
    </w:p>
    <w:p>
      <w:pPr>
        <w:pStyle w:val="FirstParagraph"/>
      </w:pPr>
      <w:r>
        <w:rPr>
          <w:bCs/>
          <w:b/>
        </w:rPr>
        <w:t xml:space="preserve">Établi (études enregistrées, état octobre 2026) :</w:t>
      </w:r>
    </w:p>
    <w:p>
      <w:pPr>
        <w:numPr>
          <w:ilvl w:val="0"/>
          <w:numId w:val="1075"/>
        </w:numPr>
        <w:pStyle w:val="Compact"/>
      </w:pPr>
      <w:r>
        <w:rPr>
          <w:bCs/>
          <w:b/>
        </w:rPr>
        <w:t xml:space="preserve">SYNCHRONIZE-CVOT</w:t>
      </w:r>
      <w:r>
        <w:rPr>
          <w:rStyle w:val="FootnoteReference"/>
        </w:rPr>
        <w:footnoteReference w:id="600"/>
      </w:r>
      <w:r>
        <w:t xml:space="preserve"> </w:t>
      </w:r>
      <w:r>
        <w:t xml:space="preserve">: étude de sécurité cardiovasculaire avec 5 531 participants, terminée selon le registre ; schéma décrit par Kosiborod 2024</w:t>
      </w:r>
      <w:r>
        <w:rPr>
          <w:rStyle w:val="FootnoteReference"/>
        </w:rPr>
        <w:footnoteReference w:id="601"/>
      </w:r>
      <w:r>
        <w:t xml:space="preserve">.</w:t>
      </w:r>
    </w:p>
    <w:p>
      <w:pPr>
        <w:numPr>
          <w:ilvl w:val="0"/>
          <w:numId w:val="1075"/>
        </w:numPr>
        <w:pStyle w:val="Compact"/>
      </w:pPr>
      <w:r>
        <w:rPr>
          <w:bCs/>
          <w:b/>
        </w:rPr>
        <w:t xml:space="preserve">LIVERAGE</w:t>
      </w:r>
      <w:r>
        <w:rPr>
          <w:rStyle w:val="FootnoteReference"/>
        </w:rPr>
        <w:footnoteReference w:id="602"/>
      </w:r>
      <w:r>
        <w:t xml:space="preserve"> </w:t>
      </w:r>
      <w:r>
        <w:t xml:space="preserve">avec 1 800 participants atteints de MASH et de fibrose, ainsi que</w:t>
      </w:r>
      <w:r>
        <w:t xml:space="preserve"> </w:t>
      </w:r>
      <w:r>
        <w:rPr>
          <w:bCs/>
          <w:b/>
        </w:rPr>
        <w:t xml:space="preserve">LIVERAGE-Cirrhosis</w:t>
      </w:r>
      <w:r>
        <w:rPr>
          <w:rStyle w:val="FootnoteReference"/>
        </w:rPr>
        <w:footnoteReference w:id="603"/>
      </w:r>
      <w:r>
        <w:t xml:space="preserve"> </w:t>
      </w:r>
      <w:r>
        <w:t xml:space="preserve">avec 1 590 participants atteints de cirrhose liée à la MASH – les études décisives pour une autorisation en hépatologie, avec des dates de fin prévues entre 2029 et 2031.</w:t>
      </w:r>
    </w:p>
    <w:p>
      <w:pPr>
        <w:numPr>
          <w:ilvl w:val="0"/>
          <w:numId w:val="1075"/>
        </w:numPr>
        <w:pStyle w:val="Compact"/>
      </w:pPr>
      <w:r>
        <w:t xml:space="preserve">Autres études de phase 3 : diabète de type 2</w:t>
      </w:r>
      <w:r>
        <w:rPr>
          <w:rStyle w:val="FootnoteReference"/>
        </w:rPr>
        <w:footnoteReference w:id="604"/>
      </w:r>
      <w:r>
        <w:t xml:space="preserve">, femmes obèses</w:t>
      </w:r>
      <w:r>
        <w:rPr>
          <w:rStyle w:val="FootnoteReference"/>
        </w:rPr>
        <w:footnoteReference w:id="605"/>
      </w:r>
      <w:r>
        <w:t xml:space="preserve">, structure cardiaque en cas d’obésité</w:t>
      </w:r>
      <w:r>
        <w:rPr>
          <w:rStyle w:val="FootnoteReference"/>
        </w:rPr>
        <w:footnoteReference w:id="606"/>
      </w:r>
      <w:r>
        <w:t xml:space="preserve">, personnes sans traitement préalable</w:t>
      </w:r>
      <w:r>
        <w:rPr>
          <w:rStyle w:val="FootnoteReference"/>
        </w:rPr>
        <w:footnoteReference w:id="607"/>
      </w:r>
      <w:r>
        <w:t xml:space="preserve">.</w:t>
      </w:r>
    </w:p>
    <w:p>
      <w:pPr>
        <w:numPr>
          <w:ilvl w:val="0"/>
          <w:numId w:val="1075"/>
        </w:numPr>
        <w:pStyle w:val="Compact"/>
      </w:pPr>
      <w:r>
        <w:t xml:space="preserve">Des études de phase 3 en Chine</w:t>
      </w:r>
      <w:r>
        <w:rPr>
          <w:rStyle w:val="FootnoteReference"/>
        </w:rPr>
        <w:footnoteReference w:id="608"/>
      </w:r>
      <w:r>
        <w:t xml:space="preserve"> </w:t>
      </w:r>
      <w:r>
        <w:t xml:space="preserve">et au Japon</w:t>
      </w:r>
      <w:r>
        <w:rPr>
          <w:rStyle w:val="FootnoteReference"/>
        </w:rPr>
        <w:footnoteReference w:id="609"/>
      </w:r>
      <w:r>
        <w:t xml:space="preserve"> </w:t>
      </w:r>
      <w:r>
        <w:t xml:space="preserve">sont terminées.</w:t>
      </w:r>
    </w:p>
    <w:p>
      <w:pPr>
        <w:pStyle w:val="FirstParagraph"/>
      </w:pPr>
      <w:r>
        <w:rPr>
          <w:bCs/>
          <w:b/>
        </w:rPr>
        <w:t xml:space="preserve">Appréciation :</w:t>
      </w:r>
      <w:r>
        <w:t xml:space="preserve"> </w:t>
      </w:r>
      <w:r>
        <w:t xml:space="preserve">en tant que simple médicament amaigrissant, le survodutide aura sans doute du mal à s’imposer face au tirzépatide, au sémaglutide et aux futurs triples agonistes – la perte de poids dans SYNCHRONIZE-1 était plus faible et les effets indésirables digestifs fréquents. Sa niche pourrait être la stéatose hépatique, en particulier les stades avancés jusqu’à la cirrhose, pour lesquels il n’existe guère d’options thérapeutiques. Les études LIVERAGE diront si cela réussit.</w:t>
      </w:r>
    </w:p>
    <w:bookmarkEnd w:id="610"/>
    <w:bookmarkStart w:id="611" w:name="conclusion-6"/>
    <w:p>
      <w:pPr>
        <w:pStyle w:val="Heading3"/>
      </w:pPr>
      <w:r>
        <w:t xml:space="preserve">Conclusion</w:t>
      </w:r>
    </w:p>
    <w:p>
      <w:pPr>
        <w:pStyle w:val="FirstParagraph"/>
      </w:pPr>
      <w:r>
        <w:t xml:space="preserve">Le survodutide est un double agoniste du glucagon et du GLP-1 qui, dans les études de phase 3, a réduit le poids corporel après 76 semaines de jusqu’à 13,0 % (sans diabète) et 9,8 % (avec diabète de type 2). Les effets sur le foie étaient plus nets : dans l’étude de phase 2, l’inflammation hépatique s’est améliorée chez jusqu’à 62 % contre 14 % sous placebo. Les troubles digestifs sont très fréquents. Le survodutide n’est pas autorisé ; les études de phase 3 en cours montreront s’il a un avenir comme médicament du foie.</w:t>
      </w:r>
    </w:p>
    <w:bookmarkEnd w:id="611"/>
    <w:bookmarkEnd w:id="612"/>
    <w:bookmarkStart w:id="650" w:name="mazdutide"/>
    <w:p>
      <w:pPr>
        <w:pStyle w:val="Heading2"/>
      </w:pPr>
      <w:r>
        <w:t xml:space="preserve">Mazdutide</w:t>
      </w:r>
    </w:p>
    <w:bookmarkStart w:id="613" w:name="fiche-signalétique-7"/>
    <w:p>
      <w:pPr>
        <w:pStyle w:val="Heading3"/>
      </w:pPr>
      <w:r>
        <w:t xml:space="preserve">Fiche signalétique</w:t>
      </w:r>
    </w:p>
    <w:p>
      <w:pPr>
        <w:numPr>
          <w:ilvl w:val="0"/>
          <w:numId w:val="1076"/>
        </w:numPr>
        <w:pStyle w:val="Compact"/>
      </w:pPr>
      <w:r>
        <w:rPr>
          <w:bCs/>
          <w:b/>
        </w:rPr>
        <w:t xml:space="preserve">Type/structure :</w:t>
      </w:r>
      <w:r>
        <w:t xml:space="preserve"> </w:t>
      </w:r>
      <w:r>
        <w:t xml:space="preserve">peptide de synthèse modifié par un acide gras, dérivé de l’hormone intestinale oxyntomoduline ; administration sous-cutanée une fois par semaine. Codes de développement LY3305677 (Eli Lilly) et IBI362 (Innovent Biologics).</w:t>
      </w:r>
    </w:p>
    <w:p>
      <w:pPr>
        <w:numPr>
          <w:ilvl w:val="0"/>
          <w:numId w:val="1076"/>
        </w:numPr>
        <w:pStyle w:val="Compact"/>
      </w:pPr>
      <w:r>
        <w:rPr>
          <w:bCs/>
          <w:b/>
        </w:rPr>
        <w:t xml:space="preserve">Origine :</w:t>
      </w:r>
      <w:r>
        <w:t xml:space="preserve"> </w:t>
      </w:r>
      <w:r>
        <w:t xml:space="preserve">développé à l’origine par Eli Lilly ; mené jusqu’à l’autorisation en Chine par Innovent Biologics, et étudié hors de Chine par Lilly.</w:t>
      </w:r>
    </w:p>
    <w:p>
      <w:pPr>
        <w:numPr>
          <w:ilvl w:val="0"/>
          <w:numId w:val="1076"/>
        </w:numPr>
        <w:pStyle w:val="Compact"/>
      </w:pPr>
      <w:r>
        <w:rPr>
          <w:bCs/>
          <w:b/>
        </w:rPr>
        <w:t xml:space="preserve">Principe d’action :</w:t>
      </w:r>
      <w:r>
        <w:t xml:space="preserve"> </w:t>
      </w:r>
      <w:r>
        <w:t xml:space="preserve">double agoniste des récepteurs du GLP-1 et du glucagon – comme le survodutide, mais il s’agit d’une molécule distincte.</w:t>
      </w:r>
    </w:p>
    <w:p>
      <w:pPr>
        <w:numPr>
          <w:ilvl w:val="0"/>
          <w:numId w:val="1076"/>
        </w:numPr>
        <w:pStyle w:val="Compact"/>
      </w:pPr>
      <w:r>
        <w:rPr>
          <w:bCs/>
          <w:b/>
        </w:rPr>
        <w:t xml:space="preserve">Autorisation UE :</w:t>
      </w:r>
      <w:r>
        <w:t xml:space="preserve"> </w:t>
      </w:r>
      <w:r>
        <w:t xml:space="preserve">non.</w:t>
      </w:r>
    </w:p>
    <w:p>
      <w:pPr>
        <w:numPr>
          <w:ilvl w:val="0"/>
          <w:numId w:val="1076"/>
        </w:numPr>
        <w:pStyle w:val="Compact"/>
      </w:pPr>
      <w:r>
        <w:rPr>
          <w:bCs/>
          <w:b/>
        </w:rPr>
        <w:t xml:space="preserve">Autorisation États-Unis :</w:t>
      </w:r>
      <w:r>
        <w:t xml:space="preserve"> </w:t>
      </w:r>
      <w:r>
        <w:t xml:space="preserve">non.</w:t>
      </w:r>
    </w:p>
    <w:p>
      <w:pPr>
        <w:numPr>
          <w:ilvl w:val="0"/>
          <w:numId w:val="1076"/>
        </w:numPr>
        <w:pStyle w:val="Compact"/>
      </w:pPr>
      <w:r>
        <w:rPr>
          <w:bCs/>
          <w:b/>
        </w:rPr>
        <w:t xml:space="preserve">Autorisation Chine :</w:t>
      </w:r>
      <w:r>
        <w:t xml:space="preserve"> </w:t>
      </w:r>
      <w:r>
        <w:t xml:space="preserve">oui, depuis juin 2025 pour la gestion du poids, depuis septembre 2025 aussi pour le diabète de type 2 (nom commercial Xinermei).</w:t>
      </w:r>
    </w:p>
    <w:p>
      <w:pPr>
        <w:numPr>
          <w:ilvl w:val="0"/>
          <w:numId w:val="1076"/>
        </w:numPr>
        <w:pStyle w:val="Compact"/>
      </w:pPr>
      <w:r>
        <w:rPr>
          <w:bCs/>
          <w:b/>
        </w:rPr>
        <w:t xml:space="preserve">AMA (WADA) :</w:t>
      </w:r>
      <w:r>
        <w:t xml:space="preserve"> </w:t>
      </w:r>
      <w:r>
        <w:t xml:space="preserve">non cité nommément. Le mazdutide étant autorisé par une autorité sanitaire nationale (Chine), il ne relève plus, selon la lettre du texte, de S0 ; son usage dans le sport sans indication médicale reste néanmoins problématique.</w:t>
      </w:r>
    </w:p>
    <w:p>
      <w:pPr>
        <w:numPr>
          <w:ilvl w:val="0"/>
          <w:numId w:val="1076"/>
        </w:numPr>
        <w:pStyle w:val="Compact"/>
      </w:pPr>
      <w:r>
        <w:rPr>
          <w:bCs/>
          <w:b/>
        </w:rPr>
        <w:t xml:space="preserve">Niveau de preuve :</w:t>
      </w:r>
      <w:r>
        <w:t xml:space="preserve"> </w:t>
      </w:r>
      <w:r>
        <w:rPr>
          <w:bCs/>
          <w:b/>
        </w:rPr>
        <w:t xml:space="preserve">A</w:t>
      </w:r>
      <w:r>
        <w:t xml:space="preserve"> </w:t>
      </w:r>
      <w:r>
        <w:t xml:space="preserve">– plusieurs grandes études de phase 3 et une autorisation, mais presque exclusivement chez des participants chinois.</w:t>
      </w:r>
    </w:p>
    <w:bookmarkEnd w:id="613"/>
    <w:bookmarkStart w:id="614" w:name="mode-daction-supposé-7"/>
    <w:p>
      <w:pPr>
        <w:pStyle w:val="Heading3"/>
      </w:pPr>
      <w:r>
        <w:t xml:space="preserve">Mode d’action supposé</w:t>
      </w:r>
    </w:p>
    <w:p>
      <w:pPr>
        <w:pStyle w:val="FirstParagraph"/>
      </w:pPr>
      <w:r>
        <w:t xml:space="preserve">L’oxyntomoduline est une hormone naturelle de l’intestin qui, comme le GLP-1, est sécrétée après les repas. Elle active à la fois les récepteurs du GLP-1 et du glucagon, mais seulement faiblement et très brièvement. Le mazdutide est une version stabilisée et à action prolongée de ce principe.</w:t>
      </w:r>
    </w:p>
    <w:p>
      <w:pPr>
        <w:pStyle w:val="BodyText"/>
      </w:pPr>
      <w:r>
        <w:t xml:space="preserve">La composante GLP-1 atténue l’appétit, ralentit la vidange gastrique et favorise la sécrétion d’insuline glucose-dépendante. La composante glucagon doit augmenter la dépense énergétique et favoriser la dégradation des graisses dans le foie (voir aussi le chapitre Survodutide). Chez l’humain, la contribution de la composante glucagon à la perte de poids n’a pas été mesurée directement ; l’hypothèse repose surtout sur des données animales.</w:t>
      </w:r>
    </w:p>
    <w:bookmarkEnd w:id="614"/>
    <w:bookmarkStart w:id="629" w:name="études-chez-lhumain-7"/>
    <w:p>
      <w:pPr>
        <w:pStyle w:val="Heading3"/>
      </w:pPr>
      <w:r>
        <w:t xml:space="preserve">Études chez l’humain</w:t>
      </w:r>
    </w:p>
    <w:p>
      <w:pPr>
        <w:pStyle w:val="FirstParagraph"/>
      </w:pPr>
      <w:r>
        <w:rPr>
          <w:bCs/>
          <w:b/>
        </w:rPr>
        <w:t xml:space="preserve">Ampleur des données :</w:t>
      </w:r>
      <w:r>
        <w:t xml:space="preserve"> </w:t>
      </w:r>
      <w:r>
        <w:t xml:space="preserve">la requête PubMed automatisée (octobre 2026) a fourni 9 études chez l’humain, complétées par une étude de phase 1 à haute dose et un rapport de cas. Sur ClinicalTrials.gov, 44 études étaient enregistrées, la plupart en Chine. Les études d’homologation s’appellent</w:t>
      </w:r>
      <w:r>
        <w:t xml:space="preserve"> </w:t>
      </w:r>
      <w:r>
        <w:rPr>
          <w:bCs/>
          <w:b/>
        </w:rPr>
        <w:t xml:space="preserve">GLORY</w:t>
      </w:r>
      <w:r>
        <w:t xml:space="preserve"> </w:t>
      </w:r>
      <w:r>
        <w:t xml:space="preserve">(obésité) et</w:t>
      </w:r>
      <w:r>
        <w:t xml:space="preserve"> </w:t>
      </w:r>
      <w:r>
        <w:rPr>
          <w:bCs/>
          <w:b/>
        </w:rPr>
        <w:t xml:space="preserve">DREAMS</w:t>
      </w:r>
      <w:r>
        <w:t xml:space="preserve"> </w:t>
      </w:r>
      <w:r>
        <w:t xml:space="preserve">(diabète de type 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schéma</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Phase 2 obésité (Ji 2023), PMID 38092790</w:t>
            </w:r>
          </w:p>
        </w:tc>
        <w:tc>
          <w:tcPr/>
          <w:p>
            <w:pPr>
              <w:pStyle w:val="Compact"/>
              <w:jc w:val="left"/>
            </w:pPr>
            <w:r>
              <w:t xml:space="preserve">248 adultes chinois en surpoids/obèses</w:t>
            </w:r>
          </w:p>
        </w:tc>
        <w:tc>
          <w:tcPr/>
          <w:p>
            <w:pPr>
              <w:pStyle w:val="Compact"/>
              <w:jc w:val="left"/>
            </w:pPr>
            <w:r>
              <w:t xml:space="preserve">24 semaines</w:t>
            </w:r>
          </w:p>
        </w:tc>
        <w:tc>
          <w:tcPr/>
          <w:p>
            <w:pPr>
              <w:pStyle w:val="Compact"/>
              <w:jc w:val="left"/>
            </w:pPr>
            <w:r>
              <w:t xml:space="preserve">−6,7 à −11,3 % de poids vs +1,0 %</w:t>
            </w:r>
          </w:p>
        </w:tc>
      </w:tr>
      <w:tr>
        <w:tc>
          <w:tcPr/>
          <w:p>
            <w:pPr>
              <w:pStyle w:val="Compact"/>
              <w:jc w:val="left"/>
            </w:pPr>
            <w:r>
              <w:t xml:space="preserve">Phase 2 diabète de type 2 (Zhang 2024), PMID 37943529</w:t>
            </w:r>
          </w:p>
        </w:tc>
        <w:tc>
          <w:tcPr/>
          <w:p>
            <w:pPr>
              <w:pStyle w:val="Compact"/>
              <w:jc w:val="left"/>
            </w:pPr>
            <w:r>
              <w:t xml:space="preserve">250 adultes chinois, contre placebo et dulaglutide en ouvert</w:t>
            </w:r>
          </w:p>
        </w:tc>
        <w:tc>
          <w:tcPr/>
          <w:p>
            <w:pPr>
              <w:pStyle w:val="Compact"/>
              <w:jc w:val="left"/>
            </w:pPr>
            <w:r>
              <w:t xml:space="preserve">20 semaines</w:t>
            </w:r>
          </w:p>
        </w:tc>
        <w:tc>
          <w:tcPr/>
          <w:p>
            <w:pPr>
              <w:pStyle w:val="Compact"/>
              <w:jc w:val="left"/>
            </w:pPr>
            <w:r>
              <w:t xml:space="preserve">HbA1c −1,41 à −1,67 (dulaglutide −1,35)</w:t>
            </w:r>
          </w:p>
        </w:tc>
      </w:tr>
      <w:tr>
        <w:tc>
          <w:tcPr/>
          <w:p>
            <w:pPr>
              <w:pStyle w:val="Compact"/>
              <w:jc w:val="left"/>
            </w:pPr>
            <w:r>
              <w:t xml:space="preserve">GLORY-1 (Ji 2025), PMID 40421736</w:t>
            </w:r>
          </w:p>
        </w:tc>
        <w:tc>
          <w:tcPr/>
          <w:p>
            <w:pPr>
              <w:pStyle w:val="Compact"/>
              <w:jc w:val="left"/>
            </w:pPr>
            <w:r>
              <w:t xml:space="preserve">610 adultes chinois en surpoids/obèses, contre placebo</w:t>
            </w:r>
          </w:p>
        </w:tc>
        <w:tc>
          <w:tcPr/>
          <w:p>
            <w:pPr>
              <w:pStyle w:val="Compact"/>
              <w:jc w:val="left"/>
            </w:pPr>
            <w:r>
              <w:t xml:space="preserve">48 semaines</w:t>
            </w:r>
          </w:p>
        </w:tc>
        <w:tc>
          <w:tcPr/>
          <w:p>
            <w:pPr>
              <w:pStyle w:val="Compact"/>
              <w:jc w:val="left"/>
            </w:pPr>
            <w:r>
              <w:t xml:space="preserve">−11,00 / −14,01 % (4/6 mg) vs +0,30 %</w:t>
            </w:r>
          </w:p>
        </w:tc>
      </w:tr>
      <w:tr>
        <w:tc>
          <w:tcPr/>
          <w:p>
            <w:pPr>
              <w:pStyle w:val="Compact"/>
              <w:jc w:val="left"/>
            </w:pPr>
            <w:r>
              <w:t xml:space="preserve">GLORY-2 (Gao 2026), PMID 42251595</w:t>
            </w:r>
          </w:p>
        </w:tc>
        <w:tc>
          <w:tcPr/>
          <w:p>
            <w:pPr>
              <w:pStyle w:val="Compact"/>
              <w:jc w:val="left"/>
            </w:pPr>
            <w:r>
              <w:t xml:space="preserve">461 adultes chinois obèses, dose plus élevée contre placebo</w:t>
            </w:r>
          </w:p>
        </w:tc>
        <w:tc>
          <w:tcPr/>
          <w:p>
            <w:pPr>
              <w:pStyle w:val="Compact"/>
              <w:jc w:val="left"/>
            </w:pPr>
            <w:r>
              <w:t xml:space="preserve">60 semaines</w:t>
            </w:r>
          </w:p>
        </w:tc>
        <w:tc>
          <w:tcPr/>
          <w:p>
            <w:pPr>
              <w:pStyle w:val="Compact"/>
              <w:jc w:val="left"/>
            </w:pPr>
            <w:r>
              <w:t xml:space="preserve">−16,65 % vs −1,50 %</w:t>
            </w:r>
          </w:p>
        </w:tc>
      </w:tr>
      <w:tr>
        <w:tc>
          <w:tcPr/>
          <w:p>
            <w:pPr>
              <w:pStyle w:val="Compact"/>
              <w:jc w:val="left"/>
            </w:pPr>
            <w:r>
              <w:t xml:space="preserve">DREAMS-1 (Zhu 2026), PMID 41407859</w:t>
            </w:r>
          </w:p>
        </w:tc>
        <w:tc>
          <w:tcPr/>
          <w:p>
            <w:pPr>
              <w:pStyle w:val="Compact"/>
              <w:jc w:val="left"/>
            </w:pPr>
            <w:r>
              <w:t xml:space="preserve">320 adultes chinois atteints de diabète de type 2, contre placebo</w:t>
            </w:r>
          </w:p>
        </w:tc>
        <w:tc>
          <w:tcPr/>
          <w:p>
            <w:pPr>
              <w:pStyle w:val="Compact"/>
              <w:jc w:val="left"/>
            </w:pPr>
            <w:r>
              <w:t xml:space="preserve">24 semaines</w:t>
            </w:r>
          </w:p>
        </w:tc>
        <w:tc>
          <w:tcPr/>
          <w:p>
            <w:pPr>
              <w:pStyle w:val="Compact"/>
              <w:jc w:val="left"/>
            </w:pPr>
            <w:r>
              <w:t xml:space="preserve">HbA1c −1,57 / −2,15 vs −0,14</w:t>
            </w:r>
          </w:p>
        </w:tc>
      </w:tr>
      <w:tr>
        <w:tc>
          <w:tcPr/>
          <w:p>
            <w:pPr>
              <w:pStyle w:val="Compact"/>
              <w:jc w:val="left"/>
            </w:pPr>
            <w:r>
              <w:t xml:space="preserve">DREAMS-2 (Guo 2026), PMID 41407860</w:t>
            </w:r>
          </w:p>
        </w:tc>
        <w:tc>
          <w:tcPr/>
          <w:p>
            <w:pPr>
              <w:pStyle w:val="Compact"/>
              <w:jc w:val="left"/>
            </w:pPr>
            <w:r>
              <w:t xml:space="preserve">731 adultes chinois atteints de diabète de type 2, contre dulaglutide</w:t>
            </w:r>
          </w:p>
        </w:tc>
        <w:tc>
          <w:tcPr/>
          <w:p>
            <w:pPr>
              <w:pStyle w:val="Compact"/>
              <w:jc w:val="left"/>
            </w:pPr>
            <w:r>
              <w:t xml:space="preserve">28 semaines</w:t>
            </w:r>
          </w:p>
        </w:tc>
        <w:tc>
          <w:tcPr/>
          <w:p>
            <w:pPr>
              <w:pStyle w:val="Compact"/>
              <w:jc w:val="left"/>
            </w:pPr>
            <w:r>
              <w:t xml:space="preserve">HbA1c −0,24 / −0,30 supplémentaires ; poids −3,78 / −5,76 % supplémentaires</w:t>
            </w:r>
          </w:p>
        </w:tc>
      </w:tr>
      <w:tr>
        <w:tc>
          <w:tcPr/>
          <w:p>
            <w:pPr>
              <w:pStyle w:val="Compact"/>
              <w:jc w:val="left"/>
            </w:pPr>
            <w:r>
              <w:t xml:space="preserve">Phase 2 États-Unis (Hsia 2026), PMID 42628555</w:t>
            </w:r>
          </w:p>
        </w:tc>
        <w:tc>
          <w:tcPr/>
          <w:p>
            <w:pPr>
              <w:pStyle w:val="Compact"/>
              <w:jc w:val="left"/>
            </w:pPr>
            <w:r>
              <w:t xml:space="preserve">179 adultes en surpoids/obèses, contre placebo</w:t>
            </w:r>
          </w:p>
        </w:tc>
        <w:tc>
          <w:tcPr/>
          <w:p>
            <w:pPr>
              <w:pStyle w:val="Compact"/>
              <w:jc w:val="left"/>
            </w:pPr>
            <w:r>
              <w:t xml:space="preserve">48 semaines (critère principal à 32)</w:t>
            </w:r>
          </w:p>
        </w:tc>
        <w:tc>
          <w:tcPr/>
          <w:p>
            <w:pPr>
              <w:pStyle w:val="Compact"/>
              <w:jc w:val="left"/>
            </w:pPr>
            <w:r>
              <w:t xml:space="preserve">−7,3 à −18,1 % après 32 semaines vs −0,9 %</w:t>
            </w:r>
          </w:p>
        </w:tc>
      </w:tr>
    </w:tbl>
    <w:bookmarkStart w:id="617" w:name="obésité-glory-1-et-glory-2"/>
    <w:p>
      <w:pPr>
        <w:pStyle w:val="Heading4"/>
      </w:pPr>
      <w:r>
        <w:t xml:space="preserve">Obésité : GLORY-1 et GLORY-2</w:t>
      </w:r>
    </w:p>
    <w:p>
      <w:pPr>
        <w:pStyle w:val="FirstParagraph"/>
      </w:pPr>
      <w:r>
        <w:rPr>
          <w:bCs/>
          <w:b/>
        </w:rPr>
        <w:t xml:space="preserve">GLORY-1</w:t>
      </w:r>
      <w:r>
        <w:rPr>
          <w:rStyle w:val="FootnoteReference"/>
        </w:rPr>
        <w:footnoteReference w:id="615"/>
      </w:r>
      <w:r>
        <w:t xml:space="preserve"> </w:t>
      </w:r>
      <w:r>
        <w:t xml:space="preserve">était l’étude d’homologation pour la Chine. Les critères d’inclusion s’appuyaient sur les seuils chinois : IMC à partir de 28, ou à partir de 24 avec une comorbidité. Pour un poids initial de 87,2 kg, le poids a diminué après 48 semaines de 11,0 % (4 mg) et 14,0 % (6 mg) ; sous placebo, il est resté pratiquement inchangé. 35,7 % et 49,5 % des participants ont perdu au moins 15 %. Les arrêts pour effets indésirables étaient très rares, de 0,5 à 1,5 %.</w:t>
      </w:r>
    </w:p>
    <w:p>
      <w:pPr>
        <w:pStyle w:val="BodyText"/>
      </w:pPr>
      <w:r>
        <w:rPr>
          <w:bCs/>
          <w:b/>
        </w:rPr>
        <w:t xml:space="preserve">GLORY-2</w:t>
      </w:r>
      <w:r>
        <w:rPr>
          <w:rStyle w:val="FootnoteReference"/>
        </w:rPr>
        <w:footnoteReference w:id="616"/>
      </w:r>
      <w:r>
        <w:t xml:space="preserve"> </w:t>
      </w:r>
      <w:r>
        <w:t xml:space="preserve">a évalué une dose plus élevée chez des personnes ayant un IMC d’au moins 30. Les participants étaient remarquablement jeunes, avec en moyenne 33,9 ans. Après 60 semaines, la perte de poids était de 16,65 % contre 1,50 % sous placebo. Le prix à payer était nettement plus de troubles digestifs : vomissements chez 53,1 % (placebo 1,3 %), nausées chez 46,9 % (3,2 %) et diarrhées chez 39,4 % (6,5 %). Malgré cela, seuls 2,9 % ont arrêté le traitement en raison d’effets indésirables.</w:t>
      </w:r>
    </w:p>
    <w:bookmarkEnd w:id="617"/>
    <w:bookmarkStart w:id="622" w:name="diabète-de-type-2-dreams-1-et-dreams-2"/>
    <w:p>
      <w:pPr>
        <w:pStyle w:val="Heading4"/>
      </w:pPr>
      <w:r>
        <w:t xml:space="preserve">Diabète de type 2 : DREAMS-1 et DREAMS-2</w:t>
      </w:r>
    </w:p>
    <w:p>
      <w:pPr>
        <w:pStyle w:val="FirstParagraph"/>
      </w:pPr>
      <w:r>
        <w:t xml:space="preserve">Dans</w:t>
      </w:r>
      <w:r>
        <w:t xml:space="preserve"> </w:t>
      </w:r>
      <w:r>
        <w:rPr>
          <w:bCs/>
          <w:b/>
        </w:rPr>
        <w:t xml:space="preserve">DREAMS-1</w:t>
      </w:r>
      <w:r>
        <w:rPr>
          <w:rStyle w:val="FootnoteReference"/>
        </w:rPr>
        <w:footnoteReference w:id="618"/>
      </w:r>
      <w:r>
        <w:t xml:space="preserve">, des personnes atteintes de diabète de type 2 insuffisamment équilibré par l’alimentation et l’activité physique seules (ancienneté moyenne du diabète 1,9 an) ont reçu du mazdutide sans autre antidiabétique. À la dose la plus élevée, l’HbA1c a baissé après 24 semaines de 2,15 points de pourcentage (placebo −0,14), le poids de 7,81 %.</w:t>
      </w:r>
    </w:p>
    <w:p>
      <w:pPr>
        <w:pStyle w:val="BodyText"/>
      </w:pPr>
      <w:r>
        <w:rPr>
          <w:bCs/>
          <w:b/>
        </w:rPr>
        <w:t xml:space="preserve">DREAMS-2</w:t>
      </w:r>
      <w:r>
        <w:rPr>
          <w:rStyle w:val="FootnoteReference"/>
        </w:rPr>
        <w:footnoteReference w:id="619"/>
      </w:r>
      <w:r>
        <w:t xml:space="preserve"> </w:t>
      </w:r>
      <w:r>
        <w:t xml:space="preserve">est jusqu’ici l’étude comparative la plus importante : face au médicament GLP-1 établi qu’est le dulaglutide, le mazdutide s’est montré non inférieur puis supérieur sur l’HbA1c, quoique avec un faible écart (−0,24 et −0,30 point de pourcentage supplémentaires). La différence était plus nette sur le poids (−3,78 et −5,76 % supplémentaires). Les effets indésirables digestifs étaient plus fréquents sous mazdutide que sous dulaglutide.</w:t>
      </w:r>
    </w:p>
    <w:p>
      <w:pPr>
        <w:pStyle w:val="BodyText"/>
      </w:pPr>
      <w:r>
        <w:t xml:space="preserve">Une étude comparative contre le sémaglutide chez des personnes atteintes de diabète de type 2 débutant et d’obésité (DREAMS-3) est terminée selon le registre</w:t>
      </w:r>
      <w:r>
        <w:rPr>
          <w:rStyle w:val="FootnoteReference"/>
        </w:rPr>
        <w:footnoteReference w:id="620"/>
      </w:r>
      <w:r>
        <w:t xml:space="preserve"> </w:t>
      </w:r>
      <w:r>
        <w:t xml:space="preserve">; son schéma et les caractéristiques initiales des 349 participants sont publiés</w:t>
      </w:r>
      <w:r>
        <w:rPr>
          <w:rStyle w:val="FootnoteReference"/>
        </w:rPr>
        <w:footnoteReference w:id="621"/>
      </w:r>
      <w:r>
        <w:t xml:space="preserve">, mais pas encore les résultats.</w:t>
      </w:r>
    </w:p>
    <w:bookmarkEnd w:id="622"/>
    <w:bookmarkStart w:id="625" w:name="X75a92ea10eba00bce29f0facf437174bf5bf136"/>
    <w:p>
      <w:pPr>
        <w:pStyle w:val="Heading4"/>
      </w:pPr>
      <w:r>
        <w:t xml:space="preserve">Études hors de Chine et doses plus élevées</w:t>
      </w:r>
    </w:p>
    <w:p>
      <w:pPr>
        <w:pStyle w:val="FirstParagraph"/>
      </w:pPr>
      <w:r>
        <w:t xml:space="preserve">Lilly étudie le mazdutide hors de Chine à des doses plus élevées. Dans une petite étude de phase 1 chez 32 adultes aux États-Unis, le poids corporel a baissé à la dose la plus élevée de 20,0 et 21,0 % après 20 semaines (deux schémas de titration), contre 0,1 % sous placebo ; aucun effet indésirable grave n’est survenu</w:t>
      </w:r>
      <w:r>
        <w:rPr>
          <w:rStyle w:val="FootnoteReference"/>
        </w:rPr>
        <w:footnoteReference w:id="623"/>
      </w:r>
      <w:r>
        <w:t xml:space="preserve">.</w:t>
      </w:r>
    </w:p>
    <w:p>
      <w:pPr>
        <w:pStyle w:val="BodyText"/>
      </w:pPr>
      <w:r>
        <w:t xml:space="preserve">Dans l’étude de phase 2 américaine avec 179 participants</w:t>
      </w:r>
      <w:r>
        <w:rPr>
          <w:rStyle w:val="FootnoteReference"/>
        </w:rPr>
        <w:footnoteReference w:id="624"/>
      </w:r>
      <w:r>
        <w:t xml:space="preserve">, la perte de poids atteignait 18,1 % après 32 semaines à la dose la plus élevée. Cependant, à cette dose, 20 % ont arrêté le traitement en raison d’effets indésirables, principalement digestifs. L’analyse principale utilisait en outre l’« estimande d’efficacité », qui ne tient plus compte des personnes après un arrêt et présente donc l’effet de manière plutôt favorable.</w:t>
      </w:r>
    </w:p>
    <w:bookmarkEnd w:id="625"/>
    <w:bookmarkStart w:id="628" w:name="rapports-de-cas-isolés"/>
    <w:p>
      <w:pPr>
        <w:pStyle w:val="Heading4"/>
      </w:pPr>
      <w:r>
        <w:t xml:space="preserve">Rapports de cas isolés</w:t>
      </w:r>
    </w:p>
    <w:p>
      <w:pPr>
        <w:pStyle w:val="FirstParagraph"/>
      </w:pPr>
      <w:r>
        <w:t xml:space="preserve">Un rapport de cas décrit un patient de 15 ans atteint d’obésité, de diabète de type 2 et d’hyperuricémie, qui a reçu du mazdutide en plus de la metformine et de l’insuline et a perdu 16,8 kg en 36 semaines</w:t>
      </w:r>
      <w:r>
        <w:rPr>
          <w:rStyle w:val="FootnoteReference"/>
        </w:rPr>
        <w:footnoteReference w:id="626"/>
      </w:r>
      <w:r>
        <w:t xml:space="preserve">. Un cas isolé ne permet aucune conclusion sur l’efficacité ou la sécurité chez l’adolescent ; une étude est en cours sur ce sujet</w:t>
      </w:r>
      <w:r>
        <w:rPr>
          <w:rStyle w:val="FootnoteReference"/>
        </w:rPr>
        <w:footnoteReference w:id="627"/>
      </w:r>
      <w:r>
        <w:t xml:space="preserve">.</w:t>
      </w:r>
    </w:p>
    <w:bookmarkEnd w:id="628"/>
    <w:bookmarkEnd w:id="629"/>
    <w:bookmarkStart w:id="633" w:name="études-animales-et-de-laboratoire-7"/>
    <w:p>
      <w:pPr>
        <w:pStyle w:val="Heading3"/>
      </w:pPr>
      <w:r>
        <w:t xml:space="preserve">Études animales et de laboratoire</w:t>
      </w:r>
    </w:p>
    <w:p>
      <w:pPr>
        <w:pStyle w:val="FirstParagraph"/>
      </w:pPr>
      <w:r>
        <w:t xml:space="preserve">Chez des souris diabétiques (modèle db/db), le mazdutide a obtenu de meilleurs résultats que le dulaglutide dans des tests de mémoire et de comportement ; le tissu cérébral présentait moins de lésions</w:t>
      </w:r>
      <w:r>
        <w:rPr>
          <w:rStyle w:val="FootnoteReference"/>
        </w:rPr>
        <w:footnoteReference w:id="630"/>
      </w:r>
      <w:r>
        <w:t xml:space="preserve">. Chez des souris atteintes de stéatose hépatique d’origine alimentaire et dans des cultures de cellules hépatiques, le mazdutide a réduit le stockage des graisses et les signes d’inflammation</w:t>
      </w:r>
      <w:r>
        <w:rPr>
          <w:rStyle w:val="FootnoteReference"/>
        </w:rPr>
        <w:footnoteReference w:id="631"/>
      </w:r>
      <w:r>
        <w:t xml:space="preserve">. On ignore s’il en résulte des bénéfices pour l’humain ; une étude dans le diabète de type 2 avec troubles cognitifs débutants est enregistrée en Chine</w:t>
      </w:r>
      <w:r>
        <w:rPr>
          <w:rStyle w:val="FootnoteReference"/>
        </w:rPr>
        <w:footnoteReference w:id="632"/>
      </w:r>
      <w:r>
        <w:t xml:space="preserve">.</w:t>
      </w:r>
    </w:p>
    <w:bookmarkEnd w:id="633"/>
    <w:bookmarkStart w:id="638" w:name="risques-et-effets-indésirables-7"/>
    <w:p>
      <w:pPr>
        <w:pStyle w:val="Heading3"/>
      </w:pPr>
      <w:r>
        <w:t xml:space="preserve">Risques et effets indésirables</w:t>
      </w:r>
    </w:p>
    <w:p>
      <w:pPr>
        <w:pStyle w:val="FirstParagraph"/>
      </w:pPr>
      <w:r>
        <w:rPr>
          <w:bCs/>
          <w:b/>
        </w:rPr>
        <w:t xml:space="preserve">Établi par les études :</w:t>
      </w:r>
    </w:p>
    <w:p>
      <w:pPr>
        <w:numPr>
          <w:ilvl w:val="0"/>
          <w:numId w:val="1077"/>
        </w:numPr>
        <w:pStyle w:val="Compact"/>
      </w:pPr>
      <w:r>
        <w:rPr>
          <w:bCs/>
          <w:b/>
        </w:rPr>
        <w:t xml:space="preserve">Troubles digestifs</w:t>
      </w:r>
      <w:r>
        <w:t xml:space="preserve"> </w:t>
      </w:r>
      <w:r>
        <w:t xml:space="preserve">: ce sont les effets indésirables les plus fréquents ; leur fréquence augmente avec la dose. Dans l’étude de phase 2 sur le diabète, des diarrhées sont survenues chez 36 %, une baisse de l’appétit chez 29 %, des nausées chez 23 % et des vomissements chez 14 %</w:t>
      </w:r>
      <w:r>
        <w:rPr>
          <w:rStyle w:val="FootnoteReference"/>
        </w:rPr>
        <w:footnoteReference w:id="634"/>
      </w:r>
      <w:r>
        <w:t xml:space="preserve">. Dans GLORY-2, plus de la moitié des participants ont vomi au moins une fois</w:t>
      </w:r>
      <w:r>
        <w:rPr>
          <w:rStyle w:val="FootnoteReference"/>
        </w:rPr>
        <w:footnoteReference w:id="635"/>
      </w:r>
      <w:r>
        <w:t xml:space="preserve">.</w:t>
      </w:r>
    </w:p>
    <w:p>
      <w:pPr>
        <w:numPr>
          <w:ilvl w:val="0"/>
          <w:numId w:val="1077"/>
        </w:numPr>
        <w:pStyle w:val="Compact"/>
      </w:pPr>
      <w:r>
        <w:rPr>
          <w:bCs/>
          <w:b/>
        </w:rPr>
        <w:t xml:space="preserve">Hypoglycémie :</w:t>
      </w:r>
      <w:r>
        <w:t xml:space="preserve"> </w:t>
      </w:r>
      <w:r>
        <w:t xml:space="preserve">dans l’étude de phase 2 sur le diabète, des hypoglycémies ont été rapportées chez 10 % sous mazdutide et 8 % sous placebo</w:t>
      </w:r>
      <w:r>
        <w:rPr>
          <w:rStyle w:val="FootnoteReference"/>
        </w:rPr>
        <w:footnoteReference w:id="636"/>
      </w:r>
      <w:r>
        <w:t xml:space="preserve">.</w:t>
      </w:r>
    </w:p>
    <w:p>
      <w:pPr>
        <w:numPr>
          <w:ilvl w:val="0"/>
          <w:numId w:val="1077"/>
        </w:numPr>
        <w:pStyle w:val="Compact"/>
      </w:pPr>
      <w:r>
        <w:rPr>
          <w:bCs/>
          <w:b/>
        </w:rPr>
        <w:t xml:space="preserve">Arrêts aux doses élevées :</w:t>
      </w:r>
      <w:r>
        <w:t xml:space="preserve"> </w:t>
      </w:r>
      <w:r>
        <w:t xml:space="preserve">jusqu’à 20 % dans l’étude de phase 2 américaine</w:t>
      </w:r>
      <w:r>
        <w:rPr>
          <w:rStyle w:val="FootnoteReference"/>
        </w:rPr>
        <w:footnoteReference w:id="637"/>
      </w:r>
      <w:r>
        <w:t xml:space="preserve">.</w:t>
      </w:r>
    </w:p>
    <w:p>
      <w:pPr>
        <w:pStyle w:val="FirstParagraph"/>
      </w:pPr>
      <w:r>
        <w:rPr>
          <w:bCs/>
          <w:b/>
        </w:rPr>
        <w:t xml:space="preserve">Encore ouvert :</w:t>
      </w:r>
      <w:r>
        <w:t xml:space="preserve"> </w:t>
      </w:r>
      <w:r>
        <w:t xml:space="preserve">il n’existe pas d’étude sur critères cliniques cardiovasculaires. Les données à long terme au-delà de 60 semaines manquent. Les études ont inclus presque exclusivement des personnes d’origine chinoise, qui avaient, pour une même perte de poids, des valeurs initiales différentes (poids corporel plus faible) de celles des populations d’étude européennes. Les risques de classe connus des médicaments GLP-1 (vésicule biliaire, pancréas, cellules C thyroïdiennes chez l’animal) n’ont pas encore été évalués de manière propre pour le mazdutide, faute d’années-patients.</w:t>
      </w:r>
    </w:p>
    <w:bookmarkEnd w:id="638"/>
    <w:bookmarkStart w:id="640" w:name="statut-juridique-7"/>
    <w:p>
      <w:pPr>
        <w:pStyle w:val="Heading3"/>
      </w:pPr>
      <w:r>
        <w:t xml:space="preserve">Statut juridique</w:t>
      </w:r>
    </w:p>
    <w:p>
      <w:pPr>
        <w:numPr>
          <w:ilvl w:val="0"/>
          <w:numId w:val="1078"/>
        </w:numPr>
        <w:pStyle w:val="Compact"/>
      </w:pPr>
      <w:r>
        <w:rPr>
          <w:bCs/>
          <w:b/>
        </w:rPr>
        <w:t xml:space="preserve">Chine :</w:t>
      </w:r>
      <w:r>
        <w:t xml:space="preserve"> </w:t>
      </w:r>
      <w:r>
        <w:t xml:space="preserve">autorisé (juin 2025 pour la gestion du poids, septembre 2025 pour le diabète de type 2)</w:t>
      </w:r>
      <w:r>
        <w:rPr>
          <w:rStyle w:val="FootnoteReference"/>
        </w:rPr>
        <w:footnoteReference w:id="639"/>
      </w:r>
      <w:r>
        <w:t xml:space="preserve">.</w:t>
      </w:r>
    </w:p>
    <w:p>
      <w:pPr>
        <w:numPr>
          <w:ilvl w:val="0"/>
          <w:numId w:val="1078"/>
        </w:numPr>
        <w:pStyle w:val="Compact"/>
      </w:pPr>
      <w:r>
        <w:rPr>
          <w:bCs/>
          <w:b/>
        </w:rPr>
        <w:t xml:space="preserve">UE / Autriche / Allemagne :</w:t>
      </w:r>
      <w:r>
        <w:t xml:space="preserve"> </w:t>
      </w:r>
      <w:r>
        <w:t xml:space="preserve">non autorisé. Une importation pour usage n’est pas légale sans autorisation ; les produits « Mazdutide » proposés sur le marché gris ne sont pas des médicaments contrôlés.</w:t>
      </w:r>
    </w:p>
    <w:p>
      <w:pPr>
        <w:numPr>
          <w:ilvl w:val="0"/>
          <w:numId w:val="1078"/>
        </w:numPr>
        <w:pStyle w:val="Compact"/>
      </w:pPr>
      <w:r>
        <w:rPr>
          <w:bCs/>
          <w:b/>
        </w:rPr>
        <w:t xml:space="preserve">États-Unis :</w:t>
      </w:r>
      <w:r>
        <w:t xml:space="preserve"> </w:t>
      </w:r>
      <w:r>
        <w:t xml:space="preserve">non autorisé ; Lilly mène ses propres études.</w:t>
      </w:r>
    </w:p>
    <w:p>
      <w:pPr>
        <w:numPr>
          <w:ilvl w:val="0"/>
          <w:numId w:val="1078"/>
        </w:numPr>
        <w:pStyle w:val="Compact"/>
      </w:pPr>
      <w:r>
        <w:rPr>
          <w:bCs/>
          <w:b/>
        </w:rPr>
        <w:t xml:space="preserve">Sport :</w:t>
      </w:r>
      <w:r>
        <w:t xml:space="preserve"> </w:t>
      </w:r>
      <w:r>
        <w:t xml:space="preserve">non cité nommément ; statut au regard de S0 incertain en raison de l’autorisation chinoise – état 2026, à vérifier.</w:t>
      </w:r>
    </w:p>
    <w:bookmarkEnd w:id="640"/>
    <w:bookmarkStart w:id="648" w:name="études-en-cours-et-perspectives-7"/>
    <w:p>
      <w:pPr>
        <w:pStyle w:val="Heading3"/>
      </w:pPr>
      <w:r>
        <w:t xml:space="preserve">Études en cours et perspectives</w:t>
      </w:r>
    </w:p>
    <w:p>
      <w:pPr>
        <w:pStyle w:val="FirstParagraph"/>
      </w:pPr>
      <w:r>
        <w:rPr>
          <w:bCs/>
          <w:b/>
        </w:rPr>
        <w:t xml:space="preserve">Établi (études enregistrées, état octobre 2026) :</w:t>
      </w:r>
    </w:p>
    <w:p>
      <w:pPr>
        <w:numPr>
          <w:ilvl w:val="0"/>
          <w:numId w:val="1079"/>
        </w:numPr>
        <w:pStyle w:val="Compact"/>
      </w:pPr>
      <w:r>
        <w:t xml:space="preserve">Comparaison avec le sémaglutide dans la stéatose hépatique</w:t>
      </w:r>
      <w:r>
        <w:rPr>
          <w:rStyle w:val="FootnoteReference"/>
        </w:rPr>
        <w:footnoteReference w:id="641"/>
      </w:r>
      <w:r>
        <w:t xml:space="preserve"> </w:t>
      </w:r>
      <w:r>
        <w:t xml:space="preserve">et dans le diabète de type 2 débutant (NCT06184568, terminée).</w:t>
      </w:r>
    </w:p>
    <w:p>
      <w:pPr>
        <w:numPr>
          <w:ilvl w:val="0"/>
          <w:numId w:val="1079"/>
        </w:numPr>
        <w:pStyle w:val="Compact"/>
      </w:pPr>
      <w:r>
        <w:t xml:space="preserve">Apnée du sommeil</w:t>
      </w:r>
      <w:r>
        <w:rPr>
          <w:rStyle w:val="FootnoteReference"/>
        </w:rPr>
        <w:footnoteReference w:id="642"/>
      </w:r>
      <w:r>
        <w:t xml:space="preserve">, hypertension artérielle avec obésité</w:t>
      </w:r>
      <w:r>
        <w:rPr>
          <w:rStyle w:val="FootnoteReference"/>
        </w:rPr>
        <w:footnoteReference w:id="643"/>
      </w:r>
      <w:r>
        <w:t xml:space="preserve">, adolescents</w:t>
      </w:r>
      <w:r>
        <w:rPr>
          <w:rStyle w:val="FootnoteReference"/>
        </w:rPr>
        <w:footnoteReference w:id="644"/>
      </w:r>
      <w:r>
        <w:t xml:space="preserve">.</w:t>
      </w:r>
    </w:p>
    <w:p>
      <w:pPr>
        <w:numPr>
          <w:ilvl w:val="0"/>
          <w:numId w:val="1079"/>
        </w:numPr>
        <w:pStyle w:val="Compact"/>
      </w:pPr>
      <w:r>
        <w:t xml:space="preserve">Études de phase 2 sur la MASH</w:t>
      </w:r>
      <w:r>
        <w:rPr>
          <w:rStyle w:val="FootnoteReference"/>
        </w:rPr>
        <w:footnoteReference w:id="645"/>
      </w:r>
      <w:r>
        <w:t xml:space="preserve">, l’insuffisance cardiaque avec obésité</w:t>
      </w:r>
      <w:r>
        <w:rPr>
          <w:rStyle w:val="FootnoteReference"/>
        </w:rPr>
        <w:footnoteReference w:id="646"/>
      </w:r>
      <w:r>
        <w:t xml:space="preserve"> </w:t>
      </w:r>
      <w:r>
        <w:t xml:space="preserve">et le trouble de l’usage de l’alcool (NCT06817356, terminée, promoteur Lilly).</w:t>
      </w:r>
    </w:p>
    <w:p>
      <w:pPr>
        <w:numPr>
          <w:ilvl w:val="0"/>
          <w:numId w:val="1079"/>
        </w:numPr>
        <w:pStyle w:val="Compact"/>
      </w:pPr>
      <w:r>
        <w:t xml:space="preserve">Lilly évalue en outre le mazdutide dans un protocole cadre de phase 2</w:t>
      </w:r>
      <w:r>
        <w:rPr>
          <w:rStyle w:val="FootnoteReference"/>
        </w:rPr>
        <w:footnoteReference w:id="647"/>
      </w:r>
      <w:r>
        <w:t xml:space="preserve">.</w:t>
      </w:r>
    </w:p>
    <w:p>
      <w:pPr>
        <w:pStyle w:val="FirstParagraph"/>
      </w:pPr>
      <w:r>
        <w:rPr>
          <w:bCs/>
          <w:b/>
        </w:rPr>
        <w:t xml:space="preserve">Appréciation :</w:t>
      </w:r>
      <w:r>
        <w:t xml:space="preserve"> </w:t>
      </w:r>
      <w:r>
        <w:t xml:space="preserve">le mazdutide est le premier double agoniste glucagon/GLP-1 à obtenir une autorisation – mais seulement en Chine. Que Lilly vise une autorisation aux États-Unis et en Europe dépend probablement de la possibilité de démarquer la molécule du tirzépatide et du rétatrutide issus du même laboratoire, par exemple dans la stéatose hépatique ou le trouble de l’usage de l’alcool. Il s’agit d’une appréciation ; aucune demande d’autorisation concrète hors de Chine n’est connue.</w:t>
      </w:r>
    </w:p>
    <w:bookmarkEnd w:id="648"/>
    <w:bookmarkStart w:id="649" w:name="conclusion-7"/>
    <w:p>
      <w:pPr>
        <w:pStyle w:val="Heading3"/>
      </w:pPr>
      <w:r>
        <w:t xml:space="preserve">Conclusion</w:t>
      </w:r>
    </w:p>
    <w:p>
      <w:pPr>
        <w:pStyle w:val="FirstParagraph"/>
      </w:pPr>
      <w:r>
        <w:t xml:space="preserve">Le mazdutide est un dérivé à action prolongée de l’hormone intestinale oxyntomoduline, qui active simultanément les récepteurs du GLP-1 et du glucagon. Dans les études chinoises de phase 3, le poids corporel a diminué de 11 à 14 % après 48 semaines et de 16,65 % après 60 semaines avec une dose plus élevée ; dans le diabète de type 2, il a été légèrement supérieur au dulaglutide. Les effets indésirables les plus fréquents sont les troubles digestifs, qui deviennent très fréquents aux doses élevées. Le mazdutide n’est autorisé qu’en Chine ; les données sur les critères cardiovasculaires et sur les populations non asiatiques font largement défaut.</w:t>
      </w:r>
    </w:p>
    <w:bookmarkEnd w:id="649"/>
    <w:bookmarkEnd w:id="650"/>
    <w:bookmarkStart w:id="698" w:name="cagrilintide-et-cagrisema"/>
    <w:p>
      <w:pPr>
        <w:pStyle w:val="Heading2"/>
      </w:pPr>
      <w:r>
        <w:t xml:space="preserve">Cagrilintide et CagriSema</w:t>
      </w:r>
    </w:p>
    <w:bookmarkStart w:id="651" w:name="fiche-signalétique-8"/>
    <w:p>
      <w:pPr>
        <w:pStyle w:val="Heading3"/>
      </w:pPr>
      <w:r>
        <w:t xml:space="preserve">Fiche signalétique</w:t>
      </w:r>
    </w:p>
    <w:p>
      <w:pPr>
        <w:numPr>
          <w:ilvl w:val="0"/>
          <w:numId w:val="1080"/>
        </w:numPr>
        <w:pStyle w:val="Compact"/>
      </w:pPr>
      <w:r>
        <w:rPr>
          <w:bCs/>
          <w:b/>
        </w:rPr>
        <w:t xml:space="preserve">Type/structure :</w:t>
      </w:r>
      <w:r>
        <w:t xml:space="preserve"> </w:t>
      </w:r>
      <w:r>
        <w:t xml:space="preserve">le cagrilintide est un analogue de synthèse de l’hormone amyline, modifié par un acide gras, pour une administration sous-cutanée une fois par semaine.</w:t>
      </w:r>
      <w:r>
        <w:t xml:space="preserve"> </w:t>
      </w:r>
      <w:r>
        <w:rPr>
          <w:bCs/>
          <w:b/>
        </w:rPr>
        <w:t xml:space="preserve">CagriSema</w:t>
      </w:r>
      <w:r>
        <w:t xml:space="preserve"> </w:t>
      </w:r>
      <w:r>
        <w:t xml:space="preserve">est l’association fixe de cagrilintide et de sémaglutide dans un même stylo injecteur.</w:t>
      </w:r>
    </w:p>
    <w:p>
      <w:pPr>
        <w:numPr>
          <w:ilvl w:val="0"/>
          <w:numId w:val="1080"/>
        </w:numPr>
        <w:pStyle w:val="Compact"/>
      </w:pPr>
      <w:r>
        <w:rPr>
          <w:bCs/>
          <w:b/>
        </w:rPr>
        <w:t xml:space="preserve">Origine :</w:t>
      </w:r>
      <w:r>
        <w:t xml:space="preserve"> </w:t>
      </w:r>
      <w:r>
        <w:t xml:space="preserve">développé par Novo Nordisk, le fabricant du sémaglutide.</w:t>
      </w:r>
    </w:p>
    <w:p>
      <w:pPr>
        <w:numPr>
          <w:ilvl w:val="0"/>
          <w:numId w:val="1080"/>
        </w:numPr>
        <w:pStyle w:val="Compact"/>
      </w:pPr>
      <w:r>
        <w:rPr>
          <w:bCs/>
          <w:b/>
        </w:rPr>
        <w:t xml:space="preserve">Principe d’action :</w:t>
      </w:r>
      <w:r>
        <w:t xml:space="preserve"> </w:t>
      </w:r>
      <w:r>
        <w:t xml:space="preserve">le cagrilintide active les récepteurs de l’amyline ainsi que le récepteur apparenté de la calcitonine (un « double agoniste des récepteurs de l’amyline et de la calcitonine »). Dans CagriSema s’y ajoute l’effet GLP-1 du sémaglutide.</w:t>
      </w:r>
    </w:p>
    <w:p>
      <w:pPr>
        <w:numPr>
          <w:ilvl w:val="0"/>
          <w:numId w:val="1080"/>
        </w:numPr>
        <w:pStyle w:val="Compact"/>
      </w:pPr>
      <w:r>
        <w:rPr>
          <w:bCs/>
          <w:b/>
        </w:rPr>
        <w:t xml:space="preserve">Autorisation UE :</w:t>
      </w:r>
      <w:r>
        <w:t xml:space="preserve"> </w:t>
      </w:r>
      <w:r>
        <w:t xml:space="preserve">non (état octobre 2026).</w:t>
      </w:r>
    </w:p>
    <w:p>
      <w:pPr>
        <w:numPr>
          <w:ilvl w:val="0"/>
          <w:numId w:val="1080"/>
        </w:numPr>
        <w:pStyle w:val="Compact"/>
      </w:pPr>
      <w:r>
        <w:rPr>
          <w:bCs/>
          <w:b/>
        </w:rPr>
        <w:t xml:space="preserve">Autorisation États-Unis :</w:t>
      </w:r>
      <w:r>
        <w:t xml:space="preserve"> </w:t>
      </w:r>
      <w:r>
        <w:t xml:space="preserve">non (état octobre 2026 ; une procédure d’autorisation pour CagriSema a été annoncée ou pourrait déjà être en cours – à vérifier).</w:t>
      </w:r>
    </w:p>
    <w:p>
      <w:pPr>
        <w:numPr>
          <w:ilvl w:val="0"/>
          <w:numId w:val="1080"/>
        </w:numPr>
        <w:pStyle w:val="Compact"/>
      </w:pPr>
      <w:r>
        <w:rPr>
          <w:bCs/>
          <w:b/>
        </w:rPr>
        <w:t xml:space="preserve">AMA (WADA) :</w:t>
      </w:r>
      <w:r>
        <w:t xml:space="preserve"> </w:t>
      </w:r>
      <w:r>
        <w:t xml:space="preserve">interdit au titre de S0 en tant que substance non approuvée.</w:t>
      </w:r>
    </w:p>
    <w:p>
      <w:pPr>
        <w:numPr>
          <w:ilvl w:val="0"/>
          <w:numId w:val="1080"/>
        </w:numPr>
        <w:pStyle w:val="Compact"/>
      </w:pPr>
      <w:r>
        <w:rPr>
          <w:bCs/>
          <w:b/>
        </w:rPr>
        <w:t xml:space="preserve">Niveau de preuve :</w:t>
      </w:r>
      <w:r>
        <w:t xml:space="preserve"> </w:t>
      </w:r>
      <w:r>
        <w:rPr>
          <w:bCs/>
          <w:b/>
        </w:rPr>
        <w:t xml:space="preserve">B</w:t>
      </w:r>
      <w:r>
        <w:t xml:space="preserve"> </w:t>
      </w:r>
      <w:r>
        <w:t xml:space="preserve">– plusieurs grandes études de phase 3 publiées, mais pas encore d’autorisation. Avec une autorisation, CagriSema atteindrait le niveau A.</w:t>
      </w:r>
    </w:p>
    <w:bookmarkEnd w:id="651"/>
    <w:bookmarkStart w:id="656" w:name="mode-daction-supposé-8"/>
    <w:p>
      <w:pPr>
        <w:pStyle w:val="Heading3"/>
      </w:pPr>
      <w:r>
        <w:t xml:space="preserve">Mode d’action supposé</w:t>
      </w:r>
    </w:p>
    <w:p>
      <w:pPr>
        <w:pStyle w:val="FirstParagraph"/>
      </w:pPr>
      <w:r>
        <w:t xml:space="preserve">L’amyline est une hormone que les cellules bêta du pancréas sécrètent en même temps que l’insuline. Elle agit surtout dans le tronc cérébral : elle favorise la sensation de satiété, ralentit la vidange gastrique et freine la sécrétion de glucagon après les repas. Chez les personnes atteintes de diabète de type 1, l’amyline fait défaut en plus de l’insuline.</w:t>
      </w:r>
    </w:p>
    <w:p>
      <w:pPr>
        <w:pStyle w:val="BodyText"/>
      </w:pPr>
      <w:r>
        <w:t xml:space="preserve">L’amyline naturelle ne convient pas comme médicament, car elle tend à s’agréger (elle forme des fibrilles dites amyloïdes) et ne persiste que quelques minutes dans le sang. Le premier médicament à base d’amyline, le pramlintide (voir le chapitre dédié), doit donc être injecté plusieurs fois par jour. Le cagrilintide a été modifié de manière ciblée pour rester stable et agir une semaine grâce à une chaîne d’acide gras</w:t>
      </w:r>
      <w:r>
        <w:rPr>
          <w:rStyle w:val="FootnoteReference"/>
        </w:rPr>
        <w:footnoteReference w:id="652"/>
      </w:r>
      <w:r>
        <w:t xml:space="preserve">. Dans les données de phase 1, la demi-vie était de 159 à 195 heures, soit environ une semaine</w:t>
      </w:r>
      <w:r>
        <w:rPr>
          <w:rStyle w:val="FootnoteReference"/>
        </w:rPr>
        <w:footnoteReference w:id="653"/>
      </w:r>
      <w:r>
        <w:t xml:space="preserve">.</w:t>
      </w:r>
    </w:p>
    <w:p>
      <w:pPr>
        <w:pStyle w:val="BodyText"/>
      </w:pPr>
      <w:r>
        <w:t xml:space="preserve">L’association avec le sémaglutide répond à une idée simple : l’amyline et le GLP-1 agissent sur la satiété par des récepteurs différents et en partie par des régions cérébrales différentes – leurs effets pourraient s’additionner. Des travaux sur des souris génétiquement modifiées montrent que le cagrilintide a besoin des sous-types 1 et 3 du récepteur de l’amyline dans le cerveau pour son effet sur le poids</w:t>
      </w:r>
      <w:r>
        <w:rPr>
          <w:rStyle w:val="FootnoteReference"/>
        </w:rPr>
        <w:footnoteReference w:id="654"/>
      </w:r>
      <w:r>
        <w:t xml:space="preserve">. Chez le rat, CagriSema a surtout réduit l’apport énergétique, tandis que la dépense énergétique était largement préservée</w:t>
      </w:r>
      <w:r>
        <w:rPr>
          <w:rStyle w:val="FootnoteReference"/>
        </w:rPr>
        <w:footnoteReference w:id="655"/>
      </w:r>
      <w:r>
        <w:t xml:space="preserve">.</w:t>
      </w:r>
    </w:p>
    <w:bookmarkEnd w:id="656"/>
    <w:bookmarkStart w:id="671" w:name="études-chez-lhumain-8"/>
    <w:p>
      <w:pPr>
        <w:pStyle w:val="Heading3"/>
      </w:pPr>
      <w:r>
        <w:t xml:space="preserve">Études chez l’humain</w:t>
      </w:r>
    </w:p>
    <w:p>
      <w:pPr>
        <w:pStyle w:val="FirstParagraph"/>
      </w:pPr>
      <w:r>
        <w:rPr>
          <w:bCs/>
          <w:b/>
        </w:rPr>
        <w:t xml:space="preserve">Ampleur des données :</w:t>
      </w:r>
      <w:r>
        <w:t xml:space="preserve"> </w:t>
      </w:r>
      <w:r>
        <w:t xml:space="preserve">la requête PubMed automatisée (octobre 2026) a fourni 15 études chez l’humain sur le cagrilintide ou CagriSema. Sur ClinicalTrials.gov, 44 études étaient enregistrées. Le programme d’homologation s’appelle</w:t>
      </w:r>
      <w:r>
        <w:t xml:space="preserve"> </w:t>
      </w:r>
      <w:r>
        <w:rPr>
          <w:bCs/>
          <w:b/>
        </w:rPr>
        <w:t xml:space="preserve">REDEFINE</w:t>
      </w:r>
      <w:r>
        <w:t xml:space="preserve"> </w:t>
      </w:r>
      <w:r>
        <w:t xml:space="preserve">(gestion du poids) et</w:t>
      </w:r>
      <w:r>
        <w:t xml:space="preserve"> </w:t>
      </w:r>
      <w:r>
        <w:rPr>
          <w:bCs/>
          <w:b/>
        </w:rPr>
        <w:t xml:space="preserve">REIMAGINE</w:t>
      </w:r>
      <w:r>
        <w:t xml:space="preserve"> </w:t>
      </w:r>
      <w:r>
        <w:t xml:space="preserve">(diabète de type 2).</w:t>
      </w:r>
    </w:p>
    <w:bookmarkStart w:id="659" w:name="cagrilintide-seul"/>
    <w:p>
      <w:pPr>
        <w:pStyle w:val="Heading4"/>
      </w:pPr>
      <w:r>
        <w:t xml:space="preserve">Cagrilintide seul</w:t>
      </w:r>
    </w:p>
    <w:p>
      <w:pPr>
        <w:pStyle w:val="FirstParagraph"/>
      </w:pPr>
      <w:r>
        <w:t xml:space="preserve">Dans l’étude de phase 2 de recherche de dose</w:t>
      </w:r>
      <w:r>
        <w:rPr>
          <w:rStyle w:val="FootnoteReference"/>
        </w:rPr>
        <w:footnoteReference w:id="657"/>
      </w:r>
      <w:r>
        <w:t xml:space="preserve">, 706 adultes en surpoids ou obèses ont reçu pendant 26 semaines du cagrilintide à cinq doses, 99 du liraglutide et 101 un placebo. Le poids a diminué de façon dose-dépendante de 6,0 à 10,8 % (placebo 3,0 %). La dose la plus élevée a été légèrement supérieure au liraglutide 3,0 mg (10,8 % vs 9,0 %). Des nausées sont survenues chez 20 à 47 % (placebo 18 %). Le cagrilintide seul atteint ainsi à peu près l’ordre de grandeur des anciens médicaments GLP-1, pas celui du sémaglutide ou du tirzépatide. Il est désormais aussi évalué en phase 3 en tant que substance seule</w:t>
      </w:r>
      <w:r>
        <w:rPr>
          <w:rStyle w:val="FootnoteReference"/>
        </w:rPr>
        <w:footnoteReference w:id="658"/>
      </w:r>
      <w:r>
        <w:t xml:space="preserve">.</w:t>
      </w:r>
    </w:p>
    <w:bookmarkEnd w:id="659"/>
    <w:bookmarkStart w:id="662" w:name="cagrisema-premières-études"/>
    <w:p>
      <w:pPr>
        <w:pStyle w:val="Heading4"/>
      </w:pPr>
      <w:r>
        <w:t xml:space="preserve">CagriSema : premières études</w:t>
      </w:r>
    </w:p>
    <w:p>
      <w:pPr>
        <w:pStyle w:val="FirstParagraph"/>
      </w:pPr>
      <w:r>
        <w:t xml:space="preserve">Dans une étude de phase 1b chez 95 personnes en bonne santé et en surpoids, les participants sous sémaglutide plus cagrilintide ont perdu jusqu’à 17,1 % de leur poids après 20 semaines, ceux sous sémaglutide plus placebo 9,8 %</w:t>
      </w:r>
      <w:r>
        <w:rPr>
          <w:rStyle w:val="FootnoteReference"/>
        </w:rPr>
        <w:footnoteReference w:id="660"/>
      </w:r>
      <w:r>
        <w:t xml:space="preserve">. Le cagrilintide n’a pas modifié les concentrations sanguines de sémaglutide.</w:t>
      </w:r>
    </w:p>
    <w:p>
      <w:pPr>
        <w:pStyle w:val="BodyText"/>
      </w:pPr>
      <w:r>
        <w:t xml:space="preserve">Une petite étude de phase 2 chez 92 personnes atteintes de diabète de type 2 a comparé directement CagriSema aux deux substances seules</w:t>
      </w:r>
      <w:r>
        <w:rPr>
          <w:rStyle w:val="FootnoteReference"/>
        </w:rPr>
        <w:footnoteReference w:id="661"/>
      </w:r>
      <w:r>
        <w:t xml:space="preserve">. Après 32 semaines, la perte de poids était de 15,6 % avec CagriSema, 5,1 % avec le sémaglutide et 8,1 % avec le cagrilintide. Sur l’HbA1c, CagriSema (−2,2 points de pourcentage) n’était pas statistiquement supérieur au sémaglutide (−1,8).</w:t>
      </w:r>
    </w:p>
    <w:bookmarkEnd w:id="662"/>
    <w:bookmarkStart w:id="670" w:name="cagrisema-phase-3-redefine-et-reimagine"/>
    <w:p>
      <w:pPr>
        <w:pStyle w:val="Heading4"/>
      </w:pPr>
      <w:r>
        <w:t xml:space="preserve">CagriSema : phase 3 (REDEFINE et REIMAGINE)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schéma</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REDEFINE 1 (Garvey 2025), PMID 40544433</w:t>
            </w:r>
          </w:p>
        </w:tc>
        <w:tc>
          <w:tcPr/>
          <w:p>
            <w:pPr>
              <w:pStyle w:val="Compact"/>
              <w:jc w:val="left"/>
            </w:pPr>
            <w:r>
              <w:t xml:space="preserve">3 417 adultes en surpoids/obèses sans diabète ; contre placebo et substances seules</w:t>
            </w:r>
          </w:p>
        </w:tc>
        <w:tc>
          <w:tcPr/>
          <w:p>
            <w:pPr>
              <w:pStyle w:val="Compact"/>
              <w:jc w:val="left"/>
            </w:pPr>
            <w:r>
              <w:t xml:space="preserve">68 semaines</w:t>
            </w:r>
          </w:p>
        </w:tc>
        <w:tc>
          <w:tcPr/>
          <w:p>
            <w:pPr>
              <w:pStyle w:val="Compact"/>
              <w:jc w:val="left"/>
            </w:pPr>
            <w:r>
              <w:t xml:space="preserve">−20,4 % de poids vs −3,0 %</w:t>
            </w:r>
          </w:p>
        </w:tc>
      </w:tr>
      <w:tr>
        <w:tc>
          <w:tcPr/>
          <w:p>
            <w:pPr>
              <w:pStyle w:val="Compact"/>
              <w:jc w:val="left"/>
            </w:pPr>
            <w:r>
              <w:t xml:space="preserve">REDEFINE 2 (Davies 2025), PMID 40544432</w:t>
            </w:r>
          </w:p>
        </w:tc>
        <w:tc>
          <w:tcPr/>
          <w:p>
            <w:pPr>
              <w:pStyle w:val="Compact"/>
              <w:jc w:val="left"/>
            </w:pPr>
            <w:r>
              <w:t xml:space="preserve">1 206 adultes obèses atteints de diabète de type 2, contre placebo</w:t>
            </w:r>
          </w:p>
        </w:tc>
        <w:tc>
          <w:tcPr/>
          <w:p>
            <w:pPr>
              <w:pStyle w:val="Compact"/>
              <w:jc w:val="left"/>
            </w:pPr>
            <w:r>
              <w:t xml:space="preserve">68 semaines</w:t>
            </w:r>
          </w:p>
        </w:tc>
        <w:tc>
          <w:tcPr/>
          <w:p>
            <w:pPr>
              <w:pStyle w:val="Compact"/>
              <w:jc w:val="left"/>
            </w:pPr>
            <w:r>
              <w:t xml:space="preserve">−13,7 % vs −3,4 %</w:t>
            </w:r>
          </w:p>
        </w:tc>
      </w:tr>
      <w:tr>
        <w:tc>
          <w:tcPr/>
          <w:p>
            <w:pPr>
              <w:pStyle w:val="Compact"/>
              <w:jc w:val="left"/>
            </w:pPr>
            <w:r>
              <w:t xml:space="preserve">REDEFINE 5 (Yamauchi 2026), PMID 42009015</w:t>
            </w:r>
          </w:p>
        </w:tc>
        <w:tc>
          <w:tcPr/>
          <w:p>
            <w:pPr>
              <w:pStyle w:val="Compact"/>
              <w:jc w:val="left"/>
            </w:pPr>
            <w:r>
              <w:t xml:space="preserve">331 adultes au Japon et à Taïwan, contre sémaglutide</w:t>
            </w:r>
          </w:p>
        </w:tc>
        <w:tc>
          <w:tcPr/>
          <w:p>
            <w:pPr>
              <w:pStyle w:val="Compact"/>
              <w:jc w:val="left"/>
            </w:pPr>
            <w:r>
              <w:t xml:space="preserve">68 semaines</w:t>
            </w:r>
          </w:p>
        </w:tc>
        <w:tc>
          <w:tcPr/>
          <w:p>
            <w:pPr>
              <w:pStyle w:val="Compact"/>
              <w:jc w:val="left"/>
            </w:pPr>
            <w:r>
              <w:t xml:space="preserve">−18,4 % vs −11,9 % (sémaglutide)</w:t>
            </w:r>
          </w:p>
        </w:tc>
      </w:tr>
      <w:tr>
        <w:tc>
          <w:tcPr/>
          <w:p>
            <w:pPr>
              <w:pStyle w:val="Compact"/>
              <w:jc w:val="left"/>
            </w:pPr>
            <w:r>
              <w:t xml:space="preserve">REIMAGINE 1 (Aroda 2026), PMID 42251860</w:t>
            </w:r>
          </w:p>
        </w:tc>
        <w:tc>
          <w:tcPr/>
          <w:p>
            <w:pPr>
              <w:pStyle w:val="Compact"/>
              <w:jc w:val="left"/>
            </w:pPr>
            <w:r>
              <w:t xml:space="preserve">189 adultes atteints de diabète de type 2 sans traitement, contre placebo</w:t>
            </w:r>
          </w:p>
        </w:tc>
        <w:tc>
          <w:tcPr/>
          <w:p>
            <w:pPr>
              <w:pStyle w:val="Compact"/>
              <w:jc w:val="left"/>
            </w:pPr>
            <w:r>
              <w:t xml:space="preserve">40 semaines</w:t>
            </w:r>
          </w:p>
        </w:tc>
        <w:tc>
          <w:tcPr/>
          <w:p>
            <w:pPr>
              <w:pStyle w:val="Compact"/>
              <w:jc w:val="left"/>
            </w:pPr>
            <w:r>
              <w:t xml:space="preserve">HbA1c −1,8 vs −0,1 ; poids −13,8 % vs −1,4 %</w:t>
            </w:r>
          </w:p>
        </w:tc>
      </w:tr>
      <w:tr>
        <w:tc>
          <w:tcPr/>
          <w:p>
            <w:pPr>
              <w:pStyle w:val="Compact"/>
              <w:jc w:val="left"/>
            </w:pPr>
            <w:r>
              <w:t xml:space="preserve">REIMAGINE 2 (Buse 2026), PMID 42251859</w:t>
            </w:r>
          </w:p>
        </w:tc>
        <w:tc>
          <w:tcPr/>
          <w:p>
            <w:pPr>
              <w:pStyle w:val="Compact"/>
              <w:jc w:val="left"/>
            </w:pPr>
            <w:r>
              <w:t xml:space="preserve">2 713 adultes atteints de diabète de type 2, contre sémaglutide, cagrilintide et placebo</w:t>
            </w:r>
          </w:p>
        </w:tc>
        <w:tc>
          <w:tcPr/>
          <w:p>
            <w:pPr>
              <w:pStyle w:val="Compact"/>
              <w:jc w:val="left"/>
            </w:pPr>
            <w:r>
              <w:t xml:space="preserve">68 semaines</w:t>
            </w:r>
          </w:p>
        </w:tc>
        <w:tc>
          <w:tcPr/>
          <w:p>
            <w:pPr>
              <w:pStyle w:val="Compact"/>
              <w:jc w:val="left"/>
            </w:pPr>
            <w:r>
              <w:t xml:space="preserve">HbA1c −1,91 vs −1,75 (sémaglutide 2,4 mg)</w:t>
            </w:r>
          </w:p>
        </w:tc>
      </w:tr>
      <w:tr>
        <w:tc>
          <w:tcPr/>
          <w:p>
            <w:pPr>
              <w:pStyle w:val="Compact"/>
              <w:jc w:val="left"/>
            </w:pPr>
            <w:r>
              <w:t xml:space="preserve">REIMAGINE 3 (Rosenstock 2026), PMID 42251856</w:t>
            </w:r>
          </w:p>
        </w:tc>
        <w:tc>
          <w:tcPr/>
          <w:p>
            <w:pPr>
              <w:pStyle w:val="Compact"/>
              <w:jc w:val="left"/>
            </w:pPr>
            <w:r>
              <w:t xml:space="preserve">274 adultes atteints de diabète de type 2 sous insuline basale, contre placebo</w:t>
            </w:r>
          </w:p>
        </w:tc>
        <w:tc>
          <w:tcPr/>
          <w:p>
            <w:pPr>
              <w:pStyle w:val="Compact"/>
              <w:jc w:val="left"/>
            </w:pPr>
            <w:r>
              <w:t xml:space="preserve">40 semaines</w:t>
            </w:r>
          </w:p>
        </w:tc>
        <w:tc>
          <w:tcPr/>
          <w:p>
            <w:pPr>
              <w:pStyle w:val="Compact"/>
              <w:jc w:val="left"/>
            </w:pPr>
            <w:r>
              <w:t xml:space="preserve">HbA1c −2,33 vs −0,66 ; poids −10 à −12 %</w:t>
            </w:r>
          </w:p>
        </w:tc>
      </w:tr>
    </w:tbl>
    <w:p>
      <w:pPr>
        <w:pStyle w:val="BodyText"/>
      </w:pPr>
      <w:r>
        <w:rPr>
          <w:bCs/>
          <w:b/>
        </w:rPr>
        <w:t xml:space="preserve">REDEFINE 1</w:t>
      </w:r>
      <w:r>
        <w:rPr>
          <w:rStyle w:val="FootnoteReference"/>
        </w:rPr>
        <w:footnoteReference w:id="663"/>
      </w:r>
      <w:r>
        <w:t xml:space="preserve"> </w:t>
      </w:r>
      <w:r>
        <w:t xml:space="preserve">est l’étude principale. Chez 3 417 adultes sans diabète, le poids corporel a diminué après 68 semaines de 20,4 % en moyenne contre 3,0 % sous placebo. L’étude comprenait aussi de plus petits groupes sous sémaglutide seul et sous cagrilintide seul. Dans une analyse complémentaire, 30,3 % sous CagriSema, 19,1 % sous sémaglutide, 9,0 % sous cagrilintide et 3,3 % sous placebo ont atteint à la fois un IMC inférieur à 27 et un rapport tour de taille/taille favorable</w:t>
      </w:r>
      <w:r>
        <w:rPr>
          <w:rStyle w:val="FootnoteReference"/>
        </w:rPr>
        <w:footnoteReference w:id="664"/>
      </w:r>
      <w:r>
        <w:t xml:space="preserve">. La pression artérielle systolique a baissé de 10,9 mmHg sous CagriSema (placebo −2,8)</w:t>
      </w:r>
      <w:r>
        <w:rPr>
          <w:rStyle w:val="FootnoteReference"/>
        </w:rPr>
        <w:footnoteReference w:id="665"/>
      </w:r>
      <w:r>
        <w:t xml:space="preserve">.</w:t>
      </w:r>
    </w:p>
    <w:p>
      <w:pPr>
        <w:pStyle w:val="BodyText"/>
      </w:pPr>
      <w:r>
        <w:t xml:space="preserve">Pour situer : les 20,4 % obtenus sont du même ordre que ceux du tirzépatide dans SURMOUNT-1 (20,9 % après 72 semaines à la dose la plus élevée). Une telle comparaison croisée entre études différentes n’est qu’un repère grossier ; la comparaison directe reste à venir (voir ci-dessous).</w:t>
      </w:r>
    </w:p>
    <w:p>
      <w:pPr>
        <w:pStyle w:val="BodyText"/>
      </w:pPr>
      <w:r>
        <w:rPr>
          <w:bCs/>
          <w:b/>
        </w:rPr>
        <w:t xml:space="preserve">REDEFINE 2</w:t>
      </w:r>
      <w:r>
        <w:rPr>
          <w:rStyle w:val="FootnoteReference"/>
        </w:rPr>
        <w:footnoteReference w:id="666"/>
      </w:r>
      <w:r>
        <w:t xml:space="preserve"> </w:t>
      </w:r>
      <w:r>
        <w:t xml:space="preserve">a confirmé ce schéma chez les personnes atteintes de diabète de type 2 : −13,7 % contre −3,4 %. 73,5 % ont atteint une HbA1c d’au plus 6,5 % (placebo 15,9 %).</w:t>
      </w:r>
    </w:p>
    <w:p>
      <w:pPr>
        <w:pStyle w:val="BodyText"/>
      </w:pPr>
      <w:r>
        <w:rPr>
          <w:bCs/>
          <w:b/>
        </w:rPr>
        <w:t xml:space="preserve">REDEFINE 5</w:t>
      </w:r>
      <w:r>
        <w:rPr>
          <w:rStyle w:val="FootnoteReference"/>
        </w:rPr>
        <w:footnoteReference w:id="667"/>
      </w:r>
      <w:r>
        <w:t xml:space="preserve"> </w:t>
      </w:r>
      <w:r>
        <w:t xml:space="preserve">est la première étude de phase 3 en aveugle publiée en comparaison directe avec le sémaglutide 2,4 mg : au Japon et à Taïwan, les participants ont perdu 18,4 % avec CagriSema contre 11,9 % avec le sémaglutide seul. Les troubles digestifs étaient de fréquence similaire, 53 % contre 51 %.</w:t>
      </w:r>
    </w:p>
    <w:p>
      <w:pPr>
        <w:pStyle w:val="BodyText"/>
      </w:pPr>
      <w:r>
        <w:rPr>
          <w:bCs/>
          <w:b/>
        </w:rPr>
        <w:t xml:space="preserve">REIMAGINE 2</w:t>
      </w:r>
      <w:r>
        <w:rPr>
          <w:rStyle w:val="FootnoteReference"/>
        </w:rPr>
        <w:footnoteReference w:id="668"/>
      </w:r>
      <w:r>
        <w:t xml:space="preserve"> </w:t>
      </w:r>
      <w:r>
        <w:t xml:space="preserve">a montré dans le diabète de type 2 que CagriSema abaisse l’HbA1c à peine plus que le sémaglutide 2,4 mg seul (−1,91 vs −1,75 point de pourcentage). Le bénéfice supplémentaire du cagrilintide porte donc surtout sur le poids, très peu sur la glycémie.</w:t>
      </w:r>
    </w:p>
    <w:p>
      <w:pPr>
        <w:pStyle w:val="BodyText"/>
      </w:pPr>
      <w:r>
        <w:t xml:space="preserve">L’étude de comparaison directe contre le tirzépatide dans l’obésité (REDEFINE 4, NCT06131437) ainsi que deux études comparatives contre le tirzépatide dans le diabète de type 2</w:t>
      </w:r>
      <w:r>
        <w:rPr>
          <w:rStyle w:val="FootnoteReference"/>
        </w:rPr>
        <w:footnoteReference w:id="669"/>
      </w:r>
      <w:r>
        <w:t xml:space="preserve"> </w:t>
      </w:r>
      <w:r>
        <w:t xml:space="preserve">sont terminées selon le registre ; aucune publication évaluée par les pairs n’était encore disponible au moment de la recherche.</w:t>
      </w:r>
    </w:p>
    <w:bookmarkEnd w:id="670"/>
    <w:bookmarkEnd w:id="671"/>
    <w:bookmarkStart w:id="676" w:name="études-animales-et-de-laboratoire-8"/>
    <w:p>
      <w:pPr>
        <w:pStyle w:val="Heading3"/>
      </w:pPr>
      <w:r>
        <w:t xml:space="preserve">Études animales et de laboratoire</w:t>
      </w:r>
    </w:p>
    <w:p>
      <w:pPr>
        <w:pStyle w:val="FirstParagraph"/>
      </w:pPr>
      <w:r>
        <w:t xml:space="preserve">Des travaux de biologie structurale montrent comment le cagrilintide se lie aux récepteurs de l’amyline et de la calcitonine</w:t>
      </w:r>
      <w:r>
        <w:rPr>
          <w:rStyle w:val="FootnoteReference"/>
        </w:rPr>
        <w:footnoteReference w:id="672"/>
      </w:r>
      <w:r>
        <w:t xml:space="preserve">. Chez des souris dépourvues des sous-types 1 et 3 du récepteur de l’amyline, l’effet était fortement atténué</w:t>
      </w:r>
      <w:r>
        <w:rPr>
          <w:rStyle w:val="FootnoteReference"/>
        </w:rPr>
        <w:footnoteReference w:id="673"/>
      </w:r>
      <w:r>
        <w:t xml:space="preserve">. Chez le rat, CagriSema a réduit la prise alimentaire de 39 % ; selon le calcul des auteurs, environ un tiers de la perte de poids s’expliquait par le fait que la dépense énergétique ne diminuait pas dans la mesure habituelle</w:t>
      </w:r>
      <w:r>
        <w:rPr>
          <w:rStyle w:val="FootnoteReference"/>
        </w:rPr>
        <w:footnoteReference w:id="674"/>
      </w:r>
      <w:r>
        <w:t xml:space="preserve">. Dans une autre étude chez le rat, l’association du cagrilintide au rétatrutide a amplifié la perte de poids</w:t>
      </w:r>
      <w:r>
        <w:rPr>
          <w:rStyle w:val="FootnoteReference"/>
        </w:rPr>
        <w:footnoteReference w:id="675"/>
      </w:r>
      <w:r>
        <w:t xml:space="preserve"> </w:t>
      </w:r>
      <w:r>
        <w:t xml:space="preserve">– un indice que les substances à base d’amyline pourraient à l’avenir être associées aussi à d’autres médicaments incrétiniques. Tous ces résultats proviennent d’expériences animales.</w:t>
      </w:r>
    </w:p>
    <w:bookmarkEnd w:id="676"/>
    <w:bookmarkStart w:id="684" w:name="risques-et-effets-indésirables-8"/>
    <w:p>
      <w:pPr>
        <w:pStyle w:val="Heading3"/>
      </w:pPr>
      <w:r>
        <w:t xml:space="preserve">Risques et effets indésirables</w:t>
      </w:r>
    </w:p>
    <w:p>
      <w:pPr>
        <w:pStyle w:val="FirstParagraph"/>
      </w:pPr>
      <w:r>
        <w:rPr>
          <w:bCs/>
          <w:b/>
        </w:rPr>
        <w:t xml:space="preserve">Établi par les études :</w:t>
      </w:r>
    </w:p>
    <w:p>
      <w:pPr>
        <w:numPr>
          <w:ilvl w:val="0"/>
          <w:numId w:val="1081"/>
        </w:numPr>
        <w:pStyle w:val="Compact"/>
      </w:pPr>
      <w:r>
        <w:rPr>
          <w:bCs/>
          <w:b/>
        </w:rPr>
        <w:t xml:space="preserve">Troubles digestifs</w:t>
      </w:r>
      <w:r>
        <w:t xml:space="preserve"> </w:t>
      </w:r>
      <w:r>
        <w:t xml:space="preserve">– nausées, vomissements, diarrhées, constipation, douleurs abdominales – ont concerné dans REDEFINE 1 79,6 % sous CagriSema contre 39,9 % sous placebo ; ils étaient le plus souvent transitoires et légers à modérés</w:t>
      </w:r>
      <w:r>
        <w:rPr>
          <w:rStyle w:val="FootnoteReference"/>
        </w:rPr>
        <w:footnoteReference w:id="677"/>
      </w:r>
      <w:r>
        <w:t xml:space="preserve">. Dans REDEFINE 2, ils étaient de 72,5 % contre 34,4 %</w:t>
      </w:r>
      <w:r>
        <w:rPr>
          <w:rStyle w:val="FootnoteReference"/>
        </w:rPr>
        <w:footnoteReference w:id="678"/>
      </w:r>
      <w:r>
        <w:t xml:space="preserve">.</w:t>
      </w:r>
    </w:p>
    <w:p>
      <w:pPr>
        <w:numPr>
          <w:ilvl w:val="0"/>
          <w:numId w:val="1081"/>
        </w:numPr>
        <w:pStyle w:val="Compact"/>
      </w:pPr>
      <w:r>
        <w:rPr>
          <w:bCs/>
          <w:b/>
        </w:rPr>
        <w:t xml:space="preserve">Hypoglycémie :</w:t>
      </w:r>
      <w:r>
        <w:t xml:space="preserve"> </w:t>
      </w:r>
      <w:r>
        <w:t xml:space="preserve">dans REIMAGINE 3, aucune hypoglycémie sévère n’est survenue malgré un traitement concomitant par insuline</w:t>
      </w:r>
      <w:r>
        <w:rPr>
          <w:rStyle w:val="FootnoteReference"/>
        </w:rPr>
        <w:footnoteReference w:id="679"/>
      </w:r>
      <w:r>
        <w:t xml:space="preserve">. En association avec l’insuline ou les sulfamides hypoglycémiants, le risque persiste néanmoins en principe.</w:t>
      </w:r>
    </w:p>
    <w:p>
      <w:pPr>
        <w:numPr>
          <w:ilvl w:val="0"/>
          <w:numId w:val="1081"/>
        </w:numPr>
        <w:pStyle w:val="Compact"/>
      </w:pPr>
      <w:r>
        <w:rPr>
          <w:bCs/>
          <w:b/>
        </w:rPr>
        <w:t xml:space="preserve">Rythme cardiaque :</w:t>
      </w:r>
      <w:r>
        <w:t xml:space="preserve"> </w:t>
      </w:r>
      <w:r>
        <w:t xml:space="preserve">dans une étude dédiée chez 105 personnes en bonne santé, le cagrilintide n’a pas allongé l’intervalle QT à l’ECG de manière cliniquement pertinente</w:t>
      </w:r>
      <w:r>
        <w:rPr>
          <w:rStyle w:val="FootnoteReference"/>
        </w:rPr>
        <w:footnoteReference w:id="680"/>
      </w:r>
      <w:r>
        <w:t xml:space="preserve">.</w:t>
      </w:r>
    </w:p>
    <w:p>
      <w:pPr>
        <w:numPr>
          <w:ilvl w:val="0"/>
          <w:numId w:val="1081"/>
        </w:numPr>
        <w:pStyle w:val="Compact"/>
      </w:pPr>
      <w:r>
        <w:rPr>
          <w:bCs/>
          <w:b/>
        </w:rPr>
        <w:t xml:space="preserve">Fonction rénale et hépatique :</w:t>
      </w:r>
      <w:r>
        <w:t xml:space="preserve"> </w:t>
      </w:r>
      <w:r>
        <w:t xml:space="preserve">les concentrations sanguines de cagrilintide ne se modifiaient pas notablement en cas d’insuffisance rénale ou hépatique</w:t>
      </w:r>
      <w:r>
        <w:rPr>
          <w:rStyle w:val="FootnoteReference"/>
        </w:rPr>
        <w:footnoteReference w:id="681"/>
      </w:r>
      <w:r>
        <w:t xml:space="preserve">.</w:t>
      </w:r>
    </w:p>
    <w:p>
      <w:pPr>
        <w:pStyle w:val="FirstParagraph"/>
      </w:pPr>
      <w:r>
        <w:rPr>
          <w:bCs/>
          <w:b/>
        </w:rPr>
        <w:t xml:space="preserve">Théorique ou encore insuffisamment étudié :</w:t>
      </w:r>
      <w:r>
        <w:t xml:space="preserve"> </w:t>
      </w:r>
      <w:r>
        <w:t xml:space="preserve">le récepteur de la calcitonine est aussi présent dans l’os ; l’effet de sa stimulation continue sur le métabolisme osseux est en cours d’étude</w:t>
      </w:r>
      <w:r>
        <w:rPr>
          <w:rStyle w:val="FootnoteReference"/>
        </w:rPr>
        <w:footnoteReference w:id="682"/>
      </w:r>
      <w:r>
        <w:t xml:space="preserve">. On ignore également si l’association influence la perte de masse musculaire</w:t>
      </w:r>
      <w:r>
        <w:rPr>
          <w:rStyle w:val="FootnoteReference"/>
        </w:rPr>
        <w:footnoteReference w:id="683"/>
      </w:r>
      <w:r>
        <w:t xml:space="preserve">. Pour les risques de classe du sémaglutide (vésicule biliaire, pancréas, cellules C thyroïdiennes chez l’animal), voir le chapitre Sémaglutide.</w:t>
      </w:r>
    </w:p>
    <w:bookmarkEnd w:id="684"/>
    <w:bookmarkStart w:id="685" w:name="statut-juridique-8"/>
    <w:p>
      <w:pPr>
        <w:pStyle w:val="Heading3"/>
      </w:pPr>
      <w:r>
        <w:t xml:space="preserve">Statut juridique</w:t>
      </w:r>
    </w:p>
    <w:p>
      <w:pPr>
        <w:numPr>
          <w:ilvl w:val="0"/>
          <w:numId w:val="1082"/>
        </w:numPr>
        <w:pStyle w:val="Compact"/>
      </w:pPr>
      <w:r>
        <w:rPr>
          <w:bCs/>
          <w:b/>
        </w:rPr>
        <w:t xml:space="preserve">UE / Autriche / Allemagne :</w:t>
      </w:r>
      <w:r>
        <w:t xml:space="preserve"> </w:t>
      </w:r>
      <w:r>
        <w:t xml:space="preserve">ni le cagrilintide ni CagriSema ne sont autorisés ; utilisation uniquement dans des études. Les offres de « Cagrilintide » sur le marché gris ne sont pas des médicaments et ne sont pas contrôlées.</w:t>
      </w:r>
    </w:p>
    <w:p>
      <w:pPr>
        <w:numPr>
          <w:ilvl w:val="0"/>
          <w:numId w:val="1082"/>
        </w:numPr>
        <w:pStyle w:val="Compact"/>
      </w:pPr>
      <w:r>
        <w:rPr>
          <w:bCs/>
          <w:b/>
        </w:rPr>
        <w:t xml:space="preserve">États-Unis :</w:t>
      </w:r>
      <w:r>
        <w:t xml:space="preserve"> </w:t>
      </w:r>
      <w:r>
        <w:t xml:space="preserve">non autorisé (état octobre 2026, à vérifier).</w:t>
      </w:r>
    </w:p>
    <w:p>
      <w:pPr>
        <w:numPr>
          <w:ilvl w:val="0"/>
          <w:numId w:val="1082"/>
        </w:numPr>
        <w:pStyle w:val="Compact"/>
      </w:pPr>
      <w:r>
        <w:rPr>
          <w:bCs/>
          <w:b/>
        </w:rPr>
        <w:t xml:space="preserve">Sport :</w:t>
      </w:r>
      <w:r>
        <w:t xml:space="preserve"> </w:t>
      </w:r>
      <w:r>
        <w:t xml:space="preserve">classe S0 de la WADA (non approuvé), état 2026, à vérifier.</w:t>
      </w:r>
    </w:p>
    <w:bookmarkEnd w:id="685"/>
    <w:bookmarkStart w:id="696" w:name="études-en-cours-et-perspectives-8"/>
    <w:p>
      <w:pPr>
        <w:pStyle w:val="Heading3"/>
      </w:pPr>
      <w:r>
        <w:t xml:space="preserve">Études en cours et perspectives</w:t>
      </w:r>
    </w:p>
    <w:p>
      <w:pPr>
        <w:pStyle w:val="FirstParagraph"/>
      </w:pPr>
      <w:r>
        <w:rPr>
          <w:bCs/>
          <w:b/>
        </w:rPr>
        <w:t xml:space="preserve">Établi (études enregistrées, état octobre 2026) :</w:t>
      </w:r>
    </w:p>
    <w:p>
      <w:pPr>
        <w:numPr>
          <w:ilvl w:val="0"/>
          <w:numId w:val="1083"/>
        </w:numPr>
        <w:pStyle w:val="Compact"/>
      </w:pPr>
      <w:r>
        <w:rPr>
          <w:bCs/>
          <w:b/>
        </w:rPr>
        <w:t xml:space="preserve">REDEFINE 3</w:t>
      </w:r>
      <w:r>
        <w:rPr>
          <w:rStyle w:val="FootnoteReference"/>
        </w:rPr>
        <w:footnoteReference w:id="686"/>
      </w:r>
      <w:r>
        <w:t xml:space="preserve"> </w:t>
      </w:r>
      <w:r>
        <w:t xml:space="preserve">: étude sur critères cliniques cardiovasculaires chez 7 076 personnes randomisées en surpoids et atteintes d’une maladie cardiovasculaire avérée ; fin prévue en 2027. Le schéma et les caractéristiques initiales sont publiés</w:t>
      </w:r>
      <w:r>
        <w:rPr>
          <w:rStyle w:val="FootnoteReference"/>
        </w:rPr>
        <w:footnoteReference w:id="687"/>
      </w:r>
      <w:r>
        <w:t xml:space="preserve">.</w:t>
      </w:r>
    </w:p>
    <w:p>
      <w:pPr>
        <w:numPr>
          <w:ilvl w:val="0"/>
          <w:numId w:val="1083"/>
        </w:numPr>
        <w:pStyle w:val="Compact"/>
      </w:pPr>
      <w:r>
        <w:rPr>
          <w:bCs/>
          <w:b/>
        </w:rPr>
        <w:t xml:space="preserve">Comparaisons avec le tirzépatide</w:t>
      </w:r>
      <w:r>
        <w:rPr>
          <w:rStyle w:val="FootnoteReference"/>
        </w:rPr>
        <w:footnoteReference w:id="688"/>
      </w:r>
      <w:r>
        <w:t xml:space="preserve"> </w:t>
      </w:r>
      <w:r>
        <w:t xml:space="preserve">: terminées, publication en attente.</w:t>
      </w:r>
    </w:p>
    <w:p>
      <w:pPr>
        <w:numPr>
          <w:ilvl w:val="0"/>
          <w:numId w:val="1083"/>
        </w:numPr>
        <w:pStyle w:val="Compact"/>
      </w:pPr>
      <w:r>
        <w:rPr>
          <w:bCs/>
          <w:b/>
        </w:rPr>
        <w:t xml:space="preserve">Doses plus élevées de CagriSema</w:t>
      </w:r>
      <w:r>
        <w:t xml:space="preserve"> </w:t>
      </w:r>
      <w:r>
        <w:t xml:space="preserve">contre sémaglutide</w:t>
      </w:r>
      <w:r>
        <w:rPr>
          <w:rStyle w:val="FootnoteReference"/>
        </w:rPr>
        <w:footnoteReference w:id="689"/>
      </w:r>
      <w:r>
        <w:t xml:space="preserve"> </w:t>
      </w:r>
      <w:r>
        <w:t xml:space="preserve">et étude à long terme sur le maintien du poids</w:t>
      </w:r>
      <w:r>
        <w:rPr>
          <w:rStyle w:val="FootnoteReference"/>
        </w:rPr>
        <w:footnoteReference w:id="690"/>
      </w:r>
      <w:r>
        <w:t xml:space="preserve">.</w:t>
      </w:r>
    </w:p>
    <w:p>
      <w:pPr>
        <w:numPr>
          <w:ilvl w:val="0"/>
          <w:numId w:val="1083"/>
        </w:numPr>
        <w:pStyle w:val="Compact"/>
      </w:pPr>
      <w:r>
        <w:rPr>
          <w:bCs/>
          <w:b/>
        </w:rPr>
        <w:t xml:space="preserve">Enfants et adolescents</w:t>
      </w:r>
      <w:r>
        <w:rPr>
          <w:rStyle w:val="FootnoteReference"/>
        </w:rPr>
        <w:footnoteReference w:id="691"/>
      </w:r>
      <w:r>
        <w:t xml:space="preserve"> </w:t>
      </w:r>
      <w:r>
        <w:t xml:space="preserve">ainsi que cagrilintide seul</w:t>
      </w:r>
      <w:r>
        <w:rPr>
          <w:rStyle w:val="FootnoteReference"/>
        </w:rPr>
        <w:footnoteReference w:id="692"/>
      </w:r>
      <w:r>
        <w:t xml:space="preserve">.</w:t>
      </w:r>
    </w:p>
    <w:p>
      <w:pPr>
        <w:numPr>
          <w:ilvl w:val="0"/>
          <w:numId w:val="1083"/>
        </w:numPr>
        <w:pStyle w:val="Compact"/>
      </w:pPr>
      <w:r>
        <w:t xml:space="preserve">Études plus petites sur les os</w:t>
      </w:r>
      <w:r>
        <w:rPr>
          <w:rStyle w:val="FootnoteReference"/>
        </w:rPr>
        <w:footnoteReference w:id="693"/>
      </w:r>
      <w:r>
        <w:t xml:space="preserve">, les muscles</w:t>
      </w:r>
      <w:r>
        <w:rPr>
          <w:rStyle w:val="FootnoteReference"/>
        </w:rPr>
        <w:footnoteReference w:id="694"/>
      </w:r>
      <w:r>
        <w:t xml:space="preserve"> </w:t>
      </w:r>
      <w:r>
        <w:t xml:space="preserve">et les personnes qui ne tolèrent pas les médicaments GLP-1</w:t>
      </w:r>
      <w:r>
        <w:rPr>
          <w:rStyle w:val="FootnoteReference"/>
        </w:rPr>
        <w:footnoteReference w:id="695"/>
      </w:r>
      <w:r>
        <w:t xml:space="preserve">.</w:t>
      </w:r>
    </w:p>
    <w:p>
      <w:pPr>
        <w:pStyle w:val="FirstParagraph"/>
      </w:pPr>
      <w:r>
        <w:rPr>
          <w:bCs/>
          <w:b/>
        </w:rPr>
        <w:t xml:space="preserve">Appréciation :</w:t>
      </w:r>
      <w:r>
        <w:t xml:space="preserve"> </w:t>
      </w:r>
      <w:r>
        <w:t xml:space="preserve">CagriSema devrait être la première association amyline-GLP-1 à arriver sur le marché. Qu’elle s’impose face au tirzépatide et aux futurs triples agonistes dépendra des études comparatives et de la tolérance. L’aspect scientifiquement le plus intéressant est l’élargissement de la boîte à outils : après le GLP-1, le GIP et le glucagon, l’amyline est la quatrième voie hormonale exploitée pour le traitement de l’obésité (voir aussi Amycrétine).</w:t>
      </w:r>
    </w:p>
    <w:bookmarkEnd w:id="696"/>
    <w:bookmarkStart w:id="697" w:name="conclusion-8"/>
    <w:p>
      <w:pPr>
        <w:pStyle w:val="Heading3"/>
      </w:pPr>
      <w:r>
        <w:t xml:space="preserve">Conclusion</w:t>
      </w:r>
    </w:p>
    <w:p>
      <w:pPr>
        <w:pStyle w:val="FirstParagraph"/>
      </w:pPr>
      <w:r>
        <w:t xml:space="preserve">Le cagrilintide est un analogue de l’amyline à action prolongée qui, seul, a réduit le poids de jusqu’à 10,8 % en phase 2. Associé au sémaglutide (CagriSema), il a permis dans REDEFINE 1 une perte de poids de 20,4 % après 68 semaines et s’est montré nettement supérieur au sémaglutide seul en Asie de l’Est (18,4 % vs 11,9 %). Les troubles digestifs touchent environ quatre personnes traitées sur cinq. CagriSema n’est pas encore autorisé ; les données sur les événements cardiovasculaires et la comparaison directe avec le tirzépatide sont encore attendues.</w:t>
      </w:r>
    </w:p>
    <w:bookmarkEnd w:id="697"/>
    <w:bookmarkEnd w:id="698"/>
    <w:bookmarkStart w:id="727" w:name="amycrétine-zénagamtide"/>
    <w:p>
      <w:pPr>
        <w:pStyle w:val="Heading2"/>
      </w:pPr>
      <w:r>
        <w:t xml:space="preserve">Amycrétine (zénagamtide)</w:t>
      </w:r>
    </w:p>
    <w:bookmarkStart w:id="699" w:name="fiche-signalétique-9"/>
    <w:p>
      <w:pPr>
        <w:pStyle w:val="Heading3"/>
      </w:pPr>
      <w:r>
        <w:t xml:space="preserve">Fiche signalétique</w:t>
      </w:r>
    </w:p>
    <w:p>
      <w:pPr>
        <w:numPr>
          <w:ilvl w:val="0"/>
          <w:numId w:val="1084"/>
        </w:numPr>
        <w:pStyle w:val="Compact"/>
      </w:pPr>
      <w:r>
        <w:rPr>
          <w:bCs/>
          <w:b/>
        </w:rPr>
        <w:t xml:space="preserve">Type/structure :</w:t>
      </w:r>
      <w:r>
        <w:t xml:space="preserve"> </w:t>
      </w:r>
      <w:r>
        <w:t xml:space="preserve">peptide de synthèse qui réunit en une seule molécule les effets du GLP-1 et de l’amyline (« unimoléculaire »). Depuis 2026, il porte la dénomination commune internationale</w:t>
      </w:r>
      <w:r>
        <w:t xml:space="preserve"> </w:t>
      </w:r>
      <w:r>
        <w:rPr>
          <w:bCs/>
          <w:b/>
        </w:rPr>
        <w:t xml:space="preserve">zénagamtide</w:t>
      </w:r>
      <w:r>
        <w:t xml:space="preserve"> </w:t>
      </w:r>
      <w:r>
        <w:t xml:space="preserve">(en anglais zenagamtide) ; code de développement NNC0487-0111. Il est développé sous deux formes : en injection hebdomadaire et en comprimé quotidien.</w:t>
      </w:r>
    </w:p>
    <w:p>
      <w:pPr>
        <w:numPr>
          <w:ilvl w:val="0"/>
          <w:numId w:val="1084"/>
        </w:numPr>
        <w:pStyle w:val="Compact"/>
      </w:pPr>
      <w:r>
        <w:rPr>
          <w:bCs/>
          <w:b/>
        </w:rPr>
        <w:t xml:space="preserve">Origine :</w:t>
      </w:r>
      <w:r>
        <w:t xml:space="preserve"> </w:t>
      </w:r>
      <w:r>
        <w:t xml:space="preserve">développé par Novo Nordisk.</w:t>
      </w:r>
    </w:p>
    <w:p>
      <w:pPr>
        <w:numPr>
          <w:ilvl w:val="0"/>
          <w:numId w:val="1084"/>
        </w:numPr>
        <w:pStyle w:val="Compact"/>
      </w:pPr>
      <w:r>
        <w:rPr>
          <w:bCs/>
          <w:b/>
        </w:rPr>
        <w:t xml:space="preserve">Principe d’action :</w:t>
      </w:r>
      <w:r>
        <w:t xml:space="preserve"> </w:t>
      </w:r>
      <w:r>
        <w:t xml:space="preserve">agoniste des récepteurs du GLP-1, de l’amyline et de la calcitonine.</w:t>
      </w:r>
    </w:p>
    <w:p>
      <w:pPr>
        <w:numPr>
          <w:ilvl w:val="0"/>
          <w:numId w:val="1084"/>
        </w:numPr>
        <w:pStyle w:val="Compact"/>
      </w:pPr>
      <w:r>
        <w:rPr>
          <w:bCs/>
          <w:b/>
        </w:rPr>
        <w:t xml:space="preserve">Autorisation UE :</w:t>
      </w:r>
      <w:r>
        <w:t xml:space="preserve"> </w:t>
      </w:r>
      <w:r>
        <w:t xml:space="preserve">non.</w:t>
      </w:r>
    </w:p>
    <w:p>
      <w:pPr>
        <w:numPr>
          <w:ilvl w:val="0"/>
          <w:numId w:val="1084"/>
        </w:numPr>
        <w:pStyle w:val="Compact"/>
      </w:pPr>
      <w:r>
        <w:rPr>
          <w:bCs/>
          <w:b/>
        </w:rPr>
        <w:t xml:space="preserve">Autorisation États-Unis :</w:t>
      </w:r>
      <w:r>
        <w:t xml:space="preserve"> </w:t>
      </w:r>
      <w:r>
        <w:t xml:space="preserve">non.</w:t>
      </w:r>
    </w:p>
    <w:p>
      <w:pPr>
        <w:numPr>
          <w:ilvl w:val="0"/>
          <w:numId w:val="1084"/>
        </w:numPr>
        <w:pStyle w:val="Compact"/>
      </w:pPr>
      <w:r>
        <w:rPr>
          <w:bCs/>
          <w:b/>
        </w:rPr>
        <w:t xml:space="preserve">AMA (WADA) :</w:t>
      </w:r>
      <w:r>
        <w:t xml:space="preserve"> </w:t>
      </w:r>
      <w:r>
        <w:t xml:space="preserve">interdit au titre de S0 en tant que substance non approuvée.</w:t>
      </w:r>
    </w:p>
    <w:p>
      <w:pPr>
        <w:numPr>
          <w:ilvl w:val="0"/>
          <w:numId w:val="1084"/>
        </w:numPr>
        <w:pStyle w:val="Compact"/>
      </w:pPr>
      <w:r>
        <w:rPr>
          <w:bCs/>
          <w:b/>
        </w:rPr>
        <w:t xml:space="preserve">Niveau de preuve :</w:t>
      </w:r>
      <w:r>
        <w:t xml:space="preserve"> </w:t>
      </w:r>
      <w:r>
        <w:rPr>
          <w:bCs/>
          <w:b/>
        </w:rPr>
        <w:t xml:space="preserve">B</w:t>
      </w:r>
      <w:r>
        <w:t xml:space="preserve"> </w:t>
      </w:r>
      <w:r>
        <w:t xml:space="preserve">– études randomisées de phase 1 et de phase 2 publiées ; la phase 3 a commencé en 2026.</w:t>
      </w:r>
    </w:p>
    <w:bookmarkEnd w:id="699"/>
    <w:bookmarkStart w:id="701" w:name="mode-daction-supposé-9"/>
    <w:p>
      <w:pPr>
        <w:pStyle w:val="Heading3"/>
      </w:pPr>
      <w:r>
        <w:t xml:space="preserve">Mode d’action supposé</w:t>
      </w:r>
    </w:p>
    <w:p>
      <w:pPr>
        <w:pStyle w:val="FirstParagraph"/>
      </w:pPr>
      <w:r>
        <w:t xml:space="preserve">CagriSema (voir chapitre précédent) associe deux substances distinctes – l’analogue de l’amyline cagrilintide et l’agoniste du GLP-1 sémaglutide – dans une seule injection. L’amycrétine va un pas plus loin : un seul peptide active les deux systèmes de récepteurs. Cela simplifie la fabrication et le dosage et permet en principe une forme en comprimé, comme il en existe déjà avec le sémaglutide oral.</w:t>
      </w:r>
    </w:p>
    <w:p>
      <w:pPr>
        <w:pStyle w:val="BodyText"/>
      </w:pPr>
      <w:r>
        <w:t xml:space="preserve">Le GLP-1 et l’amyline favorisent tous deux la sensation de satiété, ralentissent la vidange gastrique et atténuent la sécrétion de glucagon, mais agissent par des récepteurs et des voies nerveuses différents dans le tronc cérébral. Dans des essais sur cellules, l’amycrétine a activé les récepteurs humains, murins et de rat du GLP-1, de l’amyline et de la calcitonine. Chez des rats atteints d’obésité d’origine alimentaire, elle a réduit sur 21 jours l’apport énergétique de 47 % et le poids corporel de 18 %, tandis que la dépense énergétique était préservée ; la sensibilité à l’insuline s’est améliorée et la stéatose hépatique a régressé</w:t>
      </w:r>
      <w:r>
        <w:rPr>
          <w:rStyle w:val="FootnoteReference"/>
        </w:rPr>
        <w:footnoteReference w:id="700"/>
      </w:r>
      <w:r>
        <w:t xml:space="preserve">. Ce sont des données animales.</w:t>
      </w:r>
    </w:p>
    <w:bookmarkEnd w:id="701"/>
    <w:bookmarkStart w:id="709" w:name="études-chez-lhumain-9"/>
    <w:p>
      <w:pPr>
        <w:pStyle w:val="Heading3"/>
      </w:pPr>
      <w:r>
        <w:t xml:space="preserve">Études chez l’humain</w:t>
      </w:r>
    </w:p>
    <w:p>
      <w:pPr>
        <w:pStyle w:val="FirstParagraph"/>
      </w:pPr>
      <w:r>
        <w:rPr>
          <w:bCs/>
          <w:b/>
        </w:rPr>
        <w:t xml:space="preserve">Ampleur des données :</w:t>
      </w:r>
      <w:r>
        <w:t xml:space="preserve"> </w:t>
      </w:r>
      <w:r>
        <w:t xml:space="preserve">la requête PubMed automatisée (octobre 2026) a fourni 4 études chez l’humain. La requête automatique du registre sous le nom « amycretin » n’a trouvé qu’une entrée ; sous le nouveau nom zénagamtide et le code de développement NNC0487-0111, environ 30 études sont toutefois enregistrées sur ClinicalTrials.gov, dont le programme de phase 3 lancé en 2026</w:t>
      </w:r>
      <w:r>
        <w:t xml:space="preserve"> </w:t>
      </w:r>
      <w:r>
        <w:rPr>
          <w:bCs/>
          <w:b/>
        </w:rPr>
        <w:t xml:space="preserve">AMAZE</w:t>
      </w:r>
      <w:r>
        <w:t xml:space="preserve"> </w:t>
      </w:r>
      <w:r>
        <w:t xml:space="preserve">(poids) et</w:t>
      </w:r>
      <w:r>
        <w:t xml:space="preserve"> </w:t>
      </w:r>
      <w:r>
        <w:rPr>
          <w:bCs/>
          <w:b/>
        </w:rPr>
        <w:t xml:space="preserve">AMBITION</w:t>
      </w:r>
      <w:r>
        <w:t xml:space="preserve"> </w:t>
      </w:r>
      <w:r>
        <w:t xml:space="preserve">(diabète de type 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schéma</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Phase 1, comprimé (Gasiorek 2025), PMID 40550229</w:t>
            </w:r>
          </w:p>
        </w:tc>
        <w:tc>
          <w:tcPr/>
          <w:p>
            <w:pPr>
              <w:pStyle w:val="Compact"/>
              <w:jc w:val="left"/>
            </w:pPr>
            <w:r>
              <w:t xml:space="preserve">144 adultes en surpoids/obèses, contre placebo</w:t>
            </w:r>
          </w:p>
        </w:tc>
        <w:tc>
          <w:tcPr/>
          <w:p>
            <w:pPr>
              <w:pStyle w:val="Compact"/>
              <w:jc w:val="left"/>
            </w:pPr>
            <w:r>
              <w:t xml:space="preserve">jusqu’à 12 semaines</w:t>
            </w:r>
          </w:p>
        </w:tc>
        <w:tc>
          <w:tcPr/>
          <w:p>
            <w:pPr>
              <w:pStyle w:val="Compact"/>
              <w:jc w:val="left"/>
            </w:pPr>
            <w:r>
              <w:t xml:space="preserve">sécurité ; effets indésirables dose-dépendants, tous légers à modérés</w:t>
            </w:r>
          </w:p>
        </w:tc>
      </w:tr>
      <w:tr>
        <w:tc>
          <w:tcPr/>
          <w:p>
            <w:pPr>
              <w:pStyle w:val="Compact"/>
              <w:jc w:val="left"/>
            </w:pPr>
            <w:r>
              <w:t xml:space="preserve">Phase 1b/2a, injection (Dahl 2025), PMID 40550231</w:t>
            </w:r>
          </w:p>
        </w:tc>
        <w:tc>
          <w:tcPr/>
          <w:p>
            <w:pPr>
              <w:pStyle w:val="Compact"/>
              <w:jc w:val="left"/>
            </w:pPr>
            <w:r>
              <w:t xml:space="preserve">125 adultes en surpoids/obèses, contre placebo</w:t>
            </w:r>
          </w:p>
        </w:tc>
        <w:tc>
          <w:tcPr/>
          <w:p>
            <w:pPr>
              <w:pStyle w:val="Compact"/>
              <w:jc w:val="left"/>
            </w:pPr>
            <w:r>
              <w:t xml:space="preserve">jusqu’à 36 semaines</w:t>
            </w:r>
          </w:p>
        </w:tc>
        <w:tc>
          <w:tcPr/>
          <w:p>
            <w:pPr>
              <w:pStyle w:val="Compact"/>
              <w:jc w:val="left"/>
            </w:pPr>
            <w:r>
              <w:t xml:space="preserve">jusqu’à −24,3 % de poids vs −1,1 %</w:t>
            </w:r>
          </w:p>
        </w:tc>
      </w:tr>
      <w:tr>
        <w:tc>
          <w:tcPr/>
          <w:p>
            <w:pPr>
              <w:pStyle w:val="Compact"/>
              <w:jc w:val="left"/>
            </w:pPr>
            <w:r>
              <w:t xml:space="preserve">Phase 2, comprimé (Mora 2026), PMID 42532079</w:t>
            </w:r>
          </w:p>
        </w:tc>
        <w:tc>
          <w:tcPr/>
          <w:p>
            <w:pPr>
              <w:pStyle w:val="Compact"/>
              <w:jc w:val="left"/>
            </w:pPr>
            <w:r>
              <w:t xml:space="preserve">186 adultes atteints de diabète de type 2, contre placebo</w:t>
            </w:r>
          </w:p>
        </w:tc>
        <w:tc>
          <w:tcPr/>
          <w:p>
            <w:pPr>
              <w:pStyle w:val="Compact"/>
              <w:jc w:val="left"/>
            </w:pPr>
            <w:r>
              <w:t xml:space="preserve">36 semaines</w:t>
            </w:r>
          </w:p>
        </w:tc>
        <w:tc>
          <w:tcPr/>
          <w:p>
            <w:pPr>
              <w:pStyle w:val="Compact"/>
              <w:jc w:val="left"/>
            </w:pPr>
            <w:r>
              <w:t xml:space="preserve">HbA1c −0,9 à −1,4</w:t>
            </w:r>
          </w:p>
        </w:tc>
      </w:tr>
      <w:tr>
        <w:tc>
          <w:tcPr/>
          <w:p>
            <w:pPr>
              <w:pStyle w:val="Compact"/>
              <w:jc w:val="left"/>
            </w:pPr>
            <w:r>
              <w:t xml:space="preserve">Phase 2, injection (Mora 2026), PMID 42532080</w:t>
            </w:r>
          </w:p>
        </w:tc>
        <w:tc>
          <w:tcPr/>
          <w:p>
            <w:pPr>
              <w:pStyle w:val="Compact"/>
              <w:jc w:val="left"/>
            </w:pPr>
            <w:r>
              <w:t xml:space="preserve">262 adultes atteints de diabète de type 2, contre placebo</w:t>
            </w:r>
          </w:p>
        </w:tc>
        <w:tc>
          <w:tcPr/>
          <w:p>
            <w:pPr>
              <w:pStyle w:val="Compact"/>
              <w:jc w:val="left"/>
            </w:pPr>
            <w:r>
              <w:t xml:space="preserve">36 semaines</w:t>
            </w:r>
          </w:p>
        </w:tc>
        <w:tc>
          <w:tcPr/>
          <w:p>
            <w:pPr>
              <w:pStyle w:val="Compact"/>
              <w:jc w:val="left"/>
            </w:pPr>
            <w:r>
              <w:t xml:space="preserve">HbA1c −0,9 à −1,7</w:t>
            </w:r>
          </w:p>
        </w:tc>
      </w:tr>
    </w:tbl>
    <w:bookmarkStart w:id="703" w:name="X5fe2e2c0d50df35c3abab913a761b3d8ece9cec"/>
    <w:p>
      <w:pPr>
        <w:pStyle w:val="Heading4"/>
      </w:pPr>
      <w:r>
        <w:t xml:space="preserve">Forme comprimé : première étude chez l’humain</w:t>
      </w:r>
    </w:p>
    <w:p>
      <w:pPr>
        <w:pStyle w:val="FirstParagraph"/>
      </w:pPr>
      <w:r>
        <w:t xml:space="preserve">La première étude chez l’humain a évalué l’amycrétine sous forme de comprimé</w:t>
      </w:r>
      <w:r>
        <w:rPr>
          <w:rStyle w:val="FootnoteReference"/>
        </w:rPr>
        <w:footnoteReference w:id="702"/>
      </w:r>
      <w:r>
        <w:t xml:space="preserve">. 144 adultes en surpoids ou obèses ont reçu des doses uniques ou répétées pendant jusqu’à douze semaines. 62 % ont signalé au moins un événement indésirable ; tous étaient légers ou modérés et augmentaient avec la dose. Environ la moitié des événements concernait le tube digestif. Les concentrations sanguines augmentaient proportionnellement à la dose. Les données de poids n’étaient qu’un critère secondaire exploratoire de cette étude de sécurité.</w:t>
      </w:r>
    </w:p>
    <w:bookmarkEnd w:id="703"/>
    <w:bookmarkStart w:id="705" w:name="forme-injectable-phase-1b2a"/>
    <w:p>
      <w:pPr>
        <w:pStyle w:val="Heading4"/>
      </w:pPr>
      <w:r>
        <w:t xml:space="preserve">Forme injectable : phase 1b/2a</w:t>
      </w:r>
    </w:p>
    <w:p>
      <w:pPr>
        <w:pStyle w:val="FirstParagraph"/>
      </w:pPr>
      <w:r>
        <w:t xml:space="preserve">Dans l’étude avec l’injection hebdomadaire</w:t>
      </w:r>
      <w:r>
        <w:rPr>
          <w:rStyle w:val="FootnoteReference"/>
        </w:rPr>
        <w:footnoteReference w:id="704"/>
      </w:r>
      <w:r>
        <w:t xml:space="preserve">, 125 personnes ont reçu de l’amycrétine ou un placebo dans plusieurs volets d’étude avec des doses cibles et des durées de traitement différentes. La perte de poids était remarquable pour une étude précoce :</w:t>
      </w:r>
    </w:p>
    <w:p>
      <w:pPr>
        <w:numPr>
          <w:ilvl w:val="0"/>
          <w:numId w:val="1085"/>
        </w:numPr>
        <w:pStyle w:val="Compact"/>
      </w:pPr>
      <w:r>
        <w:t xml:space="preserve">dose la plus élevée, 36 semaines : −24,3 % contre −1,1 % sous placebo</w:t>
      </w:r>
    </w:p>
    <w:p>
      <w:pPr>
        <w:numPr>
          <w:ilvl w:val="0"/>
          <w:numId w:val="1085"/>
        </w:numPr>
        <w:pStyle w:val="Compact"/>
      </w:pPr>
      <w:r>
        <w:t xml:space="preserve">deuxième dose la plus élevée, 36 semaines : −22,0 % contre +1,9 %</w:t>
      </w:r>
    </w:p>
    <w:p>
      <w:pPr>
        <w:numPr>
          <w:ilvl w:val="0"/>
          <w:numId w:val="1085"/>
        </w:numPr>
        <w:pStyle w:val="Compact"/>
      </w:pPr>
      <w:r>
        <w:t xml:space="preserve">dose intermédiaire, 28 semaines : −16,2 % contre +2,3 %</w:t>
      </w:r>
    </w:p>
    <w:p>
      <w:pPr>
        <w:numPr>
          <w:ilvl w:val="0"/>
          <w:numId w:val="1085"/>
        </w:numPr>
        <w:pStyle w:val="Compact"/>
      </w:pPr>
      <w:r>
        <w:t xml:space="preserve">faible dose, 20 semaines : −9,7 % contre +2,0 %</w:t>
      </w:r>
    </w:p>
    <w:p>
      <w:pPr>
        <w:pStyle w:val="FirstParagraph"/>
      </w:pPr>
      <w:r>
        <w:t xml:space="preserve">Ces chiffres sont à lire avec prudence : les groupes étaient petits, l’étude s’est déroulée dans un seul centre, et les auteurs rapportent eux-mêmes que de nombreux participants ont quitté l’étude prématurément – en grande partie pour des raisons sans rapport avec des effets indésirables. Une perte de poids de plus de 20 % après 36 semaines est un signal fort, mais pas encore une estimation fiable pour un usage à grande échelle.</w:t>
      </w:r>
    </w:p>
    <w:bookmarkEnd w:id="705"/>
    <w:bookmarkStart w:id="708" w:name="diabète-de-type-2-deux-études-de-phase-2"/>
    <w:p>
      <w:pPr>
        <w:pStyle w:val="Heading4"/>
      </w:pPr>
      <w:r>
        <w:t xml:space="preserve">Diabète de type 2 : deux études de phase 2</w:t>
      </w:r>
    </w:p>
    <w:p>
      <w:pPr>
        <w:pStyle w:val="FirstParagraph"/>
      </w:pPr>
      <w:r>
        <w:t xml:space="preserve">En 2026 ont paru deux études parallèles de recherche de dose chez des personnes atteintes de diabète de type 2 traitées par metformine (avec ou sans inhibiteur du SGLT2) :</w:t>
      </w:r>
    </w:p>
    <w:p>
      <w:pPr>
        <w:numPr>
          <w:ilvl w:val="0"/>
          <w:numId w:val="1086"/>
        </w:numPr>
        <w:pStyle w:val="Compact"/>
      </w:pPr>
      <w:r>
        <w:rPr>
          <w:bCs/>
          <w:b/>
        </w:rPr>
        <w:t xml:space="preserve">Comprimé</w:t>
      </w:r>
      <w:r>
        <w:rPr>
          <w:rStyle w:val="FootnoteReference"/>
        </w:rPr>
        <w:footnoteReference w:id="706"/>
      </w:r>
      <w:r>
        <w:t xml:space="preserve"> </w:t>
      </w:r>
      <w:r>
        <w:t xml:space="preserve">: après 36 semaines, l’HbA1c a baissé de 0,9 à 1,4 point de pourcentage (valeur initiale d’environ 8 %). Des troubles digestifs sont survenus chez 26 à 47 % (placebo 23 %). Des événements indésirables graves ont concerné 4 % sous zénagamtide et personne sous placebo.</w:t>
      </w:r>
    </w:p>
    <w:p>
      <w:pPr>
        <w:numPr>
          <w:ilvl w:val="0"/>
          <w:numId w:val="1086"/>
        </w:numPr>
        <w:pStyle w:val="Compact"/>
      </w:pPr>
      <w:r>
        <w:rPr>
          <w:bCs/>
          <w:b/>
        </w:rPr>
        <w:t xml:space="preserve">Injection</w:t>
      </w:r>
      <w:r>
        <w:rPr>
          <w:rStyle w:val="FootnoteReference"/>
        </w:rPr>
        <w:footnoteReference w:id="707"/>
      </w:r>
      <w:r>
        <w:t xml:space="preserve"> </w:t>
      </w:r>
      <w:r>
        <w:t xml:space="preserve">: l’HbA1c a baissé de 0,9 à 1,7 point de pourcentage selon la dose. Des événements indésirables graves sont survenus chez 8 % des participants, répartis sur tous les groupes de dose et le placebo.</w:t>
      </w:r>
    </w:p>
    <w:p>
      <w:pPr>
        <w:pStyle w:val="FirstParagraph"/>
      </w:pPr>
      <w:r>
        <w:t xml:space="preserve">Les résultats de poids de ces études sur le diabète ne sont pas chiffrés dans les résumés et ne sont donc pas mentionnés ici.</w:t>
      </w:r>
    </w:p>
    <w:bookmarkEnd w:id="708"/>
    <w:bookmarkEnd w:id="709"/>
    <w:bookmarkStart w:id="711" w:name="études-animales-et-de-laboratoire-9"/>
    <w:p>
      <w:pPr>
        <w:pStyle w:val="Heading3"/>
      </w:pPr>
      <w:r>
        <w:t xml:space="preserve">Études animales et de laboratoire</w:t>
      </w:r>
    </w:p>
    <w:p>
      <w:pPr>
        <w:pStyle w:val="FirstParagraph"/>
      </w:pPr>
      <w:r>
        <w:t xml:space="preserve">Les données précliniques proviennent du fabricant</w:t>
      </w:r>
      <w:r>
        <w:rPr>
          <w:rStyle w:val="FootnoteReference"/>
        </w:rPr>
        <w:footnoteReference w:id="710"/>
      </w:r>
      <w:r>
        <w:t xml:space="preserve"> </w:t>
      </w:r>
      <w:r>
        <w:t xml:space="preserve">: activation des récepteurs en culture cellulaire, perte de poids et amélioration de la sensibilité à l’insuline chez des rats en surpoids, moins de stéatose hépatique et une accumulation dans les régions cérébrales régulant l’appétit chez la souris. Il n’existe pratiquement pas d’études animales indépendantes.</w:t>
      </w:r>
    </w:p>
    <w:bookmarkEnd w:id="711"/>
    <w:bookmarkStart w:id="716" w:name="risques-et-effets-indésirables-9"/>
    <w:p>
      <w:pPr>
        <w:pStyle w:val="Heading3"/>
      </w:pPr>
      <w:r>
        <w:t xml:space="preserve">Risques et effets indésirables</w:t>
      </w:r>
    </w:p>
    <w:p>
      <w:pPr>
        <w:pStyle w:val="FirstParagraph"/>
      </w:pPr>
      <w:r>
        <w:rPr>
          <w:bCs/>
          <w:b/>
        </w:rPr>
        <w:t xml:space="preserve">Établi par les études :</w:t>
      </w:r>
    </w:p>
    <w:p>
      <w:pPr>
        <w:numPr>
          <w:ilvl w:val="0"/>
          <w:numId w:val="1087"/>
        </w:numPr>
        <w:pStyle w:val="Compact"/>
      </w:pPr>
      <w:r>
        <w:rPr>
          <w:bCs/>
          <w:b/>
        </w:rPr>
        <w:t xml:space="preserve">Troubles digestifs</w:t>
      </w:r>
      <w:r>
        <w:t xml:space="preserve"> </w:t>
      </w:r>
      <w:r>
        <w:t xml:space="preserve">: ce sont les effets indésirables les plus fréquents, touchant la majorité des personnes traitées dans les premières études ; ils étaient le plus souvent légers à modérés et dose-dépendants</w:t>
      </w:r>
      <w:r>
        <w:rPr>
          <w:rStyle w:val="FootnoteReference"/>
        </w:rPr>
        <w:footnoteReference w:id="712"/>
      </w:r>
      <w:r>
        <w:t xml:space="preserve">.</w:t>
      </w:r>
    </w:p>
    <w:p>
      <w:pPr>
        <w:numPr>
          <w:ilvl w:val="0"/>
          <w:numId w:val="1087"/>
        </w:numPr>
        <w:pStyle w:val="Compact"/>
      </w:pPr>
      <w:r>
        <w:rPr>
          <w:bCs/>
          <w:b/>
        </w:rPr>
        <w:t xml:space="preserve">Événements indésirables graves :</w:t>
      </w:r>
      <w:r>
        <w:t xml:space="preserve"> </w:t>
      </w:r>
      <w:r>
        <w:t xml:space="preserve">ils étaient rares dans les études de phase 2 ; dans l’étude du comprimé, ils ne sont survenus que sous zénagamtide (4 % vs 0 %), dans l’étude de l’injection de façon uniformément répartie</w:t>
      </w:r>
      <w:r>
        <w:rPr>
          <w:rStyle w:val="FootnoteReference"/>
        </w:rPr>
        <w:footnoteReference w:id="713"/>
      </w:r>
      <w:r>
        <w:t xml:space="preserve">.</w:t>
      </w:r>
    </w:p>
    <w:p>
      <w:pPr>
        <w:numPr>
          <w:ilvl w:val="0"/>
          <w:numId w:val="1087"/>
        </w:numPr>
        <w:pStyle w:val="Compact"/>
      </w:pPr>
      <w:r>
        <w:rPr>
          <w:bCs/>
          <w:b/>
        </w:rPr>
        <w:t xml:space="preserve">Fonction rénale :</w:t>
      </w:r>
      <w:r>
        <w:t xml:space="preserve"> </w:t>
      </w:r>
      <w:r>
        <w:t xml:space="preserve">en cas d’insuffisance rénale, jusqu’à l’insuffisance rénale terminale, les concentrations sanguines après une dose unique ne se modifiaient pas de façon cliniquement pertinente</w:t>
      </w:r>
      <w:r>
        <w:rPr>
          <w:rStyle w:val="FootnoteReference"/>
        </w:rPr>
        <w:footnoteReference w:id="714"/>
      </w:r>
      <w:r>
        <w:t xml:space="preserve">.</w:t>
      </w:r>
    </w:p>
    <w:p>
      <w:pPr>
        <w:pStyle w:val="FirstParagraph"/>
      </w:pPr>
      <w:r>
        <w:rPr>
          <w:bCs/>
          <w:b/>
        </w:rPr>
        <w:t xml:space="preserve">Encore ouvert :</w:t>
      </w:r>
      <w:r>
        <w:t xml:space="preserve"> </w:t>
      </w:r>
      <w:r>
        <w:t xml:space="preserve">sécurité à long terme, effet sur les os (récepteur de la calcitonine), la masse musculaire et le système cardiovasculaire. Pour les risques de classe des médicaments GLP-1 (vésicule biliaire, pancréas), il y a encore trop peu d’années de traitement.</w:t>
      </w:r>
    </w:p>
    <w:p>
      <w:pPr>
        <w:pStyle w:val="BodyText"/>
      </w:pPr>
      <w:r>
        <w:rPr>
          <w:bCs/>
          <w:b/>
        </w:rPr>
        <w:t xml:space="preserve">Marché gris :</w:t>
      </w:r>
      <w:r>
        <w:t xml:space="preserve"> </w:t>
      </w:r>
      <w:r>
        <w:t xml:space="preserve">avant même le début de la phase 3, le zénagamtide est proposé sur Internet comme « research peptide ». Un article de la revue JAMA décrit un marché noir croissant pour les deux substances non autorisées que sont le rétatrutide et le zénagamtide, ainsi que les risques qui y sont liés</w:t>
      </w:r>
      <w:r>
        <w:rPr>
          <w:rStyle w:val="FootnoteReference"/>
        </w:rPr>
        <w:footnoteReference w:id="715"/>
      </w:r>
      <w:r>
        <w:t xml:space="preserve">. Quiconque utilise de tels produits n’en connaît ni le contenu, ni la pureté, ni un dosage éprouvé (voir partie I et partie IV).</w:t>
      </w:r>
    </w:p>
    <w:bookmarkEnd w:id="716"/>
    <w:bookmarkStart w:id="717" w:name="statut-juridique-9"/>
    <w:p>
      <w:pPr>
        <w:pStyle w:val="Heading3"/>
      </w:pPr>
      <w:r>
        <w:t xml:space="preserve">Statut juridique</w:t>
      </w:r>
    </w:p>
    <w:p>
      <w:pPr>
        <w:numPr>
          <w:ilvl w:val="0"/>
          <w:numId w:val="1088"/>
        </w:numPr>
        <w:pStyle w:val="Compact"/>
      </w:pPr>
      <w:r>
        <w:rPr>
          <w:bCs/>
          <w:b/>
        </w:rPr>
        <w:t xml:space="preserve">UE / Autriche / Allemagne :</w:t>
      </w:r>
      <w:r>
        <w:t xml:space="preserve"> </w:t>
      </w:r>
      <w:r>
        <w:t xml:space="preserve">non autorisé ; utilisation uniquement dans des essais cliniques.</w:t>
      </w:r>
    </w:p>
    <w:p>
      <w:pPr>
        <w:numPr>
          <w:ilvl w:val="0"/>
          <w:numId w:val="1088"/>
        </w:numPr>
        <w:pStyle w:val="Compact"/>
      </w:pPr>
      <w:r>
        <w:rPr>
          <w:bCs/>
          <w:b/>
        </w:rPr>
        <w:t xml:space="preserve">États-Unis :</w:t>
      </w:r>
      <w:r>
        <w:t xml:space="preserve"> </w:t>
      </w:r>
      <w:r>
        <w:t xml:space="preserve">non autorisé.</w:t>
      </w:r>
    </w:p>
    <w:p>
      <w:pPr>
        <w:numPr>
          <w:ilvl w:val="0"/>
          <w:numId w:val="1088"/>
        </w:numPr>
        <w:pStyle w:val="Compact"/>
      </w:pPr>
      <w:r>
        <w:rPr>
          <w:bCs/>
          <w:b/>
        </w:rPr>
        <w:t xml:space="preserve">Sport :</w:t>
      </w:r>
      <w:r>
        <w:t xml:space="preserve"> </w:t>
      </w:r>
      <w:r>
        <w:t xml:space="preserve">classe S0 de la WADA (substance non approuvée), état 2026, à vérifier.</w:t>
      </w:r>
    </w:p>
    <w:bookmarkEnd w:id="717"/>
    <w:bookmarkStart w:id="725" w:name="études-en-cours-et-perspectives-9"/>
    <w:p>
      <w:pPr>
        <w:pStyle w:val="Heading3"/>
      </w:pPr>
      <w:r>
        <w:t xml:space="preserve">Études en cours et perspectives</w:t>
      </w:r>
    </w:p>
    <w:p>
      <w:pPr>
        <w:pStyle w:val="FirstParagraph"/>
      </w:pPr>
      <w:r>
        <w:rPr>
          <w:bCs/>
          <w:b/>
        </w:rPr>
        <w:t xml:space="preserve">Établi (études enregistrées, état octobre 2026) :</w:t>
      </w:r>
    </w:p>
    <w:p>
      <w:pPr>
        <w:numPr>
          <w:ilvl w:val="0"/>
          <w:numId w:val="1089"/>
        </w:numPr>
        <w:pStyle w:val="Compact"/>
      </w:pPr>
      <w:r>
        <w:rPr>
          <w:bCs/>
          <w:b/>
        </w:rPr>
        <w:t xml:space="preserve">AMAZE 1</w:t>
      </w:r>
      <w:r>
        <w:rPr>
          <w:rStyle w:val="FootnoteReference"/>
        </w:rPr>
        <w:footnoteReference w:id="718"/>
      </w:r>
      <w:r>
        <w:t xml:space="preserve"> </w:t>
      </w:r>
      <w:r>
        <w:t xml:space="preserve">: phase 3 chez 1 150 adultes en surpoids/obèses, forme injectable.</w:t>
      </w:r>
    </w:p>
    <w:p>
      <w:pPr>
        <w:numPr>
          <w:ilvl w:val="0"/>
          <w:numId w:val="1089"/>
        </w:numPr>
        <w:pStyle w:val="Compact"/>
      </w:pPr>
      <w:r>
        <w:rPr>
          <w:bCs/>
          <w:b/>
        </w:rPr>
        <w:t xml:space="preserve">AMAZE 2</w:t>
      </w:r>
      <w:r>
        <w:rPr>
          <w:rStyle w:val="FootnoteReference"/>
        </w:rPr>
        <w:footnoteReference w:id="719"/>
      </w:r>
      <w:r>
        <w:t xml:space="preserve"> </w:t>
      </w:r>
      <w:r>
        <w:t xml:space="preserve">: surpoids avec diabète de type 2.</w:t>
      </w:r>
    </w:p>
    <w:p>
      <w:pPr>
        <w:numPr>
          <w:ilvl w:val="0"/>
          <w:numId w:val="1089"/>
        </w:numPr>
        <w:pStyle w:val="Compact"/>
      </w:pPr>
      <w:r>
        <w:rPr>
          <w:bCs/>
          <w:b/>
        </w:rPr>
        <w:t xml:space="preserve">AMAZE 3 et 4</w:t>
      </w:r>
      <w:r>
        <w:rPr>
          <w:rStyle w:val="FootnoteReference"/>
        </w:rPr>
        <w:footnoteReference w:id="720"/>
      </w:r>
      <w:r>
        <w:t xml:space="preserve"> </w:t>
      </w:r>
      <w:r>
        <w:t xml:space="preserve">: apnée du sommeil sans ou avec ventilation par masque.</w:t>
      </w:r>
    </w:p>
    <w:p>
      <w:pPr>
        <w:numPr>
          <w:ilvl w:val="0"/>
          <w:numId w:val="1089"/>
        </w:numPr>
        <w:pStyle w:val="Compact"/>
      </w:pPr>
      <w:r>
        <w:rPr>
          <w:bCs/>
          <w:b/>
        </w:rPr>
        <w:t xml:space="preserve">AMAZE 6</w:t>
      </w:r>
      <w:r>
        <w:rPr>
          <w:rStyle w:val="FootnoteReference"/>
        </w:rPr>
        <w:footnoteReference w:id="721"/>
      </w:r>
      <w:r>
        <w:t xml:space="preserve"> </w:t>
      </w:r>
      <w:r>
        <w:t xml:space="preserve">et une autre étude</w:t>
      </w:r>
      <w:r>
        <w:rPr>
          <w:rStyle w:val="FootnoteReference"/>
        </w:rPr>
        <w:footnoteReference w:id="722"/>
      </w:r>
      <w:r>
        <w:t xml:space="preserve"> </w:t>
      </w:r>
      <w:r>
        <w:t xml:space="preserve">: gonarthrose.</w:t>
      </w:r>
    </w:p>
    <w:p>
      <w:pPr>
        <w:numPr>
          <w:ilvl w:val="0"/>
          <w:numId w:val="1089"/>
        </w:numPr>
        <w:pStyle w:val="Compact"/>
      </w:pPr>
      <w:r>
        <w:rPr>
          <w:bCs/>
          <w:b/>
        </w:rPr>
        <w:t xml:space="preserve">AMAZE 9</w:t>
      </w:r>
      <w:r>
        <w:rPr>
          <w:rStyle w:val="FootnoteReference"/>
        </w:rPr>
        <w:footnoteReference w:id="723"/>
      </w:r>
      <w:r>
        <w:t xml:space="preserve"> </w:t>
      </w:r>
      <w:r>
        <w:t xml:space="preserve">: forme comprimé en cas de surpoids.</w:t>
      </w:r>
    </w:p>
    <w:p>
      <w:pPr>
        <w:numPr>
          <w:ilvl w:val="0"/>
          <w:numId w:val="1089"/>
        </w:numPr>
        <w:pStyle w:val="Compact"/>
      </w:pPr>
      <w:r>
        <w:rPr>
          <w:bCs/>
          <w:b/>
        </w:rPr>
        <w:t xml:space="preserve">AMAZE 12</w:t>
      </w:r>
      <w:r>
        <w:rPr>
          <w:rStyle w:val="FootnoteReference"/>
        </w:rPr>
        <w:footnoteReference w:id="724"/>
      </w:r>
      <w:r>
        <w:t xml:space="preserve"> </w:t>
      </w:r>
      <w:r>
        <w:t xml:space="preserve">: maintien du poids après perte de poids.</w:t>
      </w:r>
    </w:p>
    <w:p>
      <w:pPr>
        <w:numPr>
          <w:ilvl w:val="0"/>
          <w:numId w:val="1089"/>
        </w:numPr>
        <w:pStyle w:val="Compact"/>
      </w:pPr>
      <w:r>
        <w:t xml:space="preserve">Comparaison avec le sémaglutide (NCT07668414 ; dans le diabète de type 2 NCT07400107) et avec l’insuline glargine dans le diabète de type 2 (NCT07797335, AMBITION 7).</w:t>
      </w:r>
    </w:p>
    <w:p>
      <w:pPr>
        <w:numPr>
          <w:ilvl w:val="0"/>
          <w:numId w:val="1089"/>
        </w:numPr>
        <w:pStyle w:val="Compact"/>
      </w:pPr>
      <w:r>
        <w:t xml:space="preserve">Études sur critères cliniques : insuffisance cardiaque avec obésité (NCT07567001, 5 610 participants) et événements cardiovasculaires en cas d’athérosclérose (NCT07861100, 8 500 participants prévus).</w:t>
      </w:r>
    </w:p>
    <w:p>
      <w:pPr>
        <w:pStyle w:val="FirstParagraph"/>
      </w:pPr>
      <w:r>
        <w:rPr>
          <w:bCs/>
          <w:b/>
        </w:rPr>
        <w:t xml:space="preserve">Appréciation :</w:t>
      </w:r>
      <w:r>
        <w:t xml:space="preserve"> </w:t>
      </w:r>
      <w:r>
        <w:t xml:space="preserve">avec ce vaste programme de phase 3, Novo Nordisk mise visiblement sur l’amycrétine/zénagamtide comme successeur du sémaglutide. Les résultats des premières études de phase 3 ne sont pas attendus avant 2027, une autorisation guère avant 2028. On ignore si les chiffres impressionnants de la petite étude de phase 1b/2a se confirmeront dans de grandes études.</w:t>
      </w:r>
    </w:p>
    <w:bookmarkEnd w:id="725"/>
    <w:bookmarkStart w:id="726" w:name="conclusion-9"/>
    <w:p>
      <w:pPr>
        <w:pStyle w:val="Heading3"/>
      </w:pPr>
      <w:r>
        <w:t xml:space="preserve">Conclusion</w:t>
      </w:r>
    </w:p>
    <w:p>
      <w:pPr>
        <w:pStyle w:val="FirstParagraph"/>
      </w:pPr>
      <w:r>
        <w:t xml:space="preserve">L’amycrétine – zénagamtide depuis 2026 – est un peptide unique qui active simultanément les récepteurs du GLP-1 et de l’amyline, et qui est développé sous forme injectable et en comprimé. Dans une petite étude de phase 1b/2a, le poids a diminué de jusqu’à 24,3 % après 36 semaines ; dans des études de phase 2 dans le diabète de type 2, l’HbA1c a baissé de jusqu’à 1,7 point de pourcentage. Les effets indésirables les plus fréquents concernent le tube digestif. Les études de phase 3 ont commencé en 2026 ; jusqu’à une éventuelle autorisation, le zénagamtide est un pur médicament expérimental, et les produits du marché gris ne sont pas un substitut.</w:t>
      </w:r>
    </w:p>
    <w:bookmarkEnd w:id="726"/>
    <w:bookmarkEnd w:id="727"/>
    <w:bookmarkStart w:id="759" w:name="maridebart-cafraglutide-maritide"/>
    <w:p>
      <w:pPr>
        <w:pStyle w:val="Heading2"/>
      </w:pPr>
      <w:r>
        <w:t xml:space="preserve">Maridebart cafraglutide (MariTide)</w:t>
      </w:r>
    </w:p>
    <w:bookmarkStart w:id="728" w:name="fiche-signalétique-10"/>
    <w:p>
      <w:pPr>
        <w:pStyle w:val="Heading3"/>
      </w:pPr>
      <w:r>
        <w:t xml:space="preserve">Fiche signalétique</w:t>
      </w:r>
    </w:p>
    <w:p>
      <w:pPr>
        <w:numPr>
          <w:ilvl w:val="0"/>
          <w:numId w:val="1090"/>
        </w:numPr>
        <w:pStyle w:val="Compact"/>
      </w:pPr>
      <w:r>
        <w:rPr>
          <w:bCs/>
          <w:b/>
        </w:rPr>
        <w:t xml:space="preserve">Type/structure :</w:t>
      </w:r>
      <w:r>
        <w:t xml:space="preserve"> </w:t>
      </w:r>
      <w:r>
        <w:t xml:space="preserve">un conjugué anticorps-peptide. Un anticorps monoclonal entièrement humain est relié par de courts segments d’acides aminés à deux peptides apparentés au GLP-1. À strictement parler, MariTide n’est donc pas un peptide pur, mais un hybride d’anticorps et de peptide. Code de développement AMG 133, nom abrégé MariTide.</w:t>
      </w:r>
    </w:p>
    <w:p>
      <w:pPr>
        <w:numPr>
          <w:ilvl w:val="0"/>
          <w:numId w:val="1090"/>
        </w:numPr>
        <w:pStyle w:val="Compact"/>
      </w:pPr>
      <w:r>
        <w:rPr>
          <w:bCs/>
          <w:b/>
        </w:rPr>
        <w:t xml:space="preserve">Origine :</w:t>
      </w:r>
      <w:r>
        <w:t xml:space="preserve"> </w:t>
      </w:r>
      <w:r>
        <w:t xml:space="preserve">développé par Amgen.</w:t>
      </w:r>
    </w:p>
    <w:p>
      <w:pPr>
        <w:numPr>
          <w:ilvl w:val="0"/>
          <w:numId w:val="1090"/>
        </w:numPr>
        <w:pStyle w:val="Compact"/>
      </w:pPr>
      <w:r>
        <w:rPr>
          <w:bCs/>
          <w:b/>
        </w:rPr>
        <w:t xml:space="preserve">Principe d’action :</w:t>
      </w:r>
      <w:r>
        <w:t xml:space="preserve"> </w:t>
      </w:r>
      <w:r>
        <w:t xml:space="preserve">la composante GLP-1</w:t>
      </w:r>
      <w:r>
        <w:t xml:space="preserve"> </w:t>
      </w:r>
      <w:r>
        <w:rPr>
          <w:bCs/>
          <w:b/>
        </w:rPr>
        <w:t xml:space="preserve">active</w:t>
      </w:r>
      <w:r>
        <w:t xml:space="preserve"> </w:t>
      </w:r>
      <w:r>
        <w:t xml:space="preserve">le récepteur du GLP-1, l’anticorps</w:t>
      </w:r>
      <w:r>
        <w:t xml:space="preserve"> </w:t>
      </w:r>
      <w:r>
        <w:rPr>
          <w:bCs/>
          <w:b/>
        </w:rPr>
        <w:t xml:space="preserve">bloque</w:t>
      </w:r>
      <w:r>
        <w:t xml:space="preserve"> </w:t>
      </w:r>
      <w:r>
        <w:t xml:space="preserve">le récepteur du GIP (antagoniste du GIPR). C’est l’inverse du tirzépatide, qui active le récepteur du GIP.</w:t>
      </w:r>
    </w:p>
    <w:p>
      <w:pPr>
        <w:numPr>
          <w:ilvl w:val="0"/>
          <w:numId w:val="1090"/>
        </w:numPr>
        <w:pStyle w:val="Compact"/>
      </w:pPr>
      <w:r>
        <w:rPr>
          <w:bCs/>
          <w:b/>
        </w:rPr>
        <w:t xml:space="preserve">Particularité :</w:t>
      </w:r>
      <w:r>
        <w:t xml:space="preserve"> </w:t>
      </w:r>
      <w:r>
        <w:t xml:space="preserve">grâce à sa composante anticorps, MariTide agit très longtemps ; une administration toutes les quatre semaines ou moins souvent est à l’étude.</w:t>
      </w:r>
    </w:p>
    <w:p>
      <w:pPr>
        <w:numPr>
          <w:ilvl w:val="0"/>
          <w:numId w:val="1090"/>
        </w:numPr>
        <w:pStyle w:val="Compact"/>
      </w:pPr>
      <w:r>
        <w:rPr>
          <w:bCs/>
          <w:b/>
        </w:rPr>
        <w:t xml:space="preserve">Autorisation UE / États-Unis :</w:t>
      </w:r>
      <w:r>
        <w:t xml:space="preserve"> </w:t>
      </w:r>
      <w:r>
        <w:t xml:space="preserve">non (état octobre 2026).</w:t>
      </w:r>
    </w:p>
    <w:p>
      <w:pPr>
        <w:numPr>
          <w:ilvl w:val="0"/>
          <w:numId w:val="1090"/>
        </w:numPr>
        <w:pStyle w:val="Compact"/>
      </w:pPr>
      <w:r>
        <w:rPr>
          <w:bCs/>
          <w:b/>
        </w:rPr>
        <w:t xml:space="preserve">AMA (WADA) :</w:t>
      </w:r>
      <w:r>
        <w:t xml:space="preserve"> </w:t>
      </w:r>
      <w:r>
        <w:t xml:space="preserve">interdit au titre de S0 en tant que substance non approuvée.</w:t>
      </w:r>
    </w:p>
    <w:p>
      <w:pPr>
        <w:numPr>
          <w:ilvl w:val="0"/>
          <w:numId w:val="1090"/>
        </w:numPr>
        <w:pStyle w:val="Compact"/>
      </w:pPr>
      <w:r>
        <w:rPr>
          <w:bCs/>
          <w:b/>
        </w:rPr>
        <w:t xml:space="preserve">Niveau de preuve :</w:t>
      </w:r>
      <w:r>
        <w:t xml:space="preserve"> </w:t>
      </w:r>
      <w:r>
        <w:rPr>
          <w:bCs/>
          <w:b/>
        </w:rPr>
        <w:t xml:space="preserve">B</w:t>
      </w:r>
      <w:r>
        <w:t xml:space="preserve"> </w:t>
      </w:r>
      <w:r>
        <w:t xml:space="preserve">– une grande étude randomisée de phase 2, phase 3 en cours.</w:t>
      </w:r>
    </w:p>
    <w:bookmarkEnd w:id="728"/>
    <w:bookmarkStart w:id="732" w:name="mode-daction-supposé-10"/>
    <w:p>
      <w:pPr>
        <w:pStyle w:val="Heading3"/>
      </w:pPr>
      <w:r>
        <w:t xml:space="preserve">Mode d’action supposé</w:t>
      </w:r>
    </w:p>
    <w:p>
      <w:pPr>
        <w:pStyle w:val="FirstParagraph"/>
      </w:pPr>
      <w:r>
        <w:t xml:space="preserve">Le GIP présente un paradoxe remarquable. Le tirzépatide</w:t>
      </w:r>
      <w:r>
        <w:t xml:space="preserve"> </w:t>
      </w:r>
      <w:r>
        <w:rPr>
          <w:iCs/>
          <w:i/>
        </w:rPr>
        <w:t xml:space="preserve">active</w:t>
      </w:r>
      <w:r>
        <w:t xml:space="preserve"> </w:t>
      </w:r>
      <w:r>
        <w:t xml:space="preserve">le récepteur du GIP et obtient ainsi, avec le GLP-1, une forte perte de poids. Parallèlement, des études génétiques et des expériences chez la souris ont montré que</w:t>
      </w:r>
      <w:r>
        <w:t xml:space="preserve"> </w:t>
      </w:r>
      <w:r>
        <w:rPr>
          <w:iCs/>
          <w:i/>
        </w:rPr>
        <w:t xml:space="preserve">bloquer</w:t>
      </w:r>
      <w:r>
        <w:t xml:space="preserve"> </w:t>
      </w:r>
      <w:r>
        <w:t xml:space="preserve">le récepteur du GIP peut aussi protéger contre le surpoids. Une explication possible : une activation permanente du récepteur conduit la cellule à le désactiver – ce qui, au final, ressemble à un blocage. La question n’est pas définitivement tranchée ; une étude comparative chez la souris a montré que les deux approches réduisaient la prise alimentaire et le poids en cas de surpoids, mais différaient dans leurs effets métaboliques : l’agoniste du GIP améliorait la tolérance au glucose, tandis que l’antagoniste réduisait plutôt la sensibilité à l’insuline</w:t>
      </w:r>
      <w:r>
        <w:rPr>
          <w:rStyle w:val="FootnoteReference"/>
        </w:rPr>
        <w:footnoteReference w:id="729"/>
      </w:r>
      <w:r>
        <w:t xml:space="preserve">.</w:t>
      </w:r>
    </w:p>
    <w:p>
      <w:pPr>
        <w:pStyle w:val="BodyText"/>
      </w:pPr>
      <w:r>
        <w:t xml:space="preserve">Amgen mise sur le blocage. L’anticorps dirigé contre le récepteur du GIP fait en même temps en sorte que la molécule reste très longtemps dans le sang – les anticorps sont dégradés lentement. Chez des souris et des singes en surpoids, l’AMG 133 a réduit le poids corporel et amélioré des paramètres métaboliques</w:t>
      </w:r>
      <w:r>
        <w:rPr>
          <w:rStyle w:val="FootnoteReference"/>
        </w:rPr>
        <w:footnoteReference w:id="730"/>
      </w:r>
      <w:r>
        <w:t xml:space="preserve">. Le développement chimique jusqu’à la molécule finale a été décrit en 2026</w:t>
      </w:r>
      <w:r>
        <w:rPr>
          <w:rStyle w:val="FootnoteReference"/>
        </w:rPr>
        <w:footnoteReference w:id="731"/>
      </w:r>
      <w:r>
        <w:t xml:space="preserve">.</w:t>
      </w:r>
    </w:p>
    <w:bookmarkEnd w:id="732"/>
    <w:bookmarkStart w:id="737" w:name="études-chez-lhumain-10"/>
    <w:p>
      <w:pPr>
        <w:pStyle w:val="Heading3"/>
      </w:pPr>
      <w:r>
        <w:t xml:space="preserve">Études chez l’humain</w:t>
      </w:r>
    </w:p>
    <w:p>
      <w:pPr>
        <w:pStyle w:val="FirstParagraph"/>
      </w:pPr>
      <w:r>
        <w:rPr>
          <w:bCs/>
          <w:b/>
        </w:rPr>
        <w:t xml:space="preserve">Ampleur des données :</w:t>
      </w:r>
      <w:r>
        <w:t xml:space="preserve"> </w:t>
      </w:r>
      <w:r>
        <w:t xml:space="preserve">la requête PubMed automatisée (octobre 2026) a fourni 2 études chez l’humain : une étude de phase 1 et une étude de phase 2. Sur ClinicalTrials.gov, 28 études étaient enregistrées, dont le programme de phase 3</w:t>
      </w:r>
      <w:r>
        <w:t xml:space="preserve"> </w:t>
      </w:r>
      <w:r>
        <w:rPr>
          <w:bCs/>
          <w:b/>
        </w:rPr>
        <w:t xml:space="preserve">MARITIME</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schéma</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Phase 1 (Véniant 2024), PMID 38316982</w:t>
            </w:r>
          </w:p>
        </w:tc>
        <w:tc>
          <w:tcPr/>
          <w:p>
            <w:pPr>
              <w:pStyle w:val="Compact"/>
              <w:jc w:val="left"/>
            </w:pPr>
            <w:r>
              <w:t xml:space="preserve">adultes obèses, doses uniques et répétées contre placebo</w:t>
            </w:r>
          </w:p>
        </w:tc>
        <w:tc>
          <w:tcPr/>
          <w:p>
            <w:pPr>
              <w:pStyle w:val="Compact"/>
              <w:jc w:val="left"/>
            </w:pPr>
            <w:r>
              <w:t xml:space="preserve">administration unique et répétée avec suivi</w:t>
            </w:r>
          </w:p>
        </w:tc>
        <w:tc>
          <w:tcPr/>
          <w:p>
            <w:pPr>
              <w:pStyle w:val="Compact"/>
              <w:jc w:val="left"/>
            </w:pPr>
            <w:r>
              <w:t xml:space="preserve">perte de poids dose-dépendante, persistant jusqu’à 150 jours après la dernière dose</w:t>
            </w:r>
          </w:p>
        </w:tc>
      </w:tr>
      <w:tr>
        <w:tc>
          <w:tcPr/>
          <w:p>
            <w:pPr>
              <w:pStyle w:val="Compact"/>
              <w:jc w:val="left"/>
            </w:pPr>
            <w:r>
              <w:t xml:space="preserve">Phase 2 (Jastreboff 2025), PMID 40549887</w:t>
            </w:r>
          </w:p>
        </w:tc>
        <w:tc>
          <w:tcPr/>
          <w:p>
            <w:pPr>
              <w:pStyle w:val="Compact"/>
              <w:jc w:val="left"/>
            </w:pPr>
            <w:r>
              <w:t xml:space="preserve">592 adultes obèses, avec ou sans diabète de type 2 ; contre placebo</w:t>
            </w:r>
          </w:p>
        </w:tc>
        <w:tc>
          <w:tcPr/>
          <w:p>
            <w:pPr>
              <w:pStyle w:val="Compact"/>
              <w:jc w:val="left"/>
            </w:pPr>
            <w:r>
              <w:t xml:space="preserve">52 semaines</w:t>
            </w:r>
          </w:p>
        </w:tc>
        <w:tc>
          <w:tcPr/>
          <w:p>
            <w:pPr>
              <w:pStyle w:val="Compact"/>
              <w:jc w:val="left"/>
            </w:pPr>
            <w:r>
              <w:t xml:space="preserve">sans diabète −12,3 à −16,2 % vs −2,5 % ; avec diabète −8,4 à −12,3 % vs −1,7 %</w:t>
            </w:r>
          </w:p>
        </w:tc>
      </w:tr>
    </w:tbl>
    <w:bookmarkStart w:id="734" w:name="phase-1"/>
    <w:p>
      <w:pPr>
        <w:pStyle w:val="Heading4"/>
      </w:pPr>
      <w:r>
        <w:t xml:space="preserve">Phase 1</w:t>
      </w:r>
    </w:p>
    <w:p>
      <w:pPr>
        <w:pStyle w:val="FirstParagraph"/>
      </w:pPr>
      <w:r>
        <w:t xml:space="preserve">Dans la première étude chez l’humain</w:t>
      </w:r>
      <w:r>
        <w:rPr>
          <w:rStyle w:val="FootnoteReference"/>
        </w:rPr>
        <w:footnoteReference w:id="733"/>
      </w:r>
      <w:r>
        <w:t xml:space="preserve">, l’AMG 133 a montré une perte de poids dose-dépendante avec une tolérance acceptable. La longue durée d’action était frappante : dans les groupes à administrations répétées, la perte de poids persistait jusqu’à 150 jours après la dernière dose.</w:t>
      </w:r>
    </w:p>
    <w:bookmarkEnd w:id="734"/>
    <w:bookmarkStart w:id="736" w:name="phase-2"/>
    <w:p>
      <w:pPr>
        <w:pStyle w:val="Heading4"/>
      </w:pPr>
      <w:r>
        <w:t xml:space="preserve">Phase 2</w:t>
      </w:r>
    </w:p>
    <w:p>
      <w:pPr>
        <w:pStyle w:val="FirstParagraph"/>
      </w:pPr>
      <w:r>
        <w:t xml:space="preserve">L’étude de phase 2</w:t>
      </w:r>
      <w:r>
        <w:rPr>
          <w:rStyle w:val="FootnoteReference"/>
        </w:rPr>
        <w:footnoteReference w:id="735"/>
      </w:r>
      <w:r>
        <w:t xml:space="preserve"> </w:t>
      </w:r>
      <w:r>
        <w:t xml:space="preserve">avait une conception large : onze groupes répartis en deux cohortes, avec différentes doses, différents intervalles d’administration (toutes les quatre ou huit semaines) et avec ou sans titration lente.</w:t>
      </w:r>
    </w:p>
    <w:p>
      <w:pPr>
        <w:numPr>
          <w:ilvl w:val="0"/>
          <w:numId w:val="1091"/>
        </w:numPr>
        <w:pStyle w:val="Compact"/>
      </w:pPr>
      <w:r>
        <w:rPr>
          <w:bCs/>
          <w:b/>
        </w:rPr>
        <w:t xml:space="preserve">Sans diabète</w:t>
      </w:r>
      <w:r>
        <w:t xml:space="preserve"> </w:t>
      </w:r>
      <w:r>
        <w:t xml:space="preserve">(465 participants, IMC moyen 37,9) : après 52 semaines, la perte de poids était selon le groupe de 12,3 à 16,2 %, contre 2,5 % sous placebo. Cette analyse tient compte de tous les participants, indépendamment des arrêts de traitement.</w:t>
      </w:r>
    </w:p>
    <w:p>
      <w:pPr>
        <w:numPr>
          <w:ilvl w:val="0"/>
          <w:numId w:val="1091"/>
        </w:numPr>
        <w:pStyle w:val="Compact"/>
      </w:pPr>
      <w:r>
        <w:rPr>
          <w:bCs/>
          <w:b/>
        </w:rPr>
        <w:t xml:space="preserve">Avec diabète de type 2</w:t>
      </w:r>
      <w:r>
        <w:t xml:space="preserve"> </w:t>
      </w:r>
      <w:r>
        <w:t xml:space="preserve">(127 participants) : perte de poids de 8,4 à 12,3 % contre 1,7 % ; l’HbA1c a baissé de 1,2 à 1,6 point de pourcentage (placebo +0,1).</w:t>
      </w:r>
    </w:p>
    <w:p>
      <w:pPr>
        <w:pStyle w:val="FirstParagraph"/>
      </w:pPr>
      <w:r>
        <w:t xml:space="preserve">Les effets indésirables digestifs étaient fréquents, mais moins lorsque le traitement commençait par une dose plus faible augmentée lentement. Selon les auteurs, aucun signal de sécurité inattendu n’est apparu. Une perte de poids d’environ 16 % après un an se situe dans la zone du sémaglutide, mais en dessous du tirzépatide. L’avantage potentiel de MariTide tient donc moins à l’ampleur de la perte de poids qu’à la rareté des administrations.</w:t>
      </w:r>
    </w:p>
    <w:bookmarkEnd w:id="736"/>
    <w:bookmarkEnd w:id="737"/>
    <w:bookmarkStart w:id="740" w:name="études-animales-et-de-laboratoire-10"/>
    <w:p>
      <w:pPr>
        <w:pStyle w:val="Heading3"/>
      </w:pPr>
      <w:r>
        <w:t xml:space="preserve">Études animales et de laboratoire</w:t>
      </w:r>
    </w:p>
    <w:p>
      <w:pPr>
        <w:pStyle w:val="FirstParagraph"/>
      </w:pPr>
      <w:r>
        <w:t xml:space="preserve">Dans des systèmes cellulaires, il a été confirmé que l’AMG 133 bloque le récepteur du GIP et active le récepteur du GLP-1. Chez des souris et des macaques crabiers en surpoids, il a réduit le poids corporel et amélioré des marqueurs métaboliques</w:t>
      </w:r>
      <w:r>
        <w:rPr>
          <w:rStyle w:val="FootnoteReference"/>
        </w:rPr>
        <w:footnoteReference w:id="738"/>
      </w:r>
      <w:r>
        <w:t xml:space="preserve">. Des études comparatives chez la souris sur le blocage du GIP par rapport à son activation montrent des effets différents sur la sensibilité à l’insuline et le tissu adipeux</w:t>
      </w:r>
      <w:r>
        <w:rPr>
          <w:rStyle w:val="FootnoteReference"/>
        </w:rPr>
        <w:footnoteReference w:id="739"/>
      </w:r>
      <w:r>
        <w:t xml:space="preserve">. Tous ces résultats proviennent d’expériences animales.</w:t>
      </w:r>
    </w:p>
    <w:bookmarkEnd w:id="740"/>
    <w:bookmarkStart w:id="744" w:name="risques-et-effets-indésirables-10"/>
    <w:p>
      <w:pPr>
        <w:pStyle w:val="Heading3"/>
      </w:pPr>
      <w:r>
        <w:t xml:space="preserve">Risques et effets indésirables</w:t>
      </w:r>
    </w:p>
    <w:p>
      <w:pPr>
        <w:pStyle w:val="FirstParagraph"/>
      </w:pPr>
      <w:r>
        <w:rPr>
          <w:bCs/>
          <w:b/>
        </w:rPr>
        <w:t xml:space="preserve">Établi par les études :</w:t>
      </w:r>
    </w:p>
    <w:p>
      <w:pPr>
        <w:numPr>
          <w:ilvl w:val="0"/>
          <w:numId w:val="1092"/>
        </w:numPr>
        <w:pStyle w:val="Compact"/>
      </w:pPr>
      <w:r>
        <w:rPr>
          <w:bCs/>
          <w:b/>
        </w:rPr>
        <w:t xml:space="preserve">Troubles digestifs</w:t>
      </w:r>
      <w:r>
        <w:t xml:space="preserve"> </w:t>
      </w:r>
      <w:r>
        <w:t xml:space="preserve">(nausées, vomissements) : ils étaient fréquents dans l’étude de phase 2, surtout avec une dose initiale élevée sans titration</w:t>
      </w:r>
      <w:r>
        <w:rPr>
          <w:rStyle w:val="FootnoteReference"/>
        </w:rPr>
        <w:footnoteReference w:id="741"/>
      </w:r>
      <w:r>
        <w:t xml:space="preserve">. Le résumé ne donne pas de pourcentages précis.</w:t>
      </w:r>
    </w:p>
    <w:p>
      <w:pPr>
        <w:pStyle w:val="FirstParagraph"/>
      </w:pPr>
      <w:r>
        <w:rPr>
          <w:bCs/>
          <w:b/>
        </w:rPr>
        <w:t xml:space="preserve">Questions spécifiques encore ouvertes :</w:t>
      </w:r>
    </w:p>
    <w:p>
      <w:pPr>
        <w:numPr>
          <w:ilvl w:val="0"/>
          <w:numId w:val="1093"/>
        </w:numPr>
        <w:pStyle w:val="Compact"/>
      </w:pPr>
      <w:r>
        <w:rPr>
          <w:bCs/>
          <w:b/>
        </w:rPr>
        <w:t xml:space="preserve">Longue durée d’action :</w:t>
      </w:r>
      <w:r>
        <w:t xml:space="preserve"> </w:t>
      </w:r>
      <w:r>
        <w:t xml:space="preserve">ce qui passe pour un avantage chez de nombreux patients est un inconvénient en cas d’effets indésirables : un médicament qui reste des mois dans l’organisme ne peut pas être arrêté rapidement. Dans l’étude de phase 1, l’effet persistait jusqu’à 150 jours après la dernière dose</w:t>
      </w:r>
      <w:r>
        <w:rPr>
          <w:rStyle w:val="FootnoteReference"/>
        </w:rPr>
        <w:footnoteReference w:id="742"/>
      </w:r>
      <w:r>
        <w:t xml:space="preserve">. Cela est pertinent par exemple en cas de grossesse non prévue ou avant une intervention chirurgicale.</w:t>
      </w:r>
    </w:p>
    <w:p>
      <w:pPr>
        <w:numPr>
          <w:ilvl w:val="0"/>
          <w:numId w:val="1093"/>
        </w:numPr>
        <w:pStyle w:val="Compact"/>
      </w:pPr>
      <w:r>
        <w:rPr>
          <w:bCs/>
          <w:b/>
        </w:rPr>
        <w:t xml:space="preserve">Blocage du GIP :</w:t>
      </w:r>
      <w:r>
        <w:t xml:space="preserve"> </w:t>
      </w:r>
      <w:r>
        <w:t xml:space="preserve">les conséquences à long terme d’un blocage permanent du récepteur du GIP – par exemple sur les os, le tissu adipeux ou la sensibilité à l’insuline – sont inconnues chez l’humain. Dans des études chez la souris, un antagoniste du GIP a réduit la sensibilité à l’insuline par rapport à des animaux témoins recevant la même quantité de nourriture</w:t>
      </w:r>
      <w:r>
        <w:rPr>
          <w:rStyle w:val="FootnoteReference"/>
        </w:rPr>
        <w:footnoteReference w:id="743"/>
      </w:r>
      <w:r>
        <w:t xml:space="preserve">.</w:t>
      </w:r>
    </w:p>
    <w:p>
      <w:pPr>
        <w:numPr>
          <w:ilvl w:val="0"/>
          <w:numId w:val="1093"/>
        </w:numPr>
        <w:pStyle w:val="Compact"/>
      </w:pPr>
      <w:r>
        <w:rPr>
          <w:bCs/>
          <w:b/>
        </w:rPr>
        <w:t xml:space="preserve">Formation d’anticorps :</w:t>
      </w:r>
      <w:r>
        <w:t xml:space="preserve"> </w:t>
      </w:r>
      <w:r>
        <w:t xml:space="preserve">avec les médicaments à base d’anticorps, le système immunitaire peut former des anticorps contre le médicament. Les données de grandes études sur ce point sont encore attendues.</w:t>
      </w:r>
    </w:p>
    <w:p>
      <w:pPr>
        <w:numPr>
          <w:ilvl w:val="0"/>
          <w:numId w:val="1093"/>
        </w:numPr>
        <w:pStyle w:val="Compact"/>
      </w:pPr>
      <w:r>
        <w:t xml:space="preserve">Les risques de classe connus des médicaments GLP-1 (vésicule biliaire, pancréas) ne sont pas encore suffisamment étudiés pour MariTide.</w:t>
      </w:r>
    </w:p>
    <w:bookmarkEnd w:id="744"/>
    <w:bookmarkStart w:id="745" w:name="statut-juridique-10"/>
    <w:p>
      <w:pPr>
        <w:pStyle w:val="Heading3"/>
      </w:pPr>
      <w:r>
        <w:t xml:space="preserve">Statut juridique</w:t>
      </w:r>
    </w:p>
    <w:p>
      <w:pPr>
        <w:numPr>
          <w:ilvl w:val="0"/>
          <w:numId w:val="1094"/>
        </w:numPr>
        <w:pStyle w:val="Compact"/>
      </w:pPr>
      <w:r>
        <w:rPr>
          <w:bCs/>
          <w:b/>
        </w:rPr>
        <w:t xml:space="preserve">UE / Autriche / Allemagne :</w:t>
      </w:r>
      <w:r>
        <w:t xml:space="preserve"> </w:t>
      </w:r>
      <w:r>
        <w:t xml:space="preserve">non autorisé ; utilisation uniquement dans des essais cliniques. S’agissant d’un produit biotechnologique complexe, une imitation sur le marché gris est nettement plus difficile qu’avec de petits peptides.</w:t>
      </w:r>
    </w:p>
    <w:p>
      <w:pPr>
        <w:numPr>
          <w:ilvl w:val="0"/>
          <w:numId w:val="1094"/>
        </w:numPr>
        <w:pStyle w:val="Compact"/>
      </w:pPr>
      <w:r>
        <w:rPr>
          <w:bCs/>
          <w:b/>
        </w:rPr>
        <w:t xml:space="preserve">États-Unis :</w:t>
      </w:r>
      <w:r>
        <w:t xml:space="preserve"> </w:t>
      </w:r>
      <w:r>
        <w:t xml:space="preserve">non autorisé.</w:t>
      </w:r>
    </w:p>
    <w:p>
      <w:pPr>
        <w:numPr>
          <w:ilvl w:val="0"/>
          <w:numId w:val="1094"/>
        </w:numPr>
        <w:pStyle w:val="Compact"/>
      </w:pPr>
      <w:r>
        <w:rPr>
          <w:bCs/>
          <w:b/>
        </w:rPr>
        <w:t xml:space="preserve">Sport :</w:t>
      </w:r>
      <w:r>
        <w:t xml:space="preserve"> </w:t>
      </w:r>
      <w:r>
        <w:t xml:space="preserve">classe S0 de la WADA (substance non approuvée), état 2026, à vérifier.</w:t>
      </w:r>
    </w:p>
    <w:bookmarkEnd w:id="745"/>
    <w:bookmarkStart w:id="757" w:name="études-en-cours-et-perspectives-10"/>
    <w:p>
      <w:pPr>
        <w:pStyle w:val="Heading3"/>
      </w:pPr>
      <w:r>
        <w:t xml:space="preserve">Études en cours et perspectives</w:t>
      </w:r>
    </w:p>
    <w:p>
      <w:pPr>
        <w:pStyle w:val="FirstParagraph"/>
      </w:pPr>
      <w:r>
        <w:rPr>
          <w:bCs/>
          <w:b/>
        </w:rPr>
        <w:t xml:space="preserve">Établi (études enregistrées, état octobre 2026) :</w:t>
      </w:r>
    </w:p>
    <w:p>
      <w:pPr>
        <w:numPr>
          <w:ilvl w:val="0"/>
          <w:numId w:val="1095"/>
        </w:numPr>
        <w:pStyle w:val="Compact"/>
      </w:pPr>
      <w:r>
        <w:rPr>
          <w:bCs/>
          <w:b/>
        </w:rPr>
        <w:t xml:space="preserve">Gestion du poids sans diabète</w:t>
      </w:r>
      <w:r>
        <w:rPr>
          <w:rStyle w:val="FootnoteReference"/>
        </w:rPr>
        <w:footnoteReference w:id="746"/>
      </w:r>
      <w:r>
        <w:t xml:space="preserve"> </w:t>
      </w:r>
      <w:r>
        <w:t xml:space="preserve">: phase 3 avec 3 853 participants, fin prévue en 2027.</w:t>
      </w:r>
    </w:p>
    <w:p>
      <w:pPr>
        <w:numPr>
          <w:ilvl w:val="0"/>
          <w:numId w:val="1095"/>
        </w:numPr>
        <w:pStyle w:val="Compact"/>
      </w:pPr>
      <w:r>
        <w:rPr>
          <w:bCs/>
          <w:b/>
        </w:rPr>
        <w:t xml:space="preserve">Gestion du poids avec diabète de type 2</w:t>
      </w:r>
      <w:r>
        <w:rPr>
          <w:rStyle w:val="FootnoteReference"/>
        </w:rPr>
        <w:footnoteReference w:id="747"/>
      </w:r>
      <w:r>
        <w:t xml:space="preserve"> </w:t>
      </w:r>
      <w:r>
        <w:t xml:space="preserve">: phase 3 avec 1 105 participants.</w:t>
      </w:r>
    </w:p>
    <w:p>
      <w:pPr>
        <w:numPr>
          <w:ilvl w:val="0"/>
          <w:numId w:val="1095"/>
        </w:numPr>
        <w:pStyle w:val="Compact"/>
      </w:pPr>
      <w:r>
        <w:rPr>
          <w:bCs/>
          <w:b/>
        </w:rPr>
        <w:t xml:space="preserve">Étude sur critères cliniques cardiovasculaires</w:t>
      </w:r>
      <w:r>
        <w:rPr>
          <w:rStyle w:val="FootnoteReference"/>
        </w:rPr>
        <w:footnoteReference w:id="748"/>
      </w:r>
      <w:r>
        <w:t xml:space="preserve"> </w:t>
      </w:r>
      <w:r>
        <w:t xml:space="preserve">avec 12 800 participants et</w:t>
      </w:r>
      <w:r>
        <w:t xml:space="preserve"> </w:t>
      </w:r>
      <w:r>
        <w:rPr>
          <w:bCs/>
          <w:b/>
        </w:rPr>
        <w:t xml:space="preserve">étude sur l’insuffisance cardiaque</w:t>
      </w:r>
      <w:r>
        <w:rPr>
          <w:rStyle w:val="FootnoteReference"/>
        </w:rPr>
        <w:footnoteReference w:id="749"/>
      </w:r>
      <w:r>
        <w:t xml:space="preserve"> </w:t>
      </w:r>
      <w:r>
        <w:t xml:space="preserve">avec 5 056 participants, chacune jusqu’en 2030.</w:t>
      </w:r>
    </w:p>
    <w:p>
      <w:pPr>
        <w:numPr>
          <w:ilvl w:val="0"/>
          <w:numId w:val="1095"/>
        </w:numPr>
        <w:pStyle w:val="Compact"/>
      </w:pPr>
      <w:r>
        <w:rPr>
          <w:bCs/>
          <w:b/>
        </w:rPr>
        <w:t xml:space="preserve">Apnée du sommeil</w:t>
      </w:r>
      <w:r>
        <w:t xml:space="preserve"> </w:t>
      </w:r>
      <w:r>
        <w:t xml:space="preserve">sans et avec masque respiratoire</w:t>
      </w:r>
      <w:r>
        <w:rPr>
          <w:rStyle w:val="FootnoteReference"/>
        </w:rPr>
        <w:footnoteReference w:id="750"/>
      </w:r>
      <w:r>
        <w:t xml:space="preserve">.</w:t>
      </w:r>
    </w:p>
    <w:p>
      <w:pPr>
        <w:numPr>
          <w:ilvl w:val="0"/>
          <w:numId w:val="1095"/>
        </w:numPr>
        <w:pStyle w:val="Compact"/>
      </w:pPr>
      <w:r>
        <w:rPr>
          <w:bCs/>
          <w:b/>
        </w:rPr>
        <w:t xml:space="preserve">Comparaison avec le sémaglutide</w:t>
      </w:r>
      <w:r>
        <w:t xml:space="preserve"> </w:t>
      </w:r>
      <w:r>
        <w:t xml:space="preserve">dans le diabète de type 2</w:t>
      </w:r>
      <w:r>
        <w:rPr>
          <w:rStyle w:val="FootnoteReference"/>
        </w:rPr>
        <w:footnoteReference w:id="751"/>
      </w:r>
      <w:r>
        <w:t xml:space="preserve">, passage depuis d’autres médicaments GLP-1</w:t>
      </w:r>
      <w:r>
        <w:rPr>
          <w:rStyle w:val="FootnoteReference"/>
        </w:rPr>
        <w:footnoteReference w:id="752"/>
      </w:r>
      <w:r>
        <w:t xml:space="preserve">, Japon</w:t>
      </w:r>
      <w:r>
        <w:rPr>
          <w:rStyle w:val="FootnoteReference"/>
        </w:rPr>
        <w:footnoteReference w:id="753"/>
      </w:r>
      <w:r>
        <w:t xml:space="preserve">, stéatose hépatique (NCT07441252, phase 2).</w:t>
      </w:r>
    </w:p>
    <w:p>
      <w:pPr>
        <w:numPr>
          <w:ilvl w:val="0"/>
          <w:numId w:val="1095"/>
        </w:numPr>
        <w:pStyle w:val="Compact"/>
      </w:pPr>
      <w:r>
        <w:t xml:space="preserve">Études de phase 1 sur la vidange gastrique</w:t>
      </w:r>
      <w:r>
        <w:rPr>
          <w:rStyle w:val="FootnoteReference"/>
        </w:rPr>
        <w:footnoteReference w:id="754"/>
      </w:r>
      <w:r>
        <w:t xml:space="preserve">, le rythme cardiaque</w:t>
      </w:r>
      <w:r>
        <w:rPr>
          <w:rStyle w:val="FootnoteReference"/>
        </w:rPr>
        <w:footnoteReference w:id="755"/>
      </w:r>
      <w:r>
        <w:t xml:space="preserve"> </w:t>
      </w:r>
      <w:r>
        <w:t xml:space="preserve">et les interactions avec la pilule contraceptive</w:t>
      </w:r>
      <w:r>
        <w:rPr>
          <w:rStyle w:val="FootnoteReference"/>
        </w:rPr>
        <w:footnoteReference w:id="756"/>
      </w:r>
      <w:r>
        <w:t xml:space="preserve">.</w:t>
      </w:r>
    </w:p>
    <w:p>
      <w:pPr>
        <w:pStyle w:val="FirstParagraph"/>
      </w:pPr>
      <w:r>
        <w:rPr>
          <w:bCs/>
          <w:b/>
        </w:rPr>
        <w:t xml:space="preserve">Appréciation :</w:t>
      </w:r>
      <w:r>
        <w:t xml:space="preserve"> </w:t>
      </w:r>
      <w:r>
        <w:t xml:space="preserve">MariTide incarne un autre concept que la famille du tirzépatide – moins d’injections plutôt qu’une perte de poids maximale. Pour les personnes qui ont besoin d’un traitement au long cours, une administration mensuelle ou encore plus espacée pourrait améliorer l’observance. Les grandes études de phase 3 devront montrer si le concept du blocage du GIP est sûr à long terme. Une autorisation n’est réaliste qu’à partir de 2028 au plus tôt.</w:t>
      </w:r>
    </w:p>
    <w:bookmarkEnd w:id="757"/>
    <w:bookmarkStart w:id="758" w:name="conclusion-10"/>
    <w:p>
      <w:pPr>
        <w:pStyle w:val="Heading3"/>
      </w:pPr>
      <w:r>
        <w:t xml:space="preserve">Conclusion</w:t>
      </w:r>
    </w:p>
    <w:p>
      <w:pPr>
        <w:pStyle w:val="FirstParagraph"/>
      </w:pPr>
      <w:r>
        <w:t xml:space="preserve">Le maridebart cafraglutide est un conjugué anticorps-peptide qui active le récepteur du GLP-1 et bloque le récepteur du GIP, et qui n’est administré qu’une fois par mois ou moins souvent. Dans l’étude de phase 2, le poids corporel a diminué après 52 semaines de jusqu’à 16,2 % sans diabète de type 2 et de jusqu’à 12,3 % avec. Les troubles digestifs sont fréquents et dépendent fortement de la titration ; la longue durée d’action est à la fois un avantage et un risque. Le programme de phase 3, avec des études sur critères cliniques dans les maladies cardiovasculaires et l’insuffisance cardiaque, est en cours.</w:t>
      </w:r>
    </w:p>
    <w:bookmarkEnd w:id="758"/>
    <w:bookmarkEnd w:id="759"/>
    <w:bookmarkStart w:id="792" w:name="pramlintide"/>
    <w:p>
      <w:pPr>
        <w:pStyle w:val="Heading2"/>
      </w:pPr>
      <w:r>
        <w:t xml:space="preserve">Pramlintide</w:t>
      </w:r>
    </w:p>
    <w:bookmarkStart w:id="760" w:name="fiche-signalétique-11"/>
    <w:p>
      <w:pPr>
        <w:pStyle w:val="Heading3"/>
      </w:pPr>
      <w:r>
        <w:t xml:space="preserve">Fiche signalétique</w:t>
      </w:r>
    </w:p>
    <w:p>
      <w:pPr>
        <w:numPr>
          <w:ilvl w:val="0"/>
          <w:numId w:val="1096"/>
        </w:numPr>
        <w:pStyle w:val="Compact"/>
      </w:pPr>
      <w:r>
        <w:rPr>
          <w:bCs/>
          <w:b/>
        </w:rPr>
        <w:t xml:space="preserve">Type/structure :</w:t>
      </w:r>
      <w:r>
        <w:t xml:space="preserve"> </w:t>
      </w:r>
      <w:r>
        <w:t xml:space="preserve">analogue de synthèse de l’hormone humaine amyline, composé de 37 acides aminés. Trois acides aminés ont été remplacés (sur le modèle de l’amyline du rat) afin que la molécule ne s’agrège pas comme l’amyline humaine naturelle. Il n’agit que brièvement et s’injecte avant les repas principaux.</w:t>
      </w:r>
    </w:p>
    <w:p>
      <w:pPr>
        <w:numPr>
          <w:ilvl w:val="0"/>
          <w:numId w:val="1096"/>
        </w:numPr>
        <w:pStyle w:val="Compact"/>
      </w:pPr>
      <w:r>
        <w:rPr>
          <w:bCs/>
          <w:b/>
        </w:rPr>
        <w:t xml:space="preserve">Origine :</w:t>
      </w:r>
      <w:r>
        <w:t xml:space="preserve"> </w:t>
      </w:r>
      <w:r>
        <w:t xml:space="preserve">développé par Amylin Pharmaceuticals ; fait aujourd’hui partie du portefeuille d’AstraZeneca. Nom commercial aux États-Unis : Symlin.</w:t>
      </w:r>
    </w:p>
    <w:p>
      <w:pPr>
        <w:numPr>
          <w:ilvl w:val="0"/>
          <w:numId w:val="1096"/>
        </w:numPr>
        <w:pStyle w:val="Compact"/>
      </w:pPr>
      <w:r>
        <w:rPr>
          <w:bCs/>
          <w:b/>
        </w:rPr>
        <w:t xml:space="preserve">Principe d’action :</w:t>
      </w:r>
      <w:r>
        <w:t xml:space="preserve"> </w:t>
      </w:r>
      <w:r>
        <w:t xml:space="preserve">agoniste des récepteurs de l’amyline – ralentit la vidange gastrique, atténue la sécrétion de glucagon après les repas et favorise la sensation de satiété.</w:t>
      </w:r>
    </w:p>
    <w:p>
      <w:pPr>
        <w:numPr>
          <w:ilvl w:val="0"/>
          <w:numId w:val="1096"/>
        </w:numPr>
        <w:pStyle w:val="Compact"/>
      </w:pPr>
      <w:r>
        <w:rPr>
          <w:bCs/>
          <w:b/>
        </w:rPr>
        <w:t xml:space="preserve">Autorisation UE :</w:t>
      </w:r>
      <w:r>
        <w:t xml:space="preserve"> </w:t>
      </w:r>
      <w:r>
        <w:t xml:space="preserve">non – le pramlintide n’a jamais été autorisé dans l’UE.</w:t>
      </w:r>
    </w:p>
    <w:p>
      <w:pPr>
        <w:numPr>
          <w:ilvl w:val="0"/>
          <w:numId w:val="1096"/>
        </w:numPr>
        <w:pStyle w:val="Compact"/>
      </w:pPr>
      <w:r>
        <w:rPr>
          <w:bCs/>
          <w:b/>
        </w:rPr>
        <w:t xml:space="preserve">Autorisation États-Unis :</w:t>
      </w:r>
      <w:r>
        <w:t xml:space="preserve"> </w:t>
      </w:r>
      <w:r>
        <w:t xml:space="preserve">oui, depuis 2005, en complément de l’insuline prandiale dans le diabète de type 1 et de type 2.</w:t>
      </w:r>
    </w:p>
    <w:p>
      <w:pPr>
        <w:numPr>
          <w:ilvl w:val="0"/>
          <w:numId w:val="1096"/>
        </w:numPr>
        <w:pStyle w:val="Compact"/>
      </w:pPr>
      <w:r>
        <w:rPr>
          <w:bCs/>
          <w:b/>
        </w:rPr>
        <w:t xml:space="preserve">AMA (WADA) :</w:t>
      </w:r>
      <w:r>
        <w:t xml:space="preserve"> </w:t>
      </w:r>
      <w:r>
        <w:t xml:space="preserve">non cité nommément ; en raison de l’autorisation américaine, il ne relève pas de S0.</w:t>
      </w:r>
    </w:p>
    <w:p>
      <w:pPr>
        <w:numPr>
          <w:ilvl w:val="0"/>
          <w:numId w:val="1096"/>
        </w:numPr>
        <w:pStyle w:val="Compact"/>
      </w:pPr>
      <w:r>
        <w:rPr>
          <w:bCs/>
          <w:b/>
        </w:rPr>
        <w:t xml:space="preserve">Niveau de preuve :</w:t>
      </w:r>
      <w:r>
        <w:t xml:space="preserve"> </w:t>
      </w:r>
      <w:r>
        <w:rPr>
          <w:bCs/>
          <w:b/>
        </w:rPr>
        <w:t xml:space="preserve">A</w:t>
      </w:r>
      <w:r>
        <w:t xml:space="preserve"> </w:t>
      </w:r>
      <w:r>
        <w:t xml:space="preserve">– plusieurs grandes études randomisées, autorisation aux États-Unis.</w:t>
      </w:r>
    </w:p>
    <w:bookmarkEnd w:id="760"/>
    <w:bookmarkStart w:id="762" w:name="mode-daction-supposé-11"/>
    <w:p>
      <w:pPr>
        <w:pStyle w:val="Heading3"/>
      </w:pPr>
      <w:r>
        <w:t xml:space="preserve">Mode d’action supposé</w:t>
      </w:r>
    </w:p>
    <w:p>
      <w:pPr>
        <w:pStyle w:val="FirstParagraph"/>
      </w:pPr>
      <w:r>
        <w:t xml:space="preserve">Les cellules bêta du pancréas ne sécrètent pas seulement de l’insuline, mais aussi, au même rythme, de l’amyline. Dans le diabète de type 1, les cellules bêta sont détruites – les deux hormones manquent donc, mais en règle générale seule l’insuline est remplacée. Dans le diabète de type 2 avancé aussi, la sécrétion d’amyline est diminuée.</w:t>
      </w:r>
    </w:p>
    <w:p>
      <w:pPr>
        <w:pStyle w:val="BodyText"/>
      </w:pPr>
      <w:r>
        <w:t xml:space="preserve">Après les repas, l’amyline agit dans trois directions : elle ralentit la vidange gastrique, de sorte que le sucre passe plus lentement dans le sang ; elle atténue la sécrétion de glucagon, souvent inappropriée et trop élevée après les repas en cas de diabète ; et elle favorise la sensation de satiété via le tronc cérébral. Le pramlintide devait remplacer cette action manquante et ainsi lisser les pics glycémiques après les repas. Qu’il retarde la vidange gastrique a notamment été montré dans une petite étude chez douze personnes atteintes de diabète de type 1 et de type 2 : le temps nécessaire pour que la moitié d’un repas solide quitte l’estomac est passé de 91 à 268–329 minutes</w:t>
      </w:r>
      <w:r>
        <w:rPr>
          <w:rStyle w:val="FootnoteReference"/>
        </w:rPr>
        <w:footnoteReference w:id="761"/>
      </w:r>
      <w:r>
        <w:t xml:space="preserve">.</w:t>
      </w:r>
    </w:p>
    <w:p>
      <w:pPr>
        <w:pStyle w:val="BodyText"/>
      </w:pPr>
      <w:r>
        <w:t xml:space="preserve">Le pramlintide est historiquement important : il a été le premier médicament à base d’amyline et est considéré comme le précurseur des substances actuelles à base d’amyline à action prolongée comme le cagrilintide et l’amycrétine (voir ces chapitres). Son grand inconvénient pratique est sa courte durée d’action, qui impose plusieurs injections par jour.</w:t>
      </w:r>
    </w:p>
    <w:bookmarkEnd w:id="762"/>
    <w:bookmarkStart w:id="777" w:name="études-chez-lhumain-11"/>
    <w:p>
      <w:pPr>
        <w:pStyle w:val="Heading3"/>
      </w:pPr>
      <w:r>
        <w:t xml:space="preserve">Études chez l’humain</w:t>
      </w:r>
    </w:p>
    <w:p>
      <w:pPr>
        <w:pStyle w:val="FirstParagraph"/>
      </w:pPr>
      <w:r>
        <w:rPr>
          <w:bCs/>
          <w:b/>
        </w:rPr>
        <w:t xml:space="preserve">Ampleur des données :</w:t>
      </w:r>
      <w:r>
        <w:t xml:space="preserve"> </w:t>
      </w:r>
      <w:r>
        <w:t xml:space="preserve">la requête PubMed automatisée (octobre 2026) a fourni 76 études chez l’humain, principalement des années 1996 à 2010, ainsi que quelques méta-analyses. Sur ClinicalTrials.gov, 64 études étaient enregistrées, presque toutes terminées ; les nouvelles études portent surtout sur le « pancréas artificiel » et la recherche sur la migraine.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schéma</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Whitehouse 2002, PMID 11919132</w:t>
            </w:r>
          </w:p>
        </w:tc>
        <w:tc>
          <w:tcPr/>
          <w:p>
            <w:pPr>
              <w:pStyle w:val="Compact"/>
              <w:jc w:val="left"/>
            </w:pPr>
            <w:r>
              <w:t xml:space="preserve">480 adultes atteints de diabète de type 1, contre placebo</w:t>
            </w:r>
          </w:p>
        </w:tc>
        <w:tc>
          <w:tcPr/>
          <w:p>
            <w:pPr>
              <w:pStyle w:val="Compact"/>
              <w:jc w:val="left"/>
            </w:pPr>
            <w:r>
              <w:t xml:space="preserve">52 semaines (+1 an en ouvert)</w:t>
            </w:r>
          </w:p>
        </w:tc>
        <w:tc>
          <w:tcPr/>
          <w:p>
            <w:pPr>
              <w:pStyle w:val="Compact"/>
              <w:jc w:val="left"/>
            </w:pPr>
            <w:r>
              <w:t xml:space="preserve">HbA1c −0,67 vs −0,16 après 13 semaines ; perte de poids au lieu d’une prise</w:t>
            </w:r>
          </w:p>
        </w:tc>
      </w:tr>
      <w:tr>
        <w:tc>
          <w:tcPr/>
          <w:p>
            <w:pPr>
              <w:pStyle w:val="Compact"/>
              <w:jc w:val="left"/>
            </w:pPr>
            <w:r>
              <w:t xml:space="preserve">Ratner 2004, PMID 15498087</w:t>
            </w:r>
          </w:p>
        </w:tc>
        <w:tc>
          <w:tcPr/>
          <w:p>
            <w:pPr>
              <w:pStyle w:val="Compact"/>
              <w:jc w:val="left"/>
            </w:pPr>
            <w:r>
              <w:t xml:space="preserve">651 adultes atteints de diabète de type 1, contre placebo</w:t>
            </w:r>
          </w:p>
        </w:tc>
        <w:tc>
          <w:tcPr/>
          <w:p>
            <w:pPr>
              <w:pStyle w:val="Compact"/>
              <w:jc w:val="left"/>
            </w:pPr>
            <w:r>
              <w:t xml:space="preserve">52 semaines</w:t>
            </w:r>
          </w:p>
        </w:tc>
        <w:tc>
          <w:tcPr/>
          <w:p>
            <w:pPr>
              <w:pStyle w:val="Compact"/>
              <w:jc w:val="left"/>
            </w:pPr>
            <w:r>
              <w:t xml:space="preserve">HbA1c −0,29 à −0,34 vs −0,04 ; poids −0,4 kg vs +0,8 kg</w:t>
            </w:r>
          </w:p>
        </w:tc>
      </w:tr>
      <w:tr>
        <w:tc>
          <w:tcPr/>
          <w:p>
            <w:pPr>
              <w:pStyle w:val="Compact"/>
              <w:jc w:val="left"/>
            </w:pPr>
            <w:r>
              <w:t xml:space="preserve">Hollander 2003, PMID 12610038</w:t>
            </w:r>
          </w:p>
        </w:tc>
        <w:tc>
          <w:tcPr/>
          <w:p>
            <w:pPr>
              <w:pStyle w:val="Compact"/>
              <w:jc w:val="left"/>
            </w:pPr>
            <w:r>
              <w:t xml:space="preserve">656 adultes atteints de diabète de type 2 traité par insuline, contre placebo</w:t>
            </w:r>
          </w:p>
        </w:tc>
        <w:tc>
          <w:tcPr/>
          <w:p>
            <w:pPr>
              <w:pStyle w:val="Compact"/>
              <w:jc w:val="left"/>
            </w:pPr>
            <w:r>
              <w:t xml:space="preserve">52 semaines</w:t>
            </w:r>
          </w:p>
        </w:tc>
        <w:tc>
          <w:tcPr/>
          <w:p>
            <w:pPr>
              <w:pStyle w:val="Compact"/>
              <w:jc w:val="left"/>
            </w:pPr>
            <w:r>
              <w:t xml:space="preserve">HbA1c −0,62 (semaine 52) ; poids −1,4 kg vs +0,7 kg</w:t>
            </w:r>
          </w:p>
        </w:tc>
      </w:tr>
      <w:tr>
        <w:tc>
          <w:tcPr/>
          <w:p>
            <w:pPr>
              <w:pStyle w:val="Compact"/>
              <w:jc w:val="left"/>
            </w:pPr>
            <w:r>
              <w:t xml:space="preserve">Edelman 2006, PMID 17003291</w:t>
            </w:r>
          </w:p>
        </w:tc>
        <w:tc>
          <w:tcPr/>
          <w:p>
            <w:pPr>
              <w:pStyle w:val="Compact"/>
              <w:jc w:val="left"/>
            </w:pPr>
            <w:r>
              <w:t xml:space="preserve">296 adultes atteints de diabète de type 1, insulinothérapie intensifiée</w:t>
            </w:r>
          </w:p>
        </w:tc>
        <w:tc>
          <w:tcPr/>
          <w:p>
            <w:pPr>
              <w:pStyle w:val="Compact"/>
              <w:jc w:val="left"/>
            </w:pPr>
            <w:r>
              <w:t xml:space="preserve">29 semaines</w:t>
            </w:r>
          </w:p>
        </w:tc>
        <w:tc>
          <w:tcPr/>
          <w:p>
            <w:pPr>
              <w:pStyle w:val="Compact"/>
              <w:jc w:val="left"/>
            </w:pPr>
            <w:r>
              <w:t xml:space="preserve">HbA1c identique (−0,5 pour les deux) ; poids −1,3 vs +1,2 kg ; insuline −28 %</w:t>
            </w:r>
          </w:p>
        </w:tc>
      </w:tr>
      <w:tr>
        <w:tc>
          <w:tcPr/>
          <w:p>
            <w:pPr>
              <w:pStyle w:val="Compact"/>
              <w:jc w:val="left"/>
            </w:pPr>
            <w:r>
              <w:t xml:space="preserve">Riddle 2007, PMID 17698615</w:t>
            </w:r>
          </w:p>
        </w:tc>
        <w:tc>
          <w:tcPr/>
          <w:p>
            <w:pPr>
              <w:pStyle w:val="Compact"/>
              <w:jc w:val="left"/>
            </w:pPr>
            <w:r>
              <w:t xml:space="preserve">212 adultes atteints de diabète de type 2 sous insuline basale, contre placebo</w:t>
            </w:r>
          </w:p>
        </w:tc>
        <w:tc>
          <w:tcPr/>
          <w:p>
            <w:pPr>
              <w:pStyle w:val="Compact"/>
              <w:jc w:val="left"/>
            </w:pPr>
            <w:r>
              <w:t xml:space="preserve">16 semaines</w:t>
            </w:r>
          </w:p>
        </w:tc>
        <w:tc>
          <w:tcPr/>
          <w:p>
            <w:pPr>
              <w:pStyle w:val="Compact"/>
              <w:jc w:val="left"/>
            </w:pPr>
            <w:r>
              <w:t xml:space="preserve">HbA1c −0,70 vs −0,36 ; poids −1,6 vs +0,7 kg</w:t>
            </w:r>
          </w:p>
        </w:tc>
      </w:tr>
      <w:tr>
        <w:tc>
          <w:tcPr/>
          <w:p>
            <w:pPr>
              <w:pStyle w:val="Compact"/>
              <w:jc w:val="left"/>
            </w:pPr>
            <w:r>
              <w:t xml:space="preserve">Smith 2008, PMID 18753666</w:t>
            </w:r>
          </w:p>
        </w:tc>
        <w:tc>
          <w:tcPr/>
          <w:p>
            <w:pPr>
              <w:pStyle w:val="Compact"/>
              <w:jc w:val="left"/>
            </w:pPr>
            <w:r>
              <w:t xml:space="preserve">411 adultes obèses, avec programme d’hygiène de vie</w:t>
            </w:r>
          </w:p>
        </w:tc>
        <w:tc>
          <w:tcPr/>
          <w:p>
            <w:pPr>
              <w:pStyle w:val="Compact"/>
              <w:jc w:val="left"/>
            </w:pPr>
            <w:r>
              <w:t xml:space="preserve">4 mois (+8 mois)</w:t>
            </w:r>
          </w:p>
        </w:tc>
        <w:tc>
          <w:tcPr/>
          <w:p>
            <w:pPr>
              <w:pStyle w:val="Compact"/>
              <w:jc w:val="left"/>
            </w:pPr>
            <w:r>
              <w:t xml:space="preserve">après 12 mois, jusqu’à −7,2 kg après correction par le placebo</w:t>
            </w:r>
          </w:p>
        </w:tc>
      </w:tr>
    </w:tbl>
    <w:bookmarkStart w:id="764" w:name="diabète-de-type-1"/>
    <w:p>
      <w:pPr>
        <w:pStyle w:val="Heading4"/>
      </w:pPr>
      <w:r>
        <w:t xml:space="preserve">Diabète de type 1</w:t>
      </w:r>
    </w:p>
    <w:p>
      <w:pPr>
        <w:pStyle w:val="FirstParagraph"/>
      </w:pPr>
      <w:r>
        <w:t xml:space="preserve">Les grandes études d’homologation ont duré un an. Dans l’étude de Whitehouse (2002, PMID 11919132) chez 480 personnes atteintes de diabète de type 1, l’HbA1c a baissé après 13 semaines de 0,67 point de pourcentage contre 0,16 sous placebo ; la différence est restée statistiquement significative jusqu’à la semaine 52. Les participants ont en moyenne perdu du poids au lieu d’en prendre, et le taux global d’hypoglycémies sévères n’était pas augmenté. Dans l’étude de Ratner (2004, PMID 15498087) avec 651 participants, l’effet était plus faible : −0,29 et −0,34 point de pourcentage contre −0,04.</w:t>
      </w:r>
    </w:p>
    <w:p>
      <w:pPr>
        <w:pStyle w:val="BodyText"/>
      </w:pPr>
      <w:r>
        <w:t xml:space="preserve">Ces effets sont modestes. Une méta-analyse en réseau de tous les traitements d’appoint du diabète de type 1, portant sur 58 études, a jugé la fiabilité des preuves majoritairement modérée à très faible et a constaté que le pramlintide – comme les agonistes du GLP-1 et la metformine – rend les nausées plus fréquentes</w:t>
      </w:r>
      <w:r>
        <w:rPr>
          <w:rStyle w:val="FootnoteReference"/>
        </w:rPr>
        <w:footnoteReference w:id="763"/>
      </w:r>
      <w:r>
        <w:t xml:space="preserve">.</w:t>
      </w:r>
    </w:p>
    <w:p>
      <w:pPr>
        <w:pStyle w:val="BodyText"/>
      </w:pPr>
      <w:r>
        <w:t xml:space="preserve">L’étude d’Edelman (2006, PMID 17003291) a apporté un enseignement important : lorsque la dose d’insuline prandiale était réduite par précaution de 30 à 50 % au début du traitement par pramlintide, l’HbA1c avait baissé de la même façon dans les deux groupes après 29 semaines (−0,5 chacun). Sous pramlintide, cependant, les pics glycémiques après les repas étaient plus faibles, le poids a baissé de 1,3 kg (placebo +1,2 kg) et il a fallu 28 % d’insuline en moins. Des nausées sont survenues chez 63 % (placebo 36 %).</w:t>
      </w:r>
    </w:p>
    <w:bookmarkEnd w:id="764"/>
    <w:bookmarkStart w:id="768" w:name="diabète-de-type-2"/>
    <w:p>
      <w:pPr>
        <w:pStyle w:val="Heading4"/>
      </w:pPr>
      <w:r>
        <w:t xml:space="preserve">Diabète de type 2</w:t>
      </w:r>
    </w:p>
    <w:p>
      <w:pPr>
        <w:pStyle w:val="FirstParagraph"/>
      </w:pPr>
      <w:r>
        <w:t xml:space="preserve">Dans le diabète de type 2 traité par insuline, le pramlintide a abaissé l’HbA1c de 0,62 point de pourcentage après un an, avec une perte de poids de 1,4 kg contre une prise de 0,7 kg sous placebo</w:t>
      </w:r>
      <w:r>
        <w:rPr>
          <w:rStyle w:val="FootnoteReference"/>
        </w:rPr>
        <w:footnoteReference w:id="765"/>
      </w:r>
      <w:r>
        <w:t xml:space="preserve">. En complément d’une insuline basale, il s’est montré, dans une étude en ouvert avec 113 participants, aussi efficace qu’une insuline prandiale rapide, mais sans entraîner de prise de poids (0,0 kg vs +4,7 kg) et avec moins d’hypoglycémies légères à modérées ; en revanche, 21 % se sont plaints de nausées</w:t>
      </w:r>
      <w:r>
        <w:rPr>
          <w:rStyle w:val="FootnoteReference"/>
        </w:rPr>
        <w:footnoteReference w:id="766"/>
      </w:r>
      <w:r>
        <w:t xml:space="preserve">.</w:t>
      </w:r>
    </w:p>
    <w:p>
      <w:pPr>
        <w:pStyle w:val="BodyText"/>
      </w:pPr>
      <w:r>
        <w:t xml:space="preserve">Une méta-analyse de huit études randomisées a montré dans le diabète de type 2 une baisse de l’HbA1c de 0,33 point de pourcentage et une perte de poids de 2,57 kg par rapport au contrôle ; les nausées étaient 1,8 fois plus fréquentes</w:t>
      </w:r>
      <w:r>
        <w:rPr>
          <w:rStyle w:val="FootnoteReference"/>
        </w:rPr>
        <w:footnoteReference w:id="767"/>
      </w:r>
      <w:r>
        <w:t xml:space="preserve">.</w:t>
      </w:r>
    </w:p>
    <w:bookmarkEnd w:id="768"/>
    <w:bookmarkStart w:id="772" w:name="obésité"/>
    <w:p>
      <w:pPr>
        <w:pStyle w:val="Heading4"/>
      </w:pPr>
      <w:r>
        <w:t xml:space="preserve">Obésité</w:t>
      </w:r>
    </w:p>
    <w:p>
      <w:pPr>
        <w:pStyle w:val="FirstParagraph"/>
      </w:pPr>
      <w:r>
        <w:t xml:space="preserve">Entre 2005 et 2010, le pramlintide a aussi été évalué comme médicament amaigrissant. Dans une étude de 16 semaines chez 204 personnes obèses, la perte de poids corrigée par le placebo était de 3,7 %</w:t>
      </w:r>
      <w:r>
        <w:rPr>
          <w:rStyle w:val="FootnoteReference"/>
        </w:rPr>
        <w:footnoteReference w:id="769"/>
      </w:r>
      <w:r>
        <w:t xml:space="preserve">. Associé à un programme d’hygiène de vie, presque tous les groupes de dose ont maintenu leur perte de poids sur douze mois ; après correction par le placebo, elle atteignait jusqu’à 7,2 kg, soit 6,8 %</w:t>
      </w:r>
      <w:r>
        <w:rPr>
          <w:rStyle w:val="FootnoteReference"/>
        </w:rPr>
        <w:footnoteReference w:id="770"/>
      </w:r>
      <w:r>
        <w:t xml:space="preserve">. Une association avec la métréleptine (un analogue de la leptine) a permis après 20 semaines une perte de poids de 12,7 % contre 8,4 % avec le pramlintide seul</w:t>
      </w:r>
      <w:r>
        <w:rPr>
          <w:rStyle w:val="FootnoteReference"/>
        </w:rPr>
        <w:footnoteReference w:id="771"/>
      </w:r>
      <w:r>
        <w:t xml:space="preserve">. Ce développement n’a pas été poursuivi jusqu’à l’autorisation.</w:t>
      </w:r>
    </w:p>
    <w:bookmarkEnd w:id="772"/>
    <w:bookmarkStart w:id="776" w:name="Xf951c2f4bc8c13553c2146a74d5101ac1f8dfb1"/>
    <w:p>
      <w:pPr>
        <w:pStyle w:val="Heading4"/>
      </w:pPr>
      <w:r>
        <w:t xml:space="preserve">Applications plus récentes : pancréas artificiel</w:t>
      </w:r>
    </w:p>
    <w:p>
      <w:pPr>
        <w:pStyle w:val="FirstParagraph"/>
      </w:pPr>
      <w:r>
        <w:t xml:space="preserve">Depuis 2015 environ, le pramlintide connaît une petite renaissance dans la recherche sur les systèmes automatisés de pompe à insuline. Dans une étude croisée randomisée, le temps passé dans la cible est passé de 74 % à 84 % avec un système délivrant, outre une insuline rapide, du pramlintide</w:t>
      </w:r>
      <w:r>
        <w:rPr>
          <w:rStyle w:val="FootnoteReference"/>
        </w:rPr>
        <w:footnoteReference w:id="773"/>
      </w:r>
      <w:r>
        <w:t xml:space="preserve">. Une petite étude pilote a examiné si un tel système pouvait rendre superflu le comptage des glucides ; les différences avec le traitement standard n’étaient pas statistiquement significatives</w:t>
      </w:r>
      <w:r>
        <w:rPr>
          <w:rStyle w:val="FootnoteReference"/>
        </w:rPr>
        <w:footnoteReference w:id="774"/>
      </w:r>
      <w:r>
        <w:t xml:space="preserve">. Un mélange fixe de pramlintide et d’une insuline (ADO09) a entraîné, dans une étude de 16 semaines chez 80 personnes atteintes de diabète de type 1, une perte de poids supérieure de 2,1 kg à celle de l’insuline lispro, avec une HbA1c inchangée</w:t>
      </w:r>
      <w:r>
        <w:rPr>
          <w:rStyle w:val="FootnoteReference"/>
        </w:rPr>
        <w:footnoteReference w:id="775"/>
      </w:r>
      <w:r>
        <w:t xml:space="preserve">.</w:t>
      </w:r>
    </w:p>
    <w:bookmarkEnd w:id="776"/>
    <w:bookmarkEnd w:id="777"/>
    <w:bookmarkStart w:id="780" w:name="études-animales-et-de-laboratoire-11"/>
    <w:p>
      <w:pPr>
        <w:pStyle w:val="Heading3"/>
      </w:pPr>
      <w:r>
        <w:t xml:space="preserve">Études animales et de laboratoire</w:t>
      </w:r>
    </w:p>
    <w:p>
      <w:pPr>
        <w:pStyle w:val="FirstParagraph"/>
      </w:pPr>
      <w:r>
        <w:t xml:space="preserve">Les bases de la recherche sur l’amyline proviennent d’études animales et de laboratoire qui ne sont pas présentées en détail ici. Chez les rongeurs, l’association de l’amyline et de la leptine a entraîné une perte de poids supra-additive</w:t>
      </w:r>
      <w:r>
        <w:rPr>
          <w:rStyle w:val="FootnoteReference"/>
        </w:rPr>
        <w:footnoteReference w:id="778"/>
      </w:r>
      <w:r>
        <w:t xml:space="preserve">. Dans des modèles murins, l’amyline a déclenché, comme le peptide messager de la migraine CGRP, une hypersensibilité et une photophobie</w:t>
      </w:r>
      <w:r>
        <w:rPr>
          <w:rStyle w:val="FootnoteReference"/>
        </w:rPr>
        <w:footnoteReference w:id="779"/>
      </w:r>
      <w:r>
        <w:t xml:space="preserve">.</w:t>
      </w:r>
    </w:p>
    <w:bookmarkEnd w:id="780"/>
    <w:bookmarkStart w:id="784" w:name="risques-et-effets-indésirables-11"/>
    <w:p>
      <w:pPr>
        <w:pStyle w:val="Heading3"/>
      </w:pPr>
      <w:r>
        <w:t xml:space="preserve">Risques et effets indésirables</w:t>
      </w:r>
    </w:p>
    <w:p>
      <w:pPr>
        <w:pStyle w:val="FirstParagraph"/>
      </w:pPr>
      <w:r>
        <w:rPr>
          <w:bCs/>
          <w:b/>
        </w:rPr>
        <w:t xml:space="preserve">Établi par les études :</w:t>
      </w:r>
    </w:p>
    <w:p>
      <w:pPr>
        <w:numPr>
          <w:ilvl w:val="0"/>
          <w:numId w:val="1097"/>
        </w:numPr>
        <w:pStyle w:val="Compact"/>
      </w:pPr>
      <w:r>
        <w:rPr>
          <w:bCs/>
          <w:b/>
        </w:rPr>
        <w:t xml:space="preserve">Nausées</w:t>
      </w:r>
      <w:r>
        <w:t xml:space="preserve"> </w:t>
      </w:r>
      <w:r>
        <w:t xml:space="preserve">: c’est l’effet indésirable le plus fréquent, surtout au cours des premières semaines ; selon les études, entre 9 % et 63 %</w:t>
      </w:r>
      <w:r>
        <w:rPr>
          <w:rStyle w:val="FootnoteReference"/>
        </w:rPr>
        <w:footnoteReference w:id="781"/>
      </w:r>
      <w:r>
        <w:t xml:space="preserve">.</w:t>
      </w:r>
    </w:p>
    <w:p>
      <w:pPr>
        <w:numPr>
          <w:ilvl w:val="0"/>
          <w:numId w:val="1097"/>
        </w:numPr>
        <w:pStyle w:val="Compact"/>
      </w:pPr>
      <w:r>
        <w:rPr>
          <w:bCs/>
          <w:b/>
        </w:rPr>
        <w:t xml:space="preserve">Hypoglycémie sévère</w:t>
      </w:r>
      <w:r>
        <w:t xml:space="preserve"> </w:t>
      </w:r>
      <w:r>
        <w:t xml:space="preserve">: c’est le risque le plus important. Le pramlintide lui-même abaisse à peine la glycémie, mais renforce l’effet de l’insuline injectée en même temps, car le sucre du repas arrive avec retard. Dans l’étude d’Edelman, les hypoglycémies sévères étaient plus fréquentes sous pramlintide que sous placebo (0,57 vs 0,30 événement par année-patient), en particulier chez les participants restés à une faible dose</w:t>
      </w:r>
      <w:r>
        <w:rPr>
          <w:rStyle w:val="FootnoteReference"/>
        </w:rPr>
        <w:footnoteReference w:id="782"/>
      </w:r>
      <w:r>
        <w:t xml:space="preserve">. Aux États-Unis, le médicament porte donc un avertissement marqué ; une réduction de la dose d’insuline prandiale est prévue avant le début du traitement – les détails figurent dans le résumé des caractéristiques du produit, et la mise en œuvre relève du médecin.</w:t>
      </w:r>
    </w:p>
    <w:p>
      <w:pPr>
        <w:numPr>
          <w:ilvl w:val="0"/>
          <w:numId w:val="1097"/>
        </w:numPr>
        <w:pStyle w:val="Compact"/>
      </w:pPr>
      <w:r>
        <w:rPr>
          <w:bCs/>
          <w:b/>
        </w:rPr>
        <w:t xml:space="preserve">Céphalées et migraine :</w:t>
      </w:r>
      <w:r>
        <w:t xml:space="preserve"> </w:t>
      </w:r>
      <w:r>
        <w:t xml:space="preserve">dans une étude expérimentale chez 36 personnes migraineuses, 88 % ont eu des céphalées et 41 % une crise de type migraineux après une perfusion de pramlintide</w:t>
      </w:r>
      <w:r>
        <w:rPr>
          <w:rStyle w:val="FootnoteReference"/>
        </w:rPr>
        <w:footnoteReference w:id="783"/>
      </w:r>
      <w:r>
        <w:t xml:space="preserve">. Cette étude utilisait une perfusion à des fins de recherche ; elle montre toutefois que les récepteurs de l’amyline jouent un rôle dans la migraine. Ce résultat est également pertinent pour les nouveaux médicaments à base d’amyline à action prolongée.</w:t>
      </w:r>
    </w:p>
    <w:p>
      <w:pPr>
        <w:numPr>
          <w:ilvl w:val="0"/>
          <w:numId w:val="1097"/>
        </w:numPr>
        <w:pStyle w:val="Compact"/>
      </w:pPr>
      <w:r>
        <w:rPr>
          <w:bCs/>
          <w:b/>
        </w:rPr>
        <w:t xml:space="preserve">Interactions :</w:t>
      </w:r>
      <w:r>
        <w:t xml:space="preserve"> </w:t>
      </w:r>
      <w:r>
        <w:t xml:space="preserve">comme le pramlintide retarde la vidange gastrique, l’absorption de comprimés dont l’action rapide est importante peut être retardée (résumé des caractéristiques du produit).</w:t>
      </w:r>
    </w:p>
    <w:bookmarkEnd w:id="784"/>
    <w:bookmarkStart w:id="785" w:name="statut-juridique-11"/>
    <w:p>
      <w:pPr>
        <w:pStyle w:val="Heading3"/>
      </w:pPr>
      <w:r>
        <w:t xml:space="preserve">Statut juridique</w:t>
      </w:r>
    </w:p>
    <w:p>
      <w:pPr>
        <w:numPr>
          <w:ilvl w:val="0"/>
          <w:numId w:val="1098"/>
        </w:numPr>
        <w:pStyle w:val="Compact"/>
      </w:pPr>
      <w:r>
        <w:rPr>
          <w:bCs/>
          <w:b/>
        </w:rPr>
        <w:t xml:space="preserve">UE / Autriche / Allemagne :</w:t>
      </w:r>
      <w:r>
        <w:t xml:space="preserve"> </w:t>
      </w:r>
      <w:r>
        <w:t xml:space="preserve">non autorisé. En Europe, le pramlintide n’est envisageable que par importation individuelle pour certains patients et ne joue pratiquement aucun rôle.</w:t>
      </w:r>
    </w:p>
    <w:p>
      <w:pPr>
        <w:numPr>
          <w:ilvl w:val="0"/>
          <w:numId w:val="1098"/>
        </w:numPr>
        <w:pStyle w:val="Compact"/>
      </w:pPr>
      <w:r>
        <w:rPr>
          <w:bCs/>
          <w:b/>
        </w:rPr>
        <w:t xml:space="preserve">États-Unis :</w:t>
      </w:r>
      <w:r>
        <w:t xml:space="preserve"> </w:t>
      </w:r>
      <w:r>
        <w:t xml:space="preserve">autorisé depuis 2005 (Symlin) en complément de l’insuline prandiale dans le diabète de type 1 et de type 2 ; soumis à prescription. Il n’est pas autorisé dans l’obésité sans diabète.</w:t>
      </w:r>
    </w:p>
    <w:p>
      <w:pPr>
        <w:numPr>
          <w:ilvl w:val="0"/>
          <w:numId w:val="1098"/>
        </w:numPr>
        <w:pStyle w:val="Compact"/>
      </w:pPr>
      <w:r>
        <w:rPr>
          <w:bCs/>
          <w:b/>
        </w:rPr>
        <w:t xml:space="preserve">Sport :</w:t>
      </w:r>
      <w:r>
        <w:t xml:space="preserve"> </w:t>
      </w:r>
      <w:r>
        <w:t xml:space="preserve">non mentionné sur la liste de la WADA (état 2026, à vérifier).</w:t>
      </w:r>
    </w:p>
    <w:bookmarkEnd w:id="785"/>
    <w:bookmarkStart w:id="790" w:name="études-en-cours-et-perspectives-11"/>
    <w:p>
      <w:pPr>
        <w:pStyle w:val="Heading3"/>
      </w:pPr>
      <w:r>
        <w:t xml:space="preserve">Études en cours et perspectives</w:t>
      </w:r>
    </w:p>
    <w:p>
      <w:pPr>
        <w:pStyle w:val="FirstParagraph"/>
      </w:pPr>
      <w:r>
        <w:rPr>
          <w:bCs/>
          <w:b/>
        </w:rPr>
        <w:t xml:space="preserve">Établi (études enregistrées, état octobre 2026) :</w:t>
      </w:r>
      <w:r>
        <w:t xml:space="preserve"> </w:t>
      </w:r>
      <w:r>
        <w:t xml:space="preserve">les nouvelles études avec le pramlintide sont principalement de petites études fondamentales, par exemple sur le rôle de l’amyline dans la migraine sans aura</w:t>
      </w:r>
      <w:r>
        <w:rPr>
          <w:rStyle w:val="FootnoteReference"/>
        </w:rPr>
        <w:footnoteReference w:id="786"/>
      </w:r>
      <w:r>
        <w:t xml:space="preserve">, dans les céphalées après traumatisme crânien</w:t>
      </w:r>
      <w:r>
        <w:rPr>
          <w:rStyle w:val="FootnoteReference"/>
        </w:rPr>
        <w:footnoteReference w:id="787"/>
      </w:r>
      <w:r>
        <w:t xml:space="preserve"> </w:t>
      </w:r>
      <w:r>
        <w:t xml:space="preserve">et sur la satiété</w:t>
      </w:r>
      <w:r>
        <w:rPr>
          <w:rStyle w:val="FootnoteReference"/>
        </w:rPr>
        <w:footnoteReference w:id="788"/>
      </w:r>
      <w:r>
        <w:t xml:space="preserve">. Les auteurs de l’étude pilote sur la pompe à insuline avec pramlintide annoncent une étude plus grande</w:t>
      </w:r>
      <w:r>
        <w:rPr>
          <w:rStyle w:val="FootnoteReference"/>
        </w:rPr>
        <w:footnoteReference w:id="789"/>
      </w:r>
      <w:r>
        <w:t xml:space="preserve">.</w:t>
      </w:r>
    </w:p>
    <w:p>
      <w:pPr>
        <w:pStyle w:val="BodyText"/>
      </w:pPr>
      <w:r>
        <w:rPr>
          <w:bCs/>
          <w:b/>
        </w:rPr>
        <w:t xml:space="preserve">Appréciation :</w:t>
      </w:r>
      <w:r>
        <w:t xml:space="preserve"> </w:t>
      </w:r>
      <w:r>
        <w:t xml:space="preserve">en tant que médicament, le pramlintide est resté un produit de niche – trop d’injections, trop de nausées, un effet trop faible sur l’HbA1c. Son rôle le plus important est sans doute celui de précurseur : les analogues de l’amyline à action prolongée de nouvelle génération (cagrilintide, amycrétine, éloralintide et autres) s’appuient sur l’expérience acquise avec lui. Il pourrait garder un petit rôle dans la recherche sur les systèmes bihormonaux dans le diabète de type 1.</w:t>
      </w:r>
    </w:p>
    <w:bookmarkEnd w:id="790"/>
    <w:bookmarkStart w:id="791" w:name="conclusion-11"/>
    <w:p>
      <w:pPr>
        <w:pStyle w:val="Heading3"/>
      </w:pPr>
      <w:r>
        <w:t xml:space="preserve">Conclusion</w:t>
      </w:r>
    </w:p>
    <w:p>
      <w:pPr>
        <w:pStyle w:val="FirstParagraph"/>
      </w:pPr>
      <w:r>
        <w:t xml:space="preserve">Le pramlintide est le premier médicament à base d’amyline ; il est autorisé depuis 2005 aux États-Unis, mais pas dans l’UE, en complément de l’insuline. Dans de grandes études, il n’a abaissé l’HbA1c que d’environ 0,3 à 0,7 point de pourcentage, mais a empêché la prise de poids typique de l’insuline et lissé les pics glycémiques après les repas. Les nausées sont fréquentes, et en association avec l’insuline il existe un risque notable d’hypoglycémies sévères. Aujourd’hui, le pramlintide présente surtout un intérêt en tant que précurseur des nouveaux médicaments à base d’amyline à action prolongée.</w:t>
      </w:r>
    </w:p>
    <w:bookmarkEnd w:id="791"/>
    <w:bookmarkEnd w:id="792"/>
    <w:bookmarkStart w:id="829" w:name="setmélanotide"/>
    <w:p>
      <w:pPr>
        <w:pStyle w:val="Heading2"/>
      </w:pPr>
      <w:r>
        <w:t xml:space="preserve">Setmélanotide</w:t>
      </w:r>
    </w:p>
    <w:bookmarkStart w:id="794" w:name="fiche-signalétique-12"/>
    <w:p>
      <w:pPr>
        <w:pStyle w:val="Heading3"/>
      </w:pPr>
      <w:r>
        <w:t xml:space="preserve">Fiche signalétique</w:t>
      </w:r>
    </w:p>
    <w:p>
      <w:pPr>
        <w:numPr>
          <w:ilvl w:val="0"/>
          <w:numId w:val="1099"/>
        </w:numPr>
        <w:pStyle w:val="Compact"/>
      </w:pPr>
      <w:r>
        <w:rPr>
          <w:bCs/>
          <w:b/>
        </w:rPr>
        <w:t xml:space="preserve">Type/structure :</w:t>
      </w:r>
      <w:r>
        <w:t xml:space="preserve"> </w:t>
      </w:r>
      <w:r>
        <w:t xml:space="preserve">petit peptide de synthèse fermé en anneau (cyclique) qui imite le messager endogène alpha-MSH. Administration sous-cutanée une fois par jour. Ancien code de développement RM-493.</w:t>
      </w:r>
    </w:p>
    <w:p>
      <w:pPr>
        <w:numPr>
          <w:ilvl w:val="0"/>
          <w:numId w:val="1099"/>
        </w:numPr>
        <w:pStyle w:val="Compact"/>
      </w:pPr>
      <w:r>
        <w:rPr>
          <w:bCs/>
          <w:b/>
        </w:rPr>
        <w:t xml:space="preserve">Origine :</w:t>
      </w:r>
      <w:r>
        <w:t xml:space="preserve"> </w:t>
      </w:r>
      <w:r>
        <w:t xml:space="preserve">développé par Rhythm Pharmaceuticals ; nom commercial Imcivree.</w:t>
      </w:r>
    </w:p>
    <w:p>
      <w:pPr>
        <w:numPr>
          <w:ilvl w:val="0"/>
          <w:numId w:val="1099"/>
        </w:numPr>
        <w:pStyle w:val="Compact"/>
      </w:pPr>
      <w:r>
        <w:rPr>
          <w:bCs/>
          <w:b/>
        </w:rPr>
        <w:t xml:space="preserve">Principe d’action :</w:t>
      </w:r>
      <w:r>
        <w:t xml:space="preserve"> </w:t>
      </w:r>
      <w:r>
        <w:t xml:space="preserve">agoniste du récepteur de la mélanocortine de type 4 (MC4R) dans l’hypothalamus, un centre de commande essentiel de la faim et de la satiété.</w:t>
      </w:r>
    </w:p>
    <w:p>
      <w:pPr>
        <w:numPr>
          <w:ilvl w:val="0"/>
          <w:numId w:val="1099"/>
        </w:numPr>
        <w:pStyle w:val="Compact"/>
      </w:pPr>
      <w:r>
        <w:rPr>
          <w:bCs/>
          <w:b/>
        </w:rPr>
        <w:t xml:space="preserve">Autorisation UE :</w:t>
      </w:r>
      <w:r>
        <w:t xml:space="preserve"> </w:t>
      </w:r>
      <w:r>
        <w:t xml:space="preserve">oui (Imcivree) dans l’obésité liée à un déficit génétiquement confirmé en POMC, en PCSK1 ou en récepteur de la leptine, ainsi que dans le syndrome de Bardet-Biedl.</w:t>
      </w:r>
    </w:p>
    <w:p>
      <w:pPr>
        <w:numPr>
          <w:ilvl w:val="0"/>
          <w:numId w:val="1099"/>
        </w:numPr>
        <w:pStyle w:val="Compact"/>
      </w:pPr>
      <w:r>
        <w:rPr>
          <w:bCs/>
          <w:b/>
        </w:rPr>
        <w:t xml:space="preserve">Autorisation États-Unis :</w:t>
      </w:r>
      <w:r>
        <w:t xml:space="preserve"> </w:t>
      </w:r>
      <w:r>
        <w:t xml:space="preserve">oui (Imcivree), pour la première fois en 2020, pour les mêmes formes génétiques rares</w:t>
      </w:r>
      <w:r>
        <w:rPr>
          <w:rStyle w:val="FootnoteReference"/>
        </w:rPr>
        <w:footnoteReference w:id="793"/>
      </w:r>
      <w:r>
        <w:t xml:space="preserve">.</w:t>
      </w:r>
    </w:p>
    <w:p>
      <w:pPr>
        <w:numPr>
          <w:ilvl w:val="0"/>
          <w:numId w:val="1099"/>
        </w:numPr>
        <w:pStyle w:val="Compact"/>
      </w:pPr>
      <w:r>
        <w:rPr>
          <w:bCs/>
          <w:b/>
        </w:rPr>
        <w:t xml:space="preserve">AMA (WADA) :</w:t>
      </w:r>
      <w:r>
        <w:t xml:space="preserve"> </w:t>
      </w:r>
      <w:r>
        <w:t xml:space="preserve">non cité nommément ; en tant que médicament autorisé, ne relève pas de S0.</w:t>
      </w:r>
    </w:p>
    <w:p>
      <w:pPr>
        <w:numPr>
          <w:ilvl w:val="0"/>
          <w:numId w:val="1099"/>
        </w:numPr>
        <w:pStyle w:val="Compact"/>
      </w:pPr>
      <w:r>
        <w:rPr>
          <w:bCs/>
          <w:b/>
        </w:rPr>
        <w:t xml:space="preserve">Niveau de preuve :</w:t>
      </w:r>
      <w:r>
        <w:t xml:space="preserve"> </w:t>
      </w:r>
      <w:r>
        <w:rPr>
          <w:bCs/>
          <w:b/>
        </w:rPr>
        <w:t xml:space="preserve">A</w:t>
      </w:r>
      <w:r>
        <w:t xml:space="preserve"> </w:t>
      </w:r>
      <w:r>
        <w:t xml:space="preserve">– autorisation sur la base d’études de phase 3 ; en raison de la rareté des maladies, les études sont toutefois petites et en partie non contrôlées.</w:t>
      </w:r>
    </w:p>
    <w:bookmarkEnd w:id="794"/>
    <w:bookmarkStart w:id="795" w:name="mode-daction-supposé-12"/>
    <w:p>
      <w:pPr>
        <w:pStyle w:val="Heading3"/>
      </w:pPr>
      <w:r>
        <w:t xml:space="preserve">Mode d’action supposé</w:t>
      </w:r>
    </w:p>
    <w:p>
      <w:pPr>
        <w:pStyle w:val="FirstParagraph"/>
      </w:pPr>
      <w:r>
        <w:t xml:space="preserve">Le setmélanotide se distingue fondamentalement de toutes les autres substances de cette partie. Ce n’est pas un médicament amaigrissant généraliste, mais un traitement ciblé pour les personnes chez qui une chaîne de signalisation particulière du cerveau est défectueuse.</w:t>
      </w:r>
    </w:p>
    <w:p>
      <w:pPr>
        <w:pStyle w:val="BodyText"/>
      </w:pPr>
      <w:r>
        <w:t xml:space="preserve">Cette chaîne s’appelle la voie leptine-mélanocortine. En simplifiant : le tissu adipeux sécrète l’hormone leptine. La leptine agit dans l’hypothalamus sur des neurones qui fabriquent, à partir d’une molécule précurseur appelée POMC, le messager alpha-MSH. Cette fabrication nécessite une enzyme appelée PCSK1. L’alpha-MSH active finalement le récepteur MC4 – et le signal est : « Assez mangé. »</w:t>
      </w:r>
    </w:p>
    <w:p>
      <w:pPr>
        <w:pStyle w:val="BodyText"/>
      </w:pPr>
      <w:r>
        <w:t xml:space="preserve">Si l’un de ces maillons fait défaut en raison d’une modification génétique congénitale, il en résulte une faim tourmentante et insatiable (hyperphagie) qui conduit dès la petite enfance à une obésité sévère. Le régime et l’activité physique seuls n’y peuvent pas grand-chose. Le setmélanotide intervient à l’extrémité de la chaîne et active directement le récepteur MC4 – il court-circuite en quelque sorte les maillons défectueux situés en amont.</w:t>
      </w:r>
    </w:p>
    <w:p>
      <w:pPr>
        <w:pStyle w:val="BodyText"/>
      </w:pPr>
      <w:r>
        <w:t xml:space="preserve">Le setmélanotide agit en outre sur le récepteur de la mélanocortine de type 1, étroitement apparenté, dans la peau. Cela explique l’effet indésirable le plus fréquent : un brunissement de la peau (voir ci-dessous) – et cela rapproche le setmélanotide des peptides bronzants comme le mélanotan II et l’afamélanotide (partie II, groupe E).</w:t>
      </w:r>
    </w:p>
    <w:bookmarkEnd w:id="795"/>
    <w:bookmarkStart w:id="811" w:name="études-chez-lhumain-12"/>
    <w:p>
      <w:pPr>
        <w:pStyle w:val="Heading3"/>
      </w:pPr>
      <w:r>
        <w:t xml:space="preserve">Études chez l’humain</w:t>
      </w:r>
    </w:p>
    <w:p>
      <w:pPr>
        <w:pStyle w:val="FirstParagraph"/>
      </w:pPr>
      <w:r>
        <w:rPr>
          <w:bCs/>
          <w:b/>
        </w:rPr>
        <w:t xml:space="preserve">Ampleur des données :</w:t>
      </w:r>
      <w:r>
        <w:t xml:space="preserve"> </w:t>
      </w:r>
      <w:r>
        <w:t xml:space="preserve">la requête PubMed automatisée (octobre 2026) a fourni 15 études chez l’humain. Sur ClinicalTrials.gov, 27 études étaient enregistrées. En raison de la rareté des maladies ciblées, les études ne comptent souvent que 10 à 40 participants ; la plus grande étude randomisée publiée (sur l’obésité hypothalamique) a inclus 120 personnes.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schéma</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Kühnen 2016, PMID 27468060</w:t>
            </w:r>
          </w:p>
        </w:tc>
        <w:tc>
          <w:tcPr/>
          <w:p>
            <w:pPr>
              <w:pStyle w:val="Compact"/>
              <w:jc w:val="left"/>
            </w:pPr>
            <w:r>
              <w:t xml:space="preserve">2 personnes avec déficit en POMC, en ouvert</w:t>
            </w:r>
          </w:p>
        </w:tc>
        <w:tc>
          <w:tcPr/>
          <w:p>
            <w:pPr>
              <w:pStyle w:val="Compact"/>
              <w:jc w:val="left"/>
            </w:pPr>
            <w:r>
              <w:t xml:space="preserve">12 et 42 semaines</w:t>
            </w:r>
          </w:p>
        </w:tc>
        <w:tc>
          <w:tcPr/>
          <w:p>
            <w:pPr>
              <w:pStyle w:val="Compact"/>
              <w:jc w:val="left"/>
            </w:pPr>
            <w:r>
              <w:t xml:space="preserve">−20,5 kg et −51,0 kg ; moins de faim</w:t>
            </w:r>
          </w:p>
        </w:tc>
      </w:tr>
      <w:tr>
        <w:tc>
          <w:tcPr/>
          <w:p>
            <w:pPr>
              <w:pStyle w:val="Compact"/>
              <w:jc w:val="left"/>
            </w:pPr>
            <w:r>
              <w:t xml:space="preserve">Clément 2020 (POMC/LEPR), PMID 33137293</w:t>
            </w:r>
          </w:p>
        </w:tc>
        <w:tc>
          <w:tcPr/>
          <w:p>
            <w:pPr>
              <w:pStyle w:val="Compact"/>
              <w:jc w:val="left"/>
            </w:pPr>
            <w:r>
              <w:t xml:space="preserve">10 personnes avec déficit en POMC et 11 avec déficit en LEPR ; un seul bras, avec phase d’arrêt</w:t>
            </w:r>
          </w:p>
        </w:tc>
        <w:tc>
          <w:tcPr/>
          <w:p>
            <w:pPr>
              <w:pStyle w:val="Compact"/>
              <w:jc w:val="left"/>
            </w:pPr>
            <w:r>
              <w:t xml:space="preserve">environ 1 an</w:t>
            </w:r>
          </w:p>
        </w:tc>
        <w:tc>
          <w:tcPr/>
          <w:p>
            <w:pPr>
              <w:pStyle w:val="Compact"/>
              <w:jc w:val="left"/>
            </w:pPr>
            <w:r>
              <w:t xml:space="preserve">perte de poids ≥10 % chez 80 % (POMC) et 45 % (LEPR)</w:t>
            </w:r>
          </w:p>
        </w:tc>
      </w:tr>
      <w:tr>
        <w:tc>
          <w:tcPr/>
          <w:p>
            <w:pPr>
              <w:pStyle w:val="Compact"/>
              <w:jc w:val="left"/>
            </w:pPr>
            <w:r>
              <w:t xml:space="preserve">Haqq 2022 (BBS/Alström), PMID 36356613</w:t>
            </w:r>
          </w:p>
        </w:tc>
        <w:tc>
          <w:tcPr/>
          <w:p>
            <w:pPr>
              <w:pStyle w:val="Compact"/>
              <w:jc w:val="left"/>
            </w:pPr>
            <w:r>
              <w:t xml:space="preserve">38 personnes avec syndrome de Bardet-Biedl ou d’Alström ; 14 semaines contre placebo, puis en ouvert</w:t>
            </w:r>
          </w:p>
        </w:tc>
        <w:tc>
          <w:tcPr/>
          <w:p>
            <w:pPr>
              <w:pStyle w:val="Compact"/>
              <w:jc w:val="left"/>
            </w:pPr>
            <w:r>
              <w:t xml:space="preserve">66 semaines</w:t>
            </w:r>
          </w:p>
        </w:tc>
        <w:tc>
          <w:tcPr/>
          <w:p>
            <w:pPr>
              <w:pStyle w:val="Compact"/>
              <w:jc w:val="left"/>
            </w:pPr>
            <w:r>
              <w:t xml:space="preserve">perte de poids ≥10 % chez 32,3 % des patients BBS de 12 ans et plus</w:t>
            </w:r>
          </w:p>
        </w:tc>
      </w:tr>
      <w:tr>
        <w:tc>
          <w:tcPr/>
          <w:p>
            <w:pPr>
              <w:pStyle w:val="Compact"/>
              <w:jc w:val="left"/>
            </w:pPr>
            <w:r>
              <w:t xml:space="preserve">VENTURE (Argente 2025), PMID 39549719</w:t>
            </w:r>
          </w:p>
        </w:tc>
        <w:tc>
          <w:tcPr/>
          <w:p>
            <w:pPr>
              <w:pStyle w:val="Compact"/>
              <w:jc w:val="left"/>
            </w:pPr>
            <w:r>
              <w:t xml:space="preserve">12 enfants de 2 à 5 ans, en ouvert</w:t>
            </w:r>
          </w:p>
        </w:tc>
        <w:tc>
          <w:tcPr/>
          <w:p>
            <w:pPr>
              <w:pStyle w:val="Compact"/>
              <w:jc w:val="left"/>
            </w:pPr>
            <w:r>
              <w:t xml:space="preserve">52 semaines</w:t>
            </w:r>
          </w:p>
        </w:tc>
        <w:tc>
          <w:tcPr/>
          <w:p>
            <w:pPr>
              <w:pStyle w:val="Compact"/>
              <w:jc w:val="left"/>
            </w:pPr>
            <w:r>
              <w:t xml:space="preserve">IMC −18 % en moyenne</w:t>
            </w:r>
          </w:p>
        </w:tc>
      </w:tr>
      <w:tr>
        <w:tc>
          <w:tcPr/>
          <w:p>
            <w:pPr>
              <w:pStyle w:val="Compact"/>
              <w:jc w:val="left"/>
            </w:pPr>
            <w:r>
              <w:t xml:space="preserve">Roth 2024 (obésité hypothalamique), PMID 38697184</w:t>
            </w:r>
          </w:p>
        </w:tc>
        <w:tc>
          <w:tcPr/>
          <w:p>
            <w:pPr>
              <w:pStyle w:val="Compact"/>
              <w:jc w:val="left"/>
            </w:pPr>
            <w:r>
              <w:t xml:space="preserve">18 personnes, en ouvert</w:t>
            </w:r>
          </w:p>
        </w:tc>
        <w:tc>
          <w:tcPr/>
          <w:p>
            <w:pPr>
              <w:pStyle w:val="Compact"/>
              <w:jc w:val="left"/>
            </w:pPr>
            <w:r>
              <w:t xml:space="preserve">16 semaines</w:t>
            </w:r>
          </w:p>
        </w:tc>
        <w:tc>
          <w:tcPr/>
          <w:p>
            <w:pPr>
              <w:pStyle w:val="Compact"/>
              <w:jc w:val="left"/>
            </w:pPr>
            <w:r>
              <w:t xml:space="preserve">IMC −15 % en moyenne</w:t>
            </w:r>
          </w:p>
        </w:tc>
      </w:tr>
      <w:tr>
        <w:tc>
          <w:tcPr/>
          <w:p>
            <w:pPr>
              <w:pStyle w:val="Compact"/>
              <w:jc w:val="left"/>
            </w:pPr>
            <w:r>
              <w:t xml:space="preserve">TRANSCEND (Miller 2026), PMID 42418774</w:t>
            </w:r>
          </w:p>
        </w:tc>
        <w:tc>
          <w:tcPr/>
          <w:p>
            <w:pPr>
              <w:pStyle w:val="Compact"/>
              <w:jc w:val="left"/>
            </w:pPr>
            <w:r>
              <w:t xml:space="preserve">120 personnes avec obésité hypothalamique acquise, contre placebo</w:t>
            </w:r>
          </w:p>
        </w:tc>
        <w:tc>
          <w:tcPr/>
          <w:p>
            <w:pPr>
              <w:pStyle w:val="Compact"/>
              <w:jc w:val="left"/>
            </w:pPr>
            <w:r>
              <w:t xml:space="preserve">52 semaines</w:t>
            </w:r>
          </w:p>
        </w:tc>
        <w:tc>
          <w:tcPr/>
          <w:p>
            <w:pPr>
              <w:pStyle w:val="Compact"/>
              <w:jc w:val="left"/>
            </w:pPr>
            <w:r>
              <w:t xml:space="preserve">IMC −16,5 % vs +3,3 %</w:t>
            </w:r>
          </w:p>
        </w:tc>
      </w:tr>
    </w:tbl>
    <w:bookmarkStart w:id="799" w:name="X7aecf8dd4367416c15e38383a90bfeeba7bf6d6"/>
    <w:p>
      <w:pPr>
        <w:pStyle w:val="Heading4"/>
      </w:pPr>
      <w:r>
        <w:t xml:space="preserve">Déficit en POMC, en PCSK1 et en récepteur de la leptine</w:t>
      </w:r>
    </w:p>
    <w:p>
      <w:pPr>
        <w:pStyle w:val="FirstParagraph"/>
      </w:pPr>
      <w:r>
        <w:t xml:space="preserve">Les premiers rapports étaient des cas isolés : deux patients avec déficit en POMC ont perdu, dans une étude initiée par des médecins, 51,0 kg en 42 semaines et 20,5 kg en 12 semaines, et leur faim a durablement diminué</w:t>
      </w:r>
      <w:r>
        <w:rPr>
          <w:rStyle w:val="FootnoteReference"/>
        </w:rPr>
        <w:footnoteReference w:id="796"/>
      </w:r>
      <w:r>
        <w:t xml:space="preserve">. Des résultats similaires ont été décrits chez trois personnes avec déficit en récepteur de la leptine</w:t>
      </w:r>
      <w:r>
        <w:rPr>
          <w:rStyle w:val="FootnoteReference"/>
        </w:rPr>
        <w:footnoteReference w:id="797"/>
      </w:r>
      <w:r>
        <w:t xml:space="preserve">.</w:t>
      </w:r>
    </w:p>
    <w:p>
      <w:pPr>
        <w:pStyle w:val="BodyText"/>
      </w:pPr>
      <w:r>
        <w:t xml:space="preserve">Les études d’homologation</w:t>
      </w:r>
      <w:r>
        <w:rPr>
          <w:rStyle w:val="FootnoteReference"/>
        </w:rPr>
        <w:footnoteReference w:id="798"/>
      </w:r>
      <w:r>
        <w:t xml:space="preserve"> </w:t>
      </w:r>
      <w:r>
        <w:t xml:space="preserve">étaient à un seul bras – il n’y avait donc pas de groupe placebo sur toute la durée –, mais comportaient une courte phase d’arrêt en aveugle. Après environ un an, 8 personnes sur 10 avec déficit en POMC et 5 sur 11 avec déficit en récepteur de la leptine avaient perdu au moins 10 % de leur poids. La faim, sur une échelle de 0 à 10, a diminué de 27,1 % et 43,7 % respectivement. Pour des maladies aussi rares, de petites études non contrôlées sont souvent la seule option réalisable. Dans une maladie où, sans traitement, on ne peut pratiquement s’attendre à aucune perte de poids, les résultats sont néanmoins probants.</w:t>
      </w:r>
    </w:p>
    <w:bookmarkEnd w:id="799"/>
    <w:bookmarkStart w:id="802" w:name="syndrome-de-bardet-biedl"/>
    <w:p>
      <w:pPr>
        <w:pStyle w:val="Heading4"/>
      </w:pPr>
      <w:r>
        <w:t xml:space="preserve">Syndrome de Bardet-Biedl</w:t>
      </w:r>
    </w:p>
    <w:p>
      <w:pPr>
        <w:pStyle w:val="FirstParagraph"/>
      </w:pPr>
      <w:r>
        <w:t xml:space="preserve">Le syndrome de Bardet-Biedl (BBS) est une maladie héréditaire rare dans laquelle les fins prolongements cellulaires (cils) sont perturbés ; outre des atteintes rétiniennes, des problèmes rénaux et des doigts ou orteils surnuméraires, il comporte une faim intense et une obésité. Dans l’étude de phase 3</w:t>
      </w:r>
      <w:r>
        <w:rPr>
          <w:rStyle w:val="FootnoteReference"/>
        </w:rPr>
        <w:footnoteReference w:id="800"/>
      </w:r>
      <w:r>
        <w:t xml:space="preserve">, 32,3 % des personnes atteintes de BBS âgées de 12 ans et plus ont atteint après 52 semaines une perte de poids d’au moins 10 %. Dans le syndrome d’Alström, apparenté, les résultats n’étaient pas univoques. Une comparaison avec un groupe témoin apparié issu d’un registre BBS a montré que 58,6 % des patients traités contre 6,9 % des patients non traités atteignaient le critère de succès respectif</w:t>
      </w:r>
      <w:r>
        <w:rPr>
          <w:rStyle w:val="FootnoteReference"/>
        </w:rPr>
        <w:footnoteReference w:id="801"/>
      </w:r>
      <w:r>
        <w:t xml:space="preserve"> </w:t>
      </w:r>
      <w:r>
        <w:t xml:space="preserve">– une mise en perspective indirecte, mais utile.</w:t>
      </w:r>
    </w:p>
    <w:bookmarkEnd w:id="802"/>
    <w:bookmarkStart w:id="804" w:name="jeunes-enfants"/>
    <w:p>
      <w:pPr>
        <w:pStyle w:val="Heading4"/>
      </w:pPr>
      <w:r>
        <w:t xml:space="preserve">Jeunes enfants</w:t>
      </w:r>
    </w:p>
    <w:p>
      <w:pPr>
        <w:pStyle w:val="FirstParagraph"/>
      </w:pPr>
      <w:r>
        <w:t xml:space="preserve">Dans l’étude ouverte VENTURE, menée chez 12 enfants âgés de 2 à 5 ans, l’IMC a baissé en moyenne de 18 % après un an : de 26 % en cas de déficit en POMC ou en récepteur de la leptine et de 10 % en cas de BBS. 91 % des personnes qui s’occupaient des enfants ont rapporté que ceux-ci avaient moins faim</w:t>
      </w:r>
      <w:r>
        <w:rPr>
          <w:rStyle w:val="FootnoteReference"/>
        </w:rPr>
        <w:footnoteReference w:id="803"/>
      </w:r>
      <w:r>
        <w:t xml:space="preserve">.</w:t>
      </w:r>
    </w:p>
    <w:bookmarkEnd w:id="804"/>
    <w:bookmarkStart w:id="807" w:name="obésité-hypothalamique"/>
    <w:p>
      <w:pPr>
        <w:pStyle w:val="Heading4"/>
      </w:pPr>
      <w:r>
        <w:t xml:space="preserve">Obésité hypothalamique</w:t>
      </w:r>
    </w:p>
    <w:p>
      <w:pPr>
        <w:pStyle w:val="FirstParagraph"/>
      </w:pPr>
      <w:r>
        <w:t xml:space="preserve">Un second groupe cible, plus fréquent, est constitué des personnes dont l’hypothalamus a été lésé par une tumeur (souvent un craniopharyngiome), une opération ou une radiothérapie. Elles développent souvent une obésité difficile à traiter. Après une étude de phase 2 en ouvert avec 18 personnes, dans laquelle l’IMC a baissé en moyenne de 15 % après 16 semaines</w:t>
      </w:r>
      <w:r>
        <w:rPr>
          <w:rStyle w:val="FootnoteReference"/>
        </w:rPr>
        <w:footnoteReference w:id="805"/>
      </w:r>
      <w:r>
        <w:t xml:space="preserve">, a suivi l’étude randomisée de phase 3 TRANSCEND</w:t>
      </w:r>
      <w:r>
        <w:rPr>
          <w:rStyle w:val="FootnoteReference"/>
        </w:rPr>
        <w:footnoteReference w:id="806"/>
      </w:r>
      <w:r>
        <w:t xml:space="preserve"> </w:t>
      </w:r>
      <w:r>
        <w:t xml:space="preserve">:</w:t>
      </w:r>
    </w:p>
    <w:p>
      <w:pPr>
        <w:numPr>
          <w:ilvl w:val="0"/>
          <w:numId w:val="1100"/>
        </w:numPr>
        <w:pStyle w:val="Compact"/>
      </w:pPr>
      <w:r>
        <w:t xml:space="preserve">120 personnes âgées de 4 à 66 ans, rapport 2:1 setmélanotide/placebo.</w:t>
      </w:r>
    </w:p>
    <w:p>
      <w:pPr>
        <w:numPr>
          <w:ilvl w:val="0"/>
          <w:numId w:val="1100"/>
        </w:numPr>
        <w:pStyle w:val="Compact"/>
      </w:pPr>
      <w:r>
        <w:t xml:space="preserve">Après 52 semaines : IMC −16,5 % sous setmélanotide, +3,3 % sous placebo.</w:t>
      </w:r>
    </w:p>
    <w:p>
      <w:pPr>
        <w:numPr>
          <w:ilvl w:val="0"/>
          <w:numId w:val="1100"/>
        </w:numPr>
        <w:pStyle w:val="Compact"/>
      </w:pPr>
      <w:r>
        <w:t xml:space="preserve">Score de faim : −2,73 contre −1,45 point.</w:t>
      </w:r>
    </w:p>
    <w:p>
      <w:pPr>
        <w:numPr>
          <w:ilvl w:val="0"/>
          <w:numId w:val="1100"/>
        </w:numPr>
        <w:pStyle w:val="Compact"/>
      </w:pPr>
      <w:r>
        <w:t xml:space="preserve">Événements indésirables graves : 28 % contre 8 %.</w:t>
      </w:r>
    </w:p>
    <w:bookmarkEnd w:id="807"/>
    <w:bookmarkStart w:id="810" w:name="variantes-génétiques-plus-fréquentes"/>
    <w:p>
      <w:pPr>
        <w:pStyle w:val="Heading4"/>
      </w:pPr>
      <w:r>
        <w:t xml:space="preserve">Variantes génétiques plus fréquentes</w:t>
      </w:r>
    </w:p>
    <w:p>
      <w:pPr>
        <w:pStyle w:val="FirstParagraph"/>
      </w:pPr>
      <w:r>
        <w:t xml:space="preserve">Les données sont moins convaincantes chez les personnes ne portant qu’une seule copie modifiée du gène MC4R – l’une des causes génétiques les plus fréquentes d’obésité sévère. Dans une petite étude de 28 jours, ces personnes ont certes perdu du poids, mais nettement moins que celles présentant un défaut de POMC</w:t>
      </w:r>
      <w:r>
        <w:rPr>
          <w:rStyle w:val="FootnoteReference"/>
        </w:rPr>
        <w:footnoteReference w:id="808"/>
      </w:r>
      <w:r>
        <w:t xml:space="preserve">. La plus grande étude de phase 3 EMANATE sur différentes variantes de la voie MC4R est terminée selon le registre</w:t>
      </w:r>
      <w:r>
        <w:rPr>
          <w:rStyle w:val="FootnoteReference"/>
        </w:rPr>
        <w:footnoteReference w:id="809"/>
      </w:r>
      <w:r>
        <w:t xml:space="preserve"> </w:t>
      </w:r>
      <w:r>
        <w:t xml:space="preserve">; aucune publication évaluée par les pairs n’était encore disponible au moment de la recherche.</w:t>
      </w:r>
    </w:p>
    <w:bookmarkEnd w:id="810"/>
    <w:bookmarkEnd w:id="811"/>
    <w:bookmarkStart w:id="813" w:name="études-animales-et-de-laboratoire-12"/>
    <w:p>
      <w:pPr>
        <w:pStyle w:val="Heading3"/>
      </w:pPr>
      <w:r>
        <w:t xml:space="preserve">Études animales et de laboratoire</w:t>
      </w:r>
    </w:p>
    <w:p>
      <w:pPr>
        <w:pStyle w:val="FirstParagraph"/>
      </w:pPr>
      <w:r>
        <w:t xml:space="preserve">Dans des essais sur cellules, le setmélanotide est nettement plus puissant sur le récepteur MC4 que l’alpha-MSH endogène et peut réactiver partiellement une partie des variantes défectueuses du récepteur. Chez des rongeurs normaux, il a entraîné une perte de poids, mais pas chez des souris totalement dépourvues de récepteur MC4</w:t>
      </w:r>
      <w:r>
        <w:rPr>
          <w:rStyle w:val="FootnoteReference"/>
        </w:rPr>
        <w:footnoteReference w:id="812"/>
      </w:r>
      <w:r>
        <w:t xml:space="preserve">. Cela confirme que l’effet passe effectivement par ce récepteur.</w:t>
      </w:r>
    </w:p>
    <w:bookmarkEnd w:id="813"/>
    <w:bookmarkStart w:id="819" w:name="risques-et-effets-indésirables-12"/>
    <w:p>
      <w:pPr>
        <w:pStyle w:val="Heading3"/>
      </w:pPr>
      <w:r>
        <w:t xml:space="preserve">Risques et effets indésirables</w:t>
      </w:r>
    </w:p>
    <w:p>
      <w:pPr>
        <w:pStyle w:val="FirstParagraph"/>
      </w:pPr>
      <w:r>
        <w:rPr>
          <w:bCs/>
          <w:b/>
        </w:rPr>
        <w:t xml:space="preserve">Établi par les études :</w:t>
      </w:r>
    </w:p>
    <w:p>
      <w:pPr>
        <w:numPr>
          <w:ilvl w:val="0"/>
          <w:numId w:val="1101"/>
        </w:numPr>
        <w:pStyle w:val="Compact"/>
      </w:pPr>
      <w:r>
        <w:rPr>
          <w:bCs/>
          <w:b/>
        </w:rPr>
        <w:t xml:space="preserve">Réactions cutanées au point d’injection</w:t>
      </w:r>
      <w:r>
        <w:t xml:space="preserve"> </w:t>
      </w:r>
      <w:r>
        <w:t xml:space="preserve">(rougeur, gonflement) : chez 96 % dans une méta-analyse de sept études portant sur 185 personnes</w:t>
      </w:r>
      <w:r>
        <w:rPr>
          <w:rStyle w:val="FootnoteReference"/>
        </w:rPr>
        <w:footnoteReference w:id="814"/>
      </w:r>
      <w:r>
        <w:t xml:space="preserve">.</w:t>
      </w:r>
    </w:p>
    <w:p>
      <w:pPr>
        <w:numPr>
          <w:ilvl w:val="0"/>
          <w:numId w:val="1101"/>
        </w:numPr>
        <w:pStyle w:val="Compact"/>
      </w:pPr>
      <w:r>
        <w:rPr>
          <w:bCs/>
          <w:b/>
        </w:rPr>
        <w:t xml:space="preserve">Peau plus foncée (hyperpigmentation) :</w:t>
      </w:r>
      <w:r>
        <w:t xml:space="preserve"> </w:t>
      </w:r>
      <w:r>
        <w:t xml:space="preserve">chez 62 % dans la même méta-analyse. Par l’action sur le récepteur de la mélanocortine de type 1, la peau brunit, les lèvres et les grains de beauté foncent, les cheveux roux peuvent virer au brun. Dans un suivi allant jusqu’à 46 mois, le brunissement se stabilisait avec le temps ; aucune lésion cutanée maligne n’est apparue</w:t>
      </w:r>
      <w:r>
        <w:rPr>
          <w:rStyle w:val="FootnoteReference"/>
        </w:rPr>
        <w:footnoteReference w:id="815"/>
      </w:r>
      <w:r>
        <w:t xml:space="preserve">. Les spécialistes recommandent des examens cutanés réguliers.</w:t>
      </w:r>
    </w:p>
    <w:p>
      <w:pPr>
        <w:numPr>
          <w:ilvl w:val="0"/>
          <w:numId w:val="1101"/>
        </w:numPr>
        <w:pStyle w:val="Compact"/>
      </w:pPr>
      <w:r>
        <w:rPr>
          <w:bCs/>
          <w:b/>
        </w:rPr>
        <w:t xml:space="preserve">Nausées et vomissements :</w:t>
      </w:r>
      <w:r>
        <w:t xml:space="preserve"> </w:t>
      </w:r>
      <w:r>
        <w:t xml:space="preserve">chez 36 % et 26 % ; diarrhées chez 21 %</w:t>
      </w:r>
      <w:r>
        <w:rPr>
          <w:rStyle w:val="FootnoteReference"/>
        </w:rPr>
        <w:footnoteReference w:id="816"/>
      </w:r>
      <w:r>
        <w:t xml:space="preserve">.</w:t>
      </w:r>
    </w:p>
    <w:p>
      <w:pPr>
        <w:numPr>
          <w:ilvl w:val="0"/>
          <w:numId w:val="1101"/>
        </w:numPr>
        <w:pStyle w:val="Compact"/>
      </w:pPr>
      <w:r>
        <w:rPr>
          <w:bCs/>
          <w:b/>
        </w:rPr>
        <w:t xml:space="preserve">Événements indésirables graves :</w:t>
      </w:r>
      <w:r>
        <w:t xml:space="preserve"> </w:t>
      </w:r>
      <w:r>
        <w:t xml:space="preserve">plus fréquents sous setmélanotide dans TRANSCEND (28 % vs 8 %)</w:t>
      </w:r>
      <w:r>
        <w:rPr>
          <w:rStyle w:val="FootnoteReference"/>
        </w:rPr>
        <w:footnoteReference w:id="817"/>
      </w:r>
      <w:r>
        <w:t xml:space="preserve"> </w:t>
      </w:r>
      <w:r>
        <w:t xml:space="preserve">; le résumé ne les détaille pas.</w:t>
      </w:r>
    </w:p>
    <w:p>
      <w:pPr>
        <w:numPr>
          <w:ilvl w:val="0"/>
          <w:numId w:val="1101"/>
        </w:numPr>
        <w:pStyle w:val="Compact"/>
      </w:pPr>
      <w:r>
        <w:t xml:space="preserve">Dans l’étude BBS, des idées suicidaires ont notamment été rapportées comme événements graves, mais n’ont pas été jugées liées au traitement</w:t>
      </w:r>
      <w:r>
        <w:rPr>
          <w:rStyle w:val="FootnoteReference"/>
        </w:rPr>
        <w:footnoteReference w:id="818"/>
      </w:r>
      <w:r>
        <w:t xml:space="preserve">. Le résumé des caractéristiques du produit contient des mises en garde concernant la dépression et les idées suicidaires ainsi que les érections spontanées chez l’homme.</w:t>
      </w:r>
    </w:p>
    <w:p>
      <w:pPr>
        <w:pStyle w:val="FirstParagraph"/>
      </w:pPr>
      <w:r>
        <w:rPr>
          <w:bCs/>
          <w:b/>
        </w:rPr>
        <w:t xml:space="preserve">Théorique :</w:t>
      </w:r>
      <w:r>
        <w:t xml:space="preserve"> </w:t>
      </w:r>
      <w:r>
        <w:t xml:space="preserve">on ignore si la stimulation persistante des cellules pigmentaires influence à long terme le risque de cancer de la peau ; les observations faites jusqu’ici sur quelques années ne montrent pas de signal.</w:t>
      </w:r>
    </w:p>
    <w:p>
      <w:pPr>
        <w:pStyle w:val="BodyText"/>
      </w:pPr>
      <w:r>
        <w:rPr>
          <w:bCs/>
          <w:b/>
        </w:rPr>
        <w:t xml:space="preserve">Potentiel de mésusage :</w:t>
      </w:r>
      <w:r>
        <w:t xml:space="preserve"> </w:t>
      </w:r>
      <w:r>
        <w:t xml:space="preserve">en raison de son effet bronzant, le setmélanotide est parfois associé au mélanotan II sur les forums Internet. Pour les personnes sans défaut génétique démontré, ce n’est pas un moyen amaigrissant approprié, et il n’a pas été étudié dans ce but.</w:t>
      </w:r>
    </w:p>
    <w:bookmarkEnd w:id="819"/>
    <w:bookmarkStart w:id="820" w:name="statut-juridique-12"/>
    <w:p>
      <w:pPr>
        <w:pStyle w:val="Heading3"/>
      </w:pPr>
      <w:r>
        <w:t xml:space="preserve">Statut juridique</w:t>
      </w:r>
    </w:p>
    <w:p>
      <w:pPr>
        <w:numPr>
          <w:ilvl w:val="0"/>
          <w:numId w:val="1102"/>
        </w:numPr>
        <w:pStyle w:val="Compact"/>
      </w:pPr>
      <w:r>
        <w:rPr>
          <w:bCs/>
          <w:b/>
        </w:rPr>
        <w:t xml:space="preserve">UE / Autriche / Allemagne :</w:t>
      </w:r>
      <w:r>
        <w:t xml:space="preserve"> </w:t>
      </w:r>
      <w:r>
        <w:t xml:space="preserve">autorisé (Imcivree), soumis à prescription, uniquement pour les formes génétiquement confirmées (déficit en POMC, en PCSK1, en récepteur de la leptine, syndrome de Bardet-Biedl). Le diagnostic nécessite un examen génétique ; l’instauration et la surveillance relèvent de centres spécialisés. Détails sur l’extension à l’obésité hypothalamique :</w:t>
      </w:r>
    </w:p>
    <w:p>
      <w:pPr>
        <w:numPr>
          <w:ilvl w:val="0"/>
          <w:numId w:val="1102"/>
        </w:numPr>
        <w:pStyle w:val="Compact"/>
      </w:pPr>
      <w:r>
        <w:rPr>
          <w:bCs/>
          <w:b/>
        </w:rPr>
        <w:t xml:space="preserve">États-Unis :</w:t>
      </w:r>
      <w:r>
        <w:t xml:space="preserve"> </w:t>
      </w:r>
      <w:r>
        <w:t xml:space="preserve">autorisé depuis 2020 (POMC, PCSK1, LEPR), étendu ensuite au syndrome de Bardet-Biedl et aux jeunes enfants ; une demande pour l’obésité hypothalamique a été déposée sur la base de TRANSCEND.</w:t>
      </w:r>
    </w:p>
    <w:p>
      <w:pPr>
        <w:numPr>
          <w:ilvl w:val="0"/>
          <w:numId w:val="1102"/>
        </w:numPr>
        <w:pStyle w:val="Compact"/>
      </w:pPr>
      <w:r>
        <w:rPr>
          <w:bCs/>
          <w:b/>
        </w:rPr>
        <w:t xml:space="preserve">Sport :</w:t>
      </w:r>
      <w:r>
        <w:t xml:space="preserve"> </w:t>
      </w:r>
      <w:r>
        <w:t xml:space="preserve">non mentionné sur la liste de la WADA (état 2026, à vérifier).</w:t>
      </w:r>
    </w:p>
    <w:bookmarkEnd w:id="820"/>
    <w:bookmarkStart w:id="827" w:name="études-en-cours-et-perspectives-12"/>
    <w:p>
      <w:pPr>
        <w:pStyle w:val="Heading3"/>
      </w:pPr>
      <w:r>
        <w:t xml:space="preserve">Études en cours et perspectives</w:t>
      </w:r>
    </w:p>
    <w:p>
      <w:pPr>
        <w:pStyle w:val="FirstParagraph"/>
      </w:pPr>
      <w:r>
        <w:rPr>
          <w:bCs/>
          <w:b/>
        </w:rPr>
        <w:t xml:space="preserve">Établi (études enregistrées, état octobre 2026) :</w:t>
      </w:r>
    </w:p>
    <w:p>
      <w:pPr>
        <w:numPr>
          <w:ilvl w:val="0"/>
          <w:numId w:val="1103"/>
        </w:numPr>
        <w:pStyle w:val="Compact"/>
      </w:pPr>
      <w:r>
        <w:rPr>
          <w:bCs/>
          <w:b/>
        </w:rPr>
        <w:t xml:space="preserve">TRANSCEND</w:t>
      </w:r>
      <w:r>
        <w:rPr>
          <w:rStyle w:val="FootnoteReference"/>
        </w:rPr>
        <w:footnoteReference w:id="821"/>
      </w:r>
      <w:r>
        <w:t xml:space="preserve"> </w:t>
      </w:r>
      <w:r>
        <w:t xml:space="preserve">se poursuit dans une extension ; une sous-étude porte sur l’obésité hypothalamique congénitale</w:t>
      </w:r>
      <w:r>
        <w:rPr>
          <w:rStyle w:val="FootnoteReference"/>
        </w:rPr>
        <w:footnoteReference w:id="822"/>
      </w:r>
      <w:r>
        <w:t xml:space="preserve">.</w:t>
      </w:r>
    </w:p>
    <w:p>
      <w:pPr>
        <w:numPr>
          <w:ilvl w:val="0"/>
          <w:numId w:val="1103"/>
        </w:numPr>
        <w:pStyle w:val="Compact"/>
      </w:pPr>
      <w:r>
        <w:rPr>
          <w:bCs/>
          <w:b/>
        </w:rPr>
        <w:t xml:space="preserve">Syndrome de Prader-Willi</w:t>
      </w:r>
      <w:r>
        <w:rPr>
          <w:rStyle w:val="FootnoteReference"/>
        </w:rPr>
        <w:footnoteReference w:id="823"/>
      </w:r>
      <w:r>
        <w:t xml:space="preserve"> </w:t>
      </w:r>
      <w:r>
        <w:t xml:space="preserve">: phase 2 avec 18 participants.</w:t>
      </w:r>
    </w:p>
    <w:p>
      <w:pPr>
        <w:numPr>
          <w:ilvl w:val="0"/>
          <w:numId w:val="1103"/>
        </w:numPr>
        <w:pStyle w:val="Compact"/>
      </w:pPr>
      <w:r>
        <w:rPr>
          <w:bCs/>
          <w:b/>
        </w:rPr>
        <w:t xml:space="preserve">Suivi à long terme</w:t>
      </w:r>
      <w:r>
        <w:t xml:space="preserve"> </w:t>
      </w:r>
      <w:r>
        <w:t xml:space="preserve">dans le BBS et l’obésité génétique sévère en pratique courante</w:t>
      </w:r>
      <w:r>
        <w:rPr>
          <w:rStyle w:val="FootnoteReference"/>
        </w:rPr>
        <w:footnoteReference w:id="824"/>
      </w:r>
      <w:r>
        <w:t xml:space="preserve">.</w:t>
      </w:r>
    </w:p>
    <w:p>
      <w:pPr>
        <w:numPr>
          <w:ilvl w:val="0"/>
          <w:numId w:val="1103"/>
        </w:numPr>
        <w:pStyle w:val="Compact"/>
      </w:pPr>
      <w:r>
        <w:rPr>
          <w:bCs/>
          <w:b/>
        </w:rPr>
        <w:t xml:space="preserve">EMANATE</w:t>
      </w:r>
      <w:r>
        <w:rPr>
          <w:rStyle w:val="FootnoteReference"/>
        </w:rPr>
        <w:footnoteReference w:id="825"/>
      </w:r>
      <w:r>
        <w:t xml:space="preserve"> </w:t>
      </w:r>
      <w:r>
        <w:t xml:space="preserve">et</w:t>
      </w:r>
      <w:r>
        <w:t xml:space="preserve"> </w:t>
      </w:r>
      <w:r>
        <w:rPr>
          <w:bCs/>
          <w:b/>
        </w:rPr>
        <w:t xml:space="preserve">DAYBREAK</w:t>
      </w:r>
      <w:r>
        <w:rPr>
          <w:rStyle w:val="FootnoteReference"/>
        </w:rPr>
        <w:footnoteReference w:id="826"/>
      </w:r>
      <w:r>
        <w:t xml:space="preserve"> </w:t>
      </w:r>
      <w:r>
        <w:t xml:space="preserve">sur d’autres variantes génétiques : terminées, publication en attente.</w:t>
      </w:r>
    </w:p>
    <w:p>
      <w:pPr>
        <w:pStyle w:val="FirstParagraph"/>
      </w:pPr>
      <w:r>
        <w:rPr>
          <w:bCs/>
          <w:b/>
        </w:rPr>
        <w:t xml:space="preserve">Appréciation :</w:t>
      </w:r>
      <w:r>
        <w:t xml:space="preserve"> </w:t>
      </w:r>
      <w:r>
        <w:t xml:space="preserve">le setmélanotide a montré que la médecine de précision est possible dans l’obésité : connaître la cause permet de traiter de façon ciblée. Le groupe cible reste petit ; avec l’obésité hypothalamique, il pourrait toutefois s’élargir nettement. Pour la grande majorité des personnes obèses, chez qui il n’existe pas de tel défaut génétique, les médicaments à base de GLP-1 sont plus efficaces et mieux étudiés.</w:t>
      </w:r>
    </w:p>
    <w:bookmarkEnd w:id="827"/>
    <w:bookmarkStart w:id="828" w:name="conclusion-12"/>
    <w:p>
      <w:pPr>
        <w:pStyle w:val="Heading3"/>
      </w:pPr>
      <w:r>
        <w:t xml:space="preserve">Conclusion</w:t>
      </w:r>
    </w:p>
    <w:p>
      <w:pPr>
        <w:pStyle w:val="FirstParagraph"/>
      </w:pPr>
      <w:r>
        <w:t xml:space="preserve">Le setmélanotide est un petit peptide cyclique qui active le récepteur MC4 dans le cerveau et court-circuite ainsi les maillons défectueux de la voie leptine-mélanocortine. Dans de petites études d’homologation, 80 % des personnes avec déficit en POMC et 45 % avec déficit en récepteur de la leptine ont perdu au moins 10 % de leur poids ; dans l’obésité hypothalamique, l’IMC a baissé de 16,5 % après un an, contre une hausse sous placebo. Presque toutes les personnes traitées présentent des réactions cutanées au point d’injection, la majorité une peau plus foncée. Le setmélanotide est autorisé dans l’UE et aux États-Unis pour des formes génétiques rares d’obésité et n’est pas un médicament destiné à la perte de poids en général.</w:t>
      </w:r>
    </w:p>
    <w:bookmarkEnd w:id="828"/>
    <w:bookmarkEnd w:id="829"/>
    <w:bookmarkStart w:id="854" w:name="aod-9604"/>
    <w:p>
      <w:pPr>
        <w:pStyle w:val="Heading2"/>
      </w:pPr>
      <w:r>
        <w:t xml:space="preserve">AOD-9604</w:t>
      </w:r>
    </w:p>
    <w:bookmarkStart w:id="831" w:name="fiche-signalétique-13"/>
    <w:p>
      <w:pPr>
        <w:pStyle w:val="Heading3"/>
      </w:pPr>
      <w:r>
        <w:t xml:space="preserve">Fiche signalétique</w:t>
      </w:r>
    </w:p>
    <w:p>
      <w:pPr>
        <w:numPr>
          <w:ilvl w:val="0"/>
          <w:numId w:val="1104"/>
        </w:numPr>
        <w:pStyle w:val="Compact"/>
      </w:pPr>
      <w:r>
        <w:rPr>
          <w:bCs/>
          <w:b/>
        </w:rPr>
        <w:t xml:space="preserve">Type/structure :</w:t>
      </w:r>
      <w:r>
        <w:t xml:space="preserve"> </w:t>
      </w:r>
      <w:r>
        <w:t xml:space="preserve">peptide de synthèse issu de l’extrémité terminale (C-terminale) de l’hormone de croissance humaine : les acides aminés 177 à 191, complétés par une tyrosine supplémentaire au début</w:t>
      </w:r>
      <w:r>
        <w:rPr>
          <w:rStyle w:val="FootnoteReference"/>
        </w:rPr>
        <w:footnoteReference w:id="830"/>
      </w:r>
      <w:r>
        <w:t xml:space="preserve">. Souvent proposé sur Internet sous des désignations comme « hGH Fragment 176-191 » ou « Frag 176-191 ». Le nom signifie « Anti-Obesity Drug 9604 ».</w:t>
      </w:r>
    </w:p>
    <w:p>
      <w:pPr>
        <w:numPr>
          <w:ilvl w:val="0"/>
          <w:numId w:val="1104"/>
        </w:numPr>
        <w:pStyle w:val="Compact"/>
      </w:pPr>
      <w:r>
        <w:rPr>
          <w:bCs/>
          <w:b/>
        </w:rPr>
        <w:t xml:space="preserve">Origine :</w:t>
      </w:r>
      <w:r>
        <w:t xml:space="preserve"> </w:t>
      </w:r>
      <w:r>
        <w:t xml:space="preserve">développé dans les années 1990 à la Monash University de Melbourne et poursuivi comme médicament amaigrissant par l’entreprise australienne Metabolic Pharmaceuticals.</w:t>
      </w:r>
    </w:p>
    <w:p>
      <w:pPr>
        <w:numPr>
          <w:ilvl w:val="0"/>
          <w:numId w:val="1104"/>
        </w:numPr>
        <w:pStyle w:val="Compact"/>
      </w:pPr>
      <w:r>
        <w:rPr>
          <w:bCs/>
          <w:b/>
        </w:rPr>
        <w:t xml:space="preserve">Principe d’action (hypothèse) :</w:t>
      </w:r>
      <w:r>
        <w:t xml:space="preserve"> </w:t>
      </w:r>
      <w:r>
        <w:t xml:space="preserve">censé imiter l’effet lipolytique de l’hormone de croissance, sans ses effets sur la glycémie et la croissance.</w:t>
      </w:r>
    </w:p>
    <w:p>
      <w:pPr>
        <w:numPr>
          <w:ilvl w:val="0"/>
          <w:numId w:val="1104"/>
        </w:numPr>
        <w:pStyle w:val="Compact"/>
      </w:pPr>
      <w:r>
        <w:rPr>
          <w:bCs/>
          <w:b/>
        </w:rPr>
        <w:t xml:space="preserve">Autorisation UE / États-Unis :</w:t>
      </w:r>
      <w:r>
        <w:t xml:space="preserve"> </w:t>
      </w:r>
      <w:r>
        <w:t xml:space="preserve">non. Le développement en tant que médicament a été arrêté après des études de phase 2.</w:t>
      </w:r>
    </w:p>
    <w:p>
      <w:pPr>
        <w:numPr>
          <w:ilvl w:val="0"/>
          <w:numId w:val="1104"/>
        </w:numPr>
        <w:pStyle w:val="Compact"/>
      </w:pPr>
      <w:r>
        <w:rPr>
          <w:bCs/>
          <w:b/>
        </w:rPr>
        <w:t xml:space="preserve">AMA (WADA) :</w:t>
      </w:r>
      <w:r>
        <w:t xml:space="preserve"> </w:t>
      </w:r>
      <w:r>
        <w:t xml:space="preserve">interdit – les fragments de l’hormone de croissance comme l’AOD-9604 sont expressément cités sur la liste des interdictions dans la classe S2.</w:t>
      </w:r>
    </w:p>
    <w:p>
      <w:pPr>
        <w:numPr>
          <w:ilvl w:val="0"/>
          <w:numId w:val="1104"/>
        </w:numPr>
        <w:pStyle w:val="Compact"/>
      </w:pPr>
      <w:r>
        <w:rPr>
          <w:bCs/>
          <w:b/>
        </w:rPr>
        <w:t xml:space="preserve">Niveau de preuve :</w:t>
      </w:r>
      <w:r>
        <w:t xml:space="preserve"> </w:t>
      </w:r>
      <w:r>
        <w:rPr>
          <w:bCs/>
          <w:b/>
        </w:rPr>
        <w:t xml:space="preserve">D</w:t>
      </w:r>
      <w:r>
        <w:t xml:space="preserve"> </w:t>
      </w:r>
      <w:r>
        <w:t xml:space="preserve">– aucun résultat publié d’études chez l’humain repérable dans PubMed ; données issues d’études animales et de laboratoire.</w:t>
      </w:r>
    </w:p>
    <w:bookmarkEnd w:id="831"/>
    <w:bookmarkStart w:id="835" w:name="mode-daction-supposé-13"/>
    <w:p>
      <w:pPr>
        <w:pStyle w:val="Heading3"/>
      </w:pPr>
      <w:r>
        <w:t xml:space="preserve">Mode d’action supposé</w:t>
      </w:r>
    </w:p>
    <w:p>
      <w:pPr>
        <w:pStyle w:val="FirstParagraph"/>
      </w:pPr>
      <w:r>
        <w:t xml:space="preserve">L’hormone de croissance (hGH) a de nombreux effets : elle favorise la croissance en taille, agit sur les muscles et les os, stimule la combustion des graisses – et augmente la glycémie en atténuant l’action de l’insuline. Dès les années 1970 et 1980, des chercheurs ont examiné chez l’animal si différents segments de l’hormone portaient différents effets partiels. Fait notable : dans une étude chez le rat, des versions chimiquement modifiées de précisément ce segment (acides aminés 177 à 191) ont provoqué une hyperglycémie et une insulinorésistance</w:t>
      </w:r>
      <w:r>
        <w:rPr>
          <w:rStyle w:val="FootnoteReference"/>
        </w:rPr>
        <w:footnoteReference w:id="832"/>
      </w:r>
      <w:r>
        <w:t xml:space="preserve"> </w:t>
      </w:r>
      <w:r>
        <w:t xml:space="preserve">– soit justement l’effet que l’AOD-9604 devait éviter plus tard. Les résultats dépendent manifestement beaucoup de la forme chimique exacte du peptide.</w:t>
      </w:r>
    </w:p>
    <w:p>
      <w:pPr>
        <w:pStyle w:val="BodyText"/>
      </w:pPr>
      <w:r>
        <w:t xml:space="preserve">L’idée derrière l’AOD-9604 : un court fragment de l’extrémité de l’hormone ne conserverait que l’effet lipolytique. Des analyses de laboratoire ont montré que l’AOD-9604 ne se lie pas au récepteur de l’hormone de croissance et n’y stimule pas non plus la division cellulaire</w:t>
      </w:r>
      <w:r>
        <w:rPr>
          <w:rStyle w:val="FootnoteReference"/>
        </w:rPr>
        <w:footnoteReference w:id="833"/>
      </w:r>
      <w:r>
        <w:t xml:space="preserve">. Ce ne serait donc pas une « petite hormone de croissance », mais une molécule dotée d’un mécanisme d’action propre, pas encore entièrement compris. Dans des expériences sur des souris dépourvues d’adrénorécepteur bêta-3 (un récepteur important pour la lipolyse), l’effet amaigrissant à long terme était absent ; les auteurs en ont conclu que ce récepteur est impliqué, mais n’est pas la cible directe</w:t>
      </w:r>
      <w:r>
        <w:rPr>
          <w:rStyle w:val="FootnoteReference"/>
        </w:rPr>
        <w:footnoteReference w:id="834"/>
      </w:r>
      <w:r>
        <w:t xml:space="preserve">.</w:t>
      </w:r>
    </w:p>
    <w:bookmarkEnd w:id="835"/>
    <w:bookmarkStart w:id="837" w:name="études-chez-lhumain-13"/>
    <w:p>
      <w:pPr>
        <w:pStyle w:val="Heading3"/>
      </w:pPr>
      <w:r>
        <w:t xml:space="preserve">Études chez l’humain</w:t>
      </w:r>
    </w:p>
    <w:p>
      <w:pPr>
        <w:pStyle w:val="FirstParagraph"/>
      </w:pPr>
      <w:r>
        <w:rPr>
          <w:bCs/>
          <w:b/>
        </w:rPr>
        <w:t xml:space="preserve">Ampleur des données :</w:t>
      </w:r>
      <w:r>
        <w:t xml:space="preserve"> </w:t>
      </w:r>
      <w:r>
        <w:t xml:space="preserve">la requête PubMed automatisée (octobre 2026) n’a fourni</w:t>
      </w:r>
      <w:r>
        <w:t xml:space="preserve"> </w:t>
      </w:r>
      <w:r>
        <w:rPr>
          <w:bCs/>
          <w:b/>
        </w:rPr>
        <w:t xml:space="preserve">aucune</w:t>
      </w:r>
      <w:r>
        <w:t xml:space="preserve"> </w:t>
      </w:r>
      <w:r>
        <w:t xml:space="preserve">étude publiée chez l’humain. Sur ClinicalTrials.gov, aucune étude n’est enregistrée sous « AOD9604 » ou « AOD-9604 ».</w:t>
      </w:r>
    </w:p>
    <w:p>
      <w:pPr>
        <w:pStyle w:val="BodyText"/>
      </w:pPr>
      <w:r>
        <w:t xml:space="preserve">Cela ne signifie pas que l’AOD-9604 n’a jamais été testé chez l’humain. Des articles de synthèse des années 2004 à 2006 indiquent que l’AOD-9604 se trouvait en études de phase 2 pour le traitement de l’obésité</w:t>
      </w:r>
      <w:r>
        <w:rPr>
          <w:rStyle w:val="FootnoteReference"/>
        </w:rPr>
        <w:footnoteReference w:id="836"/>
      </w:r>
      <w:r>
        <w:t xml:space="preserve">. Les résultats de ces études n’ont toutefois pas été publiés dans une revue à comité de lecture répertoriée dans PubMed. Selon des informations accessibles au public, le développeur a arrêté le programme amaigrissant dans la seconde moitié des années 2000, faute d’effet suffisant. Comme ces informations ne proviennent pas d’une publication d’étude vérifiable, ce livre ne donne pas de chiffres à ce sujet.</w:t>
      </w:r>
    </w:p>
    <w:p>
      <w:pPr>
        <w:pStyle w:val="BodyText"/>
      </w:pPr>
      <w:r>
        <w:t xml:space="preserve">Pour les lecteurs, cela signifie : si l’on vous propose aujourd’hui de l’AOD-9604 comme peptide amaigrissant ou « brûleur de graisse », aucune étude publiée chez l’humain ne peut être invoquée pour en démontrer l’effet.</w:t>
      </w:r>
    </w:p>
    <w:bookmarkEnd w:id="837"/>
    <w:bookmarkStart w:id="842" w:name="études-animales-et-de-laboratoire-13"/>
    <w:p>
      <w:pPr>
        <w:pStyle w:val="Heading3"/>
      </w:pPr>
      <w:r>
        <w:t xml:space="preserve">Études animales et de laboratoire</w:t>
      </w:r>
    </w:p>
    <w:p>
      <w:pPr>
        <w:pStyle w:val="FirstParagraph"/>
      </w:pPr>
      <w:r>
        <w:t xml:space="preserve">Tous les résultats suivants proviennent d’expériences animales ou d’analyses de laboratoire :</w:t>
      </w:r>
    </w:p>
    <w:p>
      <w:pPr>
        <w:numPr>
          <w:ilvl w:val="0"/>
          <w:numId w:val="1105"/>
        </w:numPr>
        <w:pStyle w:val="Compact"/>
      </w:pPr>
      <w:r>
        <w:rPr>
          <w:bCs/>
          <w:b/>
        </w:rPr>
        <w:t xml:space="preserve">Chez des rats en surpoids</w:t>
      </w:r>
      <w:r>
        <w:t xml:space="preserve"> </w:t>
      </w:r>
      <w:r>
        <w:t xml:space="preserve">(rats Zucker), l’AOD-9604 administré pendant 19 jours dans la nourriture a réduit la prise de poids de plus de moitié ; le tissu adipeux présentait une activité lipolytique accrue. Contrairement à l’hormone de croissance complète, la sensibilité à l’insuline ne s’est pas détériorée</w:t>
      </w:r>
      <w:r>
        <w:rPr>
          <w:rStyle w:val="FootnoteReference"/>
        </w:rPr>
        <w:footnoteReference w:id="838"/>
      </w:r>
      <w:r>
        <w:t xml:space="preserve">.</w:t>
      </w:r>
    </w:p>
    <w:p>
      <w:pPr>
        <w:numPr>
          <w:ilvl w:val="0"/>
          <w:numId w:val="1105"/>
        </w:numPr>
        <w:pStyle w:val="Compact"/>
      </w:pPr>
      <w:r>
        <w:rPr>
          <w:bCs/>
          <w:b/>
        </w:rPr>
        <w:t xml:space="preserve">Chez des souris en surpoids</w:t>
      </w:r>
      <w:r>
        <w:t xml:space="preserve">, l’hormone de croissance comme l’AOD-9604 ont réduit sur 14 jours la prise de poids et augmenté la combustion des graisses. Contrairement à l’hormone de croissance, l’AOD-9604 n’a pas provoqué d’hyperglycémie</w:t>
      </w:r>
      <w:r>
        <w:rPr>
          <w:rStyle w:val="FootnoteReference"/>
        </w:rPr>
        <w:footnoteReference w:id="839"/>
      </w:r>
      <w:r>
        <w:t xml:space="preserve">.</w:t>
      </w:r>
    </w:p>
    <w:p>
      <w:pPr>
        <w:numPr>
          <w:ilvl w:val="0"/>
          <w:numId w:val="1105"/>
        </w:numPr>
        <w:pStyle w:val="Compact"/>
      </w:pPr>
      <w:r>
        <w:rPr>
          <w:bCs/>
          <w:b/>
        </w:rPr>
        <w:t xml:space="preserve">Des travaux préliminaires plus anciens</w:t>
      </w:r>
      <w:r>
        <w:t xml:space="preserve"> </w:t>
      </w:r>
      <w:r>
        <w:t xml:space="preserve">chez la souris avec le peptide apparenté hGH 177–191 ont montré une moindre augmentation du poids corporel et du tissu adipeux</w:t>
      </w:r>
      <w:r>
        <w:rPr>
          <w:rStyle w:val="FootnoteReference"/>
        </w:rPr>
        <w:footnoteReference w:id="840"/>
      </w:r>
      <w:r>
        <w:t xml:space="preserve">.</w:t>
      </w:r>
    </w:p>
    <w:p>
      <w:pPr>
        <w:numPr>
          <w:ilvl w:val="0"/>
          <w:numId w:val="1105"/>
        </w:numPr>
        <w:pStyle w:val="Compact"/>
      </w:pPr>
      <w:r>
        <w:rPr>
          <w:bCs/>
          <w:b/>
        </w:rPr>
        <w:t xml:space="preserve">Chez des lapins</w:t>
      </w:r>
      <w:r>
        <w:t xml:space="preserve"> </w:t>
      </w:r>
      <w:r>
        <w:t xml:space="preserve">atteints d’une gonarthrose provoquée artificiellement, des injections intra-articulaires d’AOD-9604 – seul ou associé à l’acide hyaluronique – ont amélioré l’état du cartilage</w:t>
      </w:r>
      <w:r>
        <w:rPr>
          <w:rStyle w:val="FootnoteReference"/>
        </w:rPr>
        <w:footnoteReference w:id="841"/>
      </w:r>
      <w:r>
        <w:t xml:space="preserve">. Ce résultat est souvent cité sur Internet comme preuve d’un effet « régénérateur articulaire » chez l’humain ; une telle étude chez l’humain n’existe pas.</w:t>
      </w:r>
    </w:p>
    <w:p>
      <w:pPr>
        <w:pStyle w:val="FirstParagraph"/>
      </w:pPr>
      <w:r>
        <w:t xml:space="preserve">Les études animales sont petites, en partie anciennes et proviennent majoritairement de l’entourage des développeurs.</w:t>
      </w:r>
    </w:p>
    <w:bookmarkEnd w:id="842"/>
    <w:bookmarkStart w:id="848" w:name="risques-et-effets-indésirables-13"/>
    <w:p>
      <w:pPr>
        <w:pStyle w:val="Heading3"/>
      </w:pPr>
      <w:r>
        <w:t xml:space="preserve">Risques et effets indésirables</w:t>
      </w:r>
    </w:p>
    <w:p>
      <w:pPr>
        <w:pStyle w:val="FirstParagraph"/>
      </w:pPr>
      <w:r>
        <w:rPr>
          <w:bCs/>
          <w:b/>
        </w:rPr>
        <w:t xml:space="preserve">Établi :</w:t>
      </w:r>
      <w:r>
        <w:t xml:space="preserve"> </w:t>
      </w:r>
      <w:r>
        <w:t xml:space="preserve">faute d’études publiées chez l’humain, il n’existe pas de données fiables sur les effets indésirables chez l’humain.</w:t>
      </w:r>
    </w:p>
    <w:p>
      <w:pPr>
        <w:pStyle w:val="BodyText"/>
      </w:pPr>
      <w:r>
        <w:rPr>
          <w:bCs/>
          <w:b/>
        </w:rPr>
        <w:t xml:space="preserve">D’après des analyses de produits du marché gris et le contrôle antidopage :</w:t>
      </w:r>
    </w:p>
    <w:p>
      <w:pPr>
        <w:numPr>
          <w:ilvl w:val="0"/>
          <w:numId w:val="1106"/>
        </w:numPr>
        <w:pStyle w:val="Compact"/>
      </w:pPr>
      <w:r>
        <w:t xml:space="preserve">L’AOD-9604 est proposé depuis des années sur des sites Internet et a été retrouvé dans des flacons saisis, notamment aux États-Unis</w:t>
      </w:r>
      <w:r>
        <w:rPr>
          <w:rStyle w:val="FootnoteReference"/>
        </w:rPr>
        <w:footnoteReference w:id="843"/>
      </w:r>
      <w:r>
        <w:t xml:space="preserve"> </w:t>
      </w:r>
      <w:r>
        <w:t xml:space="preserve">et en Belgique, où les autorités ont analysé des préparations peptidiques inconnues</w:t>
      </w:r>
      <w:r>
        <w:rPr>
          <w:rStyle w:val="FootnoteReference"/>
        </w:rPr>
        <w:footnoteReference w:id="844"/>
      </w:r>
      <w:r>
        <w:t xml:space="preserve">.</w:t>
      </w:r>
    </w:p>
    <w:p>
      <w:pPr>
        <w:numPr>
          <w:ilvl w:val="0"/>
          <w:numId w:val="1106"/>
        </w:numPr>
        <w:pStyle w:val="Compact"/>
      </w:pPr>
      <w:r>
        <w:t xml:space="preserve">Des articles de synthèse sur les peptides dans le sport et sur le marché gris soulignent que, pour l’AOD-9604 et les substances similaires, il n’existe guère de données de sécurité fiables chez l’humain et que la composition, la dose et la pureté des produits sont incertaines</w:t>
      </w:r>
      <w:r>
        <w:rPr>
          <w:rStyle w:val="FootnoteReference"/>
        </w:rPr>
        <w:footnoteReference w:id="845"/>
      </w:r>
      <w:r>
        <w:t xml:space="preserve">. Une autre synthèse signale des produits mal étiquetés ou contaminés dans le commerce non réglementé</w:t>
      </w:r>
      <w:r>
        <w:rPr>
          <w:rStyle w:val="FootnoteReference"/>
        </w:rPr>
        <w:footnoteReference w:id="846"/>
      </w:r>
      <w:r>
        <w:t xml:space="preserve">.</w:t>
      </w:r>
    </w:p>
    <w:p>
      <w:pPr>
        <w:pStyle w:val="FirstParagraph"/>
      </w:pPr>
      <w:r>
        <w:rPr>
          <w:bCs/>
          <w:b/>
        </w:rPr>
        <w:t xml:space="preserve">Théorique :</w:t>
      </w:r>
      <w:r>
        <w:t xml:space="preserve"> </w:t>
      </w:r>
      <w:r>
        <w:t xml:space="preserve">tout produit injectable issu d’une fabrication non contrôlée comporte des risques liés à des impuretés, des bactéries ou de mauvais composants (voir partie I et partie IV). On n’a pas étudié chez l’humain si l’AOD-9604 – comme l’hormone de croissance – influence à long terme le métabolisme ou la croissance cellulaire. Les données de laboratoire plaident contre une action directe sur le récepteur de l’hormone de croissance</w:t>
      </w:r>
      <w:r>
        <w:rPr>
          <w:rStyle w:val="FootnoteReference"/>
        </w:rPr>
        <w:footnoteReference w:id="847"/>
      </w:r>
      <w:r>
        <w:t xml:space="preserve">.</w:t>
      </w:r>
    </w:p>
    <w:bookmarkEnd w:id="848"/>
    <w:bookmarkStart w:id="851" w:name="statut-juridique-13"/>
    <w:p>
      <w:pPr>
        <w:pStyle w:val="Heading3"/>
      </w:pPr>
      <w:r>
        <w:t xml:space="preserve">Statut juridique</w:t>
      </w:r>
    </w:p>
    <w:p>
      <w:pPr>
        <w:numPr>
          <w:ilvl w:val="0"/>
          <w:numId w:val="1107"/>
        </w:numPr>
        <w:pStyle w:val="Compact"/>
      </w:pPr>
      <w:r>
        <w:rPr>
          <w:bCs/>
          <w:b/>
        </w:rPr>
        <w:t xml:space="preserve">UE / Autriche / Allemagne :</w:t>
      </w:r>
      <w:r>
        <w:t xml:space="preserve"> </w:t>
      </w:r>
      <w:r>
        <w:t xml:space="preserve">non autorisé comme médicament. Les produits proposés pour un usage humain ne peuvent pas être légalement commercialisés au regard du droit pharmaceutique ; les mentions « for research use only » n’y changent rien.</w:t>
      </w:r>
    </w:p>
    <w:p>
      <w:pPr>
        <w:numPr>
          <w:ilvl w:val="0"/>
          <w:numId w:val="1107"/>
        </w:numPr>
        <w:pStyle w:val="Compact"/>
      </w:pPr>
      <w:r>
        <w:rPr>
          <w:bCs/>
          <w:b/>
        </w:rPr>
        <w:t xml:space="preserve">États-Unis :</w:t>
      </w:r>
      <w:r>
        <w:t xml:space="preserve"> </w:t>
      </w:r>
      <w:r>
        <w:t xml:space="preserve">non autorisé comme médicament. La FDA a inscrit l’AOD-9604 sur la liste des substances qui, pour des raisons de sécurité, ne peuvent pas être librement transformées en médicaments par les pharmacies.</w:t>
      </w:r>
    </w:p>
    <w:p>
      <w:pPr>
        <w:numPr>
          <w:ilvl w:val="0"/>
          <w:numId w:val="1107"/>
        </w:numPr>
        <w:pStyle w:val="Compact"/>
      </w:pPr>
      <w:r>
        <w:rPr>
          <w:bCs/>
          <w:b/>
        </w:rPr>
        <w:t xml:space="preserve">Sport :</w:t>
      </w:r>
      <w:r>
        <w:t xml:space="preserve"> </w:t>
      </w:r>
      <w:r>
        <w:t xml:space="preserve">expressément interdit (liste des interdictions de la WADA, classe S2 – hormones peptidiques, facteurs de croissance, substances apparentées ; fragments de l’hormone de croissance). L’AOD-9604 s’est fait connaître d’un large public lors du scandale de dopage du club de football australien d’Essendon en 2013. Des méthodes de détection spécifiques dans l’urine ont été développées pour les contrôles antidopage</w:t>
      </w:r>
      <w:r>
        <w:rPr>
          <w:rStyle w:val="FootnoteReference"/>
        </w:rPr>
        <w:footnoteReference w:id="849"/>
      </w:r>
      <w:r>
        <w:t xml:space="preserve">. Le test habituel de l’hormone de croissance n’est pas influencé par l’AOD-9604</w:t>
      </w:r>
      <w:r>
        <w:rPr>
          <w:rStyle w:val="FootnoteReference"/>
        </w:rPr>
        <w:footnoteReference w:id="850"/>
      </w:r>
      <w:r>
        <w:t xml:space="preserve"> </w:t>
      </w:r>
      <w:r>
        <w:t xml:space="preserve">– le fragment doit donc être recherché de façon ciblée. État 2026, à vérifier.</w:t>
      </w:r>
    </w:p>
    <w:bookmarkEnd w:id="851"/>
    <w:bookmarkStart w:id="852" w:name="études-en-cours-et-perspectives-13"/>
    <w:p>
      <w:pPr>
        <w:pStyle w:val="Heading3"/>
      </w:pPr>
      <w:r>
        <w:t xml:space="preserve">Études en cours et perspectives</w:t>
      </w:r>
    </w:p>
    <w:p>
      <w:pPr>
        <w:pStyle w:val="FirstParagraph"/>
      </w:pPr>
      <w:r>
        <w:rPr>
          <w:bCs/>
          <w:b/>
        </w:rPr>
        <w:t xml:space="preserve">Établi :</w:t>
      </w:r>
      <w:r>
        <w:t xml:space="preserve"> </w:t>
      </w:r>
      <w:r>
        <w:t xml:space="preserve">aucune étude en cours sur l’AOD-9604 n’est enregistrée sur ClinicalTrials.gov (requête d’octobre 2026).</w:t>
      </w:r>
    </w:p>
    <w:p>
      <w:pPr>
        <w:pStyle w:val="BodyText"/>
      </w:pPr>
      <w:r>
        <w:rPr>
          <w:bCs/>
          <w:b/>
        </w:rPr>
        <w:t xml:space="preserve">Appréciation :</w:t>
      </w:r>
      <w:r>
        <w:t xml:space="preserve"> </w:t>
      </w:r>
      <w:r>
        <w:t xml:space="preserve">on ne voit aucune voie par laquelle l’AOD-9604 pourrait devenir un médicament autorisé dans un avenir prévisible. Avec les substances à base de GLP-1, il existe aujourd’hui des médicaments amaigrissants d’une efficacité importante et bien documentée ; un peptide dont le propre développement comme amaigrissant a échoué ne devrait guère susciter de nouvel intérêt des investisseurs. L’AOD-9604 restera donc vraisemblablement un produit du marché gris.</w:t>
      </w:r>
    </w:p>
    <w:bookmarkEnd w:id="852"/>
    <w:bookmarkStart w:id="853" w:name="conclusion-13"/>
    <w:p>
      <w:pPr>
        <w:pStyle w:val="Heading3"/>
      </w:pPr>
      <w:r>
        <w:t xml:space="preserve">Conclusion</w:t>
      </w:r>
    </w:p>
    <w:p>
      <w:pPr>
        <w:pStyle w:val="FirstParagraph"/>
      </w:pPr>
      <w:r>
        <w:t xml:space="preserve">L’AOD-9604 est un court fragment de l’hormone de croissance qui a stimulé la lipolyse chez le rat et la souris sans élever la glycémie. Des études chez l’humain ont certes été menées dans les années 2000, mais leurs résultats n’ont pas été publiés dans des revues à comité de lecture, et le développement comme médicament amaigrissant a été arrêté. Les données fiables sur l’efficacité et la sécurité chez l’humain font donc entièrement défaut. L’AOD-9604 n’est autorisé nulle part comme médicament et il est expressément interdit dans le sport.</w:t>
      </w:r>
    </w:p>
    <w:bookmarkEnd w:id="853"/>
    <w:bookmarkEnd w:id="854"/>
    <w:bookmarkStart w:id="891" w:name="orforglipron-à-titre-de-comparaison"/>
    <w:p>
      <w:pPr>
        <w:pStyle w:val="Heading2"/>
      </w:pPr>
      <w:r>
        <w:t xml:space="preserve">Orforglipron (à titre de comparaison)</w:t>
      </w:r>
    </w:p>
    <w:bookmarkStart w:id="855" w:name="fiche-signalétique-14"/>
    <w:p>
      <w:pPr>
        <w:pStyle w:val="Heading3"/>
      </w:pPr>
      <w:r>
        <w:t xml:space="preserve">Fiche signalétique</w:t>
      </w:r>
    </w:p>
    <w:p>
      <w:pPr>
        <w:numPr>
          <w:ilvl w:val="0"/>
          <w:numId w:val="1108"/>
        </w:numPr>
        <w:pStyle w:val="Compact"/>
      </w:pPr>
      <w:r>
        <w:rPr>
          <w:bCs/>
          <w:b/>
        </w:rPr>
        <w:t xml:space="preserve">Type/structure :</w:t>
      </w:r>
      <w:r>
        <w:t xml:space="preserve"> </w:t>
      </w:r>
      <w:r>
        <w:rPr>
          <w:bCs/>
          <w:b/>
        </w:rPr>
        <w:t xml:space="preserve">pas un peptide</w:t>
      </w:r>
      <w:r>
        <w:t xml:space="preserve">, mais une petite molécule obtenue par synthèse chimique (« small molecule »), qui agit sur le récepteur du GLP-1 comme un peptide. Code de développement LY3502970. Prise quotidienne unique sous forme de comprimé ou de gélule.</w:t>
      </w:r>
    </w:p>
    <w:p>
      <w:pPr>
        <w:numPr>
          <w:ilvl w:val="0"/>
          <w:numId w:val="1108"/>
        </w:numPr>
        <w:pStyle w:val="Compact"/>
      </w:pPr>
      <w:r>
        <w:rPr>
          <w:bCs/>
          <w:b/>
        </w:rPr>
        <w:t xml:space="preserve">Origine :</w:t>
      </w:r>
      <w:r>
        <w:t xml:space="preserve"> </w:t>
      </w:r>
      <w:r>
        <w:t xml:space="preserve">découvert à l’origine par Chugai Pharmaceutical, sous licence et développé par Eli Lilly.</w:t>
      </w:r>
    </w:p>
    <w:p>
      <w:pPr>
        <w:numPr>
          <w:ilvl w:val="0"/>
          <w:numId w:val="1108"/>
        </w:numPr>
        <w:pStyle w:val="Compact"/>
      </w:pPr>
      <w:r>
        <w:rPr>
          <w:bCs/>
          <w:b/>
        </w:rPr>
        <w:t xml:space="preserve">Principe d’action :</w:t>
      </w:r>
      <w:r>
        <w:t xml:space="preserve"> </w:t>
      </w:r>
      <w:r>
        <w:t xml:space="preserve">agoniste du récepteur du GLP-1 – la même cible que le sémaglutide ou le liraglutide, mais avec une structure chimique totalement différente.</w:t>
      </w:r>
    </w:p>
    <w:p>
      <w:pPr>
        <w:numPr>
          <w:ilvl w:val="0"/>
          <w:numId w:val="1108"/>
        </w:numPr>
        <w:pStyle w:val="Compact"/>
      </w:pPr>
      <w:r>
        <w:rPr>
          <w:bCs/>
          <w:b/>
        </w:rPr>
        <w:t xml:space="preserve">Autorisation UE / États-Unis :</w:t>
      </w:r>
      <w:r>
        <w:t xml:space="preserve"> </w:t>
      </w:r>
      <w:r>
        <w:t xml:space="preserve">selon l’état de la recherche pour ce livre (octobre 2026), non répertorié comme autorisé ; des demandes d’autorisation ont été déposées ou annoncées sur la base des études de phase 3 – à vérifier.</w:t>
      </w:r>
    </w:p>
    <w:p>
      <w:pPr>
        <w:numPr>
          <w:ilvl w:val="0"/>
          <w:numId w:val="1108"/>
        </w:numPr>
        <w:pStyle w:val="Compact"/>
      </w:pPr>
      <w:r>
        <w:rPr>
          <w:bCs/>
          <w:b/>
        </w:rPr>
        <w:t xml:space="preserve">AMA (WADA) :</w:t>
      </w:r>
      <w:r>
        <w:t xml:space="preserve"> </w:t>
      </w:r>
      <w:r>
        <w:t xml:space="preserve">non cité nommément ; tant qu’il n’est autorisé nulle part, interdit au titre de S0.</w:t>
      </w:r>
    </w:p>
    <w:p>
      <w:pPr>
        <w:numPr>
          <w:ilvl w:val="0"/>
          <w:numId w:val="1108"/>
        </w:numPr>
        <w:pStyle w:val="Compact"/>
      </w:pPr>
      <w:r>
        <w:rPr>
          <w:bCs/>
          <w:b/>
        </w:rPr>
        <w:t xml:space="preserve">Niveau de preuve :</w:t>
      </w:r>
      <w:r>
        <w:t xml:space="preserve"> </w:t>
      </w:r>
      <w:r>
        <w:rPr>
          <w:bCs/>
          <w:b/>
        </w:rPr>
        <w:t xml:space="preserve">A</w:t>
      </w:r>
      <w:r>
        <w:t xml:space="preserve"> </w:t>
      </w:r>
      <w:r>
        <w:t xml:space="preserve">au vu des données (plusieurs grandes études de phase 3, dont une étude de sécurité cardiovasculaire) ; l’autorisation formelle reste en attente ou est à vérifier.</w:t>
      </w:r>
    </w:p>
    <w:bookmarkEnd w:id="855"/>
    <w:bookmarkStart w:id="857" w:name="Xa0f33156e5bcda628d72ded485621b85594a780"/>
    <w:p>
      <w:pPr>
        <w:pStyle w:val="Heading3"/>
      </w:pPr>
      <w:r>
        <w:t xml:space="preserve">Pourquoi ce chapitre figure dans un livre sur les peptides</w:t>
      </w:r>
    </w:p>
    <w:p>
      <w:pPr>
        <w:pStyle w:val="FirstParagraph"/>
      </w:pPr>
      <w:r>
        <w:t xml:space="preserve">Jusqu’en 2025, tous les médicaments GLP-1 étaient des peptides. Les peptides sont en grande partie digérés dans le tube digestif et à peine absorbés – c’est pourquoi ils doivent être injectés. La seule exception, le sémaglutide en comprimé, nécessite un excipient qui facilite l’absorption à travers la muqueuse gastrique, ainsi que des règles de prise strictes : à jeun, avec peu d’eau et à distance du petit-déjeuner (voir le chapitre Sémaglutide et la partie I sur la question de savoir comment les peptides entrent dans l’organisme).</w:t>
      </w:r>
    </w:p>
    <w:p>
      <w:pPr>
        <w:pStyle w:val="BodyText"/>
      </w:pPr>
      <w:r>
        <w:t xml:space="preserve">L’orforglipron contourne ce problème par principe : en tant que petite molécule, il est absorbé par l’intestin comme un comprimé classique. D’après les études, il peut être pris sans tenir compte des repas ni de la quantité d’eau</w:t>
      </w:r>
      <w:r>
        <w:rPr>
          <w:rStyle w:val="FootnoteReference"/>
        </w:rPr>
        <w:footnoteReference w:id="856"/>
      </w:r>
      <w:r>
        <w:t xml:space="preserve">. L’orforglipron est ainsi le principal cas de comparaison pour la question de savoir si l’avenir des médicaments amaigrissants passe vraiment par les peptides (voir partie V).</w:t>
      </w:r>
    </w:p>
    <w:bookmarkEnd w:id="857"/>
    <w:bookmarkStart w:id="859" w:name="mode-daction-supposé-14"/>
    <w:p>
      <w:pPr>
        <w:pStyle w:val="Heading3"/>
      </w:pPr>
      <w:r>
        <w:t xml:space="preserve">Mode d’action supposé</w:t>
      </w:r>
    </w:p>
    <w:p>
      <w:pPr>
        <w:pStyle w:val="FirstParagraph"/>
      </w:pPr>
      <w:r>
        <w:t xml:space="preserve">L’orforglipron se lie au récepteur du GLP-1 et déclenche des effets similaires à ceux des agonistes peptidiques : moins d’appétit, vidange gastrique retardée, davantage d’insuline en fonction de la glycémie. Il n’active que le récepteur du GLP-1, pas les récepteurs du GIP ou du glucagon. Des études chez des personnes atteintes de diabète de type 2 ont montré des améliorations de marqueurs de la fonction des cellules bêta et de la sensibilité à l’insuline</w:t>
      </w:r>
      <w:r>
        <w:rPr>
          <w:rStyle w:val="FootnoteReference"/>
        </w:rPr>
        <w:footnoteReference w:id="858"/>
      </w:r>
      <w:r>
        <w:t xml:space="preserve">.</w:t>
      </w:r>
    </w:p>
    <w:bookmarkEnd w:id="859"/>
    <w:bookmarkStart w:id="870" w:name="études-chez-lhumain-14"/>
    <w:p>
      <w:pPr>
        <w:pStyle w:val="Heading3"/>
      </w:pPr>
      <w:r>
        <w:t xml:space="preserve">Études chez l’humain</w:t>
      </w:r>
    </w:p>
    <w:p>
      <w:pPr>
        <w:pStyle w:val="FirstParagraph"/>
      </w:pPr>
      <w:r>
        <w:rPr>
          <w:bCs/>
          <w:b/>
        </w:rPr>
        <w:t xml:space="preserve">Ampleur des données :</w:t>
      </w:r>
      <w:r>
        <w:t xml:space="preserve"> </w:t>
      </w:r>
      <w:r>
        <w:t xml:space="preserve">la requête PubMed automatisée (octobre 2026) a fourni 20 études chez l’humain. Sur ClinicalTrials.gov, 53 études étaient enregistrées. Les programmes d’homologation s’appellent</w:t>
      </w:r>
      <w:r>
        <w:t xml:space="preserve"> </w:t>
      </w:r>
      <w:r>
        <w:rPr>
          <w:bCs/>
          <w:b/>
        </w:rPr>
        <w:t xml:space="preserve">ATTAIN</w:t>
      </w:r>
      <w:r>
        <w:t xml:space="preserve"> </w:t>
      </w:r>
      <w:r>
        <w:t xml:space="preserve">(obésité) et</w:t>
      </w:r>
      <w:r>
        <w:t xml:space="preserve"> </w:t>
      </w:r>
      <w:r>
        <w:rPr>
          <w:bCs/>
          <w:b/>
        </w:rPr>
        <w:t xml:space="preserve">ACHIEVE</w:t>
      </w:r>
      <w:r>
        <w:t xml:space="preserve"> </w:t>
      </w:r>
      <w:r>
        <w:t xml:space="preserve">(diabète de type 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schéma</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Phase 2 obésité (Wharton 2023), PMID 37351564</w:t>
            </w:r>
          </w:p>
        </w:tc>
        <w:tc>
          <w:tcPr/>
          <w:p>
            <w:pPr>
              <w:pStyle w:val="Compact"/>
              <w:jc w:val="left"/>
            </w:pPr>
            <w:r>
              <w:t xml:space="preserve">272 adultes sans diabète, contre placebo</w:t>
            </w:r>
          </w:p>
        </w:tc>
        <w:tc>
          <w:tcPr/>
          <w:p>
            <w:pPr>
              <w:pStyle w:val="Compact"/>
              <w:jc w:val="left"/>
            </w:pPr>
            <w:r>
              <w:t xml:space="preserve">36 semaines</w:t>
            </w:r>
          </w:p>
        </w:tc>
        <w:tc>
          <w:tcPr/>
          <w:p>
            <w:pPr>
              <w:pStyle w:val="Compact"/>
              <w:jc w:val="left"/>
            </w:pPr>
            <w:r>
              <w:t xml:space="preserve">−9,4 à −14,7 % de poids vs −2,3 %</w:t>
            </w:r>
          </w:p>
        </w:tc>
      </w:tr>
      <w:tr>
        <w:tc>
          <w:tcPr/>
          <w:p>
            <w:pPr>
              <w:pStyle w:val="Compact"/>
              <w:jc w:val="left"/>
            </w:pPr>
            <w:r>
              <w:t xml:space="preserve">ATTAIN-1 (Wharton 2025), PMID 40960239</w:t>
            </w:r>
          </w:p>
        </w:tc>
        <w:tc>
          <w:tcPr/>
          <w:p>
            <w:pPr>
              <w:pStyle w:val="Compact"/>
              <w:jc w:val="left"/>
            </w:pPr>
            <w:r>
              <w:t xml:space="preserve">3 127 adultes obèses sans diabète, contre placebo</w:t>
            </w:r>
          </w:p>
        </w:tc>
        <w:tc>
          <w:tcPr/>
          <w:p>
            <w:pPr>
              <w:pStyle w:val="Compact"/>
              <w:jc w:val="left"/>
            </w:pPr>
            <w:r>
              <w:t xml:space="preserve">72 semaines</w:t>
            </w:r>
          </w:p>
        </w:tc>
        <w:tc>
          <w:tcPr/>
          <w:p>
            <w:pPr>
              <w:pStyle w:val="Compact"/>
              <w:jc w:val="left"/>
            </w:pPr>
            <w:r>
              <w:t xml:space="preserve">−7,5 / −8,4 / −11,2 % vs −2,1 %</w:t>
            </w:r>
          </w:p>
        </w:tc>
      </w:tr>
      <w:tr>
        <w:tc>
          <w:tcPr/>
          <w:p>
            <w:pPr>
              <w:pStyle w:val="Compact"/>
              <w:jc w:val="left"/>
            </w:pPr>
            <w:r>
              <w:t xml:space="preserve">ATTAIN-2 (Horn 2026), PMID 41275875</w:t>
            </w:r>
          </w:p>
        </w:tc>
        <w:tc>
          <w:tcPr/>
          <w:p>
            <w:pPr>
              <w:pStyle w:val="Compact"/>
              <w:jc w:val="left"/>
            </w:pPr>
            <w:r>
              <w:t xml:space="preserve">1 613 adultes obèses atteints de diabète de type 2</w:t>
            </w:r>
          </w:p>
        </w:tc>
        <w:tc>
          <w:tcPr/>
          <w:p>
            <w:pPr>
              <w:pStyle w:val="Compact"/>
              <w:jc w:val="left"/>
            </w:pPr>
            <w:r>
              <w:t xml:space="preserve">72 semaines</w:t>
            </w:r>
          </w:p>
        </w:tc>
        <w:tc>
          <w:tcPr/>
          <w:p>
            <w:pPr>
              <w:pStyle w:val="Compact"/>
              <w:jc w:val="left"/>
            </w:pPr>
            <w:r>
              <w:t xml:space="preserve">−5,1 / −7,0 / −9,6 % vs −2,5 %</w:t>
            </w:r>
          </w:p>
        </w:tc>
      </w:tr>
      <w:tr>
        <w:tc>
          <w:tcPr/>
          <w:p>
            <w:pPr>
              <w:pStyle w:val="Compact"/>
              <w:jc w:val="left"/>
            </w:pPr>
            <w:r>
              <w:t xml:space="preserve">ATTAIN-MAINTAIN (Aronne 2026), PMID 42120723</w:t>
            </w:r>
          </w:p>
        </w:tc>
        <w:tc>
          <w:tcPr/>
          <w:p>
            <w:pPr>
              <w:pStyle w:val="Compact"/>
              <w:jc w:val="left"/>
            </w:pPr>
            <w:r>
              <w:t xml:space="preserve">376 adultes après tirzépatide ou sémaglutide, relais vs placebo</w:t>
            </w:r>
          </w:p>
        </w:tc>
        <w:tc>
          <w:tcPr/>
          <w:p>
            <w:pPr>
              <w:pStyle w:val="Compact"/>
              <w:jc w:val="left"/>
            </w:pPr>
            <w:r>
              <w:t xml:space="preserve">52 semaines</w:t>
            </w:r>
          </w:p>
        </w:tc>
        <w:tc>
          <w:tcPr/>
          <w:p>
            <w:pPr>
              <w:pStyle w:val="Compact"/>
              <w:jc w:val="left"/>
            </w:pPr>
            <w:r>
              <w:t xml:space="preserve">74,7 % et 79,3 % de la perte de poids maintenus (placebo 49,2 % et 37,6 %)</w:t>
            </w:r>
          </w:p>
        </w:tc>
      </w:tr>
      <w:tr>
        <w:tc>
          <w:tcPr/>
          <w:p>
            <w:pPr>
              <w:pStyle w:val="Compact"/>
              <w:jc w:val="left"/>
            </w:pPr>
            <w:r>
              <w:t xml:space="preserve">ACHIEVE-1 (Rosenstock 2025), PMID 40544435</w:t>
            </w:r>
          </w:p>
        </w:tc>
        <w:tc>
          <w:tcPr/>
          <w:p>
            <w:pPr>
              <w:pStyle w:val="Compact"/>
              <w:jc w:val="left"/>
            </w:pPr>
            <w:r>
              <w:t xml:space="preserve">559 adultes atteints de diabète de type 2 débutant</w:t>
            </w:r>
          </w:p>
        </w:tc>
        <w:tc>
          <w:tcPr/>
          <w:p>
            <w:pPr>
              <w:pStyle w:val="Compact"/>
              <w:jc w:val="left"/>
            </w:pPr>
            <w:r>
              <w:t xml:space="preserve">40 semaines</w:t>
            </w:r>
          </w:p>
        </w:tc>
        <w:tc>
          <w:tcPr/>
          <w:p>
            <w:pPr>
              <w:pStyle w:val="Compact"/>
              <w:jc w:val="left"/>
            </w:pPr>
            <w:r>
              <w:t xml:space="preserve">HbA1c −1,24 à −1,48 vs −0,41</w:t>
            </w:r>
          </w:p>
        </w:tc>
      </w:tr>
      <w:tr>
        <w:tc>
          <w:tcPr/>
          <w:p>
            <w:pPr>
              <w:pStyle w:val="Compact"/>
              <w:jc w:val="left"/>
            </w:pPr>
            <w:r>
              <w:t xml:space="preserve">ACHIEVE-3 (Rosenstock 2026), PMID 41765029</w:t>
            </w:r>
          </w:p>
        </w:tc>
        <w:tc>
          <w:tcPr/>
          <w:p>
            <w:pPr>
              <w:pStyle w:val="Compact"/>
              <w:jc w:val="left"/>
            </w:pPr>
            <w:r>
              <w:t xml:space="preserve">1 698 adultes atteints de diabète de type 2, en ouvert contre sémaglutide en comprimé</w:t>
            </w:r>
          </w:p>
        </w:tc>
        <w:tc>
          <w:tcPr/>
          <w:p>
            <w:pPr>
              <w:pStyle w:val="Compact"/>
              <w:jc w:val="left"/>
            </w:pPr>
            <w:r>
              <w:t xml:space="preserve">52 semaines</w:t>
            </w:r>
          </w:p>
        </w:tc>
        <w:tc>
          <w:tcPr/>
          <w:p>
            <w:pPr>
              <w:pStyle w:val="Compact"/>
              <w:jc w:val="left"/>
            </w:pPr>
            <w:r>
              <w:t xml:space="preserve">HbA1c −1,71 / −1,91 vs −1,23 / −1,47</w:t>
            </w:r>
          </w:p>
        </w:tc>
      </w:tr>
      <w:tr>
        <w:tc>
          <w:tcPr/>
          <w:p>
            <w:pPr>
              <w:pStyle w:val="Compact"/>
              <w:jc w:val="left"/>
            </w:pPr>
            <w:r>
              <w:t xml:space="preserve">ACHIEVE-4 (Klein 2026), PMID 42815506</w:t>
            </w:r>
          </w:p>
        </w:tc>
        <w:tc>
          <w:tcPr/>
          <w:p>
            <w:pPr>
              <w:pStyle w:val="Compact"/>
              <w:jc w:val="left"/>
            </w:pPr>
            <w:r>
              <w:t xml:space="preserve">2 749 adultes atteints de diabète de type 2 à haut risque cardiovasculaire, contre insuline glargine</w:t>
            </w:r>
          </w:p>
        </w:tc>
        <w:tc>
          <w:tcPr/>
          <w:p>
            <w:pPr>
              <w:pStyle w:val="Compact"/>
              <w:jc w:val="left"/>
            </w:pPr>
            <w:r>
              <w:t xml:space="preserve">médiane 2 ans</w:t>
            </w:r>
          </w:p>
        </w:tc>
        <w:tc>
          <w:tcPr/>
          <w:p>
            <w:pPr>
              <w:pStyle w:val="Compact"/>
              <w:jc w:val="left"/>
            </w:pPr>
            <w:r>
              <w:t xml:space="preserve">MACE-4 : 4,2 % vs 5,0 % (non inférieur)</w:t>
            </w:r>
          </w:p>
        </w:tc>
      </w:tr>
    </w:tbl>
    <w:bookmarkStart w:id="864" w:name="obésité-attain"/>
    <w:p>
      <w:pPr>
        <w:pStyle w:val="Heading4"/>
      </w:pPr>
      <w:r>
        <w:t xml:space="preserve">Obésité : ATTAIN</w:t>
      </w:r>
    </w:p>
    <w:p>
      <w:pPr>
        <w:pStyle w:val="FirstParagraph"/>
      </w:pPr>
      <w:r>
        <w:rPr>
          <w:bCs/>
          <w:b/>
        </w:rPr>
        <w:t xml:space="preserve">ATTAIN-1</w:t>
      </w:r>
      <w:r>
        <w:rPr>
          <w:rStyle w:val="FootnoteReference"/>
        </w:rPr>
        <w:footnoteReference w:id="860"/>
      </w:r>
      <w:r>
        <w:t xml:space="preserve"> </w:t>
      </w:r>
      <w:r>
        <w:t xml:space="preserve">est l’étude principale. Après 72 semaines, les 3 127 participants à la dose la plus élevée ont perdu en moyenne 11,2 % de leur poids, contre 2,1 % sous placebo. À la dose la plus élevée, 54,6 % ont atteint une perte de poids d’au moins 10 % et 18,4 % d’au moins 20 %. Les arrêts pour effets indésirables étaient de 5,3 à 10,3 % (placebo 2,7 %).</w:t>
      </w:r>
    </w:p>
    <w:p>
      <w:pPr>
        <w:pStyle w:val="BodyText"/>
      </w:pPr>
      <w:r>
        <w:t xml:space="preserve">Pour situer : c’est nettement moins qu’avec le sémaglutide ou le tirzépatide injectables dans leurs études d’homologation, et moins que ce que laissait espérer l’étude de phase 2, avec jusqu’à 14,7 % après 36 semaines</w:t>
      </w:r>
      <w:r>
        <w:rPr>
          <w:rStyle w:val="FootnoteReference"/>
        </w:rPr>
        <w:footnoteReference w:id="861"/>
      </w:r>
      <w:r>
        <w:t xml:space="preserve">. Les comparaisons croisées entre études ne sont toutefois qu’un repère grossier.</w:t>
      </w:r>
    </w:p>
    <w:p>
      <w:pPr>
        <w:pStyle w:val="BodyText"/>
      </w:pPr>
      <w:r>
        <w:rPr>
          <w:bCs/>
          <w:b/>
        </w:rPr>
        <w:t xml:space="preserve">ATTAIN-2</w:t>
      </w:r>
      <w:r>
        <w:rPr>
          <w:rStyle w:val="FootnoteReference"/>
        </w:rPr>
        <w:footnoteReference w:id="862"/>
      </w:r>
      <w:r>
        <w:t xml:space="preserve"> </w:t>
      </w:r>
      <w:r>
        <w:t xml:space="preserve">a montré chez des personnes atteintes de diabète de type 2 une perte de poids allant jusqu’à 9,6 % contre 2,5 % sous placebo.</w:t>
      </w:r>
    </w:p>
    <w:p>
      <w:pPr>
        <w:pStyle w:val="BodyText"/>
      </w:pPr>
      <w:r>
        <w:rPr>
          <w:bCs/>
          <w:b/>
        </w:rPr>
        <w:t xml:space="preserve">ATTAIN-MAINTAIN</w:t>
      </w:r>
      <w:r>
        <w:rPr>
          <w:rStyle w:val="FootnoteReference"/>
        </w:rPr>
        <w:footnoteReference w:id="863"/>
      </w:r>
      <w:r>
        <w:t xml:space="preserve"> </w:t>
      </w:r>
      <w:r>
        <w:t xml:space="preserve">est particulièrement intéressante pour la pratique. Des participants qui avaient auparavant perdu du poids dans l’étude SURMOUNT-5 avec le tirzépatide ou le sémaglutide injectables sont passés à l’orforglipron ou à un placebo. Après 52 semaines, les personnes précédemment traitées par tirzépatide ont maintenu sous orforglipron 74,7 % de leur perte de poids (placebo 49,2 %), celles précédemment traitées par sémaglutide 79,3 % (placebo 37,6 %). Il n’y avait pas de groupe de comparaison continuant simplement l’injection – les auteurs le citent eux-mêmes comme limite. Le concept « perdre du poids avec l’injection, le maintenir avec le comprimé » est ainsi étayé pour la première fois, mais pas encore évalué face à l’alternative « poursuivre l’injection ».</w:t>
      </w:r>
    </w:p>
    <w:bookmarkEnd w:id="864"/>
    <w:bookmarkStart w:id="869" w:name="diabète-de-type-2-achieve"/>
    <w:p>
      <w:pPr>
        <w:pStyle w:val="Heading4"/>
      </w:pPr>
      <w:r>
        <w:t xml:space="preserve">Diabète de type 2 : ACHIEVE</w:t>
      </w:r>
    </w:p>
    <w:p>
      <w:pPr>
        <w:numPr>
          <w:ilvl w:val="0"/>
          <w:numId w:val="1109"/>
        </w:numPr>
        <w:pStyle w:val="Compact"/>
      </w:pPr>
      <w:r>
        <w:rPr>
          <w:bCs/>
          <w:b/>
        </w:rPr>
        <w:t xml:space="preserve">ACHIEVE-1</w:t>
      </w:r>
      <w:r>
        <w:rPr>
          <w:rStyle w:val="FootnoteReference"/>
        </w:rPr>
        <w:footnoteReference w:id="865"/>
      </w:r>
      <w:r>
        <w:t xml:space="preserve"> </w:t>
      </w:r>
      <w:r>
        <w:t xml:space="preserve">: dans le diabète de type 2 débutant sans autre traitement, l’HbA1c a baissé après 40 semaines de jusqu’à 1,48 point de pourcentage (placebo −0,41), le poids de jusqu’à 7,6 %. Aucune hypoglycémie sévère n’est survenue.</w:t>
      </w:r>
    </w:p>
    <w:p>
      <w:pPr>
        <w:numPr>
          <w:ilvl w:val="0"/>
          <w:numId w:val="1109"/>
        </w:numPr>
        <w:pStyle w:val="Compact"/>
      </w:pPr>
      <w:r>
        <w:rPr>
          <w:bCs/>
          <w:b/>
        </w:rPr>
        <w:t xml:space="preserve">ACHIEVE-2</w:t>
      </w:r>
      <w:r>
        <w:rPr>
          <w:rStyle w:val="FootnoteReference"/>
        </w:rPr>
        <w:footnoteReference w:id="866"/>
      </w:r>
      <w:r>
        <w:t xml:space="preserve"> </w:t>
      </w:r>
      <w:r>
        <w:t xml:space="preserve">: face à l’inhibiteur du SGLT2 dapagliflozine, l’orforglipron s’est montré non inférieur sur l’HbA1c et plus efficace à toutes les doses (jusqu’à −1,56 vs −0,81 point de pourcentage).</w:t>
      </w:r>
    </w:p>
    <w:p>
      <w:pPr>
        <w:numPr>
          <w:ilvl w:val="0"/>
          <w:numId w:val="1109"/>
        </w:numPr>
        <w:pStyle w:val="Compact"/>
      </w:pPr>
      <w:r>
        <w:rPr>
          <w:bCs/>
          <w:b/>
        </w:rPr>
        <w:t xml:space="preserve">ACHIEVE-3</w:t>
      </w:r>
      <w:r>
        <w:rPr>
          <w:rStyle w:val="FootnoteReference"/>
        </w:rPr>
        <w:footnoteReference w:id="867"/>
      </w:r>
      <w:r>
        <w:t xml:space="preserve"> </w:t>
      </w:r>
      <w:r>
        <w:t xml:space="preserve">: en comparaison directe avec le sémaglutide en comprimé, l’orforglipron a davantage abaissé l’HbA1c (−1,91 vs −1,47 point de pourcentage aux doses respectivement les plus élevées). L’étude était en ouvert, donc non en aveugle. Les troubles digestifs étaient plus fréquents sous orforglipron (58–59 % vs 37–45 %), de même que les arrêts pour effets indésirables (9–10 % vs 4–5 %).</w:t>
      </w:r>
    </w:p>
    <w:p>
      <w:pPr>
        <w:numPr>
          <w:ilvl w:val="0"/>
          <w:numId w:val="1109"/>
        </w:numPr>
        <w:pStyle w:val="Compact"/>
      </w:pPr>
      <w:r>
        <w:rPr>
          <w:bCs/>
          <w:b/>
        </w:rPr>
        <w:t xml:space="preserve">ACHIEVE-4</w:t>
      </w:r>
      <w:r>
        <w:rPr>
          <w:rStyle w:val="FootnoteReference"/>
        </w:rPr>
        <w:footnoteReference w:id="868"/>
      </w:r>
      <w:r>
        <w:t xml:space="preserve"> </w:t>
      </w:r>
      <w:r>
        <w:t xml:space="preserve">: l’étude de sécurité cardiovasculaire (voir ci-dessous).</w:t>
      </w:r>
    </w:p>
    <w:bookmarkEnd w:id="869"/>
    <w:bookmarkEnd w:id="870"/>
    <w:bookmarkStart w:id="872" w:name="études-animales-et-de-laboratoire-14"/>
    <w:p>
      <w:pPr>
        <w:pStyle w:val="Heading3"/>
      </w:pPr>
      <w:r>
        <w:t xml:space="preserve">Études animales et de laboratoire</w:t>
      </w:r>
    </w:p>
    <w:p>
      <w:pPr>
        <w:pStyle w:val="FirstParagraph"/>
      </w:pPr>
      <w:r>
        <w:t xml:space="preserve">Pour ce chapitre de comparaison, les données précliniques ne sont pas présentées en détail. Une différence pharmacologique est importante : en tant que petite molécule, l’orforglipron est dégradé par les enzymes hépatiques. C’est pourquoi de nombreuses études sur les interactions avec d’autres médicaments ont été menées, par exemple avec la clarithromycine, la ciclosporine, la carbamazépine ou la quinidine</w:t>
      </w:r>
      <w:r>
        <w:rPr>
          <w:rStyle w:val="FootnoteReference"/>
        </w:rPr>
        <w:footnoteReference w:id="871"/>
      </w:r>
      <w:r>
        <w:t xml:space="preserve">. Les agonistes peptidiques, en revanche, sont dégradés comme des protéines et ne présentent pratiquement pas de telles interactions.</w:t>
      </w:r>
    </w:p>
    <w:bookmarkEnd w:id="872"/>
    <w:bookmarkStart w:id="880" w:name="risques-et-effets-indésirables-14"/>
    <w:p>
      <w:pPr>
        <w:pStyle w:val="Heading3"/>
      </w:pPr>
      <w:r>
        <w:t xml:space="preserve">Risques et effets indésirables</w:t>
      </w:r>
    </w:p>
    <w:p>
      <w:pPr>
        <w:pStyle w:val="FirstParagraph"/>
      </w:pPr>
      <w:r>
        <w:rPr>
          <w:bCs/>
          <w:b/>
        </w:rPr>
        <w:t xml:space="preserve">Établi par les études :</w:t>
      </w:r>
    </w:p>
    <w:p>
      <w:pPr>
        <w:numPr>
          <w:ilvl w:val="0"/>
          <w:numId w:val="1110"/>
        </w:numPr>
        <w:pStyle w:val="Compact"/>
      </w:pPr>
      <w:r>
        <w:rPr>
          <w:bCs/>
          <w:b/>
        </w:rPr>
        <w:t xml:space="preserve">Troubles digestifs</w:t>
      </w:r>
      <w:r>
        <w:t xml:space="preserve"> </w:t>
      </w:r>
      <w:r>
        <w:t xml:space="preserve">comme avec tous les agonistes du GLP-1, le plus souvent légers à modérés et pendant la titration. Dans ACHIEVE-4, 62,1 % sous orforglipron contre 14,2 % sous insuline glargine ont signalé des troubles digestifs</w:t>
      </w:r>
      <w:r>
        <w:rPr>
          <w:rStyle w:val="FootnoteReference"/>
        </w:rPr>
        <w:footnoteReference w:id="873"/>
      </w:r>
      <w:r>
        <w:t xml:space="preserve">.</w:t>
      </w:r>
    </w:p>
    <w:p>
      <w:pPr>
        <w:numPr>
          <w:ilvl w:val="0"/>
          <w:numId w:val="1110"/>
        </w:numPr>
        <w:pStyle w:val="Compact"/>
      </w:pPr>
      <w:r>
        <w:rPr>
          <w:bCs/>
          <w:b/>
        </w:rPr>
        <w:t xml:space="preserve">Arrêts pour effets indésirables :</w:t>
      </w:r>
      <w:r>
        <w:t xml:space="preserve"> </w:t>
      </w:r>
      <w:r>
        <w:t xml:space="preserve">jusqu’à 10,3 % dans ATTAIN-1</w:t>
      </w:r>
      <w:r>
        <w:rPr>
          <w:rStyle w:val="FootnoteReference"/>
        </w:rPr>
        <w:footnoteReference w:id="874"/>
      </w:r>
      <w:r>
        <w:t xml:space="preserve">, environ deux fois plus fréquents qu’avec le sémaglutide en comprimé</w:t>
      </w:r>
      <w:r>
        <w:rPr>
          <w:rStyle w:val="FootnoteReference"/>
        </w:rPr>
        <w:footnoteReference w:id="875"/>
      </w:r>
      <w:r>
        <w:t xml:space="preserve">.</w:t>
      </w:r>
    </w:p>
    <w:p>
      <w:pPr>
        <w:numPr>
          <w:ilvl w:val="0"/>
          <w:numId w:val="1110"/>
        </w:numPr>
        <w:pStyle w:val="Compact"/>
      </w:pPr>
      <w:r>
        <w:rPr>
          <w:bCs/>
          <w:b/>
        </w:rPr>
        <w:t xml:space="preserve">Pouls :</w:t>
      </w:r>
      <w:r>
        <w:t xml:space="preserve"> </w:t>
      </w:r>
      <w:r>
        <w:t xml:space="preserve">dans ACHIEVE-3, la fréquence cardiaque a augmenté de 3,7 à 4,7 battements par minute sous orforglipron, de 1,0 à 1,5 sous sémaglutide en comprimé</w:t>
      </w:r>
      <w:r>
        <w:rPr>
          <w:rStyle w:val="FootnoteReference"/>
        </w:rPr>
        <w:footnoteReference w:id="876"/>
      </w:r>
      <w:r>
        <w:t xml:space="preserve">.</w:t>
      </w:r>
    </w:p>
    <w:p>
      <w:pPr>
        <w:numPr>
          <w:ilvl w:val="0"/>
          <w:numId w:val="1110"/>
        </w:numPr>
        <w:pStyle w:val="Compact"/>
      </w:pPr>
      <w:r>
        <w:rPr>
          <w:bCs/>
          <w:b/>
        </w:rPr>
        <w:t xml:space="preserve">Sécurité cardiovasculaire :</w:t>
      </w:r>
      <w:r>
        <w:t xml:space="preserve"> </w:t>
      </w:r>
      <w:r>
        <w:t xml:space="preserve">dans ACHIEVE-4, des événements cardiovasculaires graves sont survenus chez 4,2 % sous orforglipron et 5,0 % sous insuline glargine (hazard ratio 0,84 ; IC à 95 % 0,59–1,20) – l’orforglipron était donc non inférieur. Les hypoglycémies cliniquement significatives ou sévères étaient plus rares (6,8 % vs 19,2 %)</w:t>
      </w:r>
      <w:r>
        <w:rPr>
          <w:rStyle w:val="FootnoteReference"/>
        </w:rPr>
        <w:footnoteReference w:id="877"/>
      </w:r>
      <w:r>
        <w:t xml:space="preserve">. Une étude dédiée sur critères cliniques doit montrer si l’orforglipron, comme certains agonistes peptidiques,</w:t>
      </w:r>
      <w:r>
        <w:t xml:space="preserve"> </w:t>
      </w:r>
      <w:r>
        <w:rPr>
          <w:iCs/>
          <w:i/>
        </w:rPr>
        <w:t xml:space="preserve">réduit</w:t>
      </w:r>
      <w:r>
        <w:t xml:space="preserve"> </w:t>
      </w:r>
      <w:r>
        <w:t xml:space="preserve">les événements cardiovasculaires</w:t>
      </w:r>
      <w:r>
        <w:rPr>
          <w:rStyle w:val="FootnoteReference"/>
        </w:rPr>
        <w:footnoteReference w:id="878"/>
      </w:r>
      <w:r>
        <w:t xml:space="preserve">.</w:t>
      </w:r>
    </w:p>
    <w:p>
      <w:pPr>
        <w:numPr>
          <w:ilvl w:val="0"/>
          <w:numId w:val="1110"/>
        </w:numPr>
        <w:pStyle w:val="Compact"/>
      </w:pPr>
      <w:r>
        <w:rPr>
          <w:bCs/>
          <w:b/>
        </w:rPr>
        <w:t xml:space="preserve">Foie :</w:t>
      </w:r>
      <w:r>
        <w:t xml:space="preserve"> </w:t>
      </w:r>
      <w:r>
        <w:t xml:space="preserve">avec de petites molécules GLP-1 d’autres fabricants, des élévations des enzymes hépatiques ont posé problème. Une analyse groupée de sept études de phase 3 portant sur 11 220 participants n’a trouvé pour l’orforglipron aucun cas de lésion hépatique d’origine médicamenteuse ; les valeurs hépatiques ont même baissé en moyenne</w:t>
      </w:r>
      <w:r>
        <w:rPr>
          <w:rStyle w:val="FootnoteReference"/>
        </w:rPr>
        <w:footnoteReference w:id="879"/>
      </w:r>
      <w:r>
        <w:t xml:space="preserve">.</w:t>
      </w:r>
    </w:p>
    <w:bookmarkEnd w:id="880"/>
    <w:bookmarkStart w:id="881" w:name="statut-juridique-14"/>
    <w:p>
      <w:pPr>
        <w:pStyle w:val="Heading3"/>
      </w:pPr>
      <w:r>
        <w:t xml:space="preserve">Statut juridique</w:t>
      </w:r>
    </w:p>
    <w:p>
      <w:pPr>
        <w:numPr>
          <w:ilvl w:val="0"/>
          <w:numId w:val="1111"/>
        </w:numPr>
        <w:pStyle w:val="Compact"/>
      </w:pPr>
      <w:r>
        <w:rPr>
          <w:bCs/>
          <w:b/>
        </w:rPr>
        <w:t xml:space="preserve">UE / Autriche / Allemagne :</w:t>
      </w:r>
      <w:r>
        <w:t xml:space="preserve"> </w:t>
      </w:r>
      <w:r>
        <w:t xml:space="preserve">répertorié comme non autorisé en octobre 2026 ; une procédure d’autorisation est attendue ou peut déjà être en cours – à vérifier.</w:t>
      </w:r>
    </w:p>
    <w:p>
      <w:pPr>
        <w:numPr>
          <w:ilvl w:val="0"/>
          <w:numId w:val="1111"/>
        </w:numPr>
        <w:pStyle w:val="Compact"/>
      </w:pPr>
      <w:r>
        <w:rPr>
          <w:bCs/>
          <w:b/>
        </w:rPr>
        <w:t xml:space="preserve">États-Unis :</w:t>
      </w:r>
      <w:r>
        <w:t xml:space="preserve"> </w:t>
      </w:r>
      <w:r>
        <w:t xml:space="preserve">des demandes d’autorisation pour l’obésité et le diabète de type 2 ont été déposées ou annoncées sur la base des données ATTAIN et ACHIEVE ; état de la décision à vérifier.</w:t>
      </w:r>
    </w:p>
    <w:p>
      <w:pPr>
        <w:numPr>
          <w:ilvl w:val="0"/>
          <w:numId w:val="1111"/>
        </w:numPr>
        <w:pStyle w:val="Compact"/>
      </w:pPr>
      <w:r>
        <w:rPr>
          <w:bCs/>
          <w:b/>
        </w:rPr>
        <w:t xml:space="preserve">Sport :</w:t>
      </w:r>
      <w:r>
        <w:t xml:space="preserve"> </w:t>
      </w:r>
      <w:r>
        <w:t xml:space="preserve">tant qu’il n’est autorisé nulle part, classe S0 de la WADA (état 2026, à vérifier).</w:t>
      </w:r>
    </w:p>
    <w:p>
      <w:pPr>
        <w:numPr>
          <w:ilvl w:val="0"/>
          <w:numId w:val="1111"/>
        </w:numPr>
        <w:pStyle w:val="Compact"/>
      </w:pPr>
      <w:r>
        <w:t xml:space="preserve">Les offres d’« Orforglipron » non autorisé sur Internet ne sont pas des médicaments contrôlés.</w:t>
      </w:r>
    </w:p>
    <w:bookmarkEnd w:id="881"/>
    <w:bookmarkStart w:id="889" w:name="études-en-cours-et-perspectives-14"/>
    <w:p>
      <w:pPr>
        <w:pStyle w:val="Heading3"/>
      </w:pPr>
      <w:r>
        <w:t xml:space="preserve">Études en cours et perspectives</w:t>
      </w:r>
    </w:p>
    <w:p>
      <w:pPr>
        <w:pStyle w:val="FirstParagraph"/>
      </w:pPr>
      <w:r>
        <w:rPr>
          <w:bCs/>
          <w:b/>
        </w:rPr>
        <w:t xml:space="preserve">Établi (études enregistrées, état octobre 2026) :</w:t>
      </w:r>
    </w:p>
    <w:p>
      <w:pPr>
        <w:numPr>
          <w:ilvl w:val="0"/>
          <w:numId w:val="1112"/>
        </w:numPr>
        <w:pStyle w:val="Compact"/>
      </w:pPr>
      <w:r>
        <w:rPr>
          <w:bCs/>
          <w:b/>
        </w:rPr>
        <w:t xml:space="preserve">Étude sur critères cliniques cardiovasculaires</w:t>
      </w:r>
      <w:r>
        <w:t xml:space="preserve"> </w:t>
      </w:r>
      <w:r>
        <w:t xml:space="preserve">dans l’athérosclérose (NCT07241390, 7 140 participants, jusqu’en 2031).</w:t>
      </w:r>
    </w:p>
    <w:p>
      <w:pPr>
        <w:numPr>
          <w:ilvl w:val="0"/>
          <w:numId w:val="1112"/>
        </w:numPr>
        <w:pStyle w:val="Compact"/>
      </w:pPr>
      <w:r>
        <w:rPr>
          <w:bCs/>
          <w:b/>
        </w:rPr>
        <w:t xml:space="preserve">Artériopathie oblitérante des membres inférieurs</w:t>
      </w:r>
      <w:r>
        <w:rPr>
          <w:rStyle w:val="FootnoteReference"/>
        </w:rPr>
        <w:footnoteReference w:id="882"/>
      </w:r>
      <w:r>
        <w:t xml:space="preserve">,</w:t>
      </w:r>
      <w:r>
        <w:t xml:space="preserve"> </w:t>
      </w:r>
      <w:r>
        <w:rPr>
          <w:bCs/>
          <w:b/>
        </w:rPr>
        <w:t xml:space="preserve">hypertension artérielle</w:t>
      </w:r>
      <w:r>
        <w:rPr>
          <w:rStyle w:val="FootnoteReference"/>
        </w:rPr>
        <w:footnoteReference w:id="883"/>
      </w:r>
      <w:r>
        <w:t xml:space="preserve">,</w:t>
      </w:r>
      <w:r>
        <w:t xml:space="preserve"> </w:t>
      </w:r>
      <w:r>
        <w:rPr>
          <w:bCs/>
          <w:b/>
        </w:rPr>
        <w:t xml:space="preserve">gonarthrose</w:t>
      </w:r>
      <w:r>
        <w:rPr>
          <w:rStyle w:val="FootnoteReference"/>
        </w:rPr>
        <w:footnoteReference w:id="884"/>
      </w:r>
      <w:r>
        <w:t xml:space="preserve">,</w:t>
      </w:r>
      <w:r>
        <w:t xml:space="preserve"> </w:t>
      </w:r>
      <w:r>
        <w:rPr>
          <w:bCs/>
          <w:b/>
        </w:rPr>
        <w:t xml:space="preserve">incontinence urinaire d’effort</w:t>
      </w:r>
      <w:r>
        <w:t xml:space="preserve"> </w:t>
      </w:r>
      <w:r>
        <w:t xml:space="preserve">chez les femmes obèses</w:t>
      </w:r>
      <w:r>
        <w:rPr>
          <w:rStyle w:val="FootnoteReference"/>
        </w:rPr>
        <w:footnoteReference w:id="885"/>
      </w:r>
      <w:r>
        <w:t xml:space="preserve">.</w:t>
      </w:r>
    </w:p>
    <w:p>
      <w:pPr>
        <w:numPr>
          <w:ilvl w:val="0"/>
          <w:numId w:val="1112"/>
        </w:numPr>
        <w:pStyle w:val="Compact"/>
      </w:pPr>
      <w:r>
        <w:rPr>
          <w:bCs/>
          <w:b/>
        </w:rPr>
        <w:t xml:space="preserve">Adolescents</w:t>
      </w:r>
      <w:r>
        <w:rPr>
          <w:rStyle w:val="FootnoteReference"/>
        </w:rPr>
        <w:footnoteReference w:id="886"/>
      </w:r>
      <w:r>
        <w:t xml:space="preserve"> </w:t>
      </w:r>
      <w:r>
        <w:t xml:space="preserve">et</w:t>
      </w:r>
      <w:r>
        <w:t xml:space="preserve"> </w:t>
      </w:r>
      <w:r>
        <w:rPr>
          <w:bCs/>
          <w:b/>
        </w:rPr>
        <w:t xml:space="preserve">enfants atteints de diabète de type 2</w:t>
      </w:r>
      <w:r>
        <w:t xml:space="preserve"> </w:t>
      </w:r>
      <w:r>
        <w:t xml:space="preserve">en comparaison avec le dulaglutide</w:t>
      </w:r>
      <w:r>
        <w:rPr>
          <w:rStyle w:val="FootnoteReference"/>
        </w:rPr>
        <w:footnoteReference w:id="887"/>
      </w:r>
      <w:r>
        <w:t xml:space="preserve">.</w:t>
      </w:r>
    </w:p>
    <w:p>
      <w:pPr>
        <w:numPr>
          <w:ilvl w:val="0"/>
          <w:numId w:val="1112"/>
        </w:numPr>
        <w:pStyle w:val="Compact"/>
      </w:pPr>
      <w:r>
        <w:t xml:space="preserve">Étude sur l’</w:t>
      </w:r>
      <w:r>
        <w:rPr>
          <w:bCs/>
          <w:b/>
        </w:rPr>
        <w:t xml:space="preserve">apnée du sommeil</w:t>
      </w:r>
      <w:r>
        <w:rPr>
          <w:rStyle w:val="FootnoteReference"/>
        </w:rPr>
        <w:footnoteReference w:id="888"/>
      </w:r>
      <w:r>
        <w:t xml:space="preserve"> </w:t>
      </w:r>
      <w:r>
        <w:t xml:space="preserve">terminée, publication en attente.</w:t>
      </w:r>
    </w:p>
    <w:p>
      <w:pPr>
        <w:pStyle w:val="FirstParagraph"/>
      </w:pPr>
      <w:r>
        <w:rPr>
          <w:bCs/>
          <w:b/>
        </w:rPr>
        <w:t xml:space="preserve">Appréciation :</w:t>
      </w:r>
      <w:r>
        <w:t xml:space="preserve"> </w:t>
      </w:r>
      <w:r>
        <w:t xml:space="preserve">l’orforglipron deviendra probablement le premier médicament GLP-1 non peptidique largement disponible. Sa force n’est pas la perte de poids maximale – là, les peptides injectables gardent l’avantage –, mais la simplicité de la prise, une fabrication probablement moins coûteuse et son adéquation au traitement au long cours après une phase d’injections. Pour le marché des peptides, cela représente une concurrence sérieuse, en particulier dans le traitement au long cours et d’entretien (voir partie V).</w:t>
      </w:r>
    </w:p>
    <w:bookmarkEnd w:id="889"/>
    <w:bookmarkStart w:id="890" w:name="conclusion-14"/>
    <w:p>
      <w:pPr>
        <w:pStyle w:val="Heading3"/>
      </w:pPr>
      <w:r>
        <w:t xml:space="preserve">Conclusion</w:t>
      </w:r>
    </w:p>
    <w:p>
      <w:pPr>
        <w:pStyle w:val="FirstParagraph"/>
      </w:pPr>
      <w:r>
        <w:t xml:space="preserve">L’orforglipron n’est pas un peptide, mais une petite molécule qui active le récepteur du GLP-1 sous forme de comprimé et peut être avalée sans règles de prise. Dans ATTAIN-1, le poids a diminué de jusqu’à 11,2 % après 72 semaines – moins qu’avec le sémaglutide ou le tirzépatide injectables –, et après le passage depuis une injection, les participants ont maintenu environ les trois quarts de leur perte de poids. Dans le diabète de type 2, il a davantage abaissé l’HbA1c que le sémaglutide en comprimé et s’est révélé sûr sur le plan cardiovasculaire par rapport à l’insuline. Les troubles digestifs et les arrêts de traitement sont un peu plus fréquents qu’avec le sémaglutide en comprimé.</w:t>
      </w:r>
    </w:p>
    <w:bookmarkEnd w:id="890"/>
    <w:bookmarkEnd w:id="891"/>
    <w:bookmarkEnd w:id="892"/>
    <w:bookmarkStart w:id="1222" w:name="X32fc95d76b442c520d85f2ac4521145723e78bb"/>
    <w:p>
      <w:pPr>
        <w:pStyle w:val="Heading1"/>
      </w:pPr>
      <w:r>
        <w:t xml:space="preserve">Partie II · B – Cicatrisation, régénération et système immunitaire</w:t>
      </w:r>
    </w:p>
    <w:p>
      <w:pPr>
        <w:pStyle w:val="FirstParagraph"/>
      </w:pPr>
      <w:r>
        <w:t xml:space="preserve">Les peptides de ce groupe promettent ce que beaucoup souhaitent : une guérison plus rapide des tendons et des muscles, une paroi intestinale plus étanche, un système immunitaire plus fort, moins d’inflammation. Dans les boutiques en ligne, les forums de fitness et les cliniques de longévité, le BPC-157, le TB-500 et la thymosine alpha 1 comptent parmi les « peptides de recherche » les plus vendus.</w:t>
      </w:r>
    </w:p>
    <w:bookmarkStart w:id="893" w:name="ce-qui-relie-ces-peptides"/>
    <w:p>
      <w:pPr>
        <w:pStyle w:val="Heading3"/>
      </w:pPr>
      <w:r>
        <w:t xml:space="preserve">Ce qui relie ces peptides</w:t>
      </w:r>
    </w:p>
    <w:p>
      <w:pPr>
        <w:pStyle w:val="FirstParagraph"/>
      </w:pPr>
      <w:r>
        <w:t xml:space="preserve">Les huit substances ne sont pas censées modifier une seule cible clairement mesurable – comme la glycémie ou le poids corporel –, mais « stimuler » ou « normaliser » des processus endogènes de réparation et de défense. Cela a deux conséquences qui traversent tous les chapitres :</w:t>
      </w:r>
    </w:p>
    <w:p>
      <w:pPr>
        <w:numPr>
          <w:ilvl w:val="0"/>
          <w:numId w:val="1113"/>
        </w:numPr>
        <w:pStyle w:val="Compact"/>
      </w:pPr>
      <w:r>
        <w:rPr>
          <w:bCs/>
          <w:b/>
        </w:rPr>
        <w:t xml:space="preserve">L’effet est difficile à mesurer.</w:t>
      </w:r>
      <w:r>
        <w:t xml:space="preserve"> </w:t>
      </w:r>
      <w:r>
        <w:t xml:space="preserve">La cicatrisation, la douleur et la fonction immunitaire varient fortement, dépendent de nombreux facteurs et sont sensibles aux effets placebo. Les petites études sans groupe témoin sont donc particulièrement peu probantes.</w:t>
      </w:r>
    </w:p>
    <w:p>
      <w:pPr>
        <w:numPr>
          <w:ilvl w:val="0"/>
          <w:numId w:val="1113"/>
        </w:numPr>
        <w:pStyle w:val="Compact"/>
      </w:pPr>
      <w:r>
        <w:rPr>
          <w:bCs/>
          <w:b/>
        </w:rPr>
        <w:t xml:space="preserve">La plausibilité remplace souvent les preuves.</w:t>
      </w:r>
      <w:r>
        <w:t xml:space="preserve"> </w:t>
      </w:r>
      <w:r>
        <w:t xml:space="preserve">Presque tous les peptides de ce groupe dérivent de substances endogènes : du suc gastrique (BPC-157), du thymus (thymosine alpha 1, thymaline), de la défense cutanée (LL-37), de l’hormone alpha-MSH (KPV) ou de l’érythropoïétine (ARA-290). « Endogène » semble inoffensif, mais ne dit rien de l’utilité et de la sécurité d’un apport extérieur à forte dose.</w:t>
      </w:r>
    </w:p>
    <w:p>
      <w:pPr>
        <w:pStyle w:val="FirstParagraph"/>
      </w:pPr>
      <w:r>
        <w:t xml:space="preserve">Un schéma récurrent est par ailleurs frappant : de petites études précoces semblent prometteuses, des études plus grandes et plus rigoureusement menées en aveugle ne les confirment pas. On le constate avec la thymosine alpha 1 dans le sepsis, avec la thymosine bêta 4 en collyre, avec le LL-37 sur les ulcères de jambe et avec le larazotide dans la maladie cœliaque.</w:t>
      </w:r>
    </w:p>
    <w:bookmarkEnd w:id="893"/>
    <w:bookmarkStart w:id="894" w:name="le-groupe-en-un-coup-dœil"/>
    <w:p>
      <w:pPr>
        <w:pStyle w:val="Heading3"/>
      </w:pPr>
      <w:r>
        <w:t xml:space="preserve">Le groupe en un coup d’œil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Preuves</w:t>
            </w:r>
          </w:p>
        </w:tc>
        <w:tc>
          <w:tcPr/>
          <w:p>
            <w:pPr>
              <w:pStyle w:val="Compact"/>
              <w:jc w:val="left"/>
            </w:pPr>
            <w:r>
              <w:t xml:space="preserve">Autorisation</w:t>
            </w:r>
          </w:p>
        </w:tc>
        <w:tc>
          <w:tcPr/>
          <w:p>
            <w:pPr>
              <w:pStyle w:val="Compact"/>
              <w:jc w:val="left"/>
            </w:pPr>
            <w:r>
              <w:t xml:space="preserve">En bref</w:t>
            </w:r>
          </w:p>
        </w:tc>
      </w:tr>
      <w:tr>
        <w:tc>
          <w:tcPr/>
          <w:p>
            <w:pPr>
              <w:pStyle w:val="Compact"/>
              <w:jc w:val="left"/>
            </w:pPr>
            <w:r>
              <w:t xml:space="preserve">BPC-157</w:t>
            </w:r>
          </w:p>
        </w:tc>
        <w:tc>
          <w:tcPr/>
          <w:p>
            <w:pPr>
              <w:pStyle w:val="Compact"/>
              <w:jc w:val="left"/>
            </w:pPr>
            <w:r>
              <w:t xml:space="preserve">C</w:t>
            </w:r>
          </w:p>
        </w:tc>
        <w:tc>
          <w:tcPr/>
          <w:p>
            <w:pPr>
              <w:pStyle w:val="Compact"/>
              <w:jc w:val="left"/>
            </w:pPr>
            <w:r>
              <w:t xml:space="preserve">non</w:t>
            </w:r>
          </w:p>
        </w:tc>
        <w:tc>
          <w:tcPr/>
          <w:p>
            <w:pPr>
              <w:pStyle w:val="Compact"/>
              <w:jc w:val="left"/>
            </w:pPr>
            <w:r>
              <w:t xml:space="preserve">des centaines d’études animales, presque toutes d’un seul groupe ; chez l’humain, trois mini-études pilotes</w:t>
            </w:r>
          </w:p>
        </w:tc>
      </w:tr>
      <w:tr>
        <w:tc>
          <w:tcPr/>
          <w:p>
            <w:pPr>
              <w:pStyle w:val="Compact"/>
              <w:jc w:val="left"/>
            </w:pPr>
            <w:r>
              <w:t xml:space="preserve">TB-500 / thymosine bêta 4</w:t>
            </w:r>
          </w:p>
        </w:tc>
        <w:tc>
          <w:tcPr/>
          <w:p>
            <w:pPr>
              <w:pStyle w:val="Compact"/>
              <w:jc w:val="left"/>
            </w:pPr>
            <w:r>
              <w:t xml:space="preserve">B (Tβ4) · D (TB-500)</w:t>
            </w:r>
          </w:p>
        </w:tc>
        <w:tc>
          <w:tcPr/>
          <w:p>
            <w:pPr>
              <w:pStyle w:val="Compact"/>
              <w:jc w:val="left"/>
            </w:pPr>
            <w:r>
              <w:t xml:space="preserve">non</w:t>
            </w:r>
          </w:p>
        </w:tc>
        <w:tc>
          <w:tcPr/>
          <w:p>
            <w:pPr>
              <w:pStyle w:val="Compact"/>
              <w:jc w:val="left"/>
            </w:pPr>
            <w:r>
              <w:t xml:space="preserve">Tβ4 évaluée dans des ECR, grandes études ophtalmiques sans bénéfice clair ; TB-500 jamais chez l’humain</w:t>
            </w:r>
          </w:p>
        </w:tc>
      </w:tr>
      <w:tr>
        <w:tc>
          <w:tcPr/>
          <w:p>
            <w:pPr>
              <w:pStyle w:val="Compact"/>
              <w:jc w:val="left"/>
            </w:pPr>
            <w:r>
              <w:t xml:space="preserve">Thymosine alpha 1</w:t>
            </w:r>
          </w:p>
        </w:tc>
        <w:tc>
          <w:tcPr/>
          <w:p>
            <w:pPr>
              <w:pStyle w:val="Compact"/>
              <w:jc w:val="left"/>
            </w:pPr>
            <w:r>
              <w:t xml:space="preserve">B</w:t>
            </w:r>
          </w:p>
        </w:tc>
        <w:tc>
          <w:tcPr/>
          <w:p>
            <w:pPr>
              <w:pStyle w:val="Compact"/>
              <w:jc w:val="left"/>
            </w:pPr>
            <w:r>
              <w:t xml:space="preserve">Chine entre autres, pas UE/États-Unis</w:t>
            </w:r>
          </w:p>
        </w:tc>
        <w:tc>
          <w:tcPr/>
          <w:p>
            <w:pPr>
              <w:pStyle w:val="Compact"/>
              <w:jc w:val="left"/>
            </w:pPr>
            <w:r>
              <w:t xml:space="preserve">nombreux ECR ; grande étude sur le sepsis sans différence avec le placebo</w:t>
            </w:r>
          </w:p>
        </w:tc>
      </w:tr>
      <w:tr>
        <w:tc>
          <w:tcPr/>
          <w:p>
            <w:pPr>
              <w:pStyle w:val="Compact"/>
              <w:jc w:val="left"/>
            </w:pPr>
            <w:r>
              <w:t xml:space="preserve">KPV</w:t>
            </w:r>
          </w:p>
        </w:tc>
        <w:tc>
          <w:tcPr/>
          <w:p>
            <w:pPr>
              <w:pStyle w:val="Compact"/>
              <w:jc w:val="left"/>
            </w:pPr>
            <w:r>
              <w:t xml:space="preserve">D</w:t>
            </w:r>
          </w:p>
        </w:tc>
        <w:tc>
          <w:tcPr/>
          <w:p>
            <w:pPr>
              <w:pStyle w:val="Compact"/>
              <w:jc w:val="left"/>
            </w:pPr>
            <w:r>
              <w:t xml:space="preserve">non</w:t>
            </w:r>
          </w:p>
        </w:tc>
        <w:tc>
          <w:tcPr/>
          <w:p>
            <w:pPr>
              <w:pStyle w:val="Compact"/>
              <w:jc w:val="left"/>
            </w:pPr>
            <w:r>
              <w:t xml:space="preserve">efficace chez des souris atteintes de colite ; aucune étude chez l’humain</w:t>
            </w:r>
          </w:p>
        </w:tc>
      </w:tr>
      <w:tr>
        <w:tc>
          <w:tcPr/>
          <w:p>
            <w:pPr>
              <w:pStyle w:val="Compact"/>
              <w:jc w:val="left"/>
            </w:pPr>
            <w:r>
              <w:t xml:space="preserve">LL-37</w:t>
            </w:r>
          </w:p>
        </w:tc>
        <w:tc>
          <w:tcPr/>
          <w:p>
            <w:pPr>
              <w:pStyle w:val="Compact"/>
              <w:jc w:val="left"/>
            </w:pPr>
            <w:r>
              <w:t xml:space="preserve">B</w:t>
            </w:r>
          </w:p>
        </w:tc>
        <w:tc>
          <w:tcPr/>
          <w:p>
            <w:pPr>
              <w:pStyle w:val="Compact"/>
              <w:jc w:val="left"/>
            </w:pPr>
            <w:r>
              <w:t xml:space="preserve">non</w:t>
            </w:r>
          </w:p>
        </w:tc>
        <w:tc>
          <w:tcPr/>
          <w:p>
            <w:pPr>
              <w:pStyle w:val="Compact"/>
              <w:jc w:val="left"/>
            </w:pPr>
            <w:r>
              <w:t xml:space="preserve">peptide de défense endogène ; étude sur les plaies avec 148 personnes sans avantage</w:t>
            </w:r>
          </w:p>
        </w:tc>
      </w:tr>
      <w:tr>
        <w:tc>
          <w:tcPr/>
          <w:p>
            <w:pPr>
              <w:pStyle w:val="Compact"/>
              <w:jc w:val="left"/>
            </w:pPr>
            <w:r>
              <w:t xml:space="preserve">ARA-290</w:t>
            </w:r>
          </w:p>
        </w:tc>
        <w:tc>
          <w:tcPr/>
          <w:p>
            <w:pPr>
              <w:pStyle w:val="Compact"/>
              <w:jc w:val="left"/>
            </w:pPr>
            <w:r>
              <w:t xml:space="preserve">B</w:t>
            </w:r>
          </w:p>
        </w:tc>
        <w:tc>
          <w:tcPr/>
          <w:p>
            <w:pPr>
              <w:pStyle w:val="Compact"/>
              <w:jc w:val="left"/>
            </w:pPr>
            <w:r>
              <w:t xml:space="preserve">non</w:t>
            </w:r>
          </w:p>
        </w:tc>
        <w:tc>
          <w:tcPr/>
          <w:p>
            <w:pPr>
              <w:pStyle w:val="Compact"/>
              <w:jc w:val="left"/>
            </w:pPr>
            <w:r>
              <w:t xml:space="preserve">petits ECR dans les atteintes nerveuses liées à la sarcoïdose ; aucune nouvelle étude depuis 2015</w:t>
            </w:r>
          </w:p>
        </w:tc>
      </w:tr>
      <w:tr>
        <w:tc>
          <w:tcPr/>
          <w:p>
            <w:pPr>
              <w:pStyle w:val="Compact"/>
              <w:jc w:val="left"/>
            </w:pPr>
            <w:r>
              <w:t xml:space="preserve">Larazotide</w:t>
            </w:r>
          </w:p>
        </w:tc>
        <w:tc>
          <w:tcPr/>
          <w:p>
            <w:pPr>
              <w:pStyle w:val="Compact"/>
              <w:jc w:val="left"/>
            </w:pPr>
            <w:r>
              <w:t xml:space="preserve">B</w:t>
            </w:r>
          </w:p>
        </w:tc>
        <w:tc>
          <w:tcPr/>
          <w:p>
            <w:pPr>
              <w:pStyle w:val="Compact"/>
              <w:jc w:val="left"/>
            </w:pPr>
            <w:r>
              <w:t xml:space="preserve">non</w:t>
            </w:r>
          </w:p>
        </w:tc>
        <w:tc>
          <w:tcPr/>
          <w:p>
            <w:pPr>
              <w:pStyle w:val="Compact"/>
              <w:jc w:val="left"/>
            </w:pPr>
            <w:r>
              <w:t xml:space="preserve">candidat dans la maladie cœliaque ; phase 3 interrompue</w:t>
            </w:r>
          </w:p>
        </w:tc>
      </w:tr>
      <w:tr>
        <w:tc>
          <w:tcPr/>
          <w:p>
            <w:pPr>
              <w:pStyle w:val="Compact"/>
              <w:jc w:val="left"/>
            </w:pPr>
            <w:r>
              <w:t xml:space="preserve">Thymaline / thymogène</w:t>
            </w:r>
          </w:p>
        </w:tc>
        <w:tc>
          <w:tcPr/>
          <w:p>
            <w:pPr>
              <w:pStyle w:val="Compact"/>
              <w:jc w:val="left"/>
            </w:pPr>
            <w:r>
              <w:t xml:space="preserve">C</w:t>
            </w:r>
          </w:p>
        </w:tc>
        <w:tc>
          <w:tcPr/>
          <w:p>
            <w:pPr>
              <w:pStyle w:val="Compact"/>
              <w:jc w:val="left"/>
            </w:pPr>
            <w:r>
              <w:t xml:space="preserve">Russie</w:t>
            </w:r>
          </w:p>
        </w:tc>
        <w:tc>
          <w:tcPr/>
          <w:p>
            <w:pPr>
              <w:pStyle w:val="Compact"/>
              <w:jc w:val="left"/>
            </w:pPr>
            <w:r>
              <w:t xml:space="preserve">presque uniquement des études russes d’une seule école, rarement randomisées</w:t>
            </w:r>
          </w:p>
        </w:tc>
      </w:tr>
    </w:tbl>
    <w:p>
      <w:pPr>
        <w:pStyle w:val="BodyText"/>
      </w:pPr>
      <w:r>
        <w:t xml:space="preserve">Niveaux de preuve :</w:t>
      </w:r>
      <w:r>
        <w:t xml:space="preserve"> </w:t>
      </w:r>
      <w:r>
        <w:rPr>
          <w:bCs/>
          <w:b/>
        </w:rPr>
        <w:t xml:space="preserve">A</w:t>
      </w:r>
      <w:r>
        <w:t xml:space="preserve"> </w:t>
      </w:r>
      <w:r>
        <w:t xml:space="preserve">plusieurs grands ECR ou autorisation ·</w:t>
      </w:r>
      <w:r>
        <w:t xml:space="preserve"> </w:t>
      </w:r>
      <w:r>
        <w:rPr>
          <w:bCs/>
          <w:b/>
        </w:rPr>
        <w:t xml:space="preserve">B</w:t>
      </w:r>
      <w:r>
        <w:t xml:space="preserve"> </w:t>
      </w:r>
      <w:r>
        <w:t xml:space="preserve">quelques ECR ·</w:t>
      </w:r>
      <w:r>
        <w:t xml:space="preserve"> </w:t>
      </w:r>
      <w:r>
        <w:rPr>
          <w:bCs/>
          <w:b/>
        </w:rPr>
        <w:t xml:space="preserve">C</w:t>
      </w:r>
      <w:r>
        <w:t xml:space="preserve"> </w:t>
      </w:r>
      <w:r>
        <w:t xml:space="preserve">seulement de petites études chez l’humain ou des études non contrôlées ·</w:t>
      </w:r>
      <w:r>
        <w:t xml:space="preserve"> </w:t>
      </w:r>
      <w:r>
        <w:rPr>
          <w:bCs/>
          <w:b/>
        </w:rPr>
        <w:t xml:space="preserve">D</w:t>
      </w:r>
      <w:r>
        <w:t xml:space="preserve"> </w:t>
      </w:r>
      <w:r>
        <w:t xml:space="preserve">uniquement des études animales et de laboratoire. L’autorisation désigne l’autorisation comme médicament, état 2026.</w:t>
      </w:r>
    </w:p>
    <w:p>
      <w:pPr>
        <w:pStyle w:val="BodyText"/>
      </w:pPr>
      <w:r>
        <w:t xml:space="preserve">Aucun peptide de ce groupe n’est autorisé comme médicament dans l’UE ou aux États-Unis. Les deux substances autorisées hors du monde occidental – la thymosine alpha 1 et la thymaline – l’ont été sur la base d’études qui ne résistent qu’en partie aux critères actuels.</w:t>
      </w:r>
    </w:p>
    <w:bookmarkEnd w:id="894"/>
    <w:bookmarkStart w:id="895" w:name="conseils-de-lecture"/>
    <w:p>
      <w:pPr>
        <w:pStyle w:val="Heading3"/>
      </w:pPr>
      <w:r>
        <w:t xml:space="preserve">Conseils de lecture</w:t>
      </w:r>
    </w:p>
    <w:p>
      <w:pPr>
        <w:pStyle w:val="FirstParagraph"/>
      </w:pPr>
      <w:r>
        <w:t xml:space="preserve">Les chapitres suivent la structure uniforme de ce livre. Pour ce groupe, soyez particulièrement attentif à trois distinctions :</w:t>
      </w:r>
    </w:p>
    <w:p>
      <w:pPr>
        <w:numPr>
          <w:ilvl w:val="0"/>
          <w:numId w:val="1114"/>
        </w:numPr>
        <w:pStyle w:val="Compact"/>
      </w:pPr>
      <w:r>
        <w:rPr>
          <w:bCs/>
          <w:b/>
        </w:rPr>
        <w:t xml:space="preserve">Humain ou animal ?</w:t>
      </w:r>
      <w:r>
        <w:t xml:space="preserve"> </w:t>
      </w:r>
      <w:r>
        <w:t xml:space="preserve">Pour le BPC-157, le KPV et le TB-500, presque tout ce qui est affirmé sur Internet repose sur des expériences chez le rat, la souris ou en culture cellulaire. Les chapitres le signalent expressément à chaque fois.</w:t>
      </w:r>
    </w:p>
    <w:p>
      <w:pPr>
        <w:numPr>
          <w:ilvl w:val="0"/>
          <w:numId w:val="1114"/>
        </w:numPr>
        <w:pStyle w:val="Compact"/>
      </w:pPr>
      <w:r>
        <w:rPr>
          <w:bCs/>
          <w:b/>
        </w:rPr>
        <w:t xml:space="preserve">Substance active ou valeur mesurée ?</w:t>
      </w:r>
      <w:r>
        <w:t xml:space="preserve"> </w:t>
      </w:r>
      <w:r>
        <w:t xml:space="preserve">Pour le LL-37, il existe de nombreuses études qui</w:t>
      </w:r>
      <w:r>
        <w:t xml:space="preserve"> </w:t>
      </w:r>
      <w:r>
        <w:rPr>
          <w:iCs/>
          <w:i/>
        </w:rPr>
        <w:t xml:space="preserve">mesurent</w:t>
      </w:r>
      <w:r>
        <w:t xml:space="preserve"> </w:t>
      </w:r>
      <w:r>
        <w:t xml:space="preserve">la substance dans le sang, mais peu qui l’</w:t>
      </w:r>
      <w:r>
        <w:rPr>
          <w:iCs/>
          <w:i/>
        </w:rPr>
        <w:t xml:space="preserve">administrent</w:t>
      </w:r>
      <w:r>
        <w:t xml:space="preserve"> </w:t>
      </w:r>
      <w:r>
        <w:t xml:space="preserve">comme médicament. Seules ces dernières disent quelque chose d’un traitement.</w:t>
      </w:r>
    </w:p>
    <w:p>
      <w:pPr>
        <w:numPr>
          <w:ilvl w:val="0"/>
          <w:numId w:val="1114"/>
        </w:numPr>
        <w:pStyle w:val="Compact"/>
      </w:pPr>
      <w:r>
        <w:rPr>
          <w:bCs/>
          <w:b/>
        </w:rPr>
        <w:t xml:space="preserve">Original ou dérivé ?</w:t>
      </w:r>
      <w:r>
        <w:t xml:space="preserve"> </w:t>
      </w:r>
      <w:r>
        <w:t xml:space="preserve">Le TB-500 n’est pas la thymosine bêta 4, le thymogène n’est pas la thymaline, et le produit vendu sur Internet n’est pas la forme pharmaceutique utilisée dans les études.</w:t>
      </w:r>
    </w:p>
    <w:p>
      <w:pPr>
        <w:pStyle w:val="FirstParagraph"/>
      </w:pPr>
      <w:r>
        <w:t xml:space="preserve">Deux chapitres contiennent des remarques sur des entrées de registre dont l’authenticité est douteuse : un promoteur a inscrit sur ClinicalTrials.gov à la fois une étude de phase 2 sur le BPC-157 et une étude sur le TB-500, dont l’une se désigne elle-même comme « exemple fictif ». Même une entrée de registre n’est donc pas une preuve qu’une étude a réellement lieu.</w:t>
      </w:r>
    </w:p>
    <w:p>
      <w:pPr>
        <w:pStyle w:val="BodyText"/>
      </w:pPr>
      <w:r>
        <w:t xml:space="preserve">Les questions relatives aux produits du marché gris, aux impuretés et au risque théorique de cancer lié aux signaux de croissance et vasculaires sont traitées plus en détail, de manière transversale, au chapitre I.5 et dans la partie IV. Pour les sportives et sportifs : le BPC-157, le TB-500 et l’ARA-290 sont expressément interdits par la WADA ; pour les autres, interrogez votre agence nationale antidopage avant toute utilisation.</w:t>
      </w:r>
    </w:p>
    <w:bookmarkEnd w:id="895"/>
    <w:bookmarkStart w:id="953" w:name="bpc-157"/>
    <w:p>
      <w:pPr>
        <w:pStyle w:val="Heading2"/>
      </w:pPr>
      <w:r>
        <w:t xml:space="preserve">BPC-157</w:t>
      </w:r>
    </w:p>
    <w:p>
      <w:pPr>
        <w:pStyle w:val="FirstParagraph"/>
      </w:pPr>
      <w:r>
        <w:t xml:space="preserve">Peu de peptides sont aussi souvent recherchés, recommandés et vendus sur Internet que le BPC-157. Sur les forums et dans les vidéos, il passe pour un remède miracle pour les tendons, les ligaments, les muscles, l’intestin et même le cerveau. Qui lit la littérature spécialisée trouve effectivement bien plus de deux cents publications. Le tableau change toutefois dès que l’on demande combien d’entre elles ont étudié des êtres humains : il n’y en a qu’une poignée – petites, non contrôlées et issues d’un seul cabinet privé. Ce chapitre fait le point sur ce qui est établi, ce qui n’a été montré que chez le rat et où se situent les risques.</w:t>
      </w:r>
    </w:p>
    <w:bookmarkStart w:id="897" w:name="fiche-signalétique-15"/>
    <w:p>
      <w:pPr>
        <w:pStyle w:val="Heading3"/>
      </w:pPr>
      <w:r>
        <w:t xml:space="preserve">Fiche signalétique</w:t>
      </w:r>
    </w:p>
    <w:p>
      <w:pPr>
        <w:numPr>
          <w:ilvl w:val="0"/>
          <w:numId w:val="1115"/>
        </w:numPr>
        <w:pStyle w:val="Compact"/>
      </w:pPr>
      <w:r>
        <w:rPr>
          <w:bCs/>
          <w:b/>
        </w:rPr>
        <w:t xml:space="preserve">Type et structure :</w:t>
      </w:r>
      <w:r>
        <w:t xml:space="preserve"> </w:t>
      </w:r>
      <w:r>
        <w:t xml:space="preserve">peptide de synthèse de 15 acides aminés (pentadécapeptide) de séquence GEPPPGKPADDAGLV</w:t>
      </w:r>
      <w:r>
        <w:rPr>
          <w:rStyle w:val="FootnoteReference"/>
        </w:rPr>
        <w:footnoteReference w:id="896"/>
      </w:r>
      <w:r>
        <w:t xml:space="preserve">.</w:t>
      </w:r>
    </w:p>
    <w:p>
      <w:pPr>
        <w:numPr>
          <w:ilvl w:val="0"/>
          <w:numId w:val="1115"/>
        </w:numPr>
        <w:pStyle w:val="Compact"/>
      </w:pPr>
      <w:r>
        <w:rPr>
          <w:bCs/>
          <w:b/>
        </w:rPr>
        <w:t xml:space="preserve">Origine :</w:t>
      </w:r>
      <w:r>
        <w:t xml:space="preserve"> </w:t>
      </w:r>
      <w:r>
        <w:t xml:space="preserve">dérivé d’une protéine plus grande décrite dans les années 1990 à partir du suc gastrique humain (« Body Protection Compound », d’où BPC). Le BPC-157 vendu est un produit de laboratoire ; il n’est pas établi de façon indépendante que la séquence existe sous cette forme dans l’organisme.</w:t>
      </w:r>
    </w:p>
    <w:p>
      <w:pPr>
        <w:numPr>
          <w:ilvl w:val="0"/>
          <w:numId w:val="1115"/>
        </w:numPr>
        <w:pStyle w:val="Compact"/>
      </w:pPr>
      <w:r>
        <w:rPr>
          <w:bCs/>
          <w:b/>
        </w:rPr>
        <w:t xml:space="preserve">Anciens noms de développement :</w:t>
      </w:r>
      <w:r>
        <w:t xml:space="preserve"> </w:t>
      </w:r>
      <w:r>
        <w:t xml:space="preserve">PL 14736, PL-10, PLD-116 (société Pliva, Croatie), puis « Bepecin » ou PCO-02.</w:t>
      </w:r>
    </w:p>
    <w:p>
      <w:pPr>
        <w:numPr>
          <w:ilvl w:val="0"/>
          <w:numId w:val="1115"/>
        </w:numPr>
        <w:pStyle w:val="Compact"/>
      </w:pPr>
      <w:r>
        <w:rPr>
          <w:bCs/>
          <w:b/>
        </w:rPr>
        <w:t xml:space="preserve">Principe d’action (supposé, d’après des études animales) :</w:t>
      </w:r>
      <w:r>
        <w:t xml:space="preserve"> </w:t>
      </w:r>
      <w:r>
        <w:t xml:space="preserve">stimulation de la formation de nouveaux vaisseaux (angiogenèse) via le récepteur 2 du VEGF et le système du monoxyde d’azote, effet sur la migration des cellules du tissu conjonctif.</w:t>
      </w:r>
    </w:p>
    <w:p>
      <w:pPr>
        <w:numPr>
          <w:ilvl w:val="0"/>
          <w:numId w:val="1115"/>
        </w:numPr>
        <w:pStyle w:val="Compact"/>
      </w:pPr>
      <w:r>
        <w:rPr>
          <w:bCs/>
          <w:b/>
        </w:rPr>
        <w:t xml:space="preserve">Autorisation UE :</w:t>
      </w:r>
      <w:r>
        <w:t xml:space="preserve"> </w:t>
      </w:r>
      <w:r>
        <w:t xml:space="preserve">non.</w:t>
      </w:r>
      <w:r>
        <w:t xml:space="preserve"> </w:t>
      </w:r>
      <w:r>
        <w:rPr>
          <w:bCs/>
          <w:b/>
        </w:rPr>
        <w:t xml:space="preserve">Autorisation États-Unis :</w:t>
      </w:r>
      <w:r>
        <w:t xml:space="preserve"> </w:t>
      </w:r>
      <w:r>
        <w:t xml:space="preserve">non ; classé par la FDA en 2023 comme substance présentant des problèmes de sécurité pour les préparations magistrales (catégorie 2).</w:t>
      </w:r>
    </w:p>
    <w:p>
      <w:pPr>
        <w:numPr>
          <w:ilvl w:val="0"/>
          <w:numId w:val="1115"/>
        </w:numPr>
        <w:pStyle w:val="Compact"/>
      </w:pPr>
      <w:r>
        <w:rPr>
          <w:bCs/>
          <w:b/>
        </w:rPr>
        <w:t xml:space="preserve">AMA (WADA) :</w:t>
      </w:r>
      <w:r>
        <w:t xml:space="preserve"> </w:t>
      </w:r>
      <w:r>
        <w:t xml:space="preserve">interdit, groupe S0 « substances non approuvées » (cité expressément).</w:t>
      </w:r>
    </w:p>
    <w:p>
      <w:pPr>
        <w:numPr>
          <w:ilvl w:val="0"/>
          <w:numId w:val="1115"/>
        </w:numPr>
        <w:pStyle w:val="Compact"/>
      </w:pPr>
      <w:r>
        <w:rPr>
          <w:bCs/>
          <w:b/>
        </w:rPr>
        <w:t xml:space="preserve">Niveau de preuve : C</w:t>
      </w:r>
      <w:r>
        <w:t xml:space="preserve"> </w:t>
      </w:r>
      <w:r>
        <w:t xml:space="preserve">– seulement trois très petites investigations non contrôlées chez l’humain, avec environ 30 personnes au total ; aucune étude randomisée achevée.</w:t>
      </w:r>
    </w:p>
    <w:bookmarkEnd w:id="897"/>
    <w:bookmarkStart w:id="904" w:name="mode-daction-supposé-15"/>
    <w:p>
      <w:pPr>
        <w:pStyle w:val="Heading3"/>
      </w:pPr>
      <w:r>
        <w:t xml:space="preserve">Mode d’action supposé</w:t>
      </w:r>
    </w:p>
    <w:p>
      <w:pPr>
        <w:pStyle w:val="FirstParagraph"/>
      </w:pPr>
      <w:r>
        <w:t xml:space="preserve">L’idée de base vient de la recherche sur l’estomac. La muqueuse gastrique est exposée chaque jour à l’acide, aux enzymes et à des médicaments comme les antalgiques, et se répare pourtant étonnamment vite. Dans les années 1990, des chercheurs de Zagreb ont supposé que des substances protectrices du suc gastrique étaient à l’origine de cette capacité et ont isolé un peptide qu’ils ont appelé « Body Protection Compound ». Le BPC-157 en est un court fragment.</w:t>
      </w:r>
    </w:p>
    <w:p>
      <w:pPr>
        <w:pStyle w:val="BodyText"/>
      </w:pPr>
      <w:r>
        <w:t xml:space="preserve">Fait inhabituel, le BPC-157 reste stable dans le suc gastrique. La plupart des peptides y sont rapidement découpés. Ses partisans en déduisent qu’il pourrait aussi agir sous forme de comprimé – ce n’est pas démontré chez l’humain.</w:t>
      </w:r>
    </w:p>
    <w:p>
      <w:pPr>
        <w:pStyle w:val="BodyText"/>
      </w:pPr>
      <w:r>
        <w:t xml:space="preserve">Pour l’effet allégué, trois mécanismes sont surtout discutés, tous issus d’expériences animales et cellulaires :</w:t>
      </w:r>
    </w:p>
    <w:p>
      <w:pPr>
        <w:numPr>
          <w:ilvl w:val="0"/>
          <w:numId w:val="1116"/>
        </w:numPr>
        <w:pStyle w:val="Compact"/>
      </w:pPr>
      <w:r>
        <w:rPr>
          <w:bCs/>
          <w:b/>
        </w:rPr>
        <w:t xml:space="preserve">Formation de nouveaux vaisseaux :</w:t>
      </w:r>
      <w:r>
        <w:t xml:space="preserve"> </w:t>
      </w:r>
      <w:r>
        <w:t xml:space="preserve">dans des cultures de cellules humaines de la paroi interne des vaisseaux, le BPC-157 a augmenté la quantité de récepteur 2 du VEGF (un interrupteur central de la croissance de nouveaux vaisseaux sanguins) et activé la voie de signalisation en aval Akt-eNOS ; chez des rats dont l’artère de la patte avait été ligaturée, la perfusion s’est rétablie plus vite</w:t>
      </w:r>
      <w:r>
        <w:rPr>
          <w:rStyle w:val="FootnoteReference"/>
        </w:rPr>
        <w:footnoteReference w:id="898"/>
      </w:r>
      <w:r>
        <w:t xml:space="preserve">. Un travail chinois a décrit en 2026, dans des essais sur cellules, une autre voie passant par les protéines FBXO22 et BACH1</w:t>
      </w:r>
      <w:r>
        <w:rPr>
          <w:rStyle w:val="FootnoteReference"/>
        </w:rPr>
        <w:footnoteReference w:id="899"/>
      </w:r>
      <w:r>
        <w:t xml:space="preserve">.</w:t>
      </w:r>
    </w:p>
    <w:p>
      <w:pPr>
        <w:numPr>
          <w:ilvl w:val="0"/>
          <w:numId w:val="1116"/>
        </w:numPr>
        <w:pStyle w:val="Compact"/>
      </w:pPr>
      <w:r>
        <w:rPr>
          <w:bCs/>
          <w:b/>
        </w:rPr>
        <w:t xml:space="preserve">Migration et survie cellulaires :</w:t>
      </w:r>
      <w:r>
        <w:t xml:space="preserve"> </w:t>
      </w:r>
      <w:r>
        <w:t xml:space="preserve">dans des cultures de cellules tendineuses de rat, le BPC-157 a accéléré la sortie des cellules à partir de fragments de tendon, amélioré leur survie sous stress oxydatif et favorisé leur migration ; la division cellulaire elle-même n’était pas directement augmentée</w:t>
      </w:r>
      <w:r>
        <w:rPr>
          <w:rStyle w:val="FootnoteReference"/>
        </w:rPr>
        <w:footnoteReference w:id="900"/>
      </w:r>
      <w:r>
        <w:t xml:space="preserve">.</w:t>
      </w:r>
    </w:p>
    <w:p>
      <w:pPr>
        <w:numPr>
          <w:ilvl w:val="0"/>
          <w:numId w:val="1116"/>
        </w:numPr>
        <w:pStyle w:val="Compact"/>
      </w:pPr>
      <w:r>
        <w:rPr>
          <w:bCs/>
          <w:b/>
        </w:rPr>
        <w:t xml:space="preserve">Sensibilité à l’hormone de croissance :</w:t>
      </w:r>
      <w:r>
        <w:t xml:space="preserve"> </w:t>
      </w:r>
      <w:r>
        <w:t xml:space="preserve">dans ces mêmes cellules tendineuses de rat, le BPC-157 a augmenté le nombre de récepteurs de l’hormone de croissance</w:t>
      </w:r>
      <w:r>
        <w:rPr>
          <w:rStyle w:val="FootnoteReference"/>
        </w:rPr>
        <w:footnoteReference w:id="901"/>
      </w:r>
      <w:r>
        <w:t xml:space="preserve">.</w:t>
      </w:r>
    </w:p>
    <w:p>
      <w:pPr>
        <w:pStyle w:val="FirstParagraph"/>
      </w:pPr>
      <w:r>
        <w:t xml:space="preserve">S’y ajoutent de nombreux autres effets sur le monoxyde d’azote, la coagulation sanguine et les neurotransmetteurs, décrits surtout dans des articles de synthèse du groupe de Zagreb</w:t>
      </w:r>
      <w:r>
        <w:rPr>
          <w:rStyle w:val="FootnoteReference"/>
        </w:rPr>
        <w:footnoteReference w:id="902"/>
      </w:r>
      <w:r>
        <w:t xml:space="preserve">. On ne connaît à ce jour aucun récepteur précis auquel le BPC-157 se lierait.</w:t>
      </w:r>
    </w:p>
    <w:p>
      <w:pPr>
        <w:pStyle w:val="BodyText"/>
      </w:pPr>
      <w:r>
        <w:t xml:space="preserve">Une contradiction relevée par une synthèse pharmaceutique est frappante : chez l’animal, le BPC-157 a une demi-vie inférieure à 30 minutes, alors que les effets décrits sont censés durer des heures, voire des jours</w:t>
      </w:r>
      <w:r>
        <w:rPr>
          <w:rStyle w:val="FootnoteReference"/>
        </w:rPr>
        <w:footnoteReference w:id="903"/>
      </w:r>
      <w:r>
        <w:t xml:space="preserve">. Comment concilier les deux reste inexpliqué.</w:t>
      </w:r>
    </w:p>
    <w:bookmarkEnd w:id="904"/>
    <w:bookmarkStart w:id="917" w:name="études-chez-lhumain-15"/>
    <w:p>
      <w:pPr>
        <w:pStyle w:val="Heading3"/>
      </w:pPr>
      <w:r>
        <w:t xml:space="preserve">Études chez l’humain</w:t>
      </w:r>
    </w:p>
    <w:p>
      <w:pPr>
        <w:pStyle w:val="FirstParagraph"/>
      </w:pPr>
      <w:r>
        <w:rPr>
          <w:bCs/>
          <w:b/>
        </w:rPr>
        <w:t xml:space="preserve">Ampleur des données (requête d’octobre 2026) :</w:t>
      </w:r>
      <w:r>
        <w:t xml:space="preserve"> </w:t>
      </w:r>
      <w:r>
        <w:t xml:space="preserve">la recherche automatisée de ce livre n’a trouvé dans PubMed</w:t>
      </w:r>
      <w:r>
        <w:t xml:space="preserve"> </w:t>
      </w:r>
      <w:r>
        <w:rPr>
          <w:bCs/>
          <w:b/>
        </w:rPr>
        <w:t xml:space="preserve">aucune</w:t>
      </w:r>
      <w:r>
        <w:t xml:space="preserve"> </w:t>
      </w:r>
      <w:r>
        <w:t xml:space="preserve">étude répondant aux critères de filtre d’une étude chez l’humain (</w:t>
      </w:r>
      <w:r>
        <w:rPr>
          <w:rStyle w:val="VerbatimChar"/>
        </w:rPr>
        <w:t xml:space="preserve">humanstudien_alle</w:t>
      </w:r>
      <w:r>
        <w:t xml:space="preserve"> </w:t>
      </w:r>
      <w:r>
        <w:t xml:space="preserve">: 0), et</w:t>
      </w:r>
      <w:r>
        <w:t xml:space="preserve"> </w:t>
      </w:r>
      <w:r>
        <w:rPr>
          <w:bCs/>
          <w:b/>
        </w:rPr>
        <w:t xml:space="preserve">4</w:t>
      </w:r>
      <w:r>
        <w:t xml:space="preserve"> </w:t>
      </w:r>
      <w:r>
        <w:t xml:space="preserve">entrées dans le registre d’études ClinicalTrials.gov. Au total, PubMed recense pour le BPC-157 environ 230 publications – presque exclusivement des expériences animales, des travaux de laboratoire et des articles de synthèse.</w:t>
      </w:r>
    </w:p>
    <w:p>
      <w:pPr>
        <w:pStyle w:val="BodyText"/>
      </w:pPr>
      <w:r>
        <w:t xml:space="preserve">Une recherche ciblée complémentaire a mis au jour trois petites investigations chez l’humain. Toutes trois proviennent du même premier auteur, issu d’un cabinet privé en Floride, et ont paru dans une revue de médecine alternative. Une revue systématique publiée en 2026 a trouvé exactement ces trois travaux, avec 30 personnes au total</w:t>
      </w:r>
      <w:r>
        <w:rPr>
          <w:rStyle w:val="FootnoteReference"/>
        </w:rPr>
        <w:footnoteReference w:id="905"/>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schéma</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Genou (Lee 2021), PMID 34324435</w:t>
            </w:r>
          </w:p>
        </w:tc>
        <w:tc>
          <w:tcPr/>
          <w:p>
            <w:pPr>
              <w:pStyle w:val="Compact"/>
              <w:jc w:val="left"/>
            </w:pPr>
            <w:r>
              <w:t xml:space="preserve">16 personnes souffrant de douleurs du genou de causes diverses, analyse rétrospective de dossiers avec entretien téléphonique, sans groupe témoin</w:t>
            </w:r>
          </w:p>
        </w:tc>
        <w:tc>
          <w:tcPr/>
          <w:p>
            <w:pPr>
              <w:pStyle w:val="Compact"/>
              <w:jc w:val="left"/>
            </w:pPr>
            <w:r>
              <w:t xml:space="preserve">rétrospective sur 6–12 mois</w:t>
            </w:r>
          </w:p>
        </w:tc>
        <w:tc>
          <w:tcPr/>
          <w:p>
            <w:pPr>
              <w:pStyle w:val="Compact"/>
              <w:jc w:val="left"/>
            </w:pPr>
            <w:r>
              <w:t xml:space="preserve">14 sur 16 ont rapporté un soulagement de la douleur ; 12 n’ont reçu que du BPC-157, 4 en plus de la thymosine bêta 4</w:t>
            </w:r>
          </w:p>
        </w:tc>
      </w:tr>
      <w:tr>
        <w:tc>
          <w:tcPr/>
          <w:p>
            <w:pPr>
              <w:pStyle w:val="Compact"/>
              <w:jc w:val="left"/>
            </w:pPr>
            <w:r>
              <w:t xml:space="preserve">Cystite interstitielle (Lee 2024), PMID 39325560</w:t>
            </w:r>
          </w:p>
        </w:tc>
        <w:tc>
          <w:tcPr/>
          <w:p>
            <w:pPr>
              <w:pStyle w:val="Compact"/>
              <w:jc w:val="left"/>
            </w:pPr>
            <w:r>
              <w:t xml:space="preserve">12 femmes souffrant d’un syndrome douloureux vésical chronique, injections dans la paroi vésicale lors d’une cystoscopie, sans groupe témoin</w:t>
            </w:r>
          </w:p>
        </w:tc>
        <w:tc>
          <w:tcPr/>
          <w:p>
            <w:pPr>
              <w:pStyle w:val="Compact"/>
              <w:jc w:val="left"/>
            </w:pPr>
            <w:r>
              <w:t xml:space="preserve">un traitement</w:t>
            </w:r>
          </w:p>
        </w:tc>
        <w:tc>
          <w:tcPr/>
          <w:p>
            <w:pPr>
              <w:pStyle w:val="Compact"/>
              <w:jc w:val="left"/>
            </w:pPr>
            <w:r>
              <w:t xml:space="preserve">10 sur 12 ont déclaré une amélioration complète, 2 une amélioration majoritaire ; aucun effet indésirable rapporté</w:t>
            </w:r>
          </w:p>
        </w:tc>
      </w:tr>
      <w:tr>
        <w:tc>
          <w:tcPr/>
          <w:p>
            <w:pPr>
              <w:pStyle w:val="Compact"/>
              <w:jc w:val="left"/>
            </w:pPr>
            <w:r>
              <w:t xml:space="preserve">Perfusion intraveineuse (Lee 2025), PMID 40131143</w:t>
            </w:r>
          </w:p>
        </w:tc>
        <w:tc>
          <w:tcPr/>
          <w:p>
            <w:pPr>
              <w:pStyle w:val="Compact"/>
              <w:jc w:val="left"/>
            </w:pPr>
            <w:r>
              <w:t xml:space="preserve">2 personnes, évaluation de la sécurité sur deux jours</w:t>
            </w:r>
          </w:p>
        </w:tc>
        <w:tc>
          <w:tcPr/>
          <w:p>
            <w:pPr>
              <w:pStyle w:val="Compact"/>
              <w:jc w:val="left"/>
            </w:pPr>
            <w:r>
              <w:t xml:space="preserve">3 jours</w:t>
            </w:r>
          </w:p>
        </w:tc>
        <w:tc>
          <w:tcPr/>
          <w:p>
            <w:pPr>
              <w:pStyle w:val="Compact"/>
              <w:jc w:val="left"/>
            </w:pPr>
            <w:r>
              <w:t xml:space="preserve">aucune modification mesurable des paramètres sanguins étudiés, aucun symptôme</w:t>
            </w:r>
          </w:p>
        </w:tc>
      </w:tr>
    </w:tbl>
    <w:bookmarkStart w:id="912" w:name="quelle-est-la-valeur-de-ces-données"/>
    <w:p>
      <w:pPr>
        <w:pStyle w:val="Heading4"/>
      </w:pPr>
      <w:r>
        <w:t xml:space="preserve">Quelle est la valeur de ces données ?</w:t>
      </w:r>
    </w:p>
    <w:p>
      <w:pPr>
        <w:pStyle w:val="FirstParagraph"/>
      </w:pPr>
      <w:r>
        <w:t xml:space="preserve">Quasi nulle. L’investigation sur le genou n’était pas une étude planifiée, mais un sondage téléphonique a posteriori auprès de patients qui avaient déjà payé le traitement. Il n’y avait ni groupe de comparaison, ni aveugle, ni instruments de mesure de la fonction ou de la qualité de vie, ni imagerie. Les causes de la douleur du genou allaient de l’arthrose aux déchirures méniscales. Selon le résumé, aucun questionnaire standardisé de la fonction n’a été utilisé</w:t>
      </w:r>
      <w:r>
        <w:rPr>
          <w:rStyle w:val="FootnoteReference"/>
        </w:rPr>
        <w:footnoteReference w:id="906"/>
      </w:r>
      <w:r>
        <w:t xml:space="preserve">.</w:t>
      </w:r>
    </w:p>
    <w:p>
      <w:pPr>
        <w:pStyle w:val="BodyText"/>
      </w:pPr>
      <w:r>
        <w:t xml:space="preserve">Le travail sur la cystite a recueilli le résultat avec un unique questionnaire global. Que les douze femmes aient toutes donné la meilleure note possible est inhabituel pour une maladie chronique, souvent difficile à traiter, et ne peut être distingué, en l’absence de groupe témoin, d’un effet placebo ou des fluctuations naturelles des symptômes. Il est en outre notable que le BPC-157 utilisé provenait d’une pharmacie de préparations magistrales américaine</w:t>
      </w:r>
      <w:r>
        <w:rPr>
          <w:rStyle w:val="FootnoteReference"/>
        </w:rPr>
        <w:footnoteReference w:id="907"/>
      </w:r>
      <w:r>
        <w:t xml:space="preserve">.</w:t>
      </w:r>
    </w:p>
    <w:p>
      <w:pPr>
        <w:pStyle w:val="BodyText"/>
      </w:pPr>
      <w:r>
        <w:t xml:space="preserve">L’étude de perfusion portait sur deux personnes qui avaient déjà reçu du BPC-157 auparavant. Deux personnes ne permettent aucune conclusion sur la sécurité – des effets indésirables rares ou retardés restent ainsi invisibles</w:t>
      </w:r>
      <w:r>
        <w:rPr>
          <w:rStyle w:val="FootnoteReference"/>
        </w:rPr>
        <w:footnoteReference w:id="908"/>
      </w:r>
      <w:r>
        <w:t xml:space="preserve">.</w:t>
      </w:r>
    </w:p>
    <w:p>
      <w:pPr>
        <w:pStyle w:val="BodyText"/>
      </w:pPr>
      <w:r>
        <w:t xml:space="preserve">La revue systématique a jugé la qualité méthodologique des trois travaux médiocre et la fiabilité des preuves « très faible » selon le système GRADE. Sa conclusion : le BPC-157 ne devrait pas être utilisé chez l’humain en dehors d’essais cliniques de haute qualité approuvés sur le plan éthique</w:t>
      </w:r>
      <w:r>
        <w:rPr>
          <w:rStyle w:val="FootnoteReference"/>
        </w:rPr>
        <w:footnoteReference w:id="909"/>
      </w:r>
      <w:r>
        <w:t xml:space="preserve">. Une autre revue systématique en orthopédie du sport, avec une recherche jusqu’en juin 2024, n’a trouvé qu’une seule étude clinique parmi 36 travaux inclus</w:t>
      </w:r>
      <w:r>
        <w:rPr>
          <w:rStyle w:val="FootnoteReference"/>
        </w:rPr>
        <w:footnoteReference w:id="910"/>
      </w:r>
      <w:r>
        <w:t xml:space="preserve">. Plusieurs synthèses récentes en orthopédie et en médecine du sport parviennent à la même conclusion : un usage de routine ne peut actuellement pas être recommandé</w:t>
      </w:r>
      <w:r>
        <w:rPr>
          <w:rStyle w:val="FootnoteReference"/>
        </w:rPr>
        <w:footnoteReference w:id="911"/>
      </w:r>
      <w:r>
        <w:t xml:space="preserve">.</w:t>
      </w:r>
    </w:p>
    <w:bookmarkEnd w:id="912"/>
    <w:bookmarkStart w:id="916" w:name="X72769808afe8df633f1294cd0e1ad8695a38370"/>
    <w:p>
      <w:pPr>
        <w:pStyle w:val="Heading4"/>
      </w:pPr>
      <w:r>
        <w:t xml:space="preserve">Ce que sont devenues les anciennes études industrielles</w:t>
      </w:r>
    </w:p>
    <w:p>
      <w:pPr>
        <w:pStyle w:val="FirstParagraph"/>
      </w:pPr>
      <w:r>
        <w:t xml:space="preserve">Dans les années 2000, l’entreprise pharmaceutique croate Pliva a développé le BPC-157 sous le code PL 14736 pour les maladies inflammatoires chroniques de l’intestin. Des études animales de l’époque mentionnent que la substance était « actuellement en essais cliniques »</w:t>
      </w:r>
      <w:r>
        <w:rPr>
          <w:rStyle w:val="FootnoteReference"/>
        </w:rPr>
        <w:footnoteReference w:id="913"/>
      </w:r>
      <w:r>
        <w:t xml:space="preserve">. Un article de synthèse du groupe de Zagreb évoque des études dans la rectocolite hémorragique et la sclérose en plaques</w:t>
      </w:r>
      <w:r>
        <w:rPr>
          <w:rStyle w:val="FootnoteReference"/>
        </w:rPr>
        <w:footnoteReference w:id="914"/>
      </w:r>
      <w:r>
        <w:t xml:space="preserve">. Les résultats complets de ces études ne sont pas trouvables dans PubMed sous forme d’article original. En 2015, une étude de phase 1 avec des comprimés (« Bepecin », PCO-02) chez 42 volontaires sains a en outre été enregistrée</w:t>
      </w:r>
      <w:r>
        <w:rPr>
          <w:rStyle w:val="FootnoteReference"/>
        </w:rPr>
        <w:footnoteReference w:id="915"/>
      </w:r>
      <w:r>
        <w:t xml:space="preserve"> </w:t>
      </w:r>
      <w:r>
        <w:t xml:space="preserve">; son statut est « inconnu » depuis des années, et aucun résultat n’a été publié.</w:t>
      </w:r>
    </w:p>
    <w:p>
      <w:pPr>
        <w:pStyle w:val="BodyText"/>
      </w:pPr>
      <w:r>
        <w:t xml:space="preserve">Pour les lecteurs, cela signifie : lorsque des sites Internet affirment que le BPC-157 s’est révélé « sûr dans des essais cliniques », ils se réfèrent à des études dont personne ne peut vérifier les données de manière indépendante.</w:t>
      </w:r>
    </w:p>
    <w:bookmarkEnd w:id="916"/>
    <w:bookmarkEnd w:id="917"/>
    <w:bookmarkStart w:id="926" w:name="études-animales-et-de-laboratoire-15"/>
    <w:p>
      <w:pPr>
        <w:pStyle w:val="Heading3"/>
      </w:pPr>
      <w:r>
        <w:t xml:space="preserve">Études animales et de laboratoire</w:t>
      </w:r>
    </w:p>
    <w:p>
      <w:pPr>
        <w:pStyle w:val="FirstParagraph"/>
      </w:pPr>
      <w:r>
        <w:t xml:space="preserve">Les données précliniques sont la raison pour laquelle le BPC-157 est devenu si connu. Elles sont abondantes, mais d’une provenance inhabituellement unilatérale.</w:t>
      </w:r>
    </w:p>
    <w:bookmarkStart w:id="921" w:name="un-groupe-de-recherche-domine"/>
    <w:p>
      <w:pPr>
        <w:pStyle w:val="Heading4"/>
      </w:pPr>
      <w:r>
        <w:t xml:space="preserve">Un groupe de recherche domine</w:t>
      </w:r>
    </w:p>
    <w:p>
      <w:pPr>
        <w:pStyle w:val="FirstParagraph"/>
      </w:pPr>
      <w:r>
        <w:t xml:space="preserve">Sur les quelque 230 résultats dans PubMed (requête d’octobre 2026), environ 175 citent le pharmacologue zagrébois Predrag Sikirić comme auteur – soit environ les trois quarts. Une synthèse sur la cicatrisation des tendons et des muscles a relevé qu’en deux décennies, seule une poignée de groupes de recherche avait étudié le BPC-157 en profondeur</w:t>
      </w:r>
      <w:r>
        <w:rPr>
          <w:rStyle w:val="FootnoteReference"/>
        </w:rPr>
        <w:footnoteReference w:id="918"/>
      </w:r>
      <w:r>
        <w:t xml:space="preserve">. C’est important pour l’évaluation : des résultats scientifiques ne sont considérés comme solides que lorsque des groupes indépendants les reproduisent. Une synthèse critique de 2026 sur les troubles circulatoires chez les rongeurs déplore des durées d’observation courtes, des expériences à dose unique, des risques de biais incomplètement décrits, et réclame des réplications indépendantes en aveugle</w:t>
      </w:r>
      <w:r>
        <w:rPr>
          <w:rStyle w:val="FootnoteReference"/>
        </w:rPr>
        <w:footnoteReference w:id="919"/>
      </w:r>
      <w:r>
        <w:t xml:space="preserve">. Une brève prise de position dans la revue Inflammopharmacology a discuté spécifiquement en 2025 un long article de synthèse de ce groupe</w:t>
      </w:r>
      <w:r>
        <w:rPr>
          <w:rStyle w:val="FootnoteReference"/>
        </w:rPr>
        <w:footnoteReference w:id="920"/>
      </w:r>
      <w:r>
        <w:t xml:space="preserve">.</w:t>
      </w:r>
    </w:p>
    <w:p>
      <w:pPr>
        <w:pStyle w:val="BodyText"/>
      </w:pPr>
      <w:r>
        <w:t xml:space="preserve">Des travaux indépendants existent bel et bien – surtout de Taïwan (cellules tendineuses, vaisseaux), de Corée du Sud et de Chine –, mais ils sont nettement plus rares et consistent surtout en expériences de laboratoire ou sur cellules.</w:t>
      </w:r>
    </w:p>
    <w:bookmarkEnd w:id="921"/>
    <w:bookmarkStart w:id="922" w:name="vue-densemble-par-système-dorganes"/>
    <w:p>
      <w:pPr>
        <w:pStyle w:val="Heading4"/>
      </w:pPr>
      <w:r>
        <w:t xml:space="preserve">Vue d’ensemble par système d’organes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Domaine</w:t>
            </w:r>
          </w:p>
        </w:tc>
        <w:tc>
          <w:tcPr/>
          <w:p>
            <w:pPr>
              <w:pStyle w:val="Compact"/>
              <w:jc w:val="left"/>
            </w:pPr>
            <w:r>
              <w:t xml:space="preserve">Modèle typique</w:t>
            </w:r>
          </w:p>
        </w:tc>
        <w:tc>
          <w:tcPr/>
          <w:p>
            <w:pPr>
              <w:pStyle w:val="Compact"/>
              <w:jc w:val="left"/>
            </w:pPr>
            <w:r>
              <w:t xml:space="preserve">Résultat rapporté</w:t>
            </w:r>
          </w:p>
        </w:tc>
        <w:tc>
          <w:tcPr/>
          <w:p>
            <w:pPr>
              <w:pStyle w:val="Compact"/>
              <w:jc w:val="left"/>
            </w:pPr>
            <w:r>
              <w:t xml:space="preserve">Exemple</w:t>
            </w:r>
          </w:p>
        </w:tc>
      </w:tr>
      <w:tr>
        <w:tc>
          <w:tcPr/>
          <w:p>
            <w:pPr>
              <w:pStyle w:val="Compact"/>
              <w:jc w:val="left"/>
            </w:pPr>
            <w:r>
              <w:t xml:space="preserve">Tendon</w:t>
            </w:r>
          </w:p>
        </w:tc>
        <w:tc>
          <w:tcPr/>
          <w:p>
            <w:pPr>
              <w:pStyle w:val="Compact"/>
              <w:jc w:val="left"/>
            </w:pPr>
            <w:r>
              <w:t xml:space="preserve">tendon d’Achille sectionné chez le rat</w:t>
            </w:r>
          </w:p>
        </w:tc>
        <w:tc>
          <w:tcPr/>
          <w:p>
            <w:pPr>
              <w:pStyle w:val="Compact"/>
              <w:jc w:val="left"/>
            </w:pPr>
            <w:r>
              <w:t xml:space="preserve">meilleure résistance, meilleure fonction et structure tissulaire</w:t>
            </w:r>
          </w:p>
        </w:tc>
        <w:tc>
          <w:tcPr/>
          <w:p>
            <w:pPr>
              <w:pStyle w:val="Compact"/>
              <w:jc w:val="left"/>
            </w:pPr>
            <w:r>
              <w:t xml:space="preserve">Staresinic 2003, PMID 14554208</w:t>
            </w:r>
          </w:p>
        </w:tc>
      </w:tr>
      <w:tr>
        <w:tc>
          <w:tcPr/>
          <w:p>
            <w:pPr>
              <w:pStyle w:val="Compact"/>
              <w:jc w:val="left"/>
            </w:pPr>
            <w:r>
              <w:t xml:space="preserve">Ligament</w:t>
            </w:r>
          </w:p>
        </w:tc>
        <w:tc>
          <w:tcPr/>
          <w:p>
            <w:pPr>
              <w:pStyle w:val="Compact"/>
              <w:jc w:val="left"/>
            </w:pPr>
            <w:r>
              <w:t xml:space="preserve">ligament interne du genou lésé chez le rat</w:t>
            </w:r>
          </w:p>
        </w:tc>
        <w:tc>
          <w:tcPr/>
          <w:p>
            <w:pPr>
              <w:pStyle w:val="Compact"/>
              <w:jc w:val="left"/>
            </w:pPr>
            <w:r>
              <w:t xml:space="preserve">meilleure cicatrisation</w:t>
            </w:r>
          </w:p>
        </w:tc>
        <w:tc>
          <w:tcPr/>
          <w:p>
            <w:pPr>
              <w:pStyle w:val="Compact"/>
              <w:jc w:val="left"/>
            </w:pPr>
            <w:r>
              <w:t xml:space="preserve">Cerovecki 2010, PMID 20225319</w:t>
            </w:r>
          </w:p>
        </w:tc>
      </w:tr>
      <w:tr>
        <w:tc>
          <w:tcPr/>
          <w:p>
            <w:pPr>
              <w:pStyle w:val="Compact"/>
              <w:jc w:val="left"/>
            </w:pPr>
            <w:r>
              <w:t xml:space="preserve">Muscle</w:t>
            </w:r>
          </w:p>
        </w:tc>
        <w:tc>
          <w:tcPr/>
          <w:p>
            <w:pPr>
              <w:pStyle w:val="Compact"/>
              <w:jc w:val="left"/>
            </w:pPr>
            <w:r>
              <w:t xml:space="preserve">muscle de la cuisse sectionné chez le rat</w:t>
            </w:r>
          </w:p>
        </w:tc>
        <w:tc>
          <w:tcPr/>
          <w:p>
            <w:pPr>
              <w:pStyle w:val="Compact"/>
              <w:jc w:val="left"/>
            </w:pPr>
            <w:r>
              <w:t xml:space="preserve">meilleure fonction</w:t>
            </w:r>
          </w:p>
        </w:tc>
        <w:tc>
          <w:tcPr/>
          <w:p>
            <w:pPr>
              <w:pStyle w:val="Compact"/>
              <w:jc w:val="left"/>
            </w:pPr>
            <w:r>
              <w:t xml:space="preserve">Staresinic 2006, PMID 16609979</w:t>
            </w:r>
          </w:p>
        </w:tc>
      </w:tr>
      <w:tr>
        <w:tc>
          <w:tcPr/>
          <w:p>
            <w:pPr>
              <w:pStyle w:val="Compact"/>
              <w:jc w:val="left"/>
            </w:pPr>
            <w:r>
              <w:t xml:space="preserve">Os</w:t>
            </w:r>
          </w:p>
        </w:tc>
        <w:tc>
          <w:tcPr/>
          <w:p>
            <w:pPr>
              <w:pStyle w:val="Compact"/>
              <w:jc w:val="left"/>
            </w:pPr>
            <w:r>
              <w:t xml:space="preserve">défaut osseux chez le lapin</w:t>
            </w:r>
          </w:p>
        </w:tc>
        <w:tc>
          <w:tcPr/>
          <w:p>
            <w:pPr>
              <w:pStyle w:val="Compact"/>
              <w:jc w:val="left"/>
            </w:pPr>
            <w:r>
              <w:t xml:space="preserve">consolidation nettement meilleure à la radiographie et dans les tissus</w:t>
            </w:r>
          </w:p>
        </w:tc>
        <w:tc>
          <w:tcPr/>
          <w:p>
            <w:pPr>
              <w:pStyle w:val="Compact"/>
              <w:jc w:val="left"/>
            </w:pPr>
            <w:r>
              <w:t xml:space="preserve">Sebecić 1999, PMID 10071911</w:t>
            </w:r>
          </w:p>
        </w:tc>
      </w:tr>
      <w:tr>
        <w:tc>
          <w:tcPr/>
          <w:p>
            <w:pPr>
              <w:pStyle w:val="Compact"/>
              <w:jc w:val="left"/>
            </w:pPr>
            <w:r>
              <w:t xml:space="preserve">Peau</w:t>
            </w:r>
          </w:p>
        </w:tc>
        <w:tc>
          <w:tcPr/>
          <w:p>
            <w:pPr>
              <w:pStyle w:val="Compact"/>
              <w:jc w:val="left"/>
            </w:pPr>
            <w:r>
              <w:t xml:space="preserve">plaies par incision, brûlures et plaies diabétiques chez le rat</w:t>
            </w:r>
          </w:p>
        </w:tc>
        <w:tc>
          <w:tcPr/>
          <w:p>
            <w:pPr>
              <w:pStyle w:val="Compact"/>
              <w:jc w:val="left"/>
            </w:pPr>
            <w:r>
              <w:t xml:space="preserve">cicatrisation plus rapide</w:t>
            </w:r>
          </w:p>
        </w:tc>
        <w:tc>
          <w:tcPr/>
          <w:p>
            <w:pPr>
              <w:pStyle w:val="Compact"/>
              <w:jc w:val="left"/>
            </w:pPr>
            <w:r>
              <w:t xml:space="preserve">Seiwerth 2021, PMID 34267654</w:t>
            </w:r>
          </w:p>
        </w:tc>
      </w:tr>
      <w:tr>
        <w:tc>
          <w:tcPr/>
          <w:p>
            <w:pPr>
              <w:pStyle w:val="Compact"/>
              <w:jc w:val="left"/>
            </w:pPr>
            <w:r>
              <w:t xml:space="preserve">Intestin</w:t>
            </w:r>
          </w:p>
        </w:tc>
        <w:tc>
          <w:tcPr/>
          <w:p>
            <w:pPr>
              <w:pStyle w:val="Compact"/>
              <w:jc w:val="left"/>
            </w:pPr>
            <w:r>
              <w:t xml:space="preserve">fistules, colite, anastomoses chez le rat</w:t>
            </w:r>
          </w:p>
        </w:tc>
        <w:tc>
          <w:tcPr/>
          <w:p>
            <w:pPr>
              <w:pStyle w:val="Compact"/>
              <w:jc w:val="left"/>
            </w:pPr>
            <w:r>
              <w:t xml:space="preserve">cicatrisation des fistules et des sutures</w:t>
            </w:r>
          </w:p>
        </w:tc>
        <w:tc>
          <w:tcPr/>
          <w:p>
            <w:pPr>
              <w:pStyle w:val="Compact"/>
              <w:jc w:val="left"/>
            </w:pPr>
            <w:r>
              <w:t xml:space="preserve">Sikiric 2020, PMID 32329684</w:t>
            </w:r>
          </w:p>
        </w:tc>
      </w:tr>
      <w:tr>
        <w:tc>
          <w:tcPr/>
          <w:p>
            <w:pPr>
              <w:pStyle w:val="Compact"/>
              <w:jc w:val="left"/>
            </w:pPr>
            <w:r>
              <w:t xml:space="preserve">Estomac</w:t>
            </w:r>
          </w:p>
        </w:tc>
        <w:tc>
          <w:tcPr/>
          <w:p>
            <w:pPr>
              <w:pStyle w:val="Compact"/>
              <w:jc w:val="left"/>
            </w:pPr>
            <w:r>
              <w:t xml:space="preserve">lésions dues aux antalgiques et à l’alcool</w:t>
            </w:r>
          </w:p>
        </w:tc>
        <w:tc>
          <w:tcPr/>
          <w:p>
            <w:pPr>
              <w:pStyle w:val="Compact"/>
              <w:jc w:val="left"/>
            </w:pPr>
            <w:r>
              <w:t xml:space="preserve">protection de la muqueuse</w:t>
            </w:r>
          </w:p>
        </w:tc>
        <w:tc>
          <w:tcPr/>
          <w:p>
            <w:pPr>
              <w:pStyle w:val="Compact"/>
              <w:jc w:val="left"/>
            </w:pPr>
            <w:r>
              <w:t xml:space="preserve">Ilic 2011, PMID 21295044</w:t>
            </w:r>
          </w:p>
        </w:tc>
      </w:tr>
      <w:tr>
        <w:tc>
          <w:tcPr/>
          <w:p>
            <w:pPr>
              <w:pStyle w:val="Compact"/>
              <w:jc w:val="left"/>
            </w:pPr>
            <w:r>
              <w:t xml:space="preserve">Vaisseaux</w:t>
            </w:r>
          </w:p>
        </w:tc>
        <w:tc>
          <w:tcPr/>
          <w:p>
            <w:pPr>
              <w:pStyle w:val="Compact"/>
              <w:jc w:val="left"/>
            </w:pPr>
            <w:r>
              <w:t xml:space="preserve">artères et veines ligaturées</w:t>
            </w:r>
          </w:p>
        </w:tc>
        <w:tc>
          <w:tcPr/>
          <w:p>
            <w:pPr>
              <w:pStyle w:val="Compact"/>
              <w:jc w:val="left"/>
            </w:pPr>
            <w:r>
              <w:t xml:space="preserve">circulations collatérales, meilleure perfusion</w:t>
            </w:r>
          </w:p>
        </w:tc>
        <w:tc>
          <w:tcPr/>
          <w:p>
            <w:pPr>
              <w:pStyle w:val="Compact"/>
              <w:jc w:val="left"/>
            </w:pPr>
            <w:r>
              <w:t xml:space="preserve">Sikiric 2022, PMID 35125818</w:t>
            </w:r>
          </w:p>
        </w:tc>
      </w:tr>
    </w:tbl>
    <w:p>
      <w:pPr>
        <w:pStyle w:val="BodyText"/>
      </w:pPr>
      <w:r>
        <w:t xml:space="preserve">S’y ajoutent des travaux sur le cerveau, l’œil, le cœur, la vessie, les intoxications et les déséquilibres métaboliques – chez le rat et la souris. Cette énorme diversité est lue par les partisans comme une force. D’un point de vue méthodologique, c’est plutôt un signal d’alerte : une substance qui améliore presque tous les troubles dans presque chaque modèle testé exige une vérification particulièrement soigneuse et indépendante.</w:t>
      </w:r>
    </w:p>
    <w:bookmarkEnd w:id="922"/>
    <w:bookmarkStart w:id="925" w:name="pharmacocinétique-et-toxicologie"/>
    <w:p>
      <w:pPr>
        <w:pStyle w:val="Heading4"/>
      </w:pPr>
      <w:r>
        <w:t xml:space="preserve">Pharmacocinétique et toxicologie</w:t>
      </w:r>
    </w:p>
    <w:p>
      <w:pPr>
        <w:pStyle w:val="FirstParagraph"/>
      </w:pPr>
      <w:r>
        <w:t xml:space="preserve">Un groupe de travail chinois a étudié le BPC-157 selon les règles habituelles du développement des médicaments. Chez le rat et le chien beagle, la demi-vie du peptide inchangé était inférieure à 30 minutes ; après injection intramusculaire, environ 14 à 19 pour cent passaient dans la circulation sanguine chez le rat, 45 à 51 pour cent chez le chien. Le BPC-157 était rapidement découpé en petits fragments et en acides aminés et éliminé par l’urine et la bile</w:t>
      </w:r>
      <w:r>
        <w:rPr>
          <w:rStyle w:val="FootnoteReference"/>
        </w:rPr>
        <w:footnoteReference w:id="923"/>
      </w:r>
      <w:r>
        <w:t xml:space="preserve">. Dans des essais de toxicité chez la souris, le rat, le lapin et le chien, les mêmes chercheurs n’ont trouvé ni lésions graves, ni atteinte du matériel génétique, ni atteinte embryonnaire ; chez le chien, la créatinine a baissé de façon transitoire à la dose la plus élevée</w:t>
      </w:r>
      <w:r>
        <w:rPr>
          <w:rStyle w:val="FootnoteReference"/>
        </w:rPr>
        <w:footnoteReference w:id="924"/>
      </w:r>
      <w:r>
        <w:t xml:space="preserve">. De telles données animales sont une condition préalable aux études chez l’humain, mais ne les remplacent pas.</w:t>
      </w:r>
    </w:p>
    <w:bookmarkEnd w:id="925"/>
    <w:bookmarkEnd w:id="926"/>
    <w:bookmarkStart w:id="939" w:name="risques-et-effets-indésirables-15"/>
    <w:p>
      <w:pPr>
        <w:pStyle w:val="Heading3"/>
      </w:pPr>
      <w:r>
        <w:t xml:space="preserve">Risques et effets indésirables</w:t>
      </w:r>
    </w:p>
    <w:bookmarkStart w:id="928" w:name="établi"/>
    <w:p>
      <w:pPr>
        <w:pStyle w:val="Heading4"/>
      </w:pPr>
      <w:r>
        <w:t xml:space="preserve">Établi</w:t>
      </w:r>
    </w:p>
    <w:p>
      <w:pPr>
        <w:pStyle w:val="FirstParagraph"/>
      </w:pPr>
      <w:r>
        <w:t xml:space="preserve">Il n’existe pratiquement pas d’effets indésirables établis chez l’humain – non pas parce que le BPC-157 serait démontré sûr, mais parce que presque personne ne les a recherchés systématiquement. Les trois investigations pilotes, avec environ 30 personnes au total, n’ont rapporté aucun effet indésirable</w:t>
      </w:r>
      <w:r>
        <w:rPr>
          <w:rStyle w:val="FootnoteReference"/>
        </w:rPr>
        <w:footnoteReference w:id="927"/>
      </w:r>
      <w:r>
        <w:t xml:space="preserve">. Avec 30 personnes, on ne peut détecter que des problèmes fréquents et immédiats. Un effet indésirable touchant une personne sur mille resterait invisible.</w:t>
      </w:r>
    </w:p>
    <w:bookmarkEnd w:id="928"/>
    <w:bookmarkStart w:id="932" w:name="X403808e6f377af191bef2ffb8b0888e4d24490d"/>
    <w:p>
      <w:pPr>
        <w:pStyle w:val="Heading4"/>
      </w:pPr>
      <w:r>
        <w:t xml:space="preserve">Théorique : formation de vaisseaux et croissance tumorale</w:t>
      </w:r>
    </w:p>
    <w:p>
      <w:pPr>
        <w:pStyle w:val="FirstParagraph"/>
      </w:pPr>
      <w:r>
        <w:t xml:space="preserve">Le risque théorique le plus souvent discuté découle directement du mécanisme d’action supposé. Si le BPC-157 favorise la formation de nouveaux vaisseaux sanguins, il pourrait – c’est la crainte – améliorer aussi l’irrigation de tumeurs déjà présentes, peut-être encore non détectées. Les tumeurs dépassant quelques millimètres ont besoin de leurs propres vaisseaux sanguins pour continuer à croître. C’est pourquoi les inhibiteurs de la voie du VEGF sont des anticancéreux établis. Une substance qui augmente l’expression du récepteur 2 du VEGF en culture cellulaire</w:t>
      </w:r>
      <w:r>
        <w:rPr>
          <w:rStyle w:val="FootnoteReference"/>
        </w:rPr>
        <w:footnoteReference w:id="929"/>
      </w:r>
      <w:r>
        <w:t xml:space="preserve"> </w:t>
      </w:r>
      <w:r>
        <w:t xml:space="preserve">mérite ici de la prudence. Plusieurs synthèses citent expressément la néovascularisation pathologique et une possible promotion du cancer comme un risque non élucidé</w:t>
      </w:r>
      <w:r>
        <w:rPr>
          <w:rStyle w:val="FootnoteReference"/>
        </w:rPr>
        <w:footnoteReference w:id="930"/>
      </w:r>
      <w:r>
        <w:t xml:space="preserve">.</w:t>
      </w:r>
    </w:p>
    <w:p>
      <w:pPr>
        <w:pStyle w:val="BodyText"/>
      </w:pPr>
      <w:r>
        <w:t xml:space="preserve">Le groupe de Zagreb le conteste : le BPC-157 régulerait la formation de vaisseaux au lieu de la stimuler aveuglément, empêcherait par exemple une néovascularisation pathologique de la cornée et montrerait même des effets antitumoraux dans des expériences animales et cellulaires</w:t>
      </w:r>
      <w:r>
        <w:rPr>
          <w:rStyle w:val="FootnoteReference"/>
        </w:rPr>
        <w:footnoteReference w:id="931"/>
      </w:r>
      <w:r>
        <w:t xml:space="preserve">. Ces données proviennent à nouveau majoritairement du même groupe. Des études à long terme sur la cancérogenèse (études de cancérogénicité), habituelles pour les médicaments autorisés, n’ont pas été publiées pour le BPC-157. La question reste donc ouverte – ni confirmée ni réfutée. La partie IV de ce livre traite en détail le thème des signaux de croissance et du risque de cancer.</w:t>
      </w:r>
    </w:p>
    <w:bookmarkEnd w:id="932"/>
    <w:bookmarkStart w:id="935" w:name="risques-du-marché-gris"/>
    <w:p>
      <w:pPr>
        <w:pStyle w:val="Heading4"/>
      </w:pPr>
      <w:r>
        <w:t xml:space="preserve">Risques du marché gris</w:t>
      </w:r>
    </w:p>
    <w:p>
      <w:pPr>
        <w:pStyle w:val="FirstParagraph"/>
      </w:pPr>
      <w:r>
        <w:t xml:space="preserve">Le plus grand risque pratique ne réside probablement pas dans la substance elle-même, mais dans les produits. Le BPC-157 est principalement vendu comme « research chemical » sans qualité pharmaceutique. Des synthèses citent comme dangers concrets les impuretés, les concentrations erronées, l’absence de stérilité et une qualité de fabrication variable</w:t>
      </w:r>
      <w:r>
        <w:rPr>
          <w:rStyle w:val="FootnoteReference"/>
        </w:rPr>
        <w:footnoteReference w:id="933"/>
      </w:r>
      <w:r>
        <w:t xml:space="preserve">. Dès 2017, un laboratoire antidopage a décrit du BPC-157 provenant de flacons saisis</w:t>
      </w:r>
      <w:r>
        <w:rPr>
          <w:rStyle w:val="FootnoteReference"/>
        </w:rPr>
        <w:footnoteReference w:id="934"/>
      </w:r>
      <w:r>
        <w:t xml:space="preserve">. Avec les injections s’ajoutent des risques infectieux liés aux solutions non stériles. Le chapitre I.5 et la partie IV traitent en détail des analyses de laboratoire de peptides du marché gris.</w:t>
      </w:r>
    </w:p>
    <w:bookmarkEnd w:id="935"/>
    <w:bookmarkStart w:id="938" w:name="autres-questions-ouvertes"/>
    <w:p>
      <w:pPr>
        <w:pStyle w:val="Heading4"/>
      </w:pPr>
      <w:r>
        <w:t xml:space="preserve">Autres questions ouvertes</w:t>
      </w:r>
    </w:p>
    <w:p>
      <w:pPr>
        <w:numPr>
          <w:ilvl w:val="0"/>
          <w:numId w:val="1117"/>
        </w:numPr>
        <w:pStyle w:val="Compact"/>
      </w:pPr>
      <w:r>
        <w:rPr>
          <w:bCs/>
          <w:b/>
        </w:rPr>
        <w:t xml:space="preserve">Interactions :</w:t>
      </w:r>
      <w:r>
        <w:t xml:space="preserve"> </w:t>
      </w:r>
      <w:r>
        <w:t xml:space="preserve">dans des expériences animales, le BPC-157 a influencé la coagulation sanguine, la pression artérielle et les neurotransmetteurs</w:t>
      </w:r>
      <w:r>
        <w:rPr>
          <w:rStyle w:val="FootnoteReference"/>
        </w:rPr>
        <w:footnoteReference w:id="936"/>
      </w:r>
      <w:r>
        <w:t xml:space="preserve">. Personne ne sait si cela est pertinent chez l’humain pour les personnes sous anticoagulants, atteintes de maladies cardiovasculaires ou traitées par psychotropes.</w:t>
      </w:r>
    </w:p>
    <w:p>
      <w:pPr>
        <w:numPr>
          <w:ilvl w:val="0"/>
          <w:numId w:val="1117"/>
        </w:numPr>
        <w:pStyle w:val="Compact"/>
      </w:pPr>
      <w:r>
        <w:rPr>
          <w:bCs/>
          <w:b/>
        </w:rPr>
        <w:t xml:space="preserve">Grossesse et allaitement, enfants et adolescents :</w:t>
      </w:r>
      <w:r>
        <w:t xml:space="preserve"> </w:t>
      </w:r>
      <w:r>
        <w:t xml:space="preserve">aucune donnée chez l’humain.</w:t>
      </w:r>
    </w:p>
    <w:p>
      <w:pPr>
        <w:numPr>
          <w:ilvl w:val="0"/>
          <w:numId w:val="1117"/>
        </w:numPr>
        <w:pStyle w:val="Compact"/>
      </w:pPr>
      <w:r>
        <w:rPr>
          <w:bCs/>
          <w:b/>
        </w:rPr>
        <w:t xml:space="preserve">Effet placebo :</w:t>
      </w:r>
      <w:r>
        <w:t xml:space="preserve"> </w:t>
      </w:r>
      <w:r>
        <w:t xml:space="preserve">une synthèse de médecine du sport souligne que les réseaux sociaux peuvent renforcer l’effet placebo de tels peptides</w:t>
      </w:r>
      <w:r>
        <w:rPr>
          <w:rStyle w:val="FootnoteReference"/>
        </w:rPr>
        <w:footnoteReference w:id="937"/>
      </w:r>
      <w:r>
        <w:t xml:space="preserve">. Les témoignages personnels de succès ne sont donc pas une preuve d’efficacité.</w:t>
      </w:r>
    </w:p>
    <w:bookmarkEnd w:id="938"/>
    <w:bookmarkEnd w:id="939"/>
    <w:bookmarkStart w:id="943" w:name="statut-juridique-15"/>
    <w:p>
      <w:pPr>
        <w:pStyle w:val="Heading3"/>
      </w:pPr>
      <w:r>
        <w:t xml:space="preserve">Statut juridique</w:t>
      </w:r>
    </w:p>
    <w:p>
      <w:pPr>
        <w:pStyle w:val="FirstParagraph"/>
      </w:pPr>
      <w:r>
        <w:rPr>
          <w:iCs/>
          <w:i/>
        </w:rPr>
        <w:t xml:space="preserve">État 2026, à vérifier.</w:t>
      </w:r>
    </w:p>
    <w:p>
      <w:pPr>
        <w:numPr>
          <w:ilvl w:val="0"/>
          <w:numId w:val="1118"/>
        </w:numPr>
        <w:pStyle w:val="Compact"/>
      </w:pPr>
      <w:r>
        <w:rPr>
          <w:bCs/>
          <w:b/>
        </w:rPr>
        <w:t xml:space="preserve">UE :</w:t>
      </w:r>
      <w:r>
        <w:t xml:space="preserve"> </w:t>
      </w:r>
      <w:r>
        <w:t xml:space="preserve">le BPC-157 n’est autorisé comme médicament dans aucun État membre. Une substance proposée pour traiter des maladies chez l’humain est juridiquement un médicament ; sans autorisation, elle ne peut pas être mise sur le marché. La mention « uniquement à des fins de recherche » n’y change rien lorsque le produit est manifestement destiné à un usage humain.</w:t>
      </w:r>
    </w:p>
    <w:p>
      <w:pPr>
        <w:numPr>
          <w:ilvl w:val="0"/>
          <w:numId w:val="1118"/>
        </w:numPr>
        <w:pStyle w:val="Compact"/>
      </w:pPr>
      <w:r>
        <w:rPr>
          <w:bCs/>
          <w:b/>
        </w:rPr>
        <w:t xml:space="preserve">Allemagne et Autriche :</w:t>
      </w:r>
      <w:r>
        <w:t xml:space="preserve"> </w:t>
      </w:r>
      <w:r>
        <w:t xml:space="preserve">pas d’autorisation, ni de base pour une préparation magistrale. La délivrance en vue d’un usage humain est illégale selon la loi sur les médicaments de chaque pays. Dans le sport s’appliquent en outre les règles antidopage.</w:t>
      </w:r>
    </w:p>
    <w:p>
      <w:pPr>
        <w:numPr>
          <w:ilvl w:val="0"/>
          <w:numId w:val="1118"/>
        </w:numPr>
        <w:pStyle w:val="Compact"/>
      </w:pPr>
      <w:r>
        <w:rPr>
          <w:bCs/>
          <w:b/>
        </w:rPr>
        <w:t xml:space="preserve">États-Unis :</w:t>
      </w:r>
      <w:r>
        <w:t xml:space="preserve"> </w:t>
      </w:r>
      <w:r>
        <w:t xml:space="preserve">pas d’autorisation de la FDA. En 2023, la FDA a classé le BPC-157 parmi les substances de base pour les préparations magistrales (« compounding ») de catégorie 2 – des substances pour lesquelles il existe d’importantes préoccupations de sécurité. Selon l’autorité, les pharmacies de préparations magistrales ne peuvent donc pas le transformer. Le classement des peptides a depuis fait l’objet de débats controversés au sein du comité consultatif de la FDA sur les préparations magistrales (PCAC) et dans les milieux spécialisés</w:t>
      </w:r>
      <w:r>
        <w:rPr>
          <w:rStyle w:val="FootnoteReference"/>
        </w:rPr>
        <w:footnoteReference w:id="940"/>
      </w:r>
      <w:r>
        <w:t xml:space="preserve"> </w:t>
      </w:r>
      <w:r>
        <w:t xml:space="preserve">; des changements sont possibles.</w:t>
      </w:r>
    </w:p>
    <w:p>
      <w:pPr>
        <w:numPr>
          <w:ilvl w:val="0"/>
          <w:numId w:val="1118"/>
        </w:numPr>
        <w:pStyle w:val="Compact"/>
      </w:pPr>
      <w:r>
        <w:rPr>
          <w:bCs/>
          <w:b/>
        </w:rPr>
        <w:t xml:space="preserve">AMA (WADA) :</w:t>
      </w:r>
      <w:r>
        <w:t xml:space="preserve"> </w:t>
      </w:r>
      <w:r>
        <w:t xml:space="preserve">le BPC-157 figure nommément depuis 2022 dans le groupe S0 (substances non approuvées) de la liste des interdictions et est donc interdit en compétition et hors compétition. Une synthèse de 2025 indique à l’inverse que le BPC-157 ne serait actuellement pas listé</w:t>
      </w:r>
      <w:r>
        <w:rPr>
          <w:rStyle w:val="FootnoteReference"/>
        </w:rPr>
        <w:footnoteReference w:id="941"/>
      </w:r>
      <w:r>
        <w:t xml:space="preserve"> </w:t>
      </w:r>
      <w:r>
        <w:t xml:space="preserve">– à la connaissance de l’auteur, ce n’est pas exact pour la liste actuelle. Des laboratoires antidopage ont développé des méthodes de détection dans l’urine</w:t>
      </w:r>
      <w:r>
        <w:rPr>
          <w:rStyle w:val="FootnoteReference"/>
        </w:rPr>
        <w:footnoteReference w:id="942"/>
      </w:r>
      <w:r>
        <w:t xml:space="preserve">.</w:t>
      </w:r>
    </w:p>
    <w:bookmarkEnd w:id="943"/>
    <w:bookmarkStart w:id="949" w:name="études-en-cours-et-perspectives-15"/>
    <w:p>
      <w:pPr>
        <w:pStyle w:val="Heading3"/>
      </w:pPr>
      <w:r>
        <w:t xml:space="preserve">Études en cours et perspectives</w:t>
      </w:r>
    </w:p>
    <w:p>
      <w:pPr>
        <w:pStyle w:val="FirstParagraph"/>
      </w:pPr>
      <w:r>
        <w:t xml:space="preserve">En octobre 2026, quatre études sur le BPC-157 sont inscrites sur ClinicalTrials.gov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Schéma</w:t>
            </w:r>
          </w:p>
        </w:tc>
        <w:tc>
          <w:tcPr/>
          <w:p>
            <w:pPr>
              <w:pStyle w:val="Compact"/>
              <w:jc w:val="left"/>
            </w:pPr>
            <w:r>
              <w:t xml:space="preserve">Statut</w:t>
            </w:r>
          </w:p>
        </w:tc>
        <w:tc>
          <w:tcPr/>
          <w:p>
            <w:pPr>
              <w:pStyle w:val="Compact"/>
              <w:jc w:val="left"/>
            </w:pPr>
            <w:r>
              <w:t xml:space="preserve">Thème</w:t>
            </w:r>
          </w:p>
        </w:tc>
      </w:tr>
      <w:tr>
        <w:tc>
          <w:tcPr/>
          <w:p>
            <w:pPr>
              <w:pStyle w:val="Compact"/>
              <w:jc w:val="left"/>
            </w:pPr>
            <w:r>
              <w:t xml:space="preserve">NCT07437547</w:t>
            </w:r>
          </w:p>
        </w:tc>
        <w:tc>
          <w:tcPr/>
          <w:p>
            <w:pPr>
              <w:pStyle w:val="Compact"/>
              <w:jc w:val="left"/>
            </w:pPr>
            <w:r>
              <w:t xml:space="preserve">phase 2, randomisée, en double aveugle, placebo, 120 personnes prévues</w:t>
            </w:r>
          </w:p>
        </w:tc>
        <w:tc>
          <w:tcPr/>
          <w:p>
            <w:pPr>
              <w:pStyle w:val="Compact"/>
              <w:jc w:val="left"/>
            </w:pPr>
            <w:r>
              <w:t xml:space="preserve">selon le registre, en recrutement depuis février 2026 ; authenticité douteuse (voir texte)</w:t>
            </w:r>
          </w:p>
        </w:tc>
        <w:tc>
          <w:tcPr/>
          <w:p>
            <w:pPr>
              <w:pStyle w:val="Compact"/>
              <w:jc w:val="left"/>
            </w:pPr>
            <w:r>
              <w:t xml:space="preserve">élongation aiguë des ischio-jambiers ; délai de retour au sport, résultat IRM</w:t>
            </w:r>
          </w:p>
        </w:tc>
      </w:tr>
      <w:tr>
        <w:tc>
          <w:tcPr/>
          <w:p>
            <w:pPr>
              <w:pStyle w:val="Compact"/>
              <w:jc w:val="left"/>
            </w:pPr>
            <w:r>
              <w:t xml:space="preserve">NCT07803250</w:t>
            </w:r>
          </w:p>
        </w:tc>
        <w:tc>
          <w:tcPr/>
          <w:p>
            <w:pPr>
              <w:pStyle w:val="Compact"/>
              <w:jc w:val="left"/>
            </w:pPr>
            <w:r>
              <w:t xml:space="preserve">phase 1, randomisée, 30 personnes prévues</w:t>
            </w:r>
          </w:p>
        </w:tc>
        <w:tc>
          <w:tcPr/>
          <w:p>
            <w:pPr>
              <w:pStyle w:val="Compact"/>
              <w:jc w:val="left"/>
            </w:pPr>
            <w:r>
              <w:t xml:space="preserve">pas encore en recrutement, début prévu en 2027</w:t>
            </w:r>
          </w:p>
        </w:tc>
        <w:tc>
          <w:tcPr/>
          <w:p>
            <w:pPr>
              <w:pStyle w:val="Compact"/>
              <w:jc w:val="left"/>
            </w:pPr>
            <w:r>
              <w:t xml:space="preserve">cicatrisation après chirurgie de la coiffe des rotateurs (épaule)</w:t>
            </w:r>
          </w:p>
        </w:tc>
      </w:tr>
      <w:tr>
        <w:tc>
          <w:tcPr/>
          <w:p>
            <w:pPr>
              <w:pStyle w:val="Compact"/>
              <w:jc w:val="left"/>
            </w:pPr>
            <w:r>
              <w:t xml:space="preserve">NCT07752381</w:t>
            </w:r>
          </w:p>
        </w:tc>
        <w:tc>
          <w:tcPr/>
          <w:p>
            <w:pPr>
              <w:pStyle w:val="Compact"/>
              <w:jc w:val="left"/>
            </w:pPr>
            <w:r>
              <w:t xml:space="preserve">un seul groupe sans contrôle, 40 personnes</w:t>
            </w:r>
          </w:p>
        </w:tc>
        <w:tc>
          <w:tcPr/>
          <w:p>
            <w:pPr>
              <w:pStyle w:val="Compact"/>
              <w:jc w:val="left"/>
            </w:pPr>
            <w:r>
              <w:t xml:space="preserve">terminée en 2025, aucun résultat dans le registre</w:t>
            </w:r>
          </w:p>
        </w:tc>
        <w:tc>
          <w:tcPr/>
          <w:p>
            <w:pPr>
              <w:pStyle w:val="Compact"/>
              <w:jc w:val="left"/>
            </w:pPr>
            <w:r>
              <w:t xml:space="preserve">gommes à mâcher d’un fabricant ; marqueurs inflammatoires et auto-évaluation</w:t>
            </w:r>
          </w:p>
        </w:tc>
      </w:tr>
      <w:tr>
        <w:tc>
          <w:tcPr/>
          <w:p>
            <w:pPr>
              <w:pStyle w:val="Compact"/>
              <w:jc w:val="left"/>
            </w:pPr>
            <w:r>
              <w:t xml:space="preserve">NCT02637284</w:t>
            </w:r>
          </w:p>
        </w:tc>
        <w:tc>
          <w:tcPr/>
          <w:p>
            <w:pPr>
              <w:pStyle w:val="Compact"/>
              <w:jc w:val="left"/>
            </w:pPr>
            <w:r>
              <w:t xml:space="preserve">phase 1, comprimés, 42 volontaires sains prévus</w:t>
            </w:r>
          </w:p>
        </w:tc>
        <w:tc>
          <w:tcPr/>
          <w:p>
            <w:pPr>
              <w:pStyle w:val="Compact"/>
              <w:jc w:val="left"/>
            </w:pPr>
            <w:r>
              <w:t xml:space="preserve">statut inconnu depuis 2016</w:t>
            </w:r>
          </w:p>
        </w:tc>
        <w:tc>
          <w:tcPr/>
          <w:p>
            <w:pPr>
              <w:pStyle w:val="Compact"/>
              <w:jc w:val="left"/>
            </w:pPr>
            <w:r>
              <w:t xml:space="preserve">sécurité et pharmacocinétique</w:t>
            </w:r>
          </w:p>
        </w:tc>
      </w:tr>
    </w:tbl>
    <w:p>
      <w:pPr>
        <w:pStyle w:val="BodyText"/>
      </w:pPr>
      <w:r>
        <w:t xml:space="preserve">Peu de choses sont</w:t>
      </w:r>
      <w:r>
        <w:t xml:space="preserve"> </w:t>
      </w:r>
      <w:r>
        <w:rPr>
          <w:bCs/>
          <w:b/>
        </w:rPr>
        <w:t xml:space="preserve">établies</w:t>
      </w:r>
      <w:r>
        <w:t xml:space="preserve">. Sur le papier, l’étude de phase 2 sur les élongations des ischio-jambiers</w:t>
      </w:r>
      <w:r>
        <w:rPr>
          <w:rStyle w:val="FootnoteReference"/>
        </w:rPr>
        <w:footnoteReference w:id="944"/>
      </w:r>
      <w:r>
        <w:t xml:space="preserve"> </w:t>
      </w:r>
      <w:r>
        <w:t xml:space="preserve">serait la première étude randomisée contrôlée contre placebo avec un critère objectif (IRM) et une taille suffisante. Lors de la vérification pour ce livre, un point est toutefois apparu : le même promoteur (« Hudson Biotech ») a créé, avec un centre d’étude et une personne de contact identiques, une seconde entrée sur le TB-500</w:t>
      </w:r>
      <w:r>
        <w:rPr>
          <w:rStyle w:val="FootnoteReference"/>
        </w:rPr>
        <w:footnoteReference w:id="945"/>
      </w:r>
      <w:r>
        <w:t xml:space="preserve">, qui se désigne expressément dans sa propre description comme un exemple « fictif » d’entrée de registre. On ne peut donc pas dire de manière fiable si l’étude sur le BPC-157 sera réellement menée. ClinicalTrials.gov ne vérifie les entrées que sur la forme, pas sur le fond – un enregistrement ne prouve pas à lui seul qu’une étude a lieu.</w:t>
      </w:r>
    </w:p>
    <w:p>
      <w:pPr>
        <w:pStyle w:val="BodyText"/>
      </w:pPr>
      <w:r>
        <w:t xml:space="preserve">L’étude sur l’épaule de l’University of Arkansas</w:t>
      </w:r>
      <w:r>
        <w:rPr>
          <w:rStyle w:val="FootnoteReference"/>
        </w:rPr>
        <w:footnoteReference w:id="946"/>
      </w:r>
      <w:r>
        <w:t xml:space="preserve"> </w:t>
      </w:r>
      <w:r>
        <w:t xml:space="preserve">est randomisée et en aveugle, mais petite, et n’a pas encore commencé. L’étude d’un fabricant sur les gommes à mâcher</w:t>
      </w:r>
      <w:r>
        <w:rPr>
          <w:rStyle w:val="FootnoteReference"/>
        </w:rPr>
        <w:footnoteReference w:id="947"/>
      </w:r>
      <w:r>
        <w:t xml:space="preserve"> </w:t>
      </w:r>
      <w:r>
        <w:t xml:space="preserve">n’a pas de groupe témoin et mesure surtout des déclarations subjectives ; elle ne répondra pas aux questions ouvertes.</w:t>
      </w:r>
    </w:p>
    <w:p>
      <w:pPr>
        <w:pStyle w:val="BodyText"/>
      </w:pPr>
      <w:r>
        <w:rPr>
          <w:bCs/>
          <w:b/>
        </w:rPr>
        <w:t xml:space="preserve">Appréciation de l’auteur :</w:t>
      </w:r>
      <w:r>
        <w:t xml:space="preserve"> </w:t>
      </w:r>
      <w:r>
        <w:t xml:space="preserve">il ne faut pas s’attendre à des données d’efficacité fiables chez l’humain avant 2028. Même un résultat positif d’une petite étude pilote ne serait qu’un premier indice – pas encore une base pour une autorisation, qui exige plusieurs études plus grandes et des données de sécurité à long terme. Un résultat négatif ne changerait sans doute pas grand-chose à la réputation du peptide sur Internet. Une synthèse pharmaceutique souligne qu’il n’existe à ce jour aucune forme pharmaceutique standardisée et validée</w:t>
      </w:r>
      <w:r>
        <w:rPr>
          <w:rStyle w:val="FootnoteReference"/>
        </w:rPr>
        <w:footnoteReference w:id="948"/>
      </w:r>
      <w:r>
        <w:t xml:space="preserve"> </w:t>
      </w:r>
      <w:r>
        <w:t xml:space="preserve">– cela aussi doit être résolu avant une autorisation.</w:t>
      </w:r>
    </w:p>
    <w:bookmarkEnd w:id="949"/>
    <w:bookmarkStart w:id="952" w:name="conclusion-15"/>
    <w:p>
      <w:pPr>
        <w:pStyle w:val="Heading3"/>
      </w:pPr>
      <w:r>
        <w:t xml:space="preserve">Conclusion</w:t>
      </w:r>
    </w:p>
    <w:p>
      <w:pPr>
        <w:pStyle w:val="FirstParagraph"/>
      </w:pPr>
      <w:r>
        <w:t xml:space="preserve">Le BPC-157 est un peptide doté d’un nombre exceptionnellement élevé d’études animales, qui rapportent presque toutes des résultats positifs – provenant majoritairement d’un seul groupe de recherche de Zagreb et sans réplication indépendante suffisante. Chez l’humain, il n’existe que trois petites investigations non contrôlées, avec environ 30 personnes au total, dont la qualité est jugée très faible</w:t>
      </w:r>
      <w:r>
        <w:rPr>
          <w:rStyle w:val="FootnoteReference"/>
        </w:rPr>
        <w:footnoteReference w:id="950"/>
      </w:r>
      <w:r>
        <w:t xml:space="preserve">. La sécurité à long terme, en particulier la question théorique d’une promotion de la croissance tumorale par la formation de vaisseaux, n’a pas été étudiée, et les produits du marché gris comportent leurs propres risques. Les études randomisées ne sont encore qu’enregistrées ou prévues</w:t>
      </w:r>
      <w:r>
        <w:rPr>
          <w:rStyle w:val="FootnoteReference"/>
        </w:rPr>
        <w:footnoteReference w:id="951"/>
      </w:r>
      <w:r>
        <w:t xml:space="preserve"> </w:t>
      </w:r>
      <w:r>
        <w:t xml:space="preserve">; tant qu’aucun résultat fiable n’est disponible, le BPC-157 reste une substance expérimentale dont le bénéfice chez l’humain n’est pas démontré. Pour les sportives et sportifs, il est interdit selon les règles de la WADA.</w:t>
      </w:r>
    </w:p>
    <w:bookmarkEnd w:id="952"/>
    <w:bookmarkEnd w:id="953"/>
    <w:bookmarkStart w:id="1003" w:name="tb-500-et-thymosine-bêta-4"/>
    <w:p>
      <w:pPr>
        <w:pStyle w:val="Heading2"/>
      </w:pPr>
      <w:r>
        <w:t xml:space="preserve">TB-500 et thymosine bêta 4</w:t>
      </w:r>
    </w:p>
    <w:p>
      <w:pPr>
        <w:pStyle w:val="FirstParagraph"/>
      </w:pPr>
      <w:r>
        <w:t xml:space="preserve">Sur Internet, « TB-500 » et « thymosine bêta 4 » sont le plus souvent vendus comme une seule et même chose. C’est faux, et la différence est déterminante pour l’évaluation. La thymosine bêta 4 est une protéine endogène de 43 acides aminés qui a été étudiée dans plusieurs essais cliniques – surtout en collyre et en perfusion après un infarctus du myocarde. Le TB-500, en revanche, est un court fragment de celle-ci, modifié artificiellement, qui n’a jamais été testé dans une étude publiée chez l’humain. Ce chapitre distingue clairement les deux.</w:t>
      </w:r>
    </w:p>
    <w:bookmarkStart w:id="955" w:name="fiche-signalétique-16"/>
    <w:p>
      <w:pPr>
        <w:pStyle w:val="Heading3"/>
      </w:pPr>
      <w:r>
        <w:t xml:space="preserve">Fiche signalétique</w:t>
      </w:r>
    </w:p>
    <w:p>
      <w:pPr>
        <w:numPr>
          <w:ilvl w:val="0"/>
          <w:numId w:val="1119"/>
        </w:numPr>
        <w:pStyle w:val="Compact"/>
      </w:pPr>
      <w:r>
        <w:rPr>
          <w:bCs/>
          <w:b/>
        </w:rPr>
        <w:t xml:space="preserve">Thymosine bêta 4 (Tβ4) :</w:t>
      </w:r>
      <w:r>
        <w:t xml:space="preserve"> </w:t>
      </w:r>
      <w:r>
        <w:t xml:space="preserve">peptide endogène de 43 acides aminés, présent dans presque toutes les cellules ; fonction principale : lie la protéine structurale actine et régule ainsi la forme et le mouvement des cellules. Produite pour les études par synthèse chimique ou par génie génétique (recombinante) ; noms de développement RGN-259 (collyre), RGN-352 (injection), NL005 (recombinante, Chine).</w:t>
      </w:r>
    </w:p>
    <w:p>
      <w:pPr>
        <w:numPr>
          <w:ilvl w:val="0"/>
          <w:numId w:val="1119"/>
        </w:numPr>
        <w:pStyle w:val="Compact"/>
      </w:pPr>
      <w:r>
        <w:rPr>
          <w:bCs/>
          <w:b/>
        </w:rPr>
        <w:t xml:space="preserve">TB-500 :</w:t>
      </w:r>
      <w:r>
        <w:t xml:space="preserve"> </w:t>
      </w:r>
      <w:r>
        <w:t xml:space="preserve">fragment des acides aminés 17 à 23 de la Tβ4, chimiquement modifié à son extrémité initiale (acétylé), séquence Ac-LKKTETQ</w:t>
      </w:r>
      <w:r>
        <w:rPr>
          <w:rStyle w:val="FootnoteReference"/>
        </w:rPr>
        <w:footnoteReference w:id="954"/>
      </w:r>
      <w:r>
        <w:t xml:space="preserve">. Apparu à l’origine comme médicament vétérinaire dans le sport hippique.</w:t>
      </w:r>
    </w:p>
    <w:p>
      <w:pPr>
        <w:numPr>
          <w:ilvl w:val="0"/>
          <w:numId w:val="1119"/>
        </w:numPr>
        <w:pStyle w:val="Compact"/>
      </w:pPr>
      <w:r>
        <w:rPr>
          <w:bCs/>
          <w:b/>
        </w:rPr>
        <w:t xml:space="preserve">Principe d’action (supposé) :</w:t>
      </w:r>
      <w:r>
        <w:t xml:space="preserve"> </w:t>
      </w:r>
      <w:r>
        <w:t xml:space="preserve">stimulation de la migration cellulaire, de la formation de nouveaux vaisseaux et de la cicatrisation, atténuation de l’inflammation.</w:t>
      </w:r>
    </w:p>
    <w:p>
      <w:pPr>
        <w:numPr>
          <w:ilvl w:val="0"/>
          <w:numId w:val="1119"/>
        </w:numPr>
        <w:pStyle w:val="Compact"/>
      </w:pPr>
      <w:r>
        <w:rPr>
          <w:bCs/>
          <w:b/>
        </w:rPr>
        <w:t xml:space="preserve">Autorisation UE/États-Unis :</w:t>
      </w:r>
      <w:r>
        <w:t xml:space="preserve"> </w:t>
      </w:r>
      <w:r>
        <w:t xml:space="preserve">ni la Tβ4 ni le TB-500 ne sont autorisés.</w:t>
      </w:r>
    </w:p>
    <w:p>
      <w:pPr>
        <w:numPr>
          <w:ilvl w:val="0"/>
          <w:numId w:val="1119"/>
        </w:numPr>
        <w:pStyle w:val="Compact"/>
      </w:pPr>
      <w:r>
        <w:rPr>
          <w:bCs/>
          <w:b/>
        </w:rPr>
        <w:t xml:space="preserve">AMA (WADA) :</w:t>
      </w:r>
      <w:r>
        <w:t xml:space="preserve"> </w:t>
      </w:r>
      <w:r>
        <w:t xml:space="preserve">interdit (S2, facteurs de croissance ; « la thymosine-β4 et ses dérivés, p. ex. le TB-500 » sont expressément cités).</w:t>
      </w:r>
    </w:p>
    <w:p>
      <w:pPr>
        <w:numPr>
          <w:ilvl w:val="0"/>
          <w:numId w:val="1119"/>
        </w:numPr>
        <w:pStyle w:val="Compact"/>
      </w:pPr>
      <w:r>
        <w:rPr>
          <w:bCs/>
          <w:b/>
        </w:rPr>
        <w:t xml:space="preserve">Niveau de preuve :</w:t>
      </w:r>
      <w:r>
        <w:t xml:space="preserve"> </w:t>
      </w:r>
      <w:r>
        <w:rPr>
          <w:bCs/>
          <w:b/>
        </w:rPr>
        <w:t xml:space="preserve">B</w:t>
      </w:r>
      <w:r>
        <w:t xml:space="preserve"> </w:t>
      </w:r>
      <w:r>
        <w:t xml:space="preserve">pour la thymosine bêta 4 (études randomisées, majoritairement petites ; grandes études de phase 3 dans la sécheresse oculaire sans bénéfice clair) ·</w:t>
      </w:r>
      <w:r>
        <w:t xml:space="preserve"> </w:t>
      </w:r>
      <w:r>
        <w:rPr>
          <w:bCs/>
          <w:b/>
        </w:rPr>
        <w:t xml:space="preserve">D</w:t>
      </w:r>
      <w:r>
        <w:t xml:space="preserve"> </w:t>
      </w:r>
      <w:r>
        <w:t xml:space="preserve">pour le TB-500 (aucune étude publiée chez l’humain).</w:t>
      </w:r>
    </w:p>
    <w:bookmarkEnd w:id="955"/>
    <w:bookmarkStart w:id="960" w:name="mode-daction-supposé-16"/>
    <w:p>
      <w:pPr>
        <w:pStyle w:val="Heading3"/>
      </w:pPr>
      <w:r>
        <w:t xml:space="preserve">Mode d’action supposé</w:t>
      </w:r>
    </w:p>
    <w:p>
      <w:pPr>
        <w:pStyle w:val="FirstParagraph"/>
      </w:pPr>
      <w:r>
        <w:t xml:space="preserve">Dans les cellules, la Tβ4 est la principale protéine qui lie les monomères d’actine et les « met en réserve ». L’actine forme le squelette interne de la cellule ; lorsqu’une cellule doit se déplacer – par exemple pour fermer une plaie –, ce squelette doit être rapidement remanié. La Tβ4 fournit les éléments nécessaires.</w:t>
      </w:r>
    </w:p>
    <w:p>
      <w:pPr>
        <w:pStyle w:val="BodyText"/>
      </w:pPr>
      <w:r>
        <w:t xml:space="preserve">Par ailleurs, la Tβ4 semble avoir ses propres effets de signalisation à l’extérieur de la cellule. Un article de synthèse décrit plusieurs segments actifs dans la molécule : le court fragment initial (Ac-SDKP) agit en laboratoire comme anti-inflammatoire et antifibrosant, le segment 17 à 23 (LKKTETQ) favorise la formation de vaisseaux, la cicatrisation et la migration cellulaire</w:t>
      </w:r>
      <w:r>
        <w:rPr>
          <w:rStyle w:val="FootnoteReference"/>
        </w:rPr>
        <w:footnoteReference w:id="956"/>
      </w:r>
      <w:r>
        <w:t xml:space="preserve">. Dans des essais sur cellules, le motif de liaison à l’actine, long de sept acides aminés, a montré le même effet sur la migration des cellules vasculaires que la molécule entière</w:t>
      </w:r>
      <w:r>
        <w:rPr>
          <w:rStyle w:val="FootnoteReference"/>
        </w:rPr>
        <w:footnoteReference w:id="957"/>
      </w:r>
      <w:r>
        <w:t xml:space="preserve">.</w:t>
      </w:r>
    </w:p>
    <w:p>
      <w:pPr>
        <w:pStyle w:val="BodyText"/>
      </w:pPr>
      <w:r>
        <w:t xml:space="preserve">C’est sur ce résultat de laboratoire que repose l’idée du TB-500 : si le court fragment porte l’effet, il suffit de ne produire que lui – moins cher et plus simple que la protéine entière. Toutefois, ce n’est pas exactement la séquence naturelle qui a été utilisée, mais une forme acétylée à son extrémité initiale. Une étude de dégradation a montré que le TB-500 est rapidement découpé et que, dans des essais sur cellules, ce n’est pas le peptide de départ mais un produit de dégradation (Ac-LKKTE) qui favorisait la cicatrisation</w:t>
      </w:r>
      <w:r>
        <w:rPr>
          <w:rStyle w:val="FootnoteReference"/>
        </w:rPr>
        <w:footnoteReference w:id="958"/>
      </w:r>
      <w:r>
        <w:t xml:space="preserve">. Il n’est donc pas démontré que le TB-500 accomplit dans l’organisme la même chose que la Tβ4. Une synthèse orthopédique de 2026 souligne que le TB-500 est souvent assimilé à la Tβ4, alors qu’aucune équivalence biologique ou clinique n’est établie</w:t>
      </w:r>
      <w:r>
        <w:rPr>
          <w:rStyle w:val="FootnoteReference"/>
        </w:rPr>
        <w:footnoteReference w:id="959"/>
      </w:r>
      <w:r>
        <w:t xml:space="preserve">.</w:t>
      </w:r>
    </w:p>
    <w:bookmarkEnd w:id="960"/>
    <w:bookmarkStart w:id="975" w:name="études-chez-lhumain-16"/>
    <w:p>
      <w:pPr>
        <w:pStyle w:val="Heading3"/>
      </w:pPr>
      <w:r>
        <w:t xml:space="preserve">Études chez l’humain</w:t>
      </w:r>
    </w:p>
    <w:p>
      <w:pPr>
        <w:pStyle w:val="FirstParagraph"/>
      </w:pPr>
      <w:r>
        <w:rPr>
          <w:bCs/>
          <w:b/>
        </w:rPr>
        <w:t xml:space="preserve">Ampleur des données (requête d’octobre 2026) :</w:t>
      </w:r>
      <w:r>
        <w:t xml:space="preserve"> </w:t>
      </w:r>
      <w:r>
        <w:t xml:space="preserve">la recherche automatisée a trouvé</w:t>
      </w:r>
      <w:r>
        <w:t xml:space="preserve"> </w:t>
      </w:r>
      <w:r>
        <w:rPr>
          <w:bCs/>
          <w:b/>
        </w:rPr>
        <w:t xml:space="preserve">9</w:t>
      </w:r>
      <w:r>
        <w:t xml:space="preserve"> </w:t>
      </w:r>
      <w:r>
        <w:t xml:space="preserve">publications classées comme études chez l’humain et</w:t>
      </w:r>
      <w:r>
        <w:t xml:space="preserve"> </w:t>
      </w:r>
      <w:r>
        <w:rPr>
          <w:bCs/>
          <w:b/>
        </w:rPr>
        <w:t xml:space="preserve">18</w:t>
      </w:r>
      <w:r>
        <w:t xml:space="preserve"> </w:t>
      </w:r>
      <w:r>
        <w:t xml:space="preserve">entrées sur ClinicalTrials.gov. Sur les neuf publications, seules six étudient réellement la Tβ4 comme substance active ; les autres mesurent la Tβ4 dans le sang ou portent sur d’autres questions.</w:t>
      </w:r>
      <w:r>
        <w:t xml:space="preserve"> </w:t>
      </w:r>
      <w:r>
        <w:rPr>
          <w:bCs/>
          <w:b/>
        </w:rPr>
        <w:t xml:space="preserve">Aucune</w:t>
      </w:r>
      <w:r>
        <w:t xml:space="preserve"> </w:t>
      </w:r>
      <w:r>
        <w:t xml:space="preserve">étude publiée n’a examiné le TB-500 chez l’humain.</w:t>
      </w:r>
    </w:p>
    <w:bookmarkStart w:id="966" w:name="collyre-rgn-259"/>
    <w:p>
      <w:pPr>
        <w:pStyle w:val="Heading4"/>
      </w:pPr>
      <w:r>
        <w:t xml:space="preserve">Collyre (RGN-259)</w:t>
      </w:r>
    </w:p>
    <w:p>
      <w:pPr>
        <w:pStyle w:val="FirstParagraph"/>
      </w:pPr>
      <w:r>
        <w:t xml:space="preserve">C’est sous forme de collyre que la Tβ4 est la plus avancée. La société RegeneRx et son partenaire ReGenTree l’ont évaluée dans la sécheresse oculaire et dans la kératopathie neurotrophique – une maladie rare dans laquelle la cornée cicatrise mal en raison de nerfs lésés.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schéma</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Sécheresse oculaire sévère (Sosne 2015, PMID 25826322 ; NCT01393132)</w:t>
            </w:r>
          </w:p>
        </w:tc>
        <w:tc>
          <w:tcPr/>
          <w:p>
            <w:pPr>
              <w:pStyle w:val="Compact"/>
              <w:jc w:val="left"/>
            </w:pPr>
            <w:r>
              <w:t xml:space="preserve">9 personnes, randomisées contre véhicule</w:t>
            </w:r>
          </w:p>
        </w:tc>
        <w:tc>
          <w:tcPr/>
          <w:p>
            <w:pPr>
              <w:pStyle w:val="Compact"/>
              <w:jc w:val="left"/>
            </w:pPr>
            <w:r>
              <w:t xml:space="preserve">28 jours plus 28 jours de suivi</w:t>
            </w:r>
          </w:p>
        </w:tc>
        <w:tc>
          <w:tcPr/>
          <w:p>
            <w:pPr>
              <w:pStyle w:val="Compact"/>
              <w:jc w:val="left"/>
            </w:pPr>
            <w:r>
              <w:t xml:space="preserve">au jour 56, symptômes inférieurs de 35,1 % et coloration cornéenne de 59,1 % par rapport au véhicule</w:t>
            </w:r>
          </w:p>
        </w:tc>
      </w:tr>
      <w:tr>
        <w:tc>
          <w:tcPr/>
          <w:p>
            <w:pPr>
              <w:pStyle w:val="Compact"/>
              <w:jc w:val="left"/>
            </w:pPr>
            <w:r>
              <w:t xml:space="preserve">Sécheresse oculaire, modèle de provocation (Sosne 2015, PMID 26056426)</w:t>
            </w:r>
          </w:p>
        </w:tc>
        <w:tc>
          <w:tcPr/>
          <w:p>
            <w:pPr>
              <w:pStyle w:val="Compact"/>
              <w:jc w:val="left"/>
            </w:pPr>
            <w:r>
              <w:t xml:space="preserve">72 personnes, ECR</w:t>
            </w:r>
          </w:p>
        </w:tc>
        <w:tc>
          <w:tcPr/>
          <w:p>
            <w:pPr>
              <w:pStyle w:val="Compact"/>
              <w:jc w:val="left"/>
            </w:pPr>
            <w:r>
              <w:t xml:space="preserve">28 jours</w:t>
            </w:r>
          </w:p>
        </w:tc>
        <w:tc>
          <w:tcPr/>
          <w:p>
            <w:pPr>
              <w:pStyle w:val="Compact"/>
              <w:jc w:val="left"/>
            </w:pPr>
            <w:r>
              <w:t xml:space="preserve">les deux critères principaux non significatifs ; quelques critères secondaires meilleurs</w:t>
            </w:r>
          </w:p>
        </w:tc>
      </w:tr>
      <w:tr>
        <w:tc>
          <w:tcPr/>
          <w:p>
            <w:pPr>
              <w:pStyle w:val="Compact"/>
              <w:jc w:val="left"/>
            </w:pPr>
            <w:r>
              <w:t xml:space="preserve">ARISE-2 (NCT02974907)</w:t>
            </w:r>
          </w:p>
        </w:tc>
        <w:tc>
          <w:tcPr/>
          <w:p>
            <w:pPr>
              <w:pStyle w:val="Compact"/>
              <w:jc w:val="left"/>
            </w:pPr>
            <w:r>
              <w:t xml:space="preserve">601 personnes, phase 3, ECR</w:t>
            </w:r>
          </w:p>
        </w:tc>
        <w:tc>
          <w:tcPr/>
          <w:p>
            <w:pPr>
              <w:pStyle w:val="Compact"/>
              <w:jc w:val="left"/>
            </w:pPr>
            <w:r>
              <w:t xml:space="preserve">28 jours</w:t>
            </w:r>
          </w:p>
        </w:tc>
        <w:tc>
          <w:tcPr/>
          <w:p>
            <w:pPr>
              <w:pStyle w:val="Compact"/>
              <w:jc w:val="left"/>
            </w:pPr>
            <w:r>
              <w:t xml:space="preserve">critères principaux pratiquement identiques dans les deux groupes selon les résultats du registre</w:t>
            </w:r>
          </w:p>
        </w:tc>
      </w:tr>
      <w:tr>
        <w:tc>
          <w:tcPr/>
          <w:p>
            <w:pPr>
              <w:pStyle w:val="Compact"/>
              <w:jc w:val="left"/>
            </w:pPr>
            <w:r>
              <w:t xml:space="preserve">ARISE-3 (NCT03937882)</w:t>
            </w:r>
          </w:p>
        </w:tc>
        <w:tc>
          <w:tcPr/>
          <w:p>
            <w:pPr>
              <w:pStyle w:val="Compact"/>
              <w:jc w:val="left"/>
            </w:pPr>
            <w:r>
              <w:t xml:space="preserve">700 personnes, phase 3, ECR</w:t>
            </w:r>
          </w:p>
        </w:tc>
        <w:tc>
          <w:tcPr/>
          <w:p>
            <w:pPr>
              <w:pStyle w:val="Compact"/>
              <w:jc w:val="left"/>
            </w:pPr>
            <w:r>
              <w:t xml:space="preserve">14 jours</w:t>
            </w:r>
          </w:p>
        </w:tc>
        <w:tc>
          <w:tcPr/>
          <w:p>
            <w:pPr>
              <w:pStyle w:val="Compact"/>
              <w:jc w:val="left"/>
            </w:pPr>
            <w:r>
              <w:t xml:space="preserve">coloration cornéenne −0,41 vs −0,46 point, symptômes −0,4 vs −0,4 point (Tβ4 vs placebo)</w:t>
            </w:r>
          </w:p>
        </w:tc>
      </w:tr>
      <w:tr>
        <w:tc>
          <w:tcPr/>
          <w:p>
            <w:pPr>
              <w:pStyle w:val="Compact"/>
              <w:jc w:val="left"/>
            </w:pPr>
            <w:r>
              <w:t xml:space="preserve">SEER-1, kératopathie neurotrophique (Sosne 2022, PMID 36613994)</w:t>
            </w:r>
          </w:p>
        </w:tc>
        <w:tc>
          <w:tcPr/>
          <w:p>
            <w:pPr>
              <w:pStyle w:val="Compact"/>
              <w:jc w:val="left"/>
            </w:pPr>
            <w:r>
              <w:t xml:space="preserve">18 personnes, phase 3, ECR</w:t>
            </w:r>
          </w:p>
        </w:tc>
        <w:tc>
          <w:tcPr/>
          <w:p>
            <w:pPr>
              <w:pStyle w:val="Compact"/>
              <w:jc w:val="left"/>
            </w:pPr>
            <w:r>
              <w:t xml:space="preserve">4 semaines plus 2 semaines</w:t>
            </w:r>
          </w:p>
        </w:tc>
        <w:tc>
          <w:tcPr/>
          <w:p>
            <w:pPr>
              <w:pStyle w:val="Compact"/>
              <w:jc w:val="left"/>
            </w:pPr>
            <w:r>
              <w:t xml:space="preserve">guérison complète chez 6 sur 10 vs 1 sur 8 (p = 0,0656, non significatif)</w:t>
            </w:r>
          </w:p>
        </w:tc>
      </w:tr>
    </w:tbl>
    <w:p>
      <w:pPr>
        <w:pStyle w:val="BodyText"/>
      </w:pPr>
      <w:r>
        <w:t xml:space="preserve">Le schéma est typique d’un médicament au bénéfice incertain : de petites études montrent des signaux favorables, de grandes études ne les confirment pas. La petite étude avec neuf personnes a trouvé des améliorations nettes</w:t>
      </w:r>
      <w:r>
        <w:rPr>
          <w:rStyle w:val="FootnoteReference"/>
        </w:rPr>
        <w:footnoteReference w:id="961"/>
      </w:r>
      <w:r>
        <w:t xml:space="preserve">. Mais dès l’étude avec 72 personnes, les deux critères principaux définis à l’avance n’ont pas été atteints ; les auteurs ont mis en avant à la place des améliorations sur des critères secondaires</w:t>
      </w:r>
      <w:r>
        <w:rPr>
          <w:rStyle w:val="FootnoteReference"/>
        </w:rPr>
        <w:footnoteReference w:id="962"/>
      </w:r>
      <w:r>
        <w:t xml:space="preserve">. Dans les deux grandes études de phase 3 ARISE-2 et ARISE-3, avec environ 1 300 participants au total, les valeurs des critères principaux étaient quasiment identiques dans les groupes Tβ4 et placebo selon les résultats publiés dans le registre</w:t>
      </w:r>
      <w:r>
        <w:rPr>
          <w:rStyle w:val="FootnoteReference"/>
        </w:rPr>
        <w:footnoteReference w:id="963"/>
      </w:r>
      <w:r>
        <w:t xml:space="preserve">. Aucune publication de ces résultats dans une revue n’a été trouvée dans PubMed.</w:t>
      </w:r>
    </w:p>
    <w:p>
      <w:pPr>
        <w:pStyle w:val="BodyText"/>
      </w:pPr>
      <w:r>
        <w:t xml:space="preserve">Dans la kératopathie neurotrophique, davantage d’yeux ont guéri sous Tβ4 que sous placebo dans la petite étude de phase 3 SEER-1 ; la différence a cependant manqué de peu la significativité statistique, et l’étude ne comptait que 18 personnes</w:t>
      </w:r>
      <w:r>
        <w:rPr>
          <w:rStyle w:val="FootnoteReference"/>
        </w:rPr>
        <w:footnoteReference w:id="964"/>
      </w:r>
      <w:r>
        <w:t xml:space="preserve">. Une revue Cochrane de 2025 a évalué l’étude comme de « faible fiabilité » et n’a pas trouvé de différence établie</w:t>
      </w:r>
      <w:r>
        <w:rPr>
          <w:rStyle w:val="FootnoteReference"/>
        </w:rPr>
        <w:footnoteReference w:id="965"/>
      </w:r>
      <w:r>
        <w:t xml:space="preserve">. Une étude de suivi plus grande (SEER-2) est en cours.</w:t>
      </w:r>
    </w:p>
    <w:bookmarkEnd w:id="966"/>
    <w:bookmarkStart w:id="968" w:name="cœur"/>
    <w:p>
      <w:pPr>
        <w:pStyle w:val="Heading4"/>
      </w:pPr>
      <w:r>
        <w:t xml:space="preserve">Cœur</w:t>
      </w:r>
    </w:p>
    <w:p>
      <w:pPr>
        <w:pStyle w:val="FirstParagraph"/>
      </w:pPr>
      <w:r>
        <w:t xml:space="preserve">La Tβ4 a été développée comme médicament cardiaque en raison d’expériences spectaculaires chez la souris (voir Études animales et de laboratoire).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schéma</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Sécurité, perfusion (Ruff 2010, PMID 20536472)</w:t>
            </w:r>
          </w:p>
        </w:tc>
        <w:tc>
          <w:tcPr/>
          <w:p>
            <w:pPr>
              <w:pStyle w:val="Compact"/>
              <w:jc w:val="left"/>
            </w:pPr>
            <w:r>
              <w:t xml:space="preserve">40 volontaires sains répartis en 4 groupes de dose, ECR</w:t>
            </w:r>
          </w:p>
        </w:tc>
        <w:tc>
          <w:tcPr/>
          <w:p>
            <w:pPr>
              <w:pStyle w:val="Compact"/>
              <w:jc w:val="left"/>
            </w:pPr>
            <w:r>
              <w:t xml:space="preserve">dose unique, puis quotidienne pendant 14 jours</w:t>
            </w:r>
          </w:p>
        </w:tc>
        <w:tc>
          <w:tcPr/>
          <w:p>
            <w:pPr>
              <w:pStyle w:val="Compact"/>
              <w:jc w:val="left"/>
            </w:pPr>
            <w:r>
              <w:t xml:space="preserve">aucune toxicité limitant la dose, aucun effet indésirable grave</w:t>
            </w:r>
          </w:p>
        </w:tc>
      </w:tr>
      <w:tr>
        <w:tc>
          <w:tcPr/>
          <w:p>
            <w:pPr>
              <w:pStyle w:val="Compact"/>
              <w:jc w:val="left"/>
            </w:pPr>
            <w:r>
              <w:t xml:space="preserve">Tβ4 recombinante NL005, phase 1 (Wang 2021, PMID 34346165)</w:t>
            </w:r>
          </w:p>
        </w:tc>
        <w:tc>
          <w:tcPr/>
          <w:p>
            <w:pPr>
              <w:pStyle w:val="Compact"/>
              <w:jc w:val="left"/>
            </w:pPr>
            <w:r>
              <w:t xml:space="preserve">54 volontaires sains (dose unique) et 30 volontaires sains (doses répétées), ECR</w:t>
            </w:r>
          </w:p>
        </w:tc>
        <w:tc>
          <w:tcPr/>
          <w:p>
            <w:pPr>
              <w:pStyle w:val="Compact"/>
              <w:jc w:val="left"/>
            </w:pPr>
            <w:r>
              <w:t xml:space="preserve">jusqu’à 10 jours plus 28 jours</w:t>
            </w:r>
          </w:p>
        </w:tc>
        <w:tc>
          <w:tcPr/>
          <w:p>
            <w:pPr>
              <w:pStyle w:val="Compact"/>
              <w:jc w:val="left"/>
            </w:pPr>
            <w:r>
              <w:t xml:space="preserve">effets indésirables légers à modérés, aucun grave</w:t>
            </w:r>
          </w:p>
        </w:tc>
      </w:tr>
      <w:tr>
        <w:tc>
          <w:tcPr/>
          <w:p>
            <w:pPr>
              <w:pStyle w:val="Compact"/>
              <w:jc w:val="left"/>
            </w:pPr>
            <w:r>
              <w:t xml:space="preserve">NL005 dans l’infarctus du myocarde (Zhang 2025, PMID 41229390)</w:t>
            </w:r>
          </w:p>
        </w:tc>
        <w:tc>
          <w:tcPr/>
          <w:p>
            <w:pPr>
              <w:pStyle w:val="Compact"/>
              <w:jc w:val="left"/>
            </w:pPr>
            <w:r>
              <w:t xml:space="preserve">96 personnes avec STEMI après traitement par cathéter, ECR contre placebo</w:t>
            </w:r>
          </w:p>
        </w:tc>
        <w:tc>
          <w:tcPr/>
          <w:p>
            <w:pPr>
              <w:pStyle w:val="Compact"/>
              <w:jc w:val="left"/>
            </w:pPr>
            <w:r>
              <w:t xml:space="preserve">90 jours</w:t>
            </w:r>
          </w:p>
        </w:tc>
        <w:tc>
          <w:tcPr/>
          <w:p>
            <w:pPr>
              <w:pStyle w:val="Compact"/>
              <w:jc w:val="left"/>
            </w:pPr>
            <w:r>
              <w:t xml:space="preserve">dans l’ensemble, pas de différence significative de taille d’infarctus ; avantage seulement dans le sous-groupe traité dans les 8 heures (n = 43)</w:t>
            </w:r>
          </w:p>
        </w:tc>
      </w:tr>
      <w:tr>
        <w:tc>
          <w:tcPr/>
          <w:p>
            <w:pPr>
              <w:pStyle w:val="Compact"/>
              <w:jc w:val="left"/>
            </w:pPr>
            <w:r>
              <w:t xml:space="preserve">Cellules souches prétraitées par Tβ4 (Zhu 2016, PMID 27288307)</w:t>
            </w:r>
          </w:p>
        </w:tc>
        <w:tc>
          <w:tcPr/>
          <w:p>
            <w:pPr>
              <w:pStyle w:val="Compact"/>
              <w:jc w:val="left"/>
            </w:pPr>
            <w:r>
              <w:t xml:space="preserve">10 personnes ayant eu un infarctus, étude pilote randomisée</w:t>
            </w:r>
          </w:p>
        </w:tc>
        <w:tc>
          <w:tcPr/>
          <w:p>
            <w:pPr>
              <w:pStyle w:val="Compact"/>
              <w:jc w:val="left"/>
            </w:pPr>
            <w:r>
              <w:t xml:space="preserve">6 mois</w:t>
            </w:r>
          </w:p>
        </w:tc>
        <w:tc>
          <w:tcPr/>
          <w:p>
            <w:pPr>
              <w:pStyle w:val="Compact"/>
              <w:jc w:val="left"/>
            </w:pPr>
            <w:r>
              <w:t xml:space="preserve">distance de marche davantage améliorée ; la Tβ4 n’a été ajoutée qu’aux cellules en laboratoire, pas administrée aux patients</w:t>
            </w:r>
          </w:p>
        </w:tc>
      </w:tr>
    </w:tbl>
    <w:p>
      <w:pPr>
        <w:pStyle w:val="BodyText"/>
      </w:pPr>
      <w:r>
        <w:t xml:space="preserve">L’étude cardiaque la plus importante est l’étude chinoise menée chez 96 patients victimes d’un infarctus. Sur l’ensemble des participants, la Tβ4 recombinante n’a pas réduit significativement la taille de l’infarctus après 90 jours ; un avantage n’est apparu que dans le sous-groupe qui avait reçu la première dose dans les huit heures</w:t>
      </w:r>
      <w:r>
        <w:rPr>
          <w:rStyle w:val="FootnoteReference"/>
        </w:rPr>
        <w:footnoteReference w:id="967"/>
      </w:r>
      <w:r>
        <w:t xml:space="preserve">. Les résultats de sous-groupes sont considérés comme des indices, pas comme des preuves. Les auteurs réclament eux-mêmes d’autres études randomisées.</w:t>
      </w:r>
    </w:p>
    <w:bookmarkEnd w:id="968"/>
    <w:bookmarkStart w:id="971" w:name="peau-et-plaies"/>
    <w:p>
      <w:pPr>
        <w:pStyle w:val="Heading4"/>
      </w:pPr>
      <w:r>
        <w:t xml:space="preserve">Peau et plaies</w:t>
      </w:r>
    </w:p>
    <w:p>
      <w:pPr>
        <w:pStyle w:val="FirstParagraph"/>
      </w:pPr>
      <w:r>
        <w:t xml:space="preserve">Dans les années 2000, RegeneRx a évalué un gel de Tβ4 dans les ulcères veineux de jambe, les escarres et la maladie bulleuse héréditaire épidermolyse bulleuse. L’étude sur les ulcères veineux a randomisé 73 personnes ; la sécurité était comparable au placebo, un effet ne pouvait être décrit que comme une tendance pour la concentration de 0,03 %</w:t>
      </w:r>
      <w:r>
        <w:rPr>
          <w:rStyle w:val="FootnoteReference"/>
        </w:rPr>
        <w:footnoteReference w:id="969"/>
      </w:r>
      <w:r>
        <w:t xml:space="preserve">. L’étude sur l’épidermolyse bulleuse a été arrêtée prématurément</w:t>
      </w:r>
      <w:r>
        <w:rPr>
          <w:rStyle w:val="FootnoteReference"/>
        </w:rPr>
        <w:footnoteReference w:id="970"/>
      </w:r>
      <w:r>
        <w:t xml:space="preserve">. Aucune de ces études n’a abouti à une autorisation.</w:t>
      </w:r>
    </w:p>
    <w:bookmarkEnd w:id="971"/>
    <w:bookmarkStart w:id="974" w:name="le-tb-500-chez-lhumain"/>
    <w:p>
      <w:pPr>
        <w:pStyle w:val="Heading4"/>
      </w:pPr>
      <w:r>
        <w:t xml:space="preserve">Le TB-500 chez l’humain</w:t>
      </w:r>
    </w:p>
    <w:p>
      <w:pPr>
        <w:pStyle w:val="FirstParagraph"/>
      </w:pPr>
      <w:r>
        <w:t xml:space="preserve">Pour le fragment TB-500, il n’existe aucune étude publiée chez l’humain. Une entrée de registre sur le TB-500 dans les maladies cardiovasculaires, inscrite en 2026</w:t>
      </w:r>
      <w:r>
        <w:rPr>
          <w:rStyle w:val="FootnoteReference"/>
        </w:rPr>
        <w:footnoteReference w:id="972"/>
      </w:r>
      <w:r>
        <w:t xml:space="preserve">, se désigne elle-même dans sa description comme un exemple « fictif » d’entrée de registre ; elle ne doit donc pas être considérée comme une véritable étude. La seule publication chez l’humain qui mentionne la Tβ4 dans les troubles articulaires est un sondage téléphonique rétrospectif dans lequel quatre personnes ont reçu du BPC-157 avec de la Tβ4 en injection dans le genou</w:t>
      </w:r>
      <w:r>
        <w:rPr>
          <w:rStyle w:val="FootnoteReference"/>
        </w:rPr>
        <w:footnoteReference w:id="973"/>
      </w:r>
      <w:r>
        <w:t xml:space="preserve"> </w:t>
      </w:r>
      <w:r>
        <w:t xml:space="preserve">– trop peu pour en tirer la moindre conclusion.</w:t>
      </w:r>
    </w:p>
    <w:bookmarkEnd w:id="974"/>
    <w:bookmarkEnd w:id="975"/>
    <w:bookmarkStart w:id="983" w:name="études-animales-et-de-laboratoire-16"/>
    <w:p>
      <w:pPr>
        <w:pStyle w:val="Heading3"/>
      </w:pPr>
      <w:r>
        <w:t xml:space="preserve">Études animales et de laboratoire</w:t>
      </w:r>
    </w:p>
    <w:p>
      <w:pPr>
        <w:pStyle w:val="FirstParagraph"/>
      </w:pPr>
      <w:r>
        <w:t xml:space="preserve">La réputation de la Tβ4 comme « peptide réparateur » repose surtout sur deux travaux parus dans la revue Nature. Chez des souris ayant subi un infarctus provoqué artificiellement, la Tβ4 a amélioré la survie des cellules musculaires cardiaques et la fonction cardiaque</w:t>
      </w:r>
      <w:r>
        <w:rPr>
          <w:rStyle w:val="FootnoteReference"/>
        </w:rPr>
        <w:footnoteReference w:id="976"/>
      </w:r>
      <w:r>
        <w:t xml:space="preserve">. Un travail ultérieur a montré chez la souris que la Tβ4 active des cellules progénitrices de l’enveloppe externe du cœur et stimule la formation de nouveaux vaisseaux</w:t>
      </w:r>
      <w:r>
        <w:rPr>
          <w:rStyle w:val="FootnoteReference"/>
        </w:rPr>
        <w:footnoteReference w:id="977"/>
      </w:r>
      <w:r>
        <w:t xml:space="preserve">. Un groupe indépendant n’a toutefois pas pu confirmer qu’après un infarctus, la Tβ4 fait naître de nouvelles cellules musculaires cardiaques à partir de ces cellules</w:t>
      </w:r>
      <w:r>
        <w:rPr>
          <w:rStyle w:val="FootnoteReference"/>
        </w:rPr>
        <w:footnoteReference w:id="978"/>
      </w:r>
      <w:r>
        <w:t xml:space="preserve"> </w:t>
      </w:r>
      <w:r>
        <w:t xml:space="preserve">– un exemple de l’importance des réplications indépendantes.</w:t>
      </w:r>
    </w:p>
    <w:p>
      <w:pPr>
        <w:pStyle w:val="BodyText"/>
      </w:pPr>
      <w:r>
        <w:t xml:space="preserve">D’autres résultats animaux et de laboratoire concernent la peau, la cornée, le cerveau, le rein et le foie. Chez le rat, la Tβ4 a amélioré la survie des lambeaux cutanés</w:t>
      </w:r>
      <w:r>
        <w:rPr>
          <w:rStyle w:val="FootnoteReference"/>
        </w:rPr>
        <w:footnoteReference w:id="979"/>
      </w:r>
      <w:r>
        <w:t xml:space="preserve">, chez la souris la consolidation des fractures</w:t>
      </w:r>
      <w:r>
        <w:rPr>
          <w:rStyle w:val="FootnoteReference"/>
        </w:rPr>
        <w:footnoteReference w:id="980"/>
      </w:r>
      <w:r>
        <w:t xml:space="preserve">. Pour les tendons, les ligaments et les muscles – c’est-à-dire précisément les domaines pour lesquels le TB-500 est promu sur Internet –, il n’existe que des données sur cellules et chez les rongeurs</w:t>
      </w:r>
      <w:r>
        <w:rPr>
          <w:rStyle w:val="FootnoteReference"/>
        </w:rPr>
        <w:footnoteReference w:id="981"/>
      </w:r>
      <w:r>
        <w:t xml:space="preserve">. Une étude chez le rat de 2026 a trouvé, après section du tendon d’Achille chez 32 animaux, une résistance à la rupture plus élevée et une meilleure structure tissulaire dans le groupe TB-500 que dans le groupe témoin</w:t>
      </w:r>
      <w:r>
        <w:rPr>
          <w:rStyle w:val="FootnoteReference"/>
        </w:rPr>
        <w:footnoteReference w:id="982"/>
      </w:r>
      <w:r>
        <w:t xml:space="preserve">. C’est l’une des rares études animales avec le fragment effectivement vendu.</w:t>
      </w:r>
    </w:p>
    <w:bookmarkEnd w:id="983"/>
    <w:bookmarkStart w:id="993" w:name="risques-et-effets-indésirables-16"/>
    <w:p>
      <w:pPr>
        <w:pStyle w:val="Heading3"/>
      </w:pPr>
      <w:r>
        <w:t xml:space="preserve">Risques et effets indésirables</w:t>
      </w:r>
    </w:p>
    <w:bookmarkStart w:id="986" w:name="établi-thymosine-bêta-4"/>
    <w:p>
      <w:pPr>
        <w:pStyle w:val="Heading4"/>
      </w:pPr>
      <w:r>
        <w:t xml:space="preserve">Établi (thymosine bêta 4)</w:t>
      </w:r>
    </w:p>
    <w:p>
      <w:pPr>
        <w:pStyle w:val="FirstParagraph"/>
      </w:pPr>
      <w:r>
        <w:t xml:space="preserve">Dans les études randomisées avec collyre, gel et perfusion, la Tβ4 a été bien tolérée. Chez 40 volontaires sains, des perfusions allant jusqu’à 1 260 mg par jour pendant 14 jours n’ont entraîné aucun effet indésirable limitant la dose</w:t>
      </w:r>
      <w:r>
        <w:rPr>
          <w:rStyle w:val="FootnoteReference"/>
        </w:rPr>
        <w:footnoteReference w:id="984"/>
      </w:r>
      <w:r>
        <w:t xml:space="preserve">. Dans l’étude chinoise de phase 1, les effets indésirables étaient légers à modérés</w:t>
      </w:r>
      <w:r>
        <w:rPr>
          <w:rStyle w:val="FootnoteReference"/>
        </w:rPr>
        <w:footnoteReference w:id="985"/>
      </w:r>
      <w:r>
        <w:t xml:space="preserve">. Ces études sont toutefois courtes, et elles concernent la protéine entière de qualité pharmaceutique – pas des produits du marché gris.</w:t>
      </w:r>
    </w:p>
    <w:bookmarkEnd w:id="986"/>
    <w:bookmarkStart w:id="989" w:name="théorique-cancer"/>
    <w:p>
      <w:pPr>
        <w:pStyle w:val="Heading4"/>
      </w:pPr>
      <w:r>
        <w:t xml:space="preserve">Théorique : cancer</w:t>
      </w:r>
    </w:p>
    <w:p>
      <w:pPr>
        <w:pStyle w:val="FirstParagraph"/>
      </w:pPr>
      <w:r>
        <w:t xml:space="preserve">La Tβ4 favorise la migration cellulaire et la formation de nouveaux vaisseaux – deux propriétés que les tumeurs exploitent aussi pour croître et se disséminer. Dans des échantillons tissulaires de 138 patients atteints de cancer de la vessie, une forte production de Tβ4 était associée à un stade avancé, à une atteinte ganglionnaire et à une survie plus courte</w:t>
      </w:r>
      <w:r>
        <w:rPr>
          <w:rStyle w:val="FootnoteReference"/>
        </w:rPr>
        <w:footnoteReference w:id="987"/>
      </w:r>
      <w:r>
        <w:t xml:space="preserve">. Dans des cultures de cellules de cancer du sein, l’ajout de Tβ4 a augmenté le nombre de cellules</w:t>
      </w:r>
      <w:r>
        <w:rPr>
          <w:rStyle w:val="FootnoteReference"/>
        </w:rPr>
        <w:footnoteReference w:id="988"/>
      </w:r>
      <w:r>
        <w:t xml:space="preserve">. De telles associations ne prouvent pas que la Tβ4 apportée de l’extérieur provoque un cancer. Elles sont toutefois une raison pour laquelle les spécialistes conseillent la prudence chez les personnes atteintes d’un cancer ou présentant un risque accru de cancer. Les données à long terme manquent. La partie IV traite le sujet en détail.</w:t>
      </w:r>
    </w:p>
    <w:bookmarkEnd w:id="989"/>
    <w:bookmarkStart w:id="992" w:name="marché-gris"/>
    <w:p>
      <w:pPr>
        <w:pStyle w:val="Heading4"/>
      </w:pPr>
      <w:r>
        <w:t xml:space="preserve">Marché gris</w:t>
      </w:r>
    </w:p>
    <w:p>
      <w:pPr>
        <w:pStyle w:val="FirstParagraph"/>
      </w:pPr>
      <w:r>
        <w:t xml:space="preserve">Ce qui est vendu comme « TB-500 » ne contient pas de façon fiable ce qui figure sur l’étiquette. Un laboratoire de dopage équin a analysé des produits proposés sur Internet et constaté que le contenu de « TB500 » et « TB1000 » ne correspondait pas toujours à la composition déclarée</w:t>
      </w:r>
      <w:r>
        <w:rPr>
          <w:rStyle w:val="FootnoteReference"/>
        </w:rPr>
        <w:footnoteReference w:id="990"/>
      </w:r>
      <w:r>
        <w:t xml:space="preserve">. Certains produits contiennent le fragment, d’autres peut-être la Tβ4 entière, d’autres encore des impuretés. S’y ajoutent les risques connus des injections non stériles. Le fait que des laboratoires de dopage équin aient développé dès 2012 des méthodes de détection du TB-500</w:t>
      </w:r>
      <w:r>
        <w:rPr>
          <w:rStyle w:val="FootnoteReference"/>
        </w:rPr>
        <w:footnoteReference w:id="991"/>
      </w:r>
      <w:r>
        <w:t xml:space="preserve"> </w:t>
      </w:r>
      <w:r>
        <w:t xml:space="preserve">montre d’où vient le produit : du domaine vétérinaire, et non de la médecine humaine.</w:t>
      </w:r>
    </w:p>
    <w:bookmarkEnd w:id="992"/>
    <w:bookmarkEnd w:id="993"/>
    <w:bookmarkStart w:id="996" w:name="statut-juridique-16"/>
    <w:p>
      <w:pPr>
        <w:pStyle w:val="Heading3"/>
      </w:pPr>
      <w:r>
        <w:t xml:space="preserve">Statut juridique</w:t>
      </w:r>
    </w:p>
    <w:p>
      <w:pPr>
        <w:pStyle w:val="FirstParagraph"/>
      </w:pPr>
      <w:r>
        <w:rPr>
          <w:iCs/>
          <w:i/>
        </w:rPr>
        <w:t xml:space="preserve">État 2026, à vérifier.</w:t>
      </w:r>
    </w:p>
    <w:p>
      <w:pPr>
        <w:numPr>
          <w:ilvl w:val="0"/>
          <w:numId w:val="1120"/>
        </w:numPr>
        <w:pStyle w:val="Compact"/>
      </w:pPr>
      <w:r>
        <w:rPr>
          <w:bCs/>
          <w:b/>
        </w:rPr>
        <w:t xml:space="preserve">UE, Allemagne, Autriche :</w:t>
      </w:r>
      <w:r>
        <w:t xml:space="preserve"> </w:t>
      </w:r>
      <w:r>
        <w:t xml:space="preserve">ni la Tβ4 ni le TB-500 ne sont autorisés comme médicaments. La délivrance en vue d’un usage humain n’est pas permise ; les produits portant la mention « uniquement à des fins de recherche » n’y changent rien.</w:t>
      </w:r>
    </w:p>
    <w:p>
      <w:pPr>
        <w:numPr>
          <w:ilvl w:val="0"/>
          <w:numId w:val="1120"/>
        </w:numPr>
        <w:pStyle w:val="Compact"/>
      </w:pPr>
      <w:r>
        <w:rPr>
          <w:bCs/>
          <w:b/>
        </w:rPr>
        <w:t xml:space="preserve">États-Unis :</w:t>
      </w:r>
      <w:r>
        <w:t xml:space="preserve"> </w:t>
      </w:r>
      <w:r>
        <w:t xml:space="preserve">pas d’autorisation de la FDA. À la connaissance de l’auteur, la FDA a classé en 2023 le fragment de Tβ4 (TB-500), comme le BPC-157, dans la catégorie 2 des substances de base pour préparations magistrales, c’est-à-dire parmi les substances présentant d’importantes préoccupations de sécurité ; l’évaluation des peptides pour les préparations magistrales fait actuellement l’objet de débats controversés</w:t>
      </w:r>
      <w:r>
        <w:rPr>
          <w:rStyle w:val="FootnoteReference"/>
        </w:rPr>
        <w:footnoteReference w:id="994"/>
      </w:r>
      <w:r>
        <w:t xml:space="preserve">.</w:t>
      </w:r>
    </w:p>
    <w:p>
      <w:pPr>
        <w:numPr>
          <w:ilvl w:val="0"/>
          <w:numId w:val="1120"/>
        </w:numPr>
        <w:pStyle w:val="Compact"/>
      </w:pPr>
      <w:r>
        <w:rPr>
          <w:bCs/>
          <w:b/>
        </w:rPr>
        <w:t xml:space="preserve">AMA (WADA) :</w:t>
      </w:r>
      <w:r>
        <w:t xml:space="preserve"> </w:t>
      </w:r>
      <w:r>
        <w:t xml:space="preserve">la Tβ4 et ses dérivés comme le TB-500 sont expressément interdits dans la classe S2 (hormones peptidiques, facteurs de croissance), en compétition et hors compétition. Ils sont aussi interdits dans le sport hippique</w:t>
      </w:r>
      <w:r>
        <w:rPr>
          <w:rStyle w:val="FootnoteReference"/>
        </w:rPr>
        <w:footnoteReference w:id="995"/>
      </w:r>
      <w:r>
        <w:t xml:space="preserve">.</w:t>
      </w:r>
    </w:p>
    <w:bookmarkEnd w:id="996"/>
    <w:bookmarkStart w:id="1000" w:name="études-en-cours-et-perspectives-16"/>
    <w:p>
      <w:pPr>
        <w:pStyle w:val="Heading3"/>
      </w:pPr>
      <w:r>
        <w:t xml:space="preserve">Études en cours et perspectives</w:t>
      </w:r>
    </w:p>
    <w:p>
      <w:pPr>
        <w:pStyle w:val="FirstParagraph"/>
      </w:pPr>
      <w:r>
        <w:rPr>
          <w:bCs/>
          <w:b/>
        </w:rPr>
        <w:t xml:space="preserve">Établi (selon le registre) :</w:t>
      </w:r>
    </w:p>
    <w:p>
      <w:pPr>
        <w:numPr>
          <w:ilvl w:val="0"/>
          <w:numId w:val="1121"/>
        </w:numPr>
        <w:pStyle w:val="Compact"/>
      </w:pPr>
      <w:r>
        <w:rPr>
          <w:bCs/>
          <w:b/>
        </w:rPr>
        <w:t xml:space="preserve">SEER-2</w:t>
      </w:r>
      <w:r>
        <w:rPr>
          <w:rStyle w:val="FootnoteReference"/>
        </w:rPr>
        <w:footnoteReference w:id="997"/>
      </w:r>
      <w:r>
        <w:rPr>
          <w:bCs/>
          <w:b/>
        </w:rPr>
        <w:t xml:space="preserve"> </w:t>
      </w:r>
      <w:r>
        <w:rPr>
          <w:bCs/>
          <w:b/>
        </w:rPr>
        <w:t xml:space="preserve">:</w:t>
      </w:r>
      <w:r>
        <w:t xml:space="preserve"> </w:t>
      </w:r>
      <w:r>
        <w:t xml:space="preserve">étude de phase 3 avec le collyre RGN-259 dans la kératopathie neurotrophique, 70 personnes prévues, en recrutement, fin d’étude estimée à mai 2026 selon le registre. Les résultats n’étaient pas publiés en octobre 2026.</w:t>
      </w:r>
    </w:p>
    <w:p>
      <w:pPr>
        <w:numPr>
          <w:ilvl w:val="0"/>
          <w:numId w:val="1121"/>
        </w:numPr>
        <w:pStyle w:val="Compact"/>
      </w:pPr>
      <w:r>
        <w:rPr>
          <w:bCs/>
          <w:b/>
        </w:rPr>
        <w:t xml:space="preserve">NL005 dans l’infarctus du myocarde</w:t>
      </w:r>
      <w:r>
        <w:rPr>
          <w:rStyle w:val="FootnoteReference"/>
        </w:rPr>
        <w:footnoteReference w:id="998"/>
      </w:r>
      <w:r>
        <w:rPr>
          <w:bCs/>
          <w:b/>
        </w:rPr>
        <w:t xml:space="preserve"> </w:t>
      </w:r>
      <w:r>
        <w:rPr>
          <w:bCs/>
          <w:b/>
        </w:rPr>
        <w:t xml:space="preserve">:</w:t>
      </w:r>
      <w:r>
        <w:t xml:space="preserve"> </w:t>
      </w:r>
      <w:r>
        <w:t xml:space="preserve">étude chinoise de phase 2c avec la Tβ4 recombinante, 189 personnes prévues, critère principal la taille de l’infarctus à l’IRM cardiaque après 90 jours ; pas encore en recrutement, fin estimée en 2028. Deux études de phase 2 antérieures du même fabricant, avec 62 et 90 personnes, sont terminées selon le registre</w:t>
      </w:r>
      <w:r>
        <w:rPr>
          <w:rStyle w:val="FootnoteReference"/>
        </w:rPr>
        <w:footnoteReference w:id="999"/>
      </w:r>
      <w:r>
        <w:t xml:space="preserve">.</w:t>
      </w:r>
    </w:p>
    <w:p>
      <w:pPr>
        <w:numPr>
          <w:ilvl w:val="0"/>
          <w:numId w:val="1121"/>
        </w:numPr>
        <w:pStyle w:val="Compact"/>
      </w:pPr>
      <w:r>
        <w:rPr>
          <w:bCs/>
          <w:b/>
        </w:rPr>
        <w:t xml:space="preserve">TB-500 :</w:t>
      </w:r>
      <w:r>
        <w:t xml:space="preserve"> </w:t>
      </w:r>
      <w:r>
        <w:t xml:space="preserve">aucune étude chez l’humain enregistrée crédible.</w:t>
      </w:r>
    </w:p>
    <w:p>
      <w:pPr>
        <w:pStyle w:val="FirstParagraph"/>
      </w:pPr>
      <w:r>
        <w:rPr>
          <w:bCs/>
          <w:b/>
        </w:rPr>
        <w:t xml:space="preserve">Appréciation de l’auteur :</w:t>
      </w:r>
      <w:r>
        <w:t xml:space="preserve"> </w:t>
      </w:r>
      <w:r>
        <w:t xml:space="preserve">la chance la plus réaliste d’autorisation pour la Tβ4 est le collyre dans la kératopathie neurotrophique, une maladie rare pour laquelle de petites études peuvent suffire à une autorisation comme médicament orphelin – si SEER-2 est positive. Dans la sécheresse oculaire, les grandes données de phase 3 plaident contre un bénéfice cliniquement pertinent. Dans l’infarctus du myocarde, tout dépend de l’étude chinoise en cours. Pour le TB-500 comme moyen de cicatrisation des tendons et des muscles, aucune recherche sérieuse chez l’humain n’est en vue dans un avenir prévisible.</w:t>
      </w:r>
    </w:p>
    <w:bookmarkEnd w:id="1000"/>
    <w:bookmarkStart w:id="1002" w:name="conclusion-16"/>
    <w:p>
      <w:pPr>
        <w:pStyle w:val="Heading3"/>
      </w:pPr>
      <w:r>
        <w:t xml:space="preserve">Conclusion</w:t>
      </w:r>
    </w:p>
    <w:p>
      <w:pPr>
        <w:pStyle w:val="FirstParagraph"/>
      </w:pPr>
      <w:r>
        <w:t xml:space="preserve">La thymosine bêta 4 est un peptide endogène qui a été bien toléré dans des études randomisées en collyre et en perfusion, mais dont le bénéfice ne s’est pas confirmé dans les grandes études sur la sécheresse oculaire et ne s’est esquissé jusqu’ici dans l’infarctus du myocarde que dans un sous-groupe</w:t>
      </w:r>
      <w:r>
        <w:rPr>
          <w:rStyle w:val="FootnoteReference"/>
        </w:rPr>
        <w:footnoteReference w:id="1001"/>
      </w:r>
      <w:r>
        <w:t xml:space="preserve">. Le TB-500 est autre chose : un fragment modifié qui n’a jamais été évalué dans une étude publiée chez l’humain et dont les produits du marché gris ne contiennent manifestement pas toujours ce qui est indiqué. La promotion du TB-500 s’appuie sur des études avec la protéine entière – et celles-ci ne concernent guère les tendons, les ligaments ou les muscles. Pour les sportives et sportifs, les deux substances sont interdites.</w:t>
      </w:r>
    </w:p>
    <w:bookmarkEnd w:id="1002"/>
    <w:bookmarkEnd w:id="1003"/>
    <w:bookmarkStart w:id="1063" w:name="thymosine-alpha-1-thymalfasine"/>
    <w:p>
      <w:pPr>
        <w:pStyle w:val="Heading2"/>
      </w:pPr>
      <w:r>
        <w:t xml:space="preserve">Thymosine alpha 1 (thymalfasine)</w:t>
      </w:r>
    </w:p>
    <w:p>
      <w:pPr>
        <w:pStyle w:val="FirstParagraph"/>
      </w:pPr>
      <w:r>
        <w:t xml:space="preserve">La thymosine alpha 1 est un cas particulier dans ce groupe. Contrairement au BPC-157 ou au TB-500, elle est un médicament autorisé dans un certain nombre de pays (nom commercial Zadaxin), elle a été évaluée dans des dizaines d’études randomisées chez des milliers de personnes, et en Chine elle fait partie du quotidien dans certains hôpitaux. En même temps, ce peptide montre précisément comment un tableau change lorsque de petites études anciennes sont remplacées par de grandes études menées avec rigueur. Elle n’est pas autorisée en Europe ni aux États-Unis, mais elle est commercialisée dans les milieux de la « longévité » et du biohacking comme stimulant immunitaire.</w:t>
      </w:r>
    </w:p>
    <w:bookmarkStart w:id="1006" w:name="fiche-signalétique-17"/>
    <w:p>
      <w:pPr>
        <w:pStyle w:val="Heading3"/>
      </w:pPr>
      <w:r>
        <w:t xml:space="preserve">Fiche signalétique</w:t>
      </w:r>
    </w:p>
    <w:p>
      <w:pPr>
        <w:numPr>
          <w:ilvl w:val="0"/>
          <w:numId w:val="1122"/>
        </w:numPr>
        <w:pStyle w:val="Compact"/>
      </w:pPr>
      <w:r>
        <w:rPr>
          <w:bCs/>
          <w:b/>
        </w:rPr>
        <w:t xml:space="preserve">Type et structure :</w:t>
      </w:r>
      <w:r>
        <w:t xml:space="preserve"> </w:t>
      </w:r>
      <w:r>
        <w:t xml:space="preserve">peptide de 28 acides aminés, acétylé à son extrémité initiale</w:t>
      </w:r>
      <w:r>
        <w:rPr>
          <w:rStyle w:val="FootnoteReference"/>
        </w:rPr>
        <w:footnoteReference w:id="1004"/>
      </w:r>
      <w:r>
        <w:t xml:space="preserve"> </w:t>
      </w:r>
      <w:r>
        <w:t xml:space="preserve">; fragment de la protéine plus grande prothymosine alpha.</w:t>
      </w:r>
    </w:p>
    <w:p>
      <w:pPr>
        <w:numPr>
          <w:ilvl w:val="0"/>
          <w:numId w:val="1122"/>
        </w:numPr>
        <w:pStyle w:val="Compact"/>
      </w:pPr>
      <w:r>
        <w:rPr>
          <w:bCs/>
          <w:b/>
        </w:rPr>
        <w:t xml:space="preserve">Origine :</w:t>
      </w:r>
      <w:r>
        <w:t xml:space="preserve"> </w:t>
      </w:r>
      <w:r>
        <w:t xml:space="preserve">isolée dans les années 1970 à partir d’un extrait de thymus (« fraction 5 de thymosine ») ; aujourd’hui obtenue par synthèse chimique. Dénomination de la substance : thymalfasine.</w:t>
      </w:r>
    </w:p>
    <w:p>
      <w:pPr>
        <w:numPr>
          <w:ilvl w:val="0"/>
          <w:numId w:val="1122"/>
        </w:numPr>
        <w:pStyle w:val="Compact"/>
      </w:pPr>
      <w:r>
        <w:rPr>
          <w:bCs/>
          <w:b/>
        </w:rPr>
        <w:t xml:space="preserve">Principe d’action :</w:t>
      </w:r>
      <w:r>
        <w:t xml:space="preserve"> </w:t>
      </w:r>
      <w:r>
        <w:t xml:space="preserve">immunomodulateur – censé favoriser la maturation et l’activité des lymphocytes T et des cellules dendritiques.</w:t>
      </w:r>
    </w:p>
    <w:p>
      <w:pPr>
        <w:numPr>
          <w:ilvl w:val="0"/>
          <w:numId w:val="1122"/>
        </w:numPr>
        <w:pStyle w:val="Compact"/>
      </w:pPr>
      <w:r>
        <w:rPr>
          <w:bCs/>
          <w:b/>
        </w:rPr>
        <w:t xml:space="preserve">Autorisation UE :</w:t>
      </w:r>
      <w:r>
        <w:t xml:space="preserve"> </w:t>
      </w:r>
      <w:r>
        <w:t xml:space="preserve">pas d’autorisation centralisée.</w:t>
      </w:r>
      <w:r>
        <w:t xml:space="preserve"> </w:t>
      </w:r>
      <w:r>
        <w:rPr>
          <w:bCs/>
          <w:b/>
        </w:rPr>
        <w:t xml:space="preserve">États-Unis :</w:t>
      </w:r>
      <w:r>
        <w:t xml:space="preserve"> </w:t>
      </w:r>
      <w:r>
        <w:t xml:space="preserve">non autorisée ; la FDA a restreint en 2023 son utilisation par les pharmacies de préparations magistrales</w:t>
      </w:r>
      <w:r>
        <w:rPr>
          <w:rStyle w:val="FootnoteReference"/>
        </w:rPr>
        <w:footnoteReference w:id="1005"/>
      </w:r>
      <w:r>
        <w:t xml:space="preserve">.</w:t>
      </w:r>
      <w:r>
        <w:t xml:space="preserve"> </w:t>
      </w:r>
      <w:r>
        <w:rPr>
          <w:bCs/>
          <w:b/>
        </w:rPr>
        <w:t xml:space="preserve">Autres pays :</w:t>
      </w:r>
      <w:r>
        <w:t xml:space="preserve"> </w:t>
      </w:r>
      <w:r>
        <w:t xml:space="preserve">autorisée sous le nom Zadaxin, surtout en Chine et dans d’autres pays asiatiques, le plus souvent pour l’hépatite B chronique et comme traitement d’appoint pour renforcer le système immunitaire.</w:t>
      </w:r>
    </w:p>
    <w:p>
      <w:pPr>
        <w:numPr>
          <w:ilvl w:val="0"/>
          <w:numId w:val="1122"/>
        </w:numPr>
        <w:pStyle w:val="Compact"/>
      </w:pPr>
      <w:r>
        <w:rPr>
          <w:bCs/>
          <w:b/>
        </w:rPr>
        <w:t xml:space="preserve">AMA (WADA) :</w:t>
      </w:r>
      <w:r>
        <w:t xml:space="preserve"> </w:t>
      </w:r>
      <w:r>
        <w:t xml:space="preserve">non expressément listée.</w:t>
      </w:r>
    </w:p>
    <w:p>
      <w:pPr>
        <w:numPr>
          <w:ilvl w:val="0"/>
          <w:numId w:val="1122"/>
        </w:numPr>
        <w:pStyle w:val="Compact"/>
      </w:pPr>
      <w:r>
        <w:rPr>
          <w:bCs/>
          <w:b/>
        </w:rPr>
        <w:t xml:space="preserve">Niveau de preuve : B</w:t>
      </w:r>
      <w:r>
        <w:t xml:space="preserve"> </w:t>
      </w:r>
      <w:r>
        <w:t xml:space="preserve">– formellement, de nombreuses études randomisées existent ; mais les grandes études, méthodologiquement les meilleures, n’ont pas atteint leurs critères principaux, et les résultats positifs proviennent majoritairement de petites études à risque de biais élevé.</w:t>
      </w:r>
    </w:p>
    <w:bookmarkEnd w:id="1006"/>
    <w:bookmarkStart w:id="1009" w:name="mode-daction-supposé-17"/>
    <w:p>
      <w:pPr>
        <w:pStyle w:val="Heading3"/>
      </w:pPr>
      <w:r>
        <w:t xml:space="preserve">Mode d’action supposé</w:t>
      </w:r>
    </w:p>
    <w:p>
      <w:pPr>
        <w:pStyle w:val="FirstParagraph"/>
      </w:pPr>
      <w:r>
        <w:t xml:space="preserve">Le thymus, situé derrière le sternum, est l’« école » des lymphocytes T : c’est là que ces globules blancs apprennent à distinguer l’étranger du soi. Le thymus s’atrophie avec l’âge. On a supposé très tôt que des messagers issus du thymus pilotaient les défenses, et on les a recherchés dans des extraits de thymus. La thymosine alpha 1 a été l’une des premières substances ainsi identifiées.</w:t>
      </w:r>
    </w:p>
    <w:p>
      <w:pPr>
        <w:pStyle w:val="BodyText"/>
      </w:pPr>
      <w:r>
        <w:t xml:space="preserve">Dans des expériences de laboratoire et chez l’animal, la thymosine alpha 1 active les cellules dendritiques – les « éclaireurs » du système immunitaire – via les récepteurs dits Toll-like, augmente l’expression de molécules de reconnaissance à la surface des cellules et renforce l’action de l’interféron</w:t>
      </w:r>
      <w:r>
        <w:rPr>
          <w:rStyle w:val="FootnoteReference"/>
        </w:rPr>
        <w:footnoteReference w:id="1007"/>
      </w:r>
      <w:r>
        <w:t xml:space="preserve">. Il en a découlé trois grandes idées d’application :</w:t>
      </w:r>
    </w:p>
    <w:p>
      <w:pPr>
        <w:numPr>
          <w:ilvl w:val="0"/>
          <w:numId w:val="1123"/>
        </w:numPr>
        <w:pStyle w:val="Compact"/>
      </w:pPr>
      <w:r>
        <w:rPr>
          <w:bCs/>
          <w:b/>
        </w:rPr>
        <w:t xml:space="preserve">Infections virales chroniques</w:t>
      </w:r>
      <w:r>
        <w:t xml:space="preserve"> </w:t>
      </w:r>
      <w:r>
        <w:t xml:space="preserve">(hépatites B et C), dans lesquelles le système immunitaire n’élimine pas le virus par ses propres moyens.</w:t>
      </w:r>
    </w:p>
    <w:p>
      <w:pPr>
        <w:numPr>
          <w:ilvl w:val="0"/>
          <w:numId w:val="1123"/>
        </w:numPr>
        <w:pStyle w:val="Compact"/>
      </w:pPr>
      <w:r>
        <w:rPr>
          <w:bCs/>
          <w:b/>
        </w:rPr>
        <w:t xml:space="preserve">Sepsis et infections graves</w:t>
      </w:r>
      <w:r>
        <w:t xml:space="preserve">, dans lesquels une réaction excessive initiale est souvent suivie d’une phase d’immunodépression.</w:t>
      </w:r>
    </w:p>
    <w:p>
      <w:pPr>
        <w:numPr>
          <w:ilvl w:val="0"/>
          <w:numId w:val="1123"/>
        </w:numPr>
        <w:pStyle w:val="Compact"/>
      </w:pPr>
      <w:r>
        <w:rPr>
          <w:bCs/>
          <w:b/>
        </w:rPr>
        <w:t xml:space="preserve">Cancer</w:t>
      </w:r>
      <w:r>
        <w:t xml:space="preserve">, en complément de la chimiothérapie, de la radiothérapie et de l’immunothérapie.</w:t>
      </w:r>
    </w:p>
    <w:p>
      <w:pPr>
        <w:pStyle w:val="FirstParagraph"/>
      </w:pPr>
      <w:r>
        <w:t xml:space="preserve">La demi-vie dans le sang est d’environ deux heures ; après 24 heures, le taux est revenu à sa valeur initiale</w:t>
      </w:r>
      <w:r>
        <w:rPr>
          <w:rStyle w:val="FootnoteReference"/>
        </w:rPr>
        <w:footnoteReference w:id="1008"/>
      </w:r>
      <w:r>
        <w:t xml:space="preserve">.</w:t>
      </w:r>
    </w:p>
    <w:bookmarkEnd w:id="1009"/>
    <w:bookmarkStart w:id="1039" w:name="études-chez-lhumain-17"/>
    <w:p>
      <w:pPr>
        <w:pStyle w:val="Heading3"/>
      </w:pPr>
      <w:r>
        <w:t xml:space="preserve">Études chez l’humain</w:t>
      </w:r>
    </w:p>
    <w:p>
      <w:pPr>
        <w:pStyle w:val="FirstParagraph"/>
      </w:pPr>
      <w:r>
        <w:rPr>
          <w:bCs/>
          <w:b/>
        </w:rPr>
        <w:t xml:space="preserve">Ampleur des données (requête d’octobre 2026) :</w:t>
      </w:r>
      <w:r>
        <w:t xml:space="preserve"> </w:t>
      </w:r>
      <w:r>
        <w:t xml:space="preserve">la recherche automatisée a trouvé</w:t>
      </w:r>
      <w:r>
        <w:t xml:space="preserve"> </w:t>
      </w:r>
      <w:r>
        <w:rPr>
          <w:bCs/>
          <w:b/>
        </w:rPr>
        <w:t xml:space="preserve">90</w:t>
      </w:r>
      <w:r>
        <w:t xml:space="preserve"> </w:t>
      </w:r>
      <w:r>
        <w:t xml:space="preserve">études chez l’humain dans PubMed et</w:t>
      </w:r>
      <w:r>
        <w:t xml:space="preserve"> </w:t>
      </w:r>
      <w:r>
        <w:rPr>
          <w:bCs/>
          <w:b/>
        </w:rPr>
        <w:t xml:space="preserve">66</w:t>
      </w:r>
      <w:r>
        <w:t xml:space="preserve"> </w:t>
      </w:r>
      <w:r>
        <w:t xml:space="preserve">entrées sur ClinicalTrials.gov, ainsi que 15 méta-analyses et revues systématiques. Une grande partie des études provient de Chine et est de petite taille. Une synthèse de 2024 regroupant plus de 30 études portant sur plus de 11 000 personnes a été rédigée expressément pour argumenter contre la restriction de la FDA</w:t>
      </w:r>
      <w:r>
        <w:rPr>
          <w:rStyle w:val="FootnoteReference"/>
        </w:rPr>
        <w:footnoteReference w:id="1010"/>
      </w:r>
      <w:r>
        <w:t xml:space="preserve"> </w:t>
      </w:r>
      <w:r>
        <w:t xml:space="preserve">– elle ne doit donc pas être lue comme une évaluation neutre.</w:t>
      </w:r>
    </w:p>
    <w:bookmarkStart w:id="1011" w:name="les-grandes-études-les-plus-importantes"/>
    <w:p>
      <w:pPr>
        <w:pStyle w:val="Heading4"/>
      </w:pPr>
      <w:r>
        <w:t xml:space="preserve">Les grandes études les plus importantes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schéma</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TESTS, sepsis (Wu 2025, PMID 39814420)</w:t>
            </w:r>
          </w:p>
        </w:tc>
        <w:tc>
          <w:tcPr/>
          <w:p>
            <w:pPr>
              <w:pStyle w:val="Compact"/>
              <w:jc w:val="left"/>
            </w:pPr>
            <w:r>
              <w:t xml:space="preserve">1 106 adultes atteints de sepsis, 22 centres en Chine, ECR en double aveugle contre placebo</w:t>
            </w:r>
          </w:p>
        </w:tc>
        <w:tc>
          <w:tcPr/>
          <w:p>
            <w:pPr>
              <w:pStyle w:val="Compact"/>
              <w:jc w:val="left"/>
            </w:pPr>
            <w:r>
              <w:t xml:space="preserve">7 jours de traitement, 28 jours d’observation</w:t>
            </w:r>
          </w:p>
        </w:tc>
        <w:tc>
          <w:tcPr/>
          <w:p>
            <w:pPr>
              <w:pStyle w:val="Compact"/>
              <w:jc w:val="left"/>
            </w:pPr>
            <w:r>
              <w:t xml:space="preserve">mortalité 23,4 % vs 24,1 % ; aucune différence</w:t>
            </w:r>
          </w:p>
        </w:tc>
      </w:tr>
      <w:tr>
        <w:tc>
          <w:tcPr/>
          <w:p>
            <w:pPr>
              <w:pStyle w:val="Compact"/>
              <w:jc w:val="left"/>
            </w:pPr>
            <w:r>
              <w:t xml:space="preserve">Pancréatite nécrosante (Ke 2022, PMID 35713670)</w:t>
            </w:r>
          </w:p>
        </w:tc>
        <w:tc>
          <w:tcPr/>
          <w:p>
            <w:pPr>
              <w:pStyle w:val="Compact"/>
              <w:jc w:val="left"/>
            </w:pPr>
            <w:r>
              <w:t xml:space="preserve">508 personnes, ECR en double aveugle contre placebo</w:t>
            </w:r>
          </w:p>
        </w:tc>
        <w:tc>
          <w:tcPr/>
          <w:p>
            <w:pPr>
              <w:pStyle w:val="Compact"/>
              <w:jc w:val="left"/>
            </w:pPr>
            <w:r>
              <w:t xml:space="preserve">14 jours de traitement</w:t>
            </w:r>
          </w:p>
        </w:tc>
        <w:tc>
          <w:tcPr/>
          <w:p>
            <w:pPr>
              <w:pStyle w:val="Compact"/>
              <w:jc w:val="left"/>
            </w:pPr>
            <w:r>
              <w:t xml:space="preserve">nécroses infectées 15,7 % vs 18,1 % ; pas de différence significative</w:t>
            </w:r>
          </w:p>
        </w:tc>
      </w:tr>
      <w:tr>
        <w:tc>
          <w:tcPr/>
          <w:p>
            <w:pPr>
              <w:pStyle w:val="Compact"/>
              <w:jc w:val="left"/>
            </w:pPr>
            <w:r>
              <w:t xml:space="preserve">Mélanome (Maio 2010, PMID 20194853)</w:t>
            </w:r>
          </w:p>
        </w:tc>
        <w:tc>
          <w:tcPr/>
          <w:p>
            <w:pPr>
              <w:pStyle w:val="Compact"/>
              <w:jc w:val="left"/>
            </w:pPr>
            <w:r>
              <w:t xml:space="preserve">488 personnes atteintes de mélanome métastatique, ECR à 5 groupes</w:t>
            </w:r>
          </w:p>
        </w:tc>
        <w:tc>
          <w:tcPr/>
          <w:p>
            <w:pPr>
              <w:pStyle w:val="Compact"/>
              <w:jc w:val="left"/>
            </w:pPr>
            <w:r>
              <w:t xml:space="preserve">jusqu’à 24 mois</w:t>
            </w:r>
          </w:p>
        </w:tc>
        <w:tc>
          <w:tcPr/>
          <w:p>
            <w:pPr>
              <w:pStyle w:val="Compact"/>
              <w:jc w:val="left"/>
            </w:pPr>
            <w:r>
              <w:t xml:space="preserve">davantage de réponses tumorales dans deux groupes Tα1 ; survie globale 9,4 vs 6,6 mois, non significatif (p = 0,08)</w:t>
            </w:r>
          </w:p>
        </w:tc>
      </w:tr>
      <w:tr>
        <w:tc>
          <w:tcPr/>
          <w:p>
            <w:pPr>
              <w:pStyle w:val="Compact"/>
              <w:jc w:val="left"/>
            </w:pPr>
            <w:r>
              <w:t xml:space="preserve">Cirrhose liée à l’hépatite B (Wu 2018, PMID 30063860)</w:t>
            </w:r>
          </w:p>
        </w:tc>
        <w:tc>
          <w:tcPr/>
          <w:p>
            <w:pPr>
              <w:pStyle w:val="Compact"/>
              <w:jc w:val="left"/>
            </w:pPr>
            <w:r>
              <w:t xml:space="preserve">690 personnes, ECR en ouvert, Tα1 plus entécavir vs entécavir seul</w:t>
            </w:r>
          </w:p>
        </w:tc>
        <w:tc>
          <w:tcPr/>
          <w:p>
            <w:pPr>
              <w:pStyle w:val="Compact"/>
              <w:jc w:val="left"/>
            </w:pPr>
            <w:r>
              <w:t xml:space="preserve">médiane 38,2 mois</w:t>
            </w:r>
          </w:p>
        </w:tc>
        <w:tc>
          <w:tcPr/>
          <w:p>
            <w:pPr>
              <w:pStyle w:val="Compact"/>
              <w:jc w:val="left"/>
            </w:pPr>
            <w:r>
              <w:t xml:space="preserve">aucune différence en matière d’insuffisance hépatique, de cancer du foie ou de décès</w:t>
            </w:r>
          </w:p>
        </w:tc>
      </w:tr>
      <w:tr>
        <w:tc>
          <w:tcPr/>
          <w:p>
            <w:pPr>
              <w:pStyle w:val="Compact"/>
              <w:jc w:val="left"/>
            </w:pPr>
            <w:r>
              <w:t xml:space="preserve">Hépatite B, Japon (Iino 2005, PMID 15850471)</w:t>
            </w:r>
          </w:p>
        </w:tc>
        <w:tc>
          <w:tcPr/>
          <w:p>
            <w:pPr>
              <w:pStyle w:val="Compact"/>
              <w:jc w:val="left"/>
            </w:pPr>
            <w:r>
              <w:t xml:space="preserve">316 personnes, comparaison de deux doses, sans groupe placebo</w:t>
            </w:r>
          </w:p>
        </w:tc>
        <w:tc>
          <w:tcPr/>
          <w:p>
            <w:pPr>
              <w:pStyle w:val="Compact"/>
              <w:jc w:val="left"/>
            </w:pPr>
            <w:r>
              <w:t xml:space="preserve">24 semaines plus 48 semaines</w:t>
            </w:r>
          </w:p>
        </w:tc>
        <w:tc>
          <w:tcPr/>
          <w:p>
            <w:pPr>
              <w:pStyle w:val="Compact"/>
              <w:jc w:val="left"/>
            </w:pPr>
            <w:r>
              <w:t xml:space="preserve">perte de l’antigène HBe chez 22,8 % à la dose la plus élevée</w:t>
            </w:r>
          </w:p>
        </w:tc>
      </w:tr>
      <w:tr>
        <w:tc>
          <w:tcPr/>
          <w:p>
            <w:pPr>
              <w:pStyle w:val="Compact"/>
              <w:jc w:val="left"/>
            </w:pPr>
            <w:r>
              <w:t xml:space="preserve">Hépatite B, phase 3 (Mutchnick 1999, PMID 10607256)</w:t>
            </w:r>
          </w:p>
        </w:tc>
        <w:tc>
          <w:tcPr/>
          <w:p>
            <w:pPr>
              <w:pStyle w:val="Compact"/>
              <w:jc w:val="left"/>
            </w:pPr>
            <w:r>
              <w:t xml:space="preserve">97 personnes, ECR en double aveugle contre placebo</w:t>
            </w:r>
          </w:p>
        </w:tc>
        <w:tc>
          <w:tcPr/>
          <w:p>
            <w:pPr>
              <w:pStyle w:val="Compact"/>
              <w:jc w:val="left"/>
            </w:pPr>
            <w:r>
              <w:t xml:space="preserve">12 mois</w:t>
            </w:r>
          </w:p>
        </w:tc>
        <w:tc>
          <w:tcPr/>
          <w:p>
            <w:pPr>
              <w:pStyle w:val="Compact"/>
              <w:jc w:val="left"/>
            </w:pPr>
            <w:r>
              <w:t xml:space="preserve">réponse complète 14 % vs 4 %, non significatif</w:t>
            </w:r>
          </w:p>
        </w:tc>
      </w:tr>
    </w:tbl>
    <w:bookmarkEnd w:id="1011"/>
    <w:bookmarkStart w:id="1019" w:name="hépatites-b-et-c"/>
    <w:p>
      <w:pPr>
        <w:pStyle w:val="Heading4"/>
      </w:pPr>
      <w:r>
        <w:t xml:space="preserve">Hépatites B et C</w:t>
      </w:r>
    </w:p>
    <w:p>
      <w:pPr>
        <w:pStyle w:val="FirstParagraph"/>
      </w:pPr>
      <w:r>
        <w:t xml:space="preserve">Les autorisations en Asie reposent surtout sur des études sur l’hépatite B chronique des années 1990. Une étude randomisée chez 98 personnes a trouvé, 18 mois après le début, une réponse virologique complète chez 40,6 pour cent après six mois de traitement, contre 9,4 pour cent dans le groupe témoin non traité</w:t>
      </w:r>
      <w:r>
        <w:rPr>
          <w:rStyle w:val="FootnoteReference"/>
        </w:rPr>
        <w:footnoteReference w:id="1012"/>
      </w:r>
      <w:r>
        <w:t xml:space="preserve">. L’étude de phase 3 en double aveugle contrôlée contre placebo n’a pas pu le confirmer : 14 pour cent vs 4 pour cent, statistiquement non significatif ; les auteurs écrivent eux-mêmes que les résultats ne confirmaient pas les observations antérieures</w:t>
      </w:r>
      <w:r>
        <w:rPr>
          <w:rStyle w:val="FootnoteReference"/>
        </w:rPr>
        <w:footnoteReference w:id="1013"/>
      </w:r>
      <w:r>
        <w:t xml:space="preserve">.</w:t>
      </w:r>
    </w:p>
    <w:p>
      <w:pPr>
        <w:pStyle w:val="BodyText"/>
      </w:pPr>
      <w:r>
        <w:t xml:space="preserve">Une méta-analyse de quatre petites études avec 199 personnes a montré que la thymosine alpha 1 faisait moins bien que l’interféron alpha en fin de traitement, mais mieux six mois après</w:t>
      </w:r>
      <w:r>
        <w:rPr>
          <w:rStyle w:val="FootnoteReference"/>
        </w:rPr>
        <w:footnoteReference w:id="1014"/>
      </w:r>
      <w:r>
        <w:t xml:space="preserve">. Aujourd’hui, la question est largement dépassée : les comprimés modernes contre l’hépatite B (comme l’entécavir) suppriment le virus de manière fiable. Dans la grande étude portant sur 690 personnes atteintes de cirrhose, l’ajout de thymosine alpha 1 à l’entécavir n’a apporté aucun avantage sur le critère principal combinant décompensation hépatique, cancer du foie ou décès</w:t>
      </w:r>
      <w:r>
        <w:rPr>
          <w:rStyle w:val="FootnoteReference"/>
        </w:rPr>
        <w:footnoteReference w:id="1015"/>
      </w:r>
      <w:r>
        <w:t xml:space="preserve">. Une méta-analyse d’études chinoises sur la même association a certes trouvé de meilleurs taux de réponse après 24 semaines, mais plus aucune différence après 48 à 52 semaines</w:t>
      </w:r>
      <w:r>
        <w:rPr>
          <w:rStyle w:val="FootnoteReference"/>
        </w:rPr>
        <w:footnoteReference w:id="1016"/>
      </w:r>
      <w:r>
        <w:t xml:space="preserve">.</w:t>
      </w:r>
    </w:p>
    <w:p>
      <w:pPr>
        <w:pStyle w:val="BodyText"/>
      </w:pPr>
      <w:r>
        <w:t xml:space="preserve">Dans une forme évolutive particulièrement grave – l’insuffisance hépatique aiguë sur chronique liée à l’hépatite B –, la survie sans transplantation à 90 jours était, dans une étude en ouvert chez 120 personnes, de 75,0 pour cent sous thymosine alpha 1 contre 53,4 pour cent ; les nouvelles infections étaient plus rares</w:t>
      </w:r>
      <w:r>
        <w:rPr>
          <w:rStyle w:val="FootnoteReference"/>
        </w:rPr>
        <w:footnoteReference w:id="1017"/>
      </w:r>
      <w:r>
        <w:t xml:space="preserve">. L’étude n’était pas en aveugle et, dans une analyse tenant compte des risques concurrents, la différence de survie n’était pas significative.</w:t>
      </w:r>
    </w:p>
    <w:p>
      <w:pPr>
        <w:pStyle w:val="BodyText"/>
      </w:pPr>
      <w:r>
        <w:t xml:space="preserve">Dans l’hépatite C, l’association avec l’interféron a amélioré les valeurs en fin de traitement dans de petites études</w:t>
      </w:r>
      <w:r>
        <w:rPr>
          <w:rStyle w:val="FootnoteReference"/>
        </w:rPr>
        <w:footnoteReference w:id="1018"/>
      </w:r>
      <w:r>
        <w:t xml:space="preserve">, mais la réponse durable ne différait pas notablement. Depuis l’arrivée des comprimés antiviraux à action directe, qui éliminent l’hépatite C dans la très grande majorité des cas, la thymosine alpha 1 ne joue plus aucun rôle ici.</w:t>
      </w:r>
    </w:p>
    <w:bookmarkEnd w:id="1019"/>
    <w:bookmarkStart w:id="1024" w:name="sepsis"/>
    <w:p>
      <w:pPr>
        <w:pStyle w:val="Heading4"/>
      </w:pPr>
      <w:r>
        <w:t xml:space="preserve">Sepsis</w:t>
      </w:r>
    </w:p>
    <w:p>
      <w:pPr>
        <w:pStyle w:val="FirstParagraph"/>
      </w:pPr>
      <w:r>
        <w:t xml:space="preserve">Le sepsis illustre particulièrement bien l’évolution des preuves. Les premières méta-analyses d’études chinoises, majoritairement petites, ont trouvé une mortalité nettement plus faible (Li 2015, PMID 25532482 : risque relatif 0,68 dans 12 études avec 1 480 personnes), tout en signalant elles-mêmes la mauvaise qualité des études. La première étude randomisée de plus grande taille (ETASS), avec 361 personnes, a trouvé une mortalité à 28 jours de 26,0 vs 35,0 pour cent – juste à la limite de la significativité statistique, en simple aveugle</w:t>
      </w:r>
      <w:r>
        <w:rPr>
          <w:rStyle w:val="FootnoteReference"/>
        </w:rPr>
        <w:footnoteReference w:id="1020"/>
      </w:r>
      <w:r>
        <w:t xml:space="preserve">.</w:t>
      </w:r>
    </w:p>
    <w:p>
      <w:pPr>
        <w:pStyle w:val="BodyText"/>
      </w:pPr>
      <w:r>
        <w:t xml:space="preserve">Le même groupe de travail a alors planifié l’étude la plus grande et la meilleure à ce jour : TESTS, en double aveugle, contrôlée contre placebo, 1 106 adultes dans 22 centres. Résultat : la mortalité à 28 jours était de 23,4 pour cent sous thymosine alpha 1 et de 24,1 pour cent sous placebo – aucune différence. Aucun critère secondaire ne différait non plus</w:t>
      </w:r>
      <w:r>
        <w:rPr>
          <w:rStyle w:val="FootnoteReference"/>
        </w:rPr>
        <w:footnoteReference w:id="1021"/>
      </w:r>
      <w:r>
        <w:t xml:space="preserve">. Dans des sous-groupes, des avantages se dessinaient chez les plus de 60 ans et les personnes diabétiques, mais même des inconvénients chez les moins de 60 ans – de tels résultats de sous-groupes sont incertains.</w:t>
      </w:r>
    </w:p>
    <w:p>
      <w:pPr>
        <w:pStyle w:val="BodyText"/>
      </w:pPr>
      <w:r>
        <w:t xml:space="preserve">Une méta-analyse de 2025 portant sur 11 études randomisées a trouvé globalement une mortalité plus faible, mais pas lorsqu’on ne considérait que les études de haute qualité ou que les études multicentriques ; le volume de données disponible serait trop faible pour une conclusion définitive</w:t>
      </w:r>
      <w:r>
        <w:rPr>
          <w:rStyle w:val="FootnoteReference"/>
        </w:rPr>
        <w:footnoteReference w:id="1022"/>
      </w:r>
      <w:r>
        <w:t xml:space="preserve">. De nombreuses études chinoises associent en outre la thymosine alpha 1 à l’ulinastatine, un autre produit utilisé en Chine ; des méta-analyses en réseau jugent la fiabilité de ces résultats majoritairement faible</w:t>
      </w:r>
      <w:r>
        <w:rPr>
          <w:rStyle w:val="FootnoteReference"/>
        </w:rPr>
        <w:footnoteReference w:id="1023"/>
      </w:r>
      <w:r>
        <w:t xml:space="preserve">.</w:t>
      </w:r>
    </w:p>
    <w:bookmarkEnd w:id="1024"/>
    <w:bookmarkStart w:id="1030" w:name="covid-19"/>
    <w:p>
      <w:pPr>
        <w:pStyle w:val="Heading4"/>
      </w:pPr>
      <w:r>
        <w:t xml:space="preserve">COVID-19</w:t>
      </w:r>
    </w:p>
    <w:p>
      <w:pPr>
        <w:pStyle w:val="FirstParagraph"/>
      </w:pPr>
      <w:r>
        <w:t xml:space="preserve">Pendant la pandémie, la thymosine alpha 1 a été largement utilisée en Chine. Une première analyse rétrospective de 76 patients gravement atteints à Wuhan a rapporté une mortalité de 11,1 vs 30,0 pour cent</w:t>
      </w:r>
      <w:r>
        <w:rPr>
          <w:rStyle w:val="FootnoteReference"/>
        </w:rPr>
        <w:footnoteReference w:id="1025"/>
      </w:r>
      <w:r>
        <w:t xml:space="preserve">. Une étude rétrospective plus grande, dans cinq hôpitaux avec plus de 2 200 personnes, a trouvé l’inverse : après prise en compte des facteurs de confusion, le traitement était associé à un taux plus élevé de non-guérison</w:t>
      </w:r>
      <w:r>
        <w:rPr>
          <w:rStyle w:val="FootnoteReference"/>
        </w:rPr>
        <w:footnoteReference w:id="1026"/>
      </w:r>
      <w:r>
        <w:t xml:space="preserve">. Une petite étude pilote randomisée avec 49 personnes a trouvé une remontée plus rapide des lymphocytes T auxiliaires, mais pas de différence significative de guérison</w:t>
      </w:r>
      <w:r>
        <w:rPr>
          <w:rStyle w:val="FootnoteReference"/>
        </w:rPr>
        <w:footnoteReference w:id="1027"/>
      </w:r>
      <w:r>
        <w:t xml:space="preserve">.</w:t>
      </w:r>
    </w:p>
    <w:p>
      <w:pPr>
        <w:pStyle w:val="BodyText"/>
      </w:pPr>
      <w:r>
        <w:t xml:space="preserve">Deux méta-analyses sont arrivées à des conclusions opposées : l’une, portant sur 9 études et 5 352 personnes, n’a trouvé aucun effet sur la mortalité et déconseille l’utilisation chez les adultes hospitalisés</w:t>
      </w:r>
      <w:r>
        <w:rPr>
          <w:rStyle w:val="FootnoteReference"/>
        </w:rPr>
        <w:footnoteReference w:id="1028"/>
      </w:r>
      <w:r>
        <w:t xml:space="preserve"> </w:t>
      </w:r>
      <w:r>
        <w:t xml:space="preserve">; l’autre, portant sur 8 études, a trouvé une mortalité plus faible, mais avec une très forte hétérogénéité des études</w:t>
      </w:r>
      <w:r>
        <w:rPr>
          <w:rStyle w:val="FootnoteReference"/>
        </w:rPr>
        <w:footnoteReference w:id="1029"/>
      </w:r>
      <w:r>
        <w:t xml:space="preserve">. Presque toutes les données proviennent d’études observationnelles non randomisées. Un bénéfice dans la COVID-19 n’est donc pas démontré.</w:t>
      </w:r>
    </w:p>
    <w:bookmarkEnd w:id="1030"/>
    <w:bookmarkStart w:id="1034" w:name="cancer"/>
    <w:p>
      <w:pPr>
        <w:pStyle w:val="Heading4"/>
      </w:pPr>
      <w:r>
        <w:t xml:space="preserve">Cancer</w:t>
      </w:r>
    </w:p>
    <w:p>
      <w:pPr>
        <w:pStyle w:val="FirstParagraph"/>
      </w:pPr>
      <w:r>
        <w:t xml:space="preserve">La plus grande étude randomisée en cancérologie a évalué la thymosine alpha 1 dans le mélanome métastatique en complément de la chimiothérapie par dacarbazine. Dans deux groupes Tα1, davantage de tumeurs ont répondu que dans le groupe témoin (10 et 12 vs 4 réponses) ; la survie globale médiane était de 9,4 contre 6,6 mois, mais la différence n’était pas significative</w:t>
      </w:r>
      <w:r>
        <w:rPr>
          <w:rStyle w:val="FootnoteReference"/>
        </w:rPr>
        <w:footnoteReference w:id="1031"/>
      </w:r>
      <w:r>
        <w:t xml:space="preserve">. Aucune autorisation n’a suivi, et le traitement du mélanome a depuis été profondément transformé par les inhibiteurs de points de contrôle immunitaire.</w:t>
      </w:r>
    </w:p>
    <w:p>
      <w:pPr>
        <w:pStyle w:val="BodyText"/>
      </w:pPr>
      <w:r>
        <w:t xml:space="preserve">Des méta-analyses d’études chinoises sur les cancers du poumon et de l’estomac rapportent de meilleurs taux de réponse, une meilleure qualité de vie et moins d’effets indésirables de la chimiothérapie lorsque des peptides thymiques étaient ajoutés (Zeng 2019, PMID 31326719 : 27 études, 1 925 personnes ; Wang 2026, PMID 42827862 : 20 études, 1 704 personnes). Les deux travaux jugent toutefois la qualité des preuves moyenne à très faible, et les données de survie à long terme font largement défaut. Une synthèse des études en cancérologie de 2016 à 2026 a trouvé majoritairement des études observationnelles rétrospectives et des rapports de cas provenant de Chine, ainsi qu’un recueil hétérogène des effets indésirables</w:t>
      </w:r>
      <w:r>
        <w:rPr>
          <w:rStyle w:val="FootnoteReference"/>
        </w:rPr>
        <w:footnoteReference w:id="1032"/>
      </w:r>
      <w:r>
        <w:t xml:space="preserve">. Des études de phase 2 plus récentes associent la thymosine alpha 1 aux inhibiteurs de points de contrôle immunitaire, par exemple avant l’opération d’un cancer de l’estomac chez 30 personnes</w:t>
      </w:r>
      <w:r>
        <w:rPr>
          <w:rStyle w:val="FootnoteReference"/>
        </w:rPr>
        <w:footnoteReference w:id="1033"/>
      </w:r>
      <w:r>
        <w:t xml:space="preserve"> </w:t>
      </w:r>
      <w:r>
        <w:t xml:space="preserve">; sans groupe témoin, on ne peut en déduire la contribution de la thymosine alpha 1.</w:t>
      </w:r>
    </w:p>
    <w:bookmarkEnd w:id="1034"/>
    <w:bookmarkStart w:id="1038" w:name="renforcement-de-la-vaccination"/>
    <w:p>
      <w:pPr>
        <w:pStyle w:val="Heading4"/>
      </w:pPr>
      <w:r>
        <w:t xml:space="preserve">Renforcement de la vaccination</w:t>
      </w:r>
    </w:p>
    <w:p>
      <w:pPr>
        <w:pStyle w:val="FirstParagraph"/>
      </w:pPr>
      <w:r>
        <w:t xml:space="preserve">Dès 1989, 90 hommes âgés de 65 à 99 ans ont reçu, en plus du vaccin antigrippal, de la thymosine alpha 1 ou un placebo ; aucun effet indésirable n’a été observé</w:t>
      </w:r>
      <w:r>
        <w:rPr>
          <w:rStyle w:val="FootnoteReference"/>
        </w:rPr>
        <w:footnoteReference w:id="1035"/>
      </w:r>
      <w:r>
        <w:t xml:space="preserve">. Cette idée est aujourd’hui reprise, par exemple chez les patients dialysés dans le contexte de la COVID-19</w:t>
      </w:r>
      <w:r>
        <w:rPr>
          <w:rStyle w:val="FootnoteReference"/>
        </w:rPr>
        <w:footnoteReference w:id="1036"/>
      </w:r>
      <w:r>
        <w:t xml:space="preserve"> </w:t>
      </w:r>
      <w:r>
        <w:t xml:space="preserve">et dans une étude en cours sur la dose de rappel chez les personnes âgées</w:t>
      </w:r>
      <w:r>
        <w:rPr>
          <w:rStyle w:val="FootnoteReference"/>
        </w:rPr>
        <w:footnoteReference w:id="1037"/>
      </w:r>
      <w:r>
        <w:t xml:space="preserve">. Des données fiables sur des critères cliniques – c’est-à-dire moins de maladies ou de décès – font défaut.</w:t>
      </w:r>
    </w:p>
    <w:bookmarkEnd w:id="1038"/>
    <w:bookmarkEnd w:id="1039"/>
    <w:bookmarkStart w:id="1041" w:name="études-animales-et-de-laboratoire-17"/>
    <w:p>
      <w:pPr>
        <w:pStyle w:val="Heading3"/>
      </w:pPr>
      <w:r>
        <w:t xml:space="preserve">Études animales et de laboratoire</w:t>
      </w:r>
    </w:p>
    <w:p>
      <w:pPr>
        <w:pStyle w:val="FirstParagraph"/>
      </w:pPr>
      <w:r>
        <w:t xml:space="preserve">Comme la thymosine alpha 1 est étudiée chez l’humain depuis des décennies, les études animales jouent un rôle moindre dans l’évaluation. Elles ont été importantes pour l’idée anticancéreuse : dans des modèles murins de cancer du poumon, de leucémie et de mélanome ainsi que dans un modèle de métastases hépatiques chez le rat, l’association de la thymosine alpha 1 avec l’interféron ou l’interleukine-2 et une chimiothérapie a mieux fonctionné que les traitements isolés</w:t>
      </w:r>
      <w:r>
        <w:rPr>
          <w:rStyle w:val="FootnoteReference"/>
        </w:rPr>
        <w:footnoteReference w:id="1040"/>
      </w:r>
      <w:r>
        <w:t xml:space="preserve">. Ces résultats n’ont pas pu jusqu’ici être reproduits de manière convaincante chez l’humain.</w:t>
      </w:r>
    </w:p>
    <w:bookmarkEnd w:id="1041"/>
    <w:bookmarkStart w:id="1050" w:name="risques-et-effets-indésirables-17"/>
    <w:p>
      <w:pPr>
        <w:pStyle w:val="Heading3"/>
      </w:pPr>
      <w:r>
        <w:t xml:space="preserve">Risques et effets indésirables</w:t>
      </w:r>
    </w:p>
    <w:bookmarkStart w:id="1045" w:name="établi-1"/>
    <w:p>
      <w:pPr>
        <w:pStyle w:val="Heading4"/>
      </w:pPr>
      <w:r>
        <w:t xml:space="preserve">Établi</w:t>
      </w:r>
    </w:p>
    <w:p>
      <w:pPr>
        <w:pStyle w:val="FirstParagraph"/>
      </w:pPr>
      <w:r>
        <w:t xml:space="preserve">La thymosine alpha 1 est considérée comme bien tolérée dans les études. Dans les études plus anciennes, on n’observait le plus souvent qu’une irritation locale au point d’injection</w:t>
      </w:r>
      <w:r>
        <w:rPr>
          <w:rStyle w:val="FootnoteReference"/>
        </w:rPr>
        <w:footnoteReference w:id="1042"/>
      </w:r>
      <w:r>
        <w:t xml:space="preserve">. Dans la grande étude sur le sepsis TESTS, les critères de sécurité ne différaient pas du placebo</w:t>
      </w:r>
      <w:r>
        <w:rPr>
          <w:rStyle w:val="FootnoteReference"/>
        </w:rPr>
        <w:footnoteReference w:id="1043"/>
      </w:r>
      <w:r>
        <w:t xml:space="preserve">. Dans l’hépatite B, des fluctuations des enzymes hépatiques ont parfois été observées, interprétées comme l’expression de la réaction immunitaire</w:t>
      </w:r>
      <w:r>
        <w:rPr>
          <w:rStyle w:val="FootnoteReference"/>
        </w:rPr>
        <w:footnoteReference w:id="1044"/>
      </w:r>
      <w:r>
        <w:t xml:space="preserve">.</w:t>
      </w:r>
    </w:p>
    <w:bookmarkEnd w:id="1045"/>
    <w:bookmarkStart w:id="1049" w:name="points-dattention"/>
    <w:p>
      <w:pPr>
        <w:pStyle w:val="Heading4"/>
      </w:pPr>
      <w:r>
        <w:t xml:space="preserve">Points d’attention</w:t>
      </w:r>
    </w:p>
    <w:p>
      <w:pPr>
        <w:numPr>
          <w:ilvl w:val="0"/>
          <w:numId w:val="1124"/>
        </w:numPr>
        <w:pStyle w:val="Compact"/>
      </w:pPr>
      <w:r>
        <w:rPr>
          <w:bCs/>
          <w:b/>
        </w:rPr>
        <w:t xml:space="preserve">Sous-groupes avec dommage possible :</w:t>
      </w:r>
      <w:r>
        <w:t xml:space="preserve"> </w:t>
      </w:r>
      <w:r>
        <w:t xml:space="preserve">dans TESTS, la mortalité chez les moins de 60 ans était plus élevée sous thymosine alpha 1 que sous placebo (hazard ratio 1,67)</w:t>
      </w:r>
      <w:r>
        <w:rPr>
          <w:rStyle w:val="FootnoteReference"/>
        </w:rPr>
        <w:footnoteReference w:id="1046"/>
      </w:r>
      <w:r>
        <w:t xml:space="preserve"> </w:t>
      </w:r>
      <w:r>
        <w:t xml:space="preserve">; dans la COVID-19, le traitement était associé à une évolution plus défavorable dans une grande étude observationnelle</w:t>
      </w:r>
      <w:r>
        <w:rPr>
          <w:rStyle w:val="FootnoteReference"/>
        </w:rPr>
        <w:footnoteReference w:id="1047"/>
      </w:r>
      <w:r>
        <w:t xml:space="preserve">. Les deux peuvent relever du hasard ou d’un biais, mais montrent que « stimulant immunitaire inoffensif » n’est pas une description établie.</w:t>
      </w:r>
    </w:p>
    <w:p>
      <w:pPr>
        <w:numPr>
          <w:ilvl w:val="0"/>
          <w:numId w:val="1124"/>
        </w:numPr>
        <w:pStyle w:val="Compact"/>
      </w:pPr>
      <w:r>
        <w:rPr>
          <w:bCs/>
          <w:b/>
        </w:rPr>
        <w:t xml:space="preserve">Maladies auto-immunes et transplantation :</w:t>
      </w:r>
      <w:r>
        <w:t xml:space="preserve"> </w:t>
      </w:r>
      <w:r>
        <w:t xml:space="preserve">une substance censée stimuler le système immunitaire pourrait théoriquement aggraver des maladies auto-immunes ou favoriser le rejet d’organes transplantés. Les données systématiques sur ce point font défaut.</w:t>
      </w:r>
    </w:p>
    <w:p>
      <w:pPr>
        <w:numPr>
          <w:ilvl w:val="0"/>
          <w:numId w:val="1124"/>
        </w:numPr>
        <w:pStyle w:val="Compact"/>
      </w:pPr>
      <w:r>
        <w:rPr>
          <w:bCs/>
          <w:b/>
        </w:rPr>
        <w:t xml:space="preserve">Association avec l’immunothérapie :</w:t>
      </w:r>
      <w:r>
        <w:t xml:space="preserve"> </w:t>
      </w:r>
      <w:r>
        <w:t xml:space="preserve">un article de synthèse renvoie à un rapport de cas dans lequel une réaction immunitaire sévère touchant plusieurs organes est survenue sous un traitement combiné, sans que la thymosine alpha 1 ait pu être établie avec certitude comme cause</w:t>
      </w:r>
      <w:r>
        <w:rPr>
          <w:rStyle w:val="FootnoteReference"/>
        </w:rPr>
        <w:footnoteReference w:id="1048"/>
      </w:r>
      <w:r>
        <w:t xml:space="preserve">.</w:t>
      </w:r>
    </w:p>
    <w:p>
      <w:pPr>
        <w:numPr>
          <w:ilvl w:val="0"/>
          <w:numId w:val="1124"/>
        </w:numPr>
        <w:pStyle w:val="Compact"/>
      </w:pPr>
      <w:r>
        <w:rPr>
          <w:bCs/>
          <w:b/>
        </w:rPr>
        <w:t xml:space="preserve">Marché gris :</w:t>
      </w:r>
      <w:r>
        <w:t xml:space="preserve"> </w:t>
      </w:r>
      <w:r>
        <w:t xml:space="preserve">en dehors des pays où elle est autorisée, la thymosine alpha 1 est vendue comme « peptide de recherche ». Les études sur le Zadaxin ne s’appliquent pas à ces produits – la pureté, la teneur et la stérilité sont inconnues.</w:t>
      </w:r>
    </w:p>
    <w:bookmarkEnd w:id="1049"/>
    <w:bookmarkEnd w:id="1050"/>
    <w:bookmarkStart w:id="1053" w:name="statut-juridique-17"/>
    <w:p>
      <w:pPr>
        <w:pStyle w:val="Heading3"/>
      </w:pPr>
      <w:r>
        <w:t xml:space="preserve">Statut juridique</w:t>
      </w:r>
    </w:p>
    <w:p>
      <w:pPr>
        <w:pStyle w:val="FirstParagraph"/>
      </w:pPr>
      <w:r>
        <w:rPr>
          <w:iCs/>
          <w:i/>
        </w:rPr>
        <w:t xml:space="preserve">État 2026, à vérifier.</w:t>
      </w:r>
    </w:p>
    <w:p>
      <w:pPr>
        <w:numPr>
          <w:ilvl w:val="0"/>
          <w:numId w:val="1125"/>
        </w:numPr>
        <w:pStyle w:val="Compact"/>
      </w:pPr>
      <w:r>
        <w:rPr>
          <w:bCs/>
          <w:b/>
        </w:rPr>
        <w:t xml:space="preserve">UE, Allemagne, Autriche :</w:t>
      </w:r>
      <w:r>
        <w:t xml:space="preserve"> </w:t>
      </w:r>
      <w:r>
        <w:t xml:space="preserve">pas d’autorisation comme médicament. Une prescription au cas par cas via une importation individuelle depuis un pays où elle est autorisée peut être possible, selon le droit national, dans des conditions strictes ; la vente comme « research peptide » en vue d’un usage humain n’est pas autorisée.</w:t>
      </w:r>
    </w:p>
    <w:p>
      <w:pPr>
        <w:numPr>
          <w:ilvl w:val="0"/>
          <w:numId w:val="1125"/>
        </w:numPr>
        <w:pStyle w:val="Compact"/>
      </w:pPr>
      <w:r>
        <w:rPr>
          <w:bCs/>
          <w:b/>
        </w:rPr>
        <w:t xml:space="preserve">États-Unis :</w:t>
      </w:r>
      <w:r>
        <w:t xml:space="preserve"> </w:t>
      </w:r>
      <w:r>
        <w:t xml:space="preserve">pas d’autorisation de la FDA. En 2023, la FDA a inscrit la thymosine alpha 1, avec d’autres peptides, sur la liste des substances présentant des préoccupations de sécurité pour les préparations magistrales ; ses partisans le critiquent</w:t>
      </w:r>
      <w:r>
        <w:rPr>
          <w:rStyle w:val="FootnoteReference"/>
        </w:rPr>
        <w:footnoteReference w:id="1051"/>
      </w:r>
      <w:r>
        <w:t xml:space="preserve">. Le classement des peptides continue d’être discuté au sein du comité consultatif de la FDA</w:t>
      </w:r>
      <w:r>
        <w:rPr>
          <w:rStyle w:val="FootnoteReference"/>
        </w:rPr>
        <w:footnoteReference w:id="1052"/>
      </w:r>
      <w:r>
        <w:t xml:space="preserve">.</w:t>
      </w:r>
    </w:p>
    <w:p>
      <w:pPr>
        <w:numPr>
          <w:ilvl w:val="0"/>
          <w:numId w:val="1125"/>
        </w:numPr>
        <w:pStyle w:val="Compact"/>
      </w:pPr>
      <w:r>
        <w:rPr>
          <w:bCs/>
          <w:b/>
        </w:rPr>
        <w:t xml:space="preserve">Chine et autres pays :</w:t>
      </w:r>
      <w:r>
        <w:t xml:space="preserve"> </w:t>
      </w:r>
      <w:r>
        <w:t xml:space="preserve">autorisée sous le nom de Zadaxin ou de thymalfasine ; il existe aussi en Chine un certain nombre de génériques.</w:t>
      </w:r>
    </w:p>
    <w:p>
      <w:pPr>
        <w:numPr>
          <w:ilvl w:val="0"/>
          <w:numId w:val="1125"/>
        </w:numPr>
        <w:pStyle w:val="Compact"/>
      </w:pPr>
      <w:r>
        <w:rPr>
          <w:bCs/>
          <w:b/>
        </w:rPr>
        <w:t xml:space="preserve">AMA (WADA) :</w:t>
      </w:r>
      <w:r>
        <w:t xml:space="preserve"> </w:t>
      </w:r>
      <w:r>
        <w:t xml:space="preserve">non expressément inscrite sur la liste des interdictions. Les sportives et sportifs devraient néanmoins se renseigner auprès de leur agence nationale antidopage avant toute utilisation.</w:t>
      </w:r>
    </w:p>
    <w:bookmarkEnd w:id="1053"/>
    <w:bookmarkStart w:id="1058" w:name="études-en-cours-et-perspectives-17"/>
    <w:p>
      <w:pPr>
        <w:pStyle w:val="Heading3"/>
      </w:pPr>
      <w:r>
        <w:t xml:space="preserve">Études en cours et perspectives</w:t>
      </w:r>
    </w:p>
    <w:p>
      <w:pPr>
        <w:pStyle w:val="FirstParagraph"/>
      </w:pPr>
      <w:r>
        <w:rPr>
          <w:bCs/>
          <w:b/>
        </w:rPr>
        <w:t xml:space="preserve">Établi (selon le registre) :</w:t>
      </w:r>
    </w:p>
    <w:p>
      <w:pPr>
        <w:numPr>
          <w:ilvl w:val="0"/>
          <w:numId w:val="1126"/>
        </w:numPr>
        <w:pStyle w:val="Compact"/>
      </w:pPr>
      <w:r>
        <w:rPr>
          <w:bCs/>
          <w:b/>
        </w:rPr>
        <w:t xml:space="preserve">Cancer colorectal après chirurgie</w:t>
      </w:r>
      <w:r>
        <w:rPr>
          <w:rStyle w:val="FootnoteReference"/>
        </w:rPr>
        <w:footnoteReference w:id="1054"/>
      </w:r>
      <w:r>
        <w:rPr>
          <w:bCs/>
          <w:b/>
        </w:rPr>
        <w:t xml:space="preserve"> </w:t>
      </w:r>
      <w:r>
        <w:rPr>
          <w:bCs/>
          <w:b/>
        </w:rPr>
        <w:t xml:space="preserve">:</w:t>
      </w:r>
      <w:r>
        <w:t xml:space="preserve"> </w:t>
      </w:r>
      <w:r>
        <w:t xml:space="preserve">étude de phase 3 de l’université Fudan à Shanghai, 2 500 personnes prévues atteintes d’un cancer colorectal de stade II ou III, critère principal la survie sans maladie à trois ans ; fin estimée en mars 2027. L’étude n’est qu’en simple aveugle.</w:t>
      </w:r>
    </w:p>
    <w:p>
      <w:pPr>
        <w:numPr>
          <w:ilvl w:val="0"/>
          <w:numId w:val="1126"/>
        </w:numPr>
        <w:pStyle w:val="Compact"/>
      </w:pPr>
      <w:r>
        <w:rPr>
          <w:bCs/>
          <w:b/>
        </w:rPr>
        <w:t xml:space="preserve">Cancer et immunothérapie :</w:t>
      </w:r>
      <w:r>
        <w:t xml:space="preserve"> </w:t>
      </w:r>
      <w:r>
        <w:t xml:space="preserve">nombreuses petites études chinoises de phase 2 associant la thymosine alpha 1 aux inhibiteurs de points de contrôle immunitaire et à la chimiothérapie ou à la radiothérapie, par exemple dans le cancer du sein triple négatif avec 572 personnes prévues</w:t>
      </w:r>
      <w:r>
        <w:rPr>
          <w:rStyle w:val="FootnoteReference"/>
        </w:rPr>
        <w:footnoteReference w:id="1055"/>
      </w:r>
      <w:r>
        <w:t xml:space="preserve">.</w:t>
      </w:r>
    </w:p>
    <w:p>
      <w:pPr>
        <w:numPr>
          <w:ilvl w:val="0"/>
          <w:numId w:val="1126"/>
        </w:numPr>
        <w:pStyle w:val="Compact"/>
      </w:pPr>
      <w:r>
        <w:rPr>
          <w:bCs/>
          <w:b/>
        </w:rPr>
        <w:t xml:space="preserve">Sepsis :</w:t>
      </w:r>
      <w:r>
        <w:t xml:space="preserve"> </w:t>
      </w:r>
      <w:r>
        <w:t xml:space="preserve">une petite étude sur la récupération de la fonction immunitaire chez 60 personnes</w:t>
      </w:r>
      <w:r>
        <w:rPr>
          <w:rStyle w:val="FootnoteReference"/>
        </w:rPr>
        <w:footnoteReference w:id="1056"/>
      </w:r>
      <w:r>
        <w:t xml:space="preserve">.</w:t>
      </w:r>
    </w:p>
    <w:p>
      <w:pPr>
        <w:numPr>
          <w:ilvl w:val="0"/>
          <w:numId w:val="1126"/>
        </w:numPr>
        <w:pStyle w:val="Compact"/>
      </w:pPr>
      <w:r>
        <w:rPr>
          <w:bCs/>
          <w:b/>
        </w:rPr>
        <w:t xml:space="preserve">Réponse vaccinale chez les personnes âgées</w:t>
      </w:r>
      <w:r>
        <w:rPr>
          <w:rStyle w:val="FootnoteReference"/>
        </w:rPr>
        <w:footnoteReference w:id="1057"/>
      </w:r>
      <w:r>
        <w:rPr>
          <w:bCs/>
          <w:b/>
        </w:rPr>
        <w:t xml:space="preserve"> </w:t>
      </w:r>
      <w:r>
        <w:rPr>
          <w:bCs/>
          <w:b/>
        </w:rPr>
        <w:t xml:space="preserve">:</w:t>
      </w:r>
      <w:r>
        <w:t xml:space="preserve"> </w:t>
      </w:r>
      <w:r>
        <w:t xml:space="preserve">phase 1, 75 personnes prévues.</w:t>
      </w:r>
    </w:p>
    <w:p>
      <w:pPr>
        <w:pStyle w:val="FirstParagraph"/>
      </w:pPr>
      <w:r>
        <w:rPr>
          <w:bCs/>
          <w:b/>
        </w:rPr>
        <w:t xml:space="preserve">Appréciation de l’auteur :</w:t>
      </w:r>
      <w:r>
        <w:t xml:space="preserve"> </w:t>
      </w:r>
      <w:r>
        <w:t xml:space="preserve">la grande étude sur le cancer colorectal est la question ouverte la plus importante. Si elle est positive, ce serait la première grande preuve d’un bénéfice dans une maladie cancéreuse – avec réserve toutefois, faute de double aveugle. Pour le sepsis, TESTS a sans doute répondu pour l’instant à la question d’une utilisation large ; les futures études se concentreront sur des sous-groupes présentant une immunodépression démontrée. Une autorisation dans l’UE ou aux États-Unis n’est pas à attendre dans les prochaines années.</w:t>
      </w:r>
    </w:p>
    <w:bookmarkEnd w:id="1058"/>
    <w:bookmarkStart w:id="1062" w:name="conclusion-17"/>
    <w:p>
      <w:pPr>
        <w:pStyle w:val="Heading3"/>
      </w:pPr>
      <w:r>
        <w:t xml:space="preserve">Conclusion</w:t>
      </w:r>
    </w:p>
    <w:p>
      <w:pPr>
        <w:pStyle w:val="FirstParagraph"/>
      </w:pPr>
      <w:r>
        <w:t xml:space="preserve">La thymosine alpha 1 est le peptide le mieux étudié de ce groupe et un médicament autorisé dans quelques pays. Les premières petites études semblaient prometteuses, mais les grandes études rigoureusement menées en aveugle n’ont montré aucun avantage sur leurs critères principaux dans le sepsis</w:t>
      </w:r>
      <w:r>
        <w:rPr>
          <w:rStyle w:val="FootnoteReference"/>
        </w:rPr>
        <w:footnoteReference w:id="1059"/>
      </w:r>
      <w:r>
        <w:t xml:space="preserve">, la pancréatite sévère</w:t>
      </w:r>
      <w:r>
        <w:rPr>
          <w:rStyle w:val="FootnoteReference"/>
        </w:rPr>
        <w:footnoteReference w:id="1060"/>
      </w:r>
      <w:r>
        <w:t xml:space="preserve"> </w:t>
      </w:r>
      <w:r>
        <w:t xml:space="preserve">et la cirrhose liée à l’hépatite B</w:t>
      </w:r>
      <w:r>
        <w:rPr>
          <w:rStyle w:val="FootnoteReference"/>
        </w:rPr>
        <w:footnoteReference w:id="1061"/>
      </w:r>
      <w:r>
        <w:t xml:space="preserve">. Dans la COVID-19 et le cancer, les affirmations positives reposent majoritairement sur des études observationnelles et des études de faible qualité. Le peptide est bien toléré dans les études – mais un bénéfice démontré comme « stimulant immunitaire » général pour les personnes en bonne santé n’existe pas.</w:t>
      </w:r>
    </w:p>
    <w:bookmarkEnd w:id="1062"/>
    <w:bookmarkEnd w:id="1063"/>
    <w:bookmarkStart w:id="1086" w:name="kpv"/>
    <w:p>
      <w:pPr>
        <w:pStyle w:val="Heading2"/>
      </w:pPr>
      <w:r>
        <w:t xml:space="preserve">KPV</w:t>
      </w:r>
    </w:p>
    <w:p>
      <w:pPr>
        <w:pStyle w:val="FirstParagraph"/>
      </w:pPr>
      <w:r>
        <w:t xml:space="preserve">Le KPV est le plus petit peptide de ce livre : il ne compte que trois acides aminés. Sur Internet, il est proposé comme anti-inflammatoire pour l’intestin et la peau, souvent en gélule ou en crème, parfois en injection. Sa base scientifique se compose d’essais sur cellules et de modèles murins – il n’existe pas d’études chez l’humain.</w:t>
      </w:r>
    </w:p>
    <w:bookmarkStart w:id="1065" w:name="fiche-signalétique-18"/>
    <w:p>
      <w:pPr>
        <w:pStyle w:val="Heading3"/>
      </w:pPr>
      <w:r>
        <w:t xml:space="preserve">Fiche signalétique</w:t>
      </w:r>
    </w:p>
    <w:p>
      <w:pPr>
        <w:numPr>
          <w:ilvl w:val="0"/>
          <w:numId w:val="1127"/>
        </w:numPr>
        <w:pStyle w:val="Compact"/>
      </w:pPr>
      <w:r>
        <w:rPr>
          <w:bCs/>
          <w:b/>
        </w:rPr>
        <w:t xml:space="preserve">Type et structure :</w:t>
      </w:r>
      <w:r>
        <w:t xml:space="preserve"> </w:t>
      </w:r>
      <w:r>
        <w:t xml:space="preserve">tripeptide composé des acides aminés lysine, proline et valine (Lys-Pro-Val, d’où KPV).</w:t>
      </w:r>
    </w:p>
    <w:p>
      <w:pPr>
        <w:numPr>
          <w:ilvl w:val="0"/>
          <w:numId w:val="1127"/>
        </w:numPr>
        <w:pStyle w:val="Compact"/>
      </w:pPr>
      <w:r>
        <w:rPr>
          <w:bCs/>
          <w:b/>
        </w:rPr>
        <w:t xml:space="preserve">Origine :</w:t>
      </w:r>
      <w:r>
        <w:t xml:space="preserve"> </w:t>
      </w:r>
      <w:r>
        <w:t xml:space="preserve">correspond aux trois derniers acides aminés (positions 11 à 13) de l’hormone endogène alpha-MSH (hormone stimulant les mélanocytes alpha), impliquée entre autres dans le bronzage de la peau et dans la régulation de l’inflammation</w:t>
      </w:r>
      <w:r>
        <w:rPr>
          <w:rStyle w:val="FootnoteReference"/>
        </w:rPr>
        <w:footnoteReference w:id="1064"/>
      </w:r>
      <w:r>
        <w:t xml:space="preserve">.</w:t>
      </w:r>
    </w:p>
    <w:p>
      <w:pPr>
        <w:numPr>
          <w:ilvl w:val="0"/>
          <w:numId w:val="1127"/>
        </w:numPr>
        <w:pStyle w:val="Compact"/>
      </w:pPr>
      <w:r>
        <w:rPr>
          <w:bCs/>
          <w:b/>
        </w:rPr>
        <w:t xml:space="preserve">Principe d’action (supposé, d’après des études de laboratoire et animales) :</w:t>
      </w:r>
      <w:r>
        <w:t xml:space="preserve"> </w:t>
      </w:r>
      <w:r>
        <w:t xml:space="preserve">inhibition des voies de signalisation pro-inflammatoires dans les cellules intestinales et immunitaires après absorption par le transporteur de peptides PepT1.</w:t>
      </w:r>
    </w:p>
    <w:p>
      <w:pPr>
        <w:numPr>
          <w:ilvl w:val="0"/>
          <w:numId w:val="1127"/>
        </w:numPr>
        <w:pStyle w:val="Compact"/>
      </w:pPr>
      <w:r>
        <w:rPr>
          <w:bCs/>
          <w:b/>
        </w:rPr>
        <w:t xml:space="preserve">Autorisation UE/États-Unis :</w:t>
      </w:r>
      <w:r>
        <w:t xml:space="preserve"> </w:t>
      </w:r>
      <w:r>
        <w:t xml:space="preserve">non.</w:t>
      </w:r>
    </w:p>
    <w:p>
      <w:pPr>
        <w:numPr>
          <w:ilvl w:val="0"/>
          <w:numId w:val="1127"/>
        </w:numPr>
        <w:pStyle w:val="Compact"/>
      </w:pPr>
      <w:r>
        <w:rPr>
          <w:bCs/>
          <w:b/>
        </w:rPr>
        <w:t xml:space="preserve">AMA (WADA) :</w:t>
      </w:r>
      <w:r>
        <w:t xml:space="preserve"> </w:t>
      </w:r>
      <w:r>
        <w:t xml:space="preserve">non expressément listé ; en tant que substance non approuvée, il relève selon l’auteur du groupe S0.</w:t>
      </w:r>
    </w:p>
    <w:p>
      <w:pPr>
        <w:numPr>
          <w:ilvl w:val="0"/>
          <w:numId w:val="1127"/>
        </w:numPr>
        <w:pStyle w:val="Compact"/>
      </w:pPr>
      <w:r>
        <w:rPr>
          <w:bCs/>
          <w:b/>
        </w:rPr>
        <w:t xml:space="preserve">Niveau de preuve : D</w:t>
      </w:r>
      <w:r>
        <w:t xml:space="preserve"> </w:t>
      </w:r>
      <w:r>
        <w:t xml:space="preserve">– aucune étude publiée chez l’humain.</w:t>
      </w:r>
    </w:p>
    <w:bookmarkEnd w:id="1065"/>
    <w:bookmarkStart w:id="1070" w:name="mode-daction-supposé-18"/>
    <w:p>
      <w:pPr>
        <w:pStyle w:val="Heading3"/>
      </w:pPr>
      <w:r>
        <w:t xml:space="preserve">Mode d’action supposé</w:t>
      </w:r>
    </w:p>
    <w:p>
      <w:pPr>
        <w:pStyle w:val="FirstParagraph"/>
      </w:pPr>
      <w:r>
        <w:t xml:space="preserve">L’alpha-MSH est surtout connue comme hormone du bronzage, mais elle a aussi un effet anti-inflammatoire. Dès les années 1990, des chercheurs ont remarqué qu’une partie de cet effet tenait aux trois derniers acides aminés. Dans du sang humain de personnes infectées par le VIH, l’alpha-MSH et son fragment terminal KPV ont réduit in vitro la production des messagers inflammatoires interleukine-1 et TNF-alpha</w:t>
      </w:r>
      <w:r>
        <w:rPr>
          <w:rStyle w:val="FootnoteReference"/>
        </w:rPr>
        <w:footnoteReference w:id="1066"/>
      </w:r>
      <w:r>
        <w:t xml:space="preserve">.</w:t>
      </w:r>
    </w:p>
    <w:p>
      <w:pPr>
        <w:pStyle w:val="BodyText"/>
      </w:pPr>
      <w:r>
        <w:t xml:space="preserve">Contrairement à l’hormone complète, le KPV n’agit apparemment pas via les récepteurs classiques de la mélanocortine. Chez des souris atteintes de péritonite, le KPV a inhibé l’afflux de cellules inflammatoires sans augmenter le messager typique AMPc ; les auteurs supposent une inhibition de l’action de l’interleukine-1</w:t>
      </w:r>
      <w:r>
        <w:rPr>
          <w:rStyle w:val="FootnoteReference"/>
        </w:rPr>
        <w:footnoteReference w:id="1067"/>
      </w:r>
      <w:r>
        <w:t xml:space="preserve">. Cela présente un avantage pratique : contrairement au mélanotan ou aux dérivés de l’alpha-MSH, le KPV ne devrait pas bronzer la peau.</w:t>
      </w:r>
    </w:p>
    <w:p>
      <w:pPr>
        <w:pStyle w:val="BodyText"/>
      </w:pPr>
      <w:r>
        <w:t xml:space="preserve">Un second mécanisme concerne l’intestin. On y trouve le transporteur PepT1, qui absorbe normalement de petits fragments protéiques issus de l’alimentation. Dans les maladies inflammatoires chroniques de l’intestin, PepT1 est aussi produit en plus grande quantité dans le côlon. Dans des cultures de cellules intestinales et immunitaires humaines, le KPV a été absorbé via PepT1 et a inhibé, à de très faibles concentrations, les commutateurs inflammatoires NF-kappaB et MAP kinases</w:t>
      </w:r>
      <w:r>
        <w:rPr>
          <w:rStyle w:val="FootnoteReference"/>
        </w:rPr>
        <w:footnoteReference w:id="1068"/>
      </w:r>
      <w:r>
        <w:t xml:space="preserve">. D’où l’idée d’utiliser le KPV en comprimé contre les inflammations intestinales.</w:t>
      </w:r>
    </w:p>
    <w:p>
      <w:pPr>
        <w:pStyle w:val="BodyText"/>
      </w:pPr>
      <w:r>
        <w:t xml:space="preserve">En outre, l’alpha-MSH et le KPV ont inhibé en laboratoire la croissance de la bactérie Staphylococcus aureus et de la levure Candida albicans</w:t>
      </w:r>
      <w:r>
        <w:rPr>
          <w:rStyle w:val="FootnoteReference"/>
        </w:rPr>
        <w:footnoteReference w:id="1069"/>
      </w:r>
      <w:r>
        <w:t xml:space="preserve">.</w:t>
      </w:r>
    </w:p>
    <w:bookmarkEnd w:id="1070"/>
    <w:bookmarkStart w:id="1075" w:name="études-chez-lhumain-18"/>
    <w:p>
      <w:pPr>
        <w:pStyle w:val="Heading3"/>
      </w:pPr>
      <w:r>
        <w:t xml:space="preserve">Études chez l’humain</w:t>
      </w:r>
    </w:p>
    <w:p>
      <w:pPr>
        <w:pStyle w:val="FirstParagraph"/>
      </w:pPr>
      <w:r>
        <w:rPr>
          <w:bCs/>
          <w:b/>
        </w:rPr>
        <w:t xml:space="preserve">Ampleur des données (requête d’octobre 2026) :</w:t>
      </w:r>
      <w:r>
        <w:t xml:space="preserve"> </w:t>
      </w:r>
      <w:r>
        <w:t xml:space="preserve">la recherche automatisée a trouvé</w:t>
      </w:r>
      <w:r>
        <w:t xml:space="preserve"> </w:t>
      </w:r>
      <w:r>
        <w:rPr>
          <w:bCs/>
          <w:b/>
        </w:rPr>
        <w:t xml:space="preserve">0</w:t>
      </w:r>
      <w:r>
        <w:t xml:space="preserve"> </w:t>
      </w:r>
      <w:r>
        <w:t xml:space="preserve">étude chez l’humain dans PubMed et</w:t>
      </w:r>
      <w:r>
        <w:t xml:space="preserve"> </w:t>
      </w:r>
      <w:r>
        <w:rPr>
          <w:bCs/>
          <w:b/>
        </w:rPr>
        <w:t xml:space="preserve">0</w:t>
      </w:r>
      <w:r>
        <w:t xml:space="preserve"> </w:t>
      </w:r>
      <w:r>
        <w:t xml:space="preserve">entrée sur ClinicalTrials.gov. Une recherche ciblée complémentaire d’études pilotes, de rapports de cas ou de déclarations d’effets indésirables n’a pas non plus trouvé de publication dans laquelle des personnes auraient reçu du KPV.</w:t>
      </w:r>
    </w:p>
    <w:p>
      <w:pPr>
        <w:pStyle w:val="BodyText"/>
      </w:pPr>
      <w:r>
        <w:t xml:space="preserve">Ce qui existe, ce sont des expériences de laboratoire sur des cellules ou des tissus humains, par exemple :</w:t>
      </w:r>
    </w:p>
    <w:p>
      <w:pPr>
        <w:numPr>
          <w:ilvl w:val="0"/>
          <w:numId w:val="1128"/>
        </w:numPr>
        <w:pStyle w:val="Compact"/>
      </w:pPr>
      <w:r>
        <w:t xml:space="preserve">des échantillons sanguins de personnes infectées par le VIH, dans lesquels le KPV a réduit la production de messagers inflammatoires</w:t>
      </w:r>
      <w:r>
        <w:rPr>
          <w:rStyle w:val="FootnoteReference"/>
        </w:rPr>
        <w:footnoteReference w:id="1071"/>
      </w:r>
      <w:r>
        <w:t xml:space="preserve">,</w:t>
      </w:r>
    </w:p>
    <w:p>
      <w:pPr>
        <w:numPr>
          <w:ilvl w:val="0"/>
          <w:numId w:val="1128"/>
        </w:numPr>
        <w:pStyle w:val="Compact"/>
      </w:pPr>
      <w:r>
        <w:t xml:space="preserve">des lignées de cellules cutanées humaines</w:t>
      </w:r>
      <w:r>
        <w:rPr>
          <w:rStyle w:val="FootnoteReference"/>
        </w:rPr>
        <w:footnoteReference w:id="1072"/>
      </w:r>
      <w:r>
        <w:t xml:space="preserve">,</w:t>
      </w:r>
    </w:p>
    <w:p>
      <w:pPr>
        <w:numPr>
          <w:ilvl w:val="0"/>
          <w:numId w:val="1128"/>
        </w:numPr>
        <w:pStyle w:val="Compact"/>
      </w:pPr>
      <w:r>
        <w:t xml:space="preserve">de la peau humaine issue de dons, sur laquelle on a testé si le KPV traversait la peau à l’aide de micro-aiguilles et d’un faible courant électrique – sans ces aides, il ne pénétrait pas de façon mesurable</w:t>
      </w:r>
      <w:r>
        <w:rPr>
          <w:rStyle w:val="FootnoteReference"/>
        </w:rPr>
        <w:footnoteReference w:id="1073"/>
      </w:r>
      <w:r>
        <w:t xml:space="preserve">.</w:t>
      </w:r>
    </w:p>
    <w:p>
      <w:pPr>
        <w:pStyle w:val="FirstParagraph"/>
      </w:pPr>
      <w:r>
        <w:t xml:space="preserve">Ces travaux renseignent sur les mécanismes et les formes pharmaceutiques, mais rien sur l’efficacité ou la sécurité chez l’humain.</w:t>
      </w:r>
    </w:p>
    <w:p>
      <w:pPr>
        <w:pStyle w:val="BodyText"/>
      </w:pPr>
      <w:r>
        <w:t xml:space="preserve">Un proche parent, la molécule double artificielle (CKPV)2, a été étudié cliniquement au milieu des années 2000 comme antifongique ; un travail de 2006 mentionne qu’il se trouvait « actuellement en évaluation clinique »</w:t>
      </w:r>
      <w:r>
        <w:rPr>
          <w:rStyle w:val="FootnoteReference"/>
        </w:rPr>
        <w:footnoteReference w:id="1074"/>
      </w:r>
      <w:r>
        <w:t xml:space="preserve">. Les résultats de ces études n’ont pas été publiés dans PubMed. Le (CKPV)2 est en outre une substance différente du KPV vendu sur Internet.</w:t>
      </w:r>
    </w:p>
    <w:bookmarkEnd w:id="1075"/>
    <w:bookmarkStart w:id="1076" w:name="études-animales-et-de-laboratoire-18"/>
    <w:p>
      <w:pPr>
        <w:pStyle w:val="Heading3"/>
      </w:pPr>
      <w:r>
        <w:t xml:space="preserve">Études animales et de laboratoire</w:t>
      </w:r>
    </w:p>
    <w:p>
      <w:pPr>
        <w:pStyle w:val="FirstParagraph"/>
      </w:pPr>
      <w:r>
        <w:t xml:space="preserve">La recherche se concentre sur les maladies inflammatoires chroniques de l’intestin. Tous les résultats suivants proviennent d’expériences sur la souris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Étude</w:t>
            </w:r>
          </w:p>
        </w:tc>
        <w:tc>
          <w:tcPr/>
          <w:p>
            <w:pPr>
              <w:pStyle w:val="Compact"/>
              <w:jc w:val="left"/>
            </w:pPr>
            <w:r>
              <w:t xml:space="preserve">Modèle</w:t>
            </w:r>
          </w:p>
        </w:tc>
        <w:tc>
          <w:tcPr/>
          <w:p>
            <w:pPr>
              <w:pStyle w:val="Compact"/>
              <w:jc w:val="left"/>
            </w:pPr>
            <w:r>
              <w:t xml:space="preserve">Résultat</w:t>
            </w:r>
          </w:p>
        </w:tc>
      </w:tr>
      <w:tr>
        <w:tc>
          <w:tcPr/>
          <w:p>
            <w:pPr>
              <w:pStyle w:val="Compact"/>
              <w:jc w:val="left"/>
            </w:pPr>
            <w:r>
              <w:t xml:space="preserve">Dalmasso 2008, PMID 18061177</w:t>
            </w:r>
          </w:p>
        </w:tc>
        <w:tc>
          <w:tcPr/>
          <w:p>
            <w:pPr>
              <w:pStyle w:val="Compact"/>
              <w:jc w:val="left"/>
            </w:pPr>
            <w:r>
              <w:t xml:space="preserve">colite induite chimiquement chez la souris, KPV dans l’eau de boisson</w:t>
            </w:r>
          </w:p>
        </w:tc>
        <w:tc>
          <w:tcPr/>
          <w:p>
            <w:pPr>
              <w:pStyle w:val="Compact"/>
              <w:jc w:val="left"/>
            </w:pPr>
            <w:r>
              <w:t xml:space="preserve">moins d’inflammation, moins de messagers inflammatoires</w:t>
            </w:r>
          </w:p>
        </w:tc>
      </w:tr>
      <w:tr>
        <w:tc>
          <w:tcPr/>
          <w:p>
            <w:pPr>
              <w:pStyle w:val="Compact"/>
              <w:jc w:val="left"/>
            </w:pPr>
            <w:r>
              <w:t xml:space="preserve">Kannengiesser 2008, PMID 18092346</w:t>
            </w:r>
          </w:p>
        </w:tc>
        <w:tc>
          <w:tcPr/>
          <w:p>
            <w:pPr>
              <w:pStyle w:val="Compact"/>
              <w:jc w:val="left"/>
            </w:pPr>
            <w:r>
              <w:t xml:space="preserve">deux modèles de colite chez la souris</w:t>
            </w:r>
          </w:p>
        </w:tc>
        <w:tc>
          <w:tcPr/>
          <w:p>
            <w:pPr>
              <w:pStyle w:val="Compact"/>
              <w:jc w:val="left"/>
            </w:pPr>
            <w:r>
              <w:t xml:space="preserve">récupération plus rapide, moins de cellules inflammatoires ; dans un modèle, tous les animaux traités ont survécu</w:t>
            </w:r>
          </w:p>
        </w:tc>
      </w:tr>
      <w:tr>
        <w:tc>
          <w:tcPr/>
          <w:p>
            <w:pPr>
              <w:pStyle w:val="Compact"/>
              <w:jc w:val="left"/>
            </w:pPr>
            <w:r>
              <w:t xml:space="preserve">Viennois 2016, PMID 27458604</w:t>
            </w:r>
          </w:p>
        </w:tc>
        <w:tc>
          <w:tcPr/>
          <w:p>
            <w:pPr>
              <w:pStyle w:val="Compact"/>
              <w:jc w:val="left"/>
            </w:pPr>
            <w:r>
              <w:t xml:space="preserve">cancer colorectal lié à l’inflammation chez la souris</w:t>
            </w:r>
          </w:p>
        </w:tc>
        <w:tc>
          <w:tcPr/>
          <w:p>
            <w:pPr>
              <w:pStyle w:val="Compact"/>
              <w:jc w:val="left"/>
            </w:pPr>
            <w:r>
              <w:t xml:space="preserve">le KPV a empêché l’apparition de tumeurs, mais seulement chez des souris dotées d’un PepT1 fonctionnel</w:t>
            </w:r>
          </w:p>
        </w:tc>
      </w:tr>
      <w:tr>
        <w:tc>
          <w:tcPr/>
          <w:p>
            <w:pPr>
              <w:pStyle w:val="Compact"/>
              <w:jc w:val="left"/>
            </w:pPr>
            <w:r>
              <w:t xml:space="preserve">Xiao 2017, PMID 28143741</w:t>
            </w:r>
          </w:p>
        </w:tc>
        <w:tc>
          <w:tcPr/>
          <w:p>
            <w:pPr>
              <w:pStyle w:val="Compact"/>
              <w:jc w:val="left"/>
            </w:pPr>
            <w:r>
              <w:t xml:space="preserve">colite chez la souris, KPV dans des nanoparticules</w:t>
            </w:r>
          </w:p>
        </w:tc>
        <w:tc>
          <w:tcPr/>
          <w:p>
            <w:pPr>
              <w:pStyle w:val="Compact"/>
              <w:jc w:val="left"/>
            </w:pPr>
            <w:r>
              <w:t xml:space="preserve">effet plus marqué que le KPV libre</w:t>
            </w:r>
          </w:p>
        </w:tc>
      </w:tr>
    </w:tbl>
    <w:p>
      <w:pPr>
        <w:pStyle w:val="BodyText"/>
      </w:pPr>
      <w:r>
        <w:t xml:space="preserve">D’autres travaux étudient le KPV dans des hydrogels pour les plaies et les muqueuses, dans des nanoparticules contre la calcification vasculaire ou dans le métabolisme des adipocytes – presque exclusivement en culture cellulaire ou chez le rongeur. Il est frappant qu’une grande partie de la littérature récente développe des formes pharmaceutiques (nanoparticules, gels, patchs). Cela montre que le KPV seul, en comprimé ou en crème, n’atteint apparemment pas assez bien son site d’action – un point pertinent pour les produits vendus librement.</w:t>
      </w:r>
    </w:p>
    <w:bookmarkEnd w:id="1076"/>
    <w:bookmarkStart w:id="1081" w:name="risques-et-effets-indésirables-18"/>
    <w:p>
      <w:pPr>
        <w:pStyle w:val="Heading3"/>
      </w:pPr>
      <w:r>
        <w:t xml:space="preserve">Risques et effets indésirables</w:t>
      </w:r>
    </w:p>
    <w:bookmarkStart w:id="1077" w:name="établi-2"/>
    <w:p>
      <w:pPr>
        <w:pStyle w:val="Heading4"/>
      </w:pPr>
      <w:r>
        <w:t xml:space="preserve">Établi</w:t>
      </w:r>
    </w:p>
    <w:p>
      <w:pPr>
        <w:pStyle w:val="FirstParagraph"/>
      </w:pPr>
      <w:r>
        <w:t xml:space="preserve">Aucun – parce qu’il n’existe pas d’études chez l’humain. L’absence d’effets indésirables signalés n’est ici pas un indice de sécurité.</w:t>
      </w:r>
    </w:p>
    <w:bookmarkEnd w:id="1077"/>
    <w:bookmarkStart w:id="1080" w:name="théorique"/>
    <w:p>
      <w:pPr>
        <w:pStyle w:val="Heading4"/>
      </w:pPr>
      <w:r>
        <w:t xml:space="preserve">Théorique</w:t>
      </w:r>
    </w:p>
    <w:p>
      <w:pPr>
        <w:numPr>
          <w:ilvl w:val="0"/>
          <w:numId w:val="1129"/>
        </w:numPr>
        <w:pStyle w:val="Compact"/>
      </w:pPr>
      <w:r>
        <w:rPr>
          <w:bCs/>
          <w:b/>
        </w:rPr>
        <w:t xml:space="preserve">Affaiblissement des défenses :</w:t>
      </w:r>
      <w:r>
        <w:t xml:space="preserve"> </w:t>
      </w:r>
      <w:r>
        <w:t xml:space="preserve">une substance qui inhibe les signaux inflammatoires pourrait en principe aussi altérer la défense contre les infections. Les résultats de laboratoire suggèrent plutôt un effet antimicrobien propre</w:t>
      </w:r>
      <w:r>
        <w:rPr>
          <w:rStyle w:val="FootnoteReference"/>
        </w:rPr>
        <w:footnoteReference w:id="1078"/>
      </w:r>
      <w:r>
        <w:t xml:space="preserve">, mais les données chez l’humain manquent.</w:t>
      </w:r>
    </w:p>
    <w:p>
      <w:pPr>
        <w:numPr>
          <w:ilvl w:val="0"/>
          <w:numId w:val="1129"/>
        </w:numPr>
        <w:pStyle w:val="Compact"/>
      </w:pPr>
      <w:r>
        <w:rPr>
          <w:bCs/>
          <w:b/>
        </w:rPr>
        <w:t xml:space="preserve">Absorption et dose incertaines :</w:t>
      </w:r>
      <w:r>
        <w:t xml:space="preserve"> </w:t>
      </w:r>
      <w:r>
        <w:t xml:space="preserve">la quantité de KPV d’une gélule ou d’une crème qui devient réellement active n’a pas été étudiée chez l’humain.</w:t>
      </w:r>
    </w:p>
    <w:p>
      <w:pPr>
        <w:numPr>
          <w:ilvl w:val="0"/>
          <w:numId w:val="1129"/>
        </w:numPr>
        <w:pStyle w:val="Compact"/>
      </w:pPr>
      <w:r>
        <w:rPr>
          <w:bCs/>
          <w:b/>
        </w:rPr>
        <w:t xml:space="preserve">Qualité du marché gris :</w:t>
      </w:r>
      <w:r>
        <w:t xml:space="preserve"> </w:t>
      </w:r>
      <w:r>
        <w:t xml:space="preserve">le KPV est vendu comme « peptide de recherche » sans contrôle pharmaceutique. Une synthèse de médecine du sport cite expressément le KPV parmi les fragments peptidiques qui circulent dans les milieux du bodybuilding et met en garde contre des produits mal étiquetés ou contaminés</w:t>
      </w:r>
      <w:r>
        <w:rPr>
          <w:rStyle w:val="FootnoteReference"/>
        </w:rPr>
        <w:footnoteReference w:id="1079"/>
      </w:r>
      <w:r>
        <w:t xml:space="preserve">.</w:t>
      </w:r>
    </w:p>
    <w:bookmarkEnd w:id="1080"/>
    <w:bookmarkEnd w:id="1081"/>
    <w:bookmarkStart w:id="1082" w:name="statut-juridique-18"/>
    <w:p>
      <w:pPr>
        <w:pStyle w:val="Heading3"/>
      </w:pPr>
      <w:r>
        <w:t xml:space="preserve">Statut juridique</w:t>
      </w:r>
    </w:p>
    <w:p>
      <w:pPr>
        <w:pStyle w:val="FirstParagraph"/>
      </w:pPr>
      <w:r>
        <w:rPr>
          <w:iCs/>
          <w:i/>
        </w:rPr>
        <w:t xml:space="preserve">État 2026, à vérifier.</w:t>
      </w:r>
    </w:p>
    <w:p>
      <w:pPr>
        <w:numPr>
          <w:ilvl w:val="0"/>
          <w:numId w:val="1130"/>
        </w:numPr>
        <w:pStyle w:val="Compact"/>
      </w:pPr>
      <w:r>
        <w:rPr>
          <w:bCs/>
          <w:b/>
        </w:rPr>
        <w:t xml:space="preserve">UE, Allemagne, Autriche :</w:t>
      </w:r>
      <w:r>
        <w:t xml:space="preserve"> </w:t>
      </w:r>
      <w:r>
        <w:t xml:space="preserve">non autorisé comme médicament. Si le KPV est proposé avec des allégations de soulagement de maladies, il est considéré comme un médicament non autorisé. En tant qu’ingrédient cosmétique, il relève du règlement européen sur les cosmétiques ; les promesses de guérison y sont interdites.</w:t>
      </w:r>
    </w:p>
    <w:p>
      <w:pPr>
        <w:numPr>
          <w:ilvl w:val="0"/>
          <w:numId w:val="1130"/>
        </w:numPr>
        <w:pStyle w:val="Compact"/>
      </w:pPr>
      <w:r>
        <w:rPr>
          <w:bCs/>
          <w:b/>
        </w:rPr>
        <w:t xml:space="preserve">États-Unis :</w:t>
      </w:r>
      <w:r>
        <w:t xml:space="preserve"> </w:t>
      </w:r>
      <w:r>
        <w:t xml:space="preserve">pas d’autorisation de la FDA.</w:t>
      </w:r>
    </w:p>
    <w:p>
      <w:pPr>
        <w:numPr>
          <w:ilvl w:val="0"/>
          <w:numId w:val="1130"/>
        </w:numPr>
        <w:pStyle w:val="Compact"/>
      </w:pPr>
      <w:r>
        <w:rPr>
          <w:bCs/>
          <w:b/>
        </w:rPr>
        <w:t xml:space="preserve">AMA (WADA) :</w:t>
      </w:r>
      <w:r>
        <w:t xml:space="preserve"> </w:t>
      </w:r>
      <w:r>
        <w:t xml:space="preserve">non cité nommément. En tant que substance pharmacologiquement active sans autorisation, le KPV relève selon l’auteur de S0 (substances non approuvées).</w:t>
      </w:r>
    </w:p>
    <w:bookmarkEnd w:id="1082"/>
    <w:bookmarkStart w:id="1083" w:name="études-en-cours-et-perspectives-18"/>
    <w:p>
      <w:pPr>
        <w:pStyle w:val="Heading3"/>
      </w:pPr>
      <w:r>
        <w:t xml:space="preserve">Études en cours et perspectives</w:t>
      </w:r>
    </w:p>
    <w:p>
      <w:pPr>
        <w:pStyle w:val="FirstParagraph"/>
      </w:pPr>
      <w:r>
        <w:rPr>
          <w:bCs/>
          <w:b/>
        </w:rPr>
        <w:t xml:space="preserve">Établi :</w:t>
      </w:r>
      <w:r>
        <w:t xml:space="preserve"> </w:t>
      </w:r>
      <w:r>
        <w:t xml:space="preserve">en octobre 2026, aucune étude sur le KPV n’est enregistrée sur ClinicalTrials.gov.</w:t>
      </w:r>
    </w:p>
    <w:p>
      <w:pPr>
        <w:pStyle w:val="BodyText"/>
      </w:pPr>
      <w:r>
        <w:rPr>
          <w:bCs/>
          <w:b/>
        </w:rPr>
        <w:t xml:space="preserve">Appréciation de l’auteur :</w:t>
      </w:r>
      <w:r>
        <w:t xml:space="preserve"> </w:t>
      </w:r>
      <w:r>
        <w:t xml:space="preserve">les données murines sur les inflammations intestinales sont cohérentes et proviennent de plusieurs groupes indépendants – c’est plus que ce que beaucoup d’autres « peptides de recherche » peuvent présenter. Mais sans entreprise développant le KPV comme médicament, aucune étude chez l’humain n’est en vue. Il est plus probable que le KPV continue d’être étudié en laboratoire comme brique de nouvelles formes pharmaceutiques (nanoparticules, gels).</w:t>
      </w:r>
    </w:p>
    <w:bookmarkEnd w:id="1083"/>
    <w:bookmarkStart w:id="1085" w:name="conclusion-18"/>
    <w:p>
      <w:pPr>
        <w:pStyle w:val="Heading3"/>
      </w:pPr>
      <w:r>
        <w:t xml:space="preserve">Conclusion</w:t>
      </w:r>
    </w:p>
    <w:p>
      <w:pPr>
        <w:pStyle w:val="FirstParagraph"/>
      </w:pPr>
      <w:r>
        <w:t xml:space="preserve">Le KPV est un fragment de trois acides aminés de l’hormone endogène alpha-MSH qui, en culture cellulaire et chez la souris, a nettement réduit les inflammations intestinales</w:t>
      </w:r>
      <w:r>
        <w:rPr>
          <w:rStyle w:val="FootnoteReference"/>
        </w:rPr>
        <w:footnoteReference w:id="1084"/>
      </w:r>
      <w:r>
        <w:t xml:space="preserve">. Le KPV n’a jamais été étudié chez l’humain – ni pour son efficacité, ni pour sa sécurité. Toutes les affirmations sur des effets intestinaux ou cutanés chez l’humain sont donc des suppositions fondées sur des expériences animales. Quiconque utilise des produits KPV achetés sur Internet participe à une auto-expérimentation non contrôlée avec des produits de qualité inconnue.</w:t>
      </w:r>
    </w:p>
    <w:bookmarkEnd w:id="1085"/>
    <w:bookmarkEnd w:id="1086"/>
    <w:bookmarkStart w:id="1121" w:name="ll-37"/>
    <w:p>
      <w:pPr>
        <w:pStyle w:val="Heading2"/>
      </w:pPr>
      <w:r>
        <w:t xml:space="preserve">LL-37</w:t>
      </w:r>
    </w:p>
    <w:p>
      <w:pPr>
        <w:pStyle w:val="FirstParagraph"/>
      </w:pPr>
      <w:r>
        <w:t xml:space="preserve">Le LL-37 est un peptide de défense endogène. La peau, les muqueuses et les globules blancs le produisent pour tuer les bactéries, les champignons et les virus. Dans le milieu des peptides, il est proposé comme « antibiotique naturel » et comme remède contre les infections chroniques, la borréliose ou l’« immunodépression ». Face aux données, il faut distinguer soigneusement : il existe de très nombreuses études dans lesquelles le LL-37 a été</w:t>
      </w:r>
      <w:r>
        <w:t xml:space="preserve"> </w:t>
      </w:r>
      <w:r>
        <w:rPr>
          <w:iCs/>
          <w:i/>
        </w:rPr>
        <w:t xml:space="preserve">mesuré</w:t>
      </w:r>
      <w:r>
        <w:t xml:space="preserve"> </w:t>
      </w:r>
      <w:r>
        <w:t xml:space="preserve">dans le sang ou les tissus – mais seulement une poignée dans lesquelles des personnes ont</w:t>
      </w:r>
      <w:r>
        <w:t xml:space="preserve"> </w:t>
      </w:r>
      <w:r>
        <w:rPr>
          <w:iCs/>
          <w:i/>
        </w:rPr>
        <w:t xml:space="preserve">reçu</w:t>
      </w:r>
      <w:r>
        <w:t xml:space="preserve"> </w:t>
      </w:r>
      <w:r>
        <w:t xml:space="preserve">du LL-37 comme substance active.</w:t>
      </w:r>
    </w:p>
    <w:bookmarkStart w:id="1088" w:name="fiche-signalétique-19"/>
    <w:p>
      <w:pPr>
        <w:pStyle w:val="Heading3"/>
      </w:pPr>
      <w:r>
        <w:t xml:space="preserve">Fiche signalétique</w:t>
      </w:r>
    </w:p>
    <w:p>
      <w:pPr>
        <w:numPr>
          <w:ilvl w:val="0"/>
          <w:numId w:val="1131"/>
        </w:numPr>
        <w:pStyle w:val="Compact"/>
      </w:pPr>
      <w:r>
        <w:rPr>
          <w:bCs/>
          <w:b/>
        </w:rPr>
        <w:t xml:space="preserve">Type et structure :</w:t>
      </w:r>
      <w:r>
        <w:t xml:space="preserve"> </w:t>
      </w:r>
      <w:r>
        <w:t xml:space="preserve">peptide de 37 acides aminés, dont les deux premiers sont des leucines (d’où « LL »). Unique cathélicidine humaine – c’est le nom d’une famille de peptides de défense.</w:t>
      </w:r>
    </w:p>
    <w:p>
      <w:pPr>
        <w:numPr>
          <w:ilvl w:val="0"/>
          <w:numId w:val="1131"/>
        </w:numPr>
        <w:pStyle w:val="Compact"/>
      </w:pPr>
      <w:r>
        <w:rPr>
          <w:bCs/>
          <w:b/>
        </w:rPr>
        <w:t xml:space="preserve">Origine :</w:t>
      </w:r>
      <w:r>
        <w:t xml:space="preserve"> </w:t>
      </w:r>
      <w:r>
        <w:t xml:space="preserve">clivé à partir de la protéine précurseur hCAP18 ; le gène correspondant (CAMP) est activé notamment par la vitamine D</w:t>
      </w:r>
      <w:r>
        <w:rPr>
          <w:rStyle w:val="FootnoteReference"/>
        </w:rPr>
        <w:footnoteReference w:id="1087"/>
      </w:r>
      <w:r>
        <w:t xml:space="preserve">.</w:t>
      </w:r>
    </w:p>
    <w:p>
      <w:pPr>
        <w:numPr>
          <w:ilvl w:val="0"/>
          <w:numId w:val="1131"/>
        </w:numPr>
        <w:pStyle w:val="Compact"/>
      </w:pPr>
      <w:r>
        <w:rPr>
          <w:bCs/>
          <w:b/>
        </w:rPr>
        <w:t xml:space="preserve">Principe d’action :</w:t>
      </w:r>
      <w:r>
        <w:t xml:space="preserve"> </w:t>
      </w:r>
      <w:r>
        <w:t xml:space="preserve">détruit l’enveloppe des microbes ; attire en même temps les cellules immunitaires, favorise la formation de vaisseaux et la cicatrisation et influence les réactions inflammatoires.</w:t>
      </w:r>
    </w:p>
    <w:p>
      <w:pPr>
        <w:numPr>
          <w:ilvl w:val="0"/>
          <w:numId w:val="1131"/>
        </w:numPr>
        <w:pStyle w:val="Compact"/>
      </w:pPr>
      <w:r>
        <w:rPr>
          <w:bCs/>
          <w:b/>
        </w:rPr>
        <w:t xml:space="preserve">Autorisation UE/États-Unis :</w:t>
      </w:r>
      <w:r>
        <w:t xml:space="preserve"> </w:t>
      </w:r>
      <w:r>
        <w:t xml:space="preserve">non.</w:t>
      </w:r>
    </w:p>
    <w:p>
      <w:pPr>
        <w:numPr>
          <w:ilvl w:val="0"/>
          <w:numId w:val="1131"/>
        </w:numPr>
        <w:pStyle w:val="Compact"/>
      </w:pPr>
      <w:r>
        <w:rPr>
          <w:bCs/>
          <w:b/>
        </w:rPr>
        <w:t xml:space="preserve">AMA (WADA) :</w:t>
      </w:r>
      <w:r>
        <w:t xml:space="preserve"> </w:t>
      </w:r>
      <w:r>
        <w:t xml:space="preserve">non expressément listé ; en tant que substance non approuvée, relève selon l’auteur de S0.</w:t>
      </w:r>
    </w:p>
    <w:p>
      <w:pPr>
        <w:numPr>
          <w:ilvl w:val="0"/>
          <w:numId w:val="1131"/>
        </w:numPr>
        <w:pStyle w:val="Compact"/>
      </w:pPr>
      <w:r>
        <w:rPr>
          <w:bCs/>
          <w:b/>
        </w:rPr>
        <w:t xml:space="preserve">Niveau de preuve : B</w:t>
      </w:r>
      <w:r>
        <w:t xml:space="preserve"> </w:t>
      </w:r>
      <w:r>
        <w:t xml:space="preserve">– quelques études randomisées de petite à moyenne taille avec application locale sur des plaies ; la plus grande d’entre elles n’a pas atteint son objectif principal.</w:t>
      </w:r>
    </w:p>
    <w:bookmarkEnd w:id="1088"/>
    <w:bookmarkStart w:id="1093" w:name="mode-daction-supposé-19"/>
    <w:p>
      <w:pPr>
        <w:pStyle w:val="Heading3"/>
      </w:pPr>
      <w:r>
        <w:t xml:space="preserve">Mode d’action supposé</w:t>
      </w:r>
    </w:p>
    <w:p>
      <w:pPr>
        <w:pStyle w:val="FirstParagraph"/>
      </w:pPr>
      <w:r>
        <w:t xml:space="preserve">Le LL-37 appartient au système immunitaire inné, la première ligne de défense, non spécifique. Le peptide est chargé positivement et se fixe sur les enveloppes chargées négativement des bactéries, qui deviennent ainsi perméables. Il agit en outre comme substance de signalisation : il attire les globules blancs et incite les cellules cutanées à migrer – c’est pourquoi il est devenu intéressant pour la cicatrisation.</w:t>
      </w:r>
    </w:p>
    <w:p>
      <w:pPr>
        <w:pStyle w:val="BodyText"/>
      </w:pPr>
      <w:r>
        <w:t xml:space="preserve">Chez l’humain, la production de LL-37 est étroitement liée à la vitamine D. Le gène de la protéine précurseur porte un commutateur auquel se lie le récepteur de la vitamine D ; ce commutateur se trouve chez les primates, mais pas chez la souris, le rat ou le chien</w:t>
      </w:r>
      <w:r>
        <w:rPr>
          <w:rStyle w:val="FootnoteReference"/>
        </w:rPr>
        <w:footnoteReference w:id="1089"/>
      </w:r>
      <w:r>
        <w:t xml:space="preserve">. Cela explique pourquoi de nombreuses études administrent de la vitamine D et mesurent le LL-37 – et pourquoi les expériences animales sur le LL-37 ne sont que partiellement transposables à l’humain.</w:t>
      </w:r>
    </w:p>
    <w:p>
      <w:pPr>
        <w:pStyle w:val="BodyText"/>
      </w:pPr>
      <w:r>
        <w:t xml:space="preserve">Le revers de la médaille : le LL-37 peut aussi attiser l’inflammation. Dans le psoriasis, le LL-37 lie le matériel génétique propre provenant de cellules désagrégées et le rend « visible » pour certaines cellules immunitaires, qui libèrent alors de l’interféron</w:t>
      </w:r>
      <w:r>
        <w:rPr>
          <w:rStyle w:val="FootnoteReference"/>
        </w:rPr>
        <w:footnoteReference w:id="1090"/>
      </w:r>
      <w:r>
        <w:t xml:space="preserve">. Chez les deux tiers des personnes étudiées atteintes de psoriasis modéré à sévère, on a trouvé des lymphocytes T dirigés contre le LL-37 lui-même</w:t>
      </w:r>
      <w:r>
        <w:rPr>
          <w:rStyle w:val="FootnoteReference"/>
        </w:rPr>
        <w:footnoteReference w:id="1091"/>
      </w:r>
      <w:r>
        <w:t xml:space="preserve">. Dans la rosacée, les personnes concernées produisent une quantité inhabituellement élevée de LL-37 dans la peau du visage, et chez la souris, l’injection de ces peptides a déclenché des inflammations cutanées</w:t>
      </w:r>
      <w:r>
        <w:rPr>
          <w:rStyle w:val="FootnoteReference"/>
        </w:rPr>
        <w:footnoteReference w:id="1092"/>
      </w:r>
      <w:r>
        <w:t xml:space="preserve">.</w:t>
      </w:r>
    </w:p>
    <w:bookmarkEnd w:id="1093"/>
    <w:bookmarkStart w:id="1105" w:name="études-chez-lhumain-19"/>
    <w:p>
      <w:pPr>
        <w:pStyle w:val="Heading3"/>
      </w:pPr>
      <w:r>
        <w:t xml:space="preserve">Études chez l’humain</w:t>
      </w:r>
    </w:p>
    <w:p>
      <w:pPr>
        <w:pStyle w:val="FirstParagraph"/>
      </w:pPr>
      <w:r>
        <w:rPr>
          <w:bCs/>
          <w:b/>
        </w:rPr>
        <w:t xml:space="preserve">Ampleur des données (requête d’octobre 2026) :</w:t>
      </w:r>
      <w:r>
        <w:t xml:space="preserve"> </w:t>
      </w:r>
      <w:r>
        <w:t xml:space="preserve">la recherche automatisée a trouvé</w:t>
      </w:r>
      <w:r>
        <w:t xml:space="preserve"> </w:t>
      </w:r>
      <w:r>
        <w:rPr>
          <w:bCs/>
          <w:b/>
        </w:rPr>
        <w:t xml:space="preserve">91</w:t>
      </w:r>
      <w:r>
        <w:t xml:space="preserve"> </w:t>
      </w:r>
      <w:r>
        <w:t xml:space="preserve">publications classées comme études chez l’humain et</w:t>
      </w:r>
      <w:r>
        <w:t xml:space="preserve"> </w:t>
      </w:r>
      <w:r>
        <w:rPr>
          <w:bCs/>
          <w:b/>
        </w:rPr>
        <w:t xml:space="preserve">20</w:t>
      </w:r>
      <w:r>
        <w:t xml:space="preserve"> </w:t>
      </w:r>
      <w:r>
        <w:t xml:space="preserve">entrées sur ClinicalTrials.gov. La très grande majorité n’administre</w:t>
      </w:r>
      <w:r>
        <w:t xml:space="preserve"> </w:t>
      </w:r>
      <w:r>
        <w:rPr>
          <w:iCs/>
          <w:i/>
        </w:rPr>
        <w:t xml:space="preserve">pas</w:t>
      </w:r>
      <w:r>
        <w:t xml:space="preserve"> </w:t>
      </w:r>
      <w:r>
        <w:t xml:space="preserve">le LL-37 comme substance active : il s’agit d’études sur la vitamine D ou les probiotiques qui utilisent le LL-37 comme valeur mesurée, ou d’études observationnelles sur les taux de LL-37 dans diverses maladies. Les études dans lesquelles le LL-37 lui-même a été administré ne sont qu’au nombre de cinq dans PubMed ; dans le registre, il y en a deux.</w:t>
      </w:r>
    </w:p>
    <w:bookmarkStart w:id="1098" w:name="X49e5d7449535093bcc693bfa7c79a1c6a1a78ff"/>
    <w:p>
      <w:pPr>
        <w:pStyle w:val="Heading4"/>
      </w:pPr>
      <w:r>
        <w:t xml:space="preserve">Études interventionnelles : le LL-37 comme substance active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schéma</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Ulcères veineux de jambe (Grönberg 2014, PMID 25041740)</w:t>
            </w:r>
          </w:p>
        </w:tc>
        <w:tc>
          <w:tcPr/>
          <w:p>
            <w:pPr>
              <w:pStyle w:val="Compact"/>
              <w:jc w:val="left"/>
            </w:pPr>
            <w:r>
              <w:t xml:space="preserve">34 personnes, première administration chez l’humain, ECR en double aveugle avec trois concentrations et placebo</w:t>
            </w:r>
          </w:p>
        </w:tc>
        <w:tc>
          <w:tcPr/>
          <w:p>
            <w:pPr>
              <w:pStyle w:val="Compact"/>
              <w:jc w:val="left"/>
            </w:pPr>
            <w:r>
              <w:t xml:space="preserve">4 semaines de traitement</w:t>
            </w:r>
          </w:p>
        </w:tc>
        <w:tc>
          <w:tcPr/>
          <w:p>
            <w:pPr>
              <w:pStyle w:val="Compact"/>
              <w:jc w:val="left"/>
            </w:pPr>
            <w:r>
              <w:t xml:space="preserve">surface de la plaie réduite de 68 % avec la concentration la plus faible, de 50 % avec la concentration intermédiaire ; la concentration la plus élevée n’a pas fait mieux que le placebo</w:t>
            </w:r>
          </w:p>
        </w:tc>
      </w:tr>
      <w:tr>
        <w:tc>
          <w:tcPr/>
          <w:p>
            <w:pPr>
              <w:pStyle w:val="Compact"/>
              <w:jc w:val="left"/>
            </w:pPr>
            <w:r>
              <w:t xml:space="preserve">HEAL LL-37, ulcères veineux de jambe (Mahlapuu 2021, PMID 34687253)</w:t>
            </w:r>
          </w:p>
        </w:tc>
        <w:tc>
          <w:tcPr/>
          <w:p>
            <w:pPr>
              <w:pStyle w:val="Compact"/>
              <w:jc w:val="left"/>
            </w:pPr>
            <w:r>
              <w:t xml:space="preserve">148 personnes, phase 2b, ECR en double aveugle</w:t>
            </w:r>
          </w:p>
        </w:tc>
        <w:tc>
          <w:tcPr/>
          <w:p>
            <w:pPr>
              <w:pStyle w:val="Compact"/>
              <w:jc w:val="left"/>
            </w:pPr>
            <w:r>
              <w:t xml:space="preserve">3 bras, en plus de la compression</w:t>
            </w:r>
          </w:p>
        </w:tc>
        <w:tc>
          <w:tcPr/>
          <w:p>
            <w:pPr>
              <w:pStyle w:val="Compact"/>
              <w:jc w:val="left"/>
            </w:pPr>
            <w:r>
              <w:t xml:space="preserve">aucune différence significative avec le placebo ; avantage seulement dans une analyse de sous-groupe a posteriori des grandes plaies</w:t>
            </w:r>
          </w:p>
        </w:tc>
      </w:tr>
      <w:tr>
        <w:tc>
          <w:tcPr/>
          <w:p>
            <w:pPr>
              <w:pStyle w:val="Compact"/>
              <w:jc w:val="left"/>
            </w:pPr>
            <w:r>
              <w:t xml:space="preserve">Ulcère du pied diabétique (Miranda 2023, PMID 37480520 ; NCT04098562)</w:t>
            </w:r>
          </w:p>
        </w:tc>
        <w:tc>
          <w:tcPr/>
          <w:p>
            <w:pPr>
              <w:pStyle w:val="Compact"/>
              <w:jc w:val="left"/>
            </w:pPr>
            <w:r>
              <w:t xml:space="preserve">personnes avec ulcère du pied légèrement infecté à Jakarta, ECR en double aveugle contre crème placebo</w:t>
            </w:r>
          </w:p>
        </w:tc>
        <w:tc>
          <w:tcPr/>
          <w:p>
            <w:pPr>
              <w:pStyle w:val="Compact"/>
              <w:jc w:val="left"/>
            </w:pPr>
            <w:r>
              <w:t xml:space="preserve">4 semaines</w:t>
            </w:r>
          </w:p>
        </w:tc>
        <w:tc>
          <w:tcPr/>
          <w:p>
            <w:pPr>
              <w:pStyle w:val="Compact"/>
              <w:jc w:val="left"/>
            </w:pPr>
            <w:r>
              <w:t xml:space="preserve">augmentation plus forte du tissu de granulation ; pas de baisse des marqueurs inflammatoires ni de la charge bactérienne</w:t>
            </w:r>
          </w:p>
        </w:tc>
      </w:tr>
      <w:tr>
        <w:tc>
          <w:tcPr/>
          <w:p>
            <w:pPr>
              <w:pStyle w:val="Compact"/>
              <w:jc w:val="left"/>
            </w:pPr>
            <w:r>
              <w:t xml:space="preserve">COVID-19, LL-37 oral produit par des bactéries lactiques (Zhao 2023, PMID 37605995)</w:t>
            </w:r>
          </w:p>
        </w:tc>
        <w:tc>
          <w:tcPr/>
          <w:p>
            <w:pPr>
              <w:pStyle w:val="Compact"/>
              <w:jc w:val="left"/>
            </w:pPr>
            <w:r>
              <w:t xml:space="preserve">238 patients hospitalisés, ECR en ouvert, un seul centre</w:t>
            </w:r>
          </w:p>
        </w:tc>
        <w:tc>
          <w:tcPr/>
          <w:p>
            <w:pPr>
              <w:pStyle w:val="Compact"/>
              <w:jc w:val="left"/>
            </w:pPr>
            <w:r>
              <w:t xml:space="preserve">durée d’hospitalisation</w:t>
            </w:r>
          </w:p>
        </w:tc>
        <w:tc>
          <w:tcPr/>
          <w:p>
            <w:pPr>
              <w:pStyle w:val="Compact"/>
              <w:jc w:val="left"/>
            </w:pPr>
            <w:r>
              <w:t xml:space="preserve">PCR virale négative en moyenne après 9,8 au lieu de 14,0 jours ; aucun effet indésirable grave</w:t>
            </w:r>
          </w:p>
        </w:tc>
      </w:tr>
      <w:tr>
        <w:tc>
          <w:tcPr/>
          <w:p>
            <w:pPr>
              <w:pStyle w:val="Compact"/>
              <w:jc w:val="left"/>
            </w:pPr>
            <w:r>
              <w:t xml:space="preserve">Mélanome, injection intratumorale (NCT02225366)</w:t>
            </w:r>
          </w:p>
        </w:tc>
        <w:tc>
          <w:tcPr/>
          <w:p>
            <w:pPr>
              <w:pStyle w:val="Compact"/>
              <w:jc w:val="left"/>
            </w:pPr>
            <w:r>
              <w:t xml:space="preserve">4 personnes, phase 1/2 sans groupe témoin</w:t>
            </w:r>
          </w:p>
        </w:tc>
        <w:tc>
          <w:tcPr/>
          <w:p>
            <w:pPr>
              <w:pStyle w:val="Compact"/>
              <w:jc w:val="left"/>
            </w:pPr>
            <w:r>
              <w:t xml:space="preserve">jusqu’à 8 semaines</w:t>
            </w:r>
          </w:p>
        </w:tc>
        <w:tc>
          <w:tcPr/>
          <w:p>
            <w:pPr>
              <w:pStyle w:val="Compact"/>
              <w:jc w:val="left"/>
            </w:pPr>
            <w:r>
              <w:t xml:space="preserve">recherche de dose ; petit effectif, voir Risques</w:t>
            </w:r>
          </w:p>
        </w:tc>
      </w:tr>
    </w:tbl>
    <w:p>
      <w:pPr>
        <w:pStyle w:val="BodyText"/>
      </w:pPr>
      <w:r>
        <w:t xml:space="preserve">Les études sur les plaies montrent le schéma connu : la première petite étude était encourageante – fait notable, les concentrations les plus faibles agissaient, pas la plus élevée</w:t>
      </w:r>
      <w:r>
        <w:rPr>
          <w:rStyle w:val="FootnoteReference"/>
        </w:rPr>
        <w:footnoteReference w:id="1094"/>
      </w:r>
      <w:r>
        <w:t xml:space="preserve">. L’étude de phase 2b plus grande HEAL LL-37, avec 148 personnes, n’a trouvé aucun avantage par rapport au placebo dans l’ensemble du groupe. Un bénéfice dans les grandes plaies n’est apparu que dans une analyse de sous-groupe définie a posteriori, que les auteurs eux-mêmes considèrent comme une raison de mener une nouvelle étude, et non comme une preuve</w:t>
      </w:r>
      <w:r>
        <w:rPr>
          <w:rStyle w:val="FootnoteReference"/>
        </w:rPr>
        <w:footnoteReference w:id="1095"/>
      </w:r>
      <w:r>
        <w:t xml:space="preserve">.</w:t>
      </w:r>
    </w:p>
    <w:p>
      <w:pPr>
        <w:pStyle w:val="BodyText"/>
      </w:pPr>
      <w:r>
        <w:t xml:space="preserve">L’étude indonésienne sur l’ulcère du pied diabétique a mesuré comme critère principal la proportion de tissu de granulation, c’est-à-dire de tissu de cicatrisation frais – un marqueur intermédiaire, pas la cicatrisation complète de la plaie. Les marqueurs inflammatoires et la colonisation bactérienne n’ont pas baissé davantage sous LL-37 que sous placebo</w:t>
      </w:r>
      <w:r>
        <w:rPr>
          <w:rStyle w:val="FootnoteReference"/>
        </w:rPr>
        <w:footnoteReference w:id="1096"/>
      </w:r>
      <w:r>
        <w:t xml:space="preserve">.</w:t>
      </w:r>
    </w:p>
    <w:p>
      <w:pPr>
        <w:pStyle w:val="BodyText"/>
      </w:pPr>
      <w:r>
        <w:t xml:space="preserve">L’étude sur la COVID-19 n’a pas utilisé le peptide LL-37, mais des bactéries lactiques génétiquement modifiées censées produire du LL-37 dans l’intestin. Elle n’était pas en aveugle et s’est déroulée dans un seul centre ; on a mesuré le délai jusqu’au test PCR négatif, pas l’évolution de la maladie ni la mortalité</w:t>
      </w:r>
      <w:r>
        <w:rPr>
          <w:rStyle w:val="FootnoteReference"/>
        </w:rPr>
        <w:footnoteReference w:id="1097"/>
      </w:r>
      <w:r>
        <w:t xml:space="preserve">.</w:t>
      </w:r>
    </w:p>
    <w:bookmarkEnd w:id="1098"/>
    <w:bookmarkStart w:id="1102" w:name="Xc4d4f92147863335331ef5f7a96869b086cd0a9"/>
    <w:p>
      <w:pPr>
        <w:pStyle w:val="Heading4"/>
      </w:pPr>
      <w:r>
        <w:t xml:space="preserve">Études observationnelles : le LL-37 comme valeur mesurée</w:t>
      </w:r>
    </w:p>
    <w:p>
      <w:pPr>
        <w:pStyle w:val="FirstParagraph"/>
      </w:pPr>
      <w:r>
        <w:t xml:space="preserve">Ces études ne disent rien sur l’utilité d’un apport de LL-37. Elles montrent seulement comment l’organisme produit du LL-37 dans les maladies. Quelques exemples :</w:t>
      </w:r>
    </w:p>
    <w:p>
      <w:pPr>
        <w:numPr>
          <w:ilvl w:val="0"/>
          <w:numId w:val="1132"/>
        </w:numPr>
        <w:pStyle w:val="Compact"/>
      </w:pPr>
      <w:r>
        <w:t xml:space="preserve">Chez 50 personnes atteintes de tuberculose pulmonaire, les taux sanguins de LL-37 étaient plus élevés qu’en cas de pneumonie due à d’autres bactéries et que chez des personnes en bonne santé</w:t>
      </w:r>
      <w:r>
        <w:rPr>
          <w:rStyle w:val="FootnoteReference"/>
        </w:rPr>
        <w:footnoteReference w:id="1099"/>
      </w:r>
      <w:r>
        <w:t xml:space="preserve">.</w:t>
      </w:r>
    </w:p>
    <w:p>
      <w:pPr>
        <w:numPr>
          <w:ilvl w:val="0"/>
          <w:numId w:val="1132"/>
        </w:numPr>
        <w:pStyle w:val="Compact"/>
      </w:pPr>
      <w:r>
        <w:t xml:space="preserve">Chez 76 enfants atteints de méningite bactérienne, le LL-37 dans le liquide céphalorachidien augmentait avec la quantité de bactéries ; un rapport élevé LL-37/bactéries était associé à moins de séquelles auditives</w:t>
      </w:r>
      <w:r>
        <w:rPr>
          <w:rStyle w:val="FootnoteReference"/>
        </w:rPr>
        <w:footnoteReference w:id="1100"/>
      </w:r>
      <w:r>
        <w:t xml:space="preserve">.</w:t>
      </w:r>
    </w:p>
    <w:p>
      <w:pPr>
        <w:numPr>
          <w:ilvl w:val="0"/>
          <w:numId w:val="1132"/>
        </w:numPr>
        <w:pStyle w:val="Compact"/>
      </w:pPr>
      <w:r>
        <w:t xml:space="preserve">Chez 30 patients de réanimation atteints de sepsis, les taux de LL-37 ont augmenté après de la vitamine D à forte dose</w:t>
      </w:r>
      <w:r>
        <w:rPr>
          <w:rStyle w:val="FootnoteReference"/>
        </w:rPr>
        <w:footnoteReference w:id="1101"/>
      </w:r>
      <w:r>
        <w:t xml:space="preserve">.</w:t>
      </w:r>
    </w:p>
    <w:bookmarkEnd w:id="1102"/>
    <w:bookmarkStart w:id="1104" w:name="Xd81963ef7932b51edd0e8529ae7f8a032c25773"/>
    <w:p>
      <w:pPr>
        <w:pStyle w:val="Heading4"/>
      </w:pPr>
      <w:r>
        <w:t xml:space="preserve">Indirectement : stimuler le LL-37 via la vitamine D</w:t>
      </w:r>
    </w:p>
    <w:p>
      <w:pPr>
        <w:pStyle w:val="FirstParagraph"/>
      </w:pPr>
      <w:r>
        <w:t xml:space="preserve">Dans une étude en double aveugle au Bangladesh portant sur 288 personnes atteintes de tuberculose pulmonaire, davantage de participants avaient une culture négative après quatre semaines lorsqu’ils recevaient en plus de la vitamine D3 et du phénylbutyrate – deux substances qui stimulent la production endogène de LL-37 (71 % vs 42,2 % sous placebo)</w:t>
      </w:r>
      <w:r>
        <w:rPr>
          <w:rStyle w:val="FootnoteReference"/>
        </w:rPr>
        <w:footnoteReference w:id="1103"/>
      </w:r>
      <w:r>
        <w:t xml:space="preserve">. C’est une conclusion sur cette association, pas sur le LL-37 en tant que peptide. La vitamine D elle-même n’est pas un peptide et n’est pas traitée spécifiquement dans ce livre.</w:t>
      </w:r>
    </w:p>
    <w:bookmarkEnd w:id="1104"/>
    <w:bookmarkEnd w:id="1105"/>
    <w:bookmarkStart w:id="1108" w:name="études-animales-et-de-laboratoire-19"/>
    <w:p>
      <w:pPr>
        <w:pStyle w:val="Heading3"/>
      </w:pPr>
      <w:r>
        <w:t xml:space="preserve">Études animales et de laboratoire</w:t>
      </w:r>
    </w:p>
    <w:p>
      <w:pPr>
        <w:pStyle w:val="FirstParagraph"/>
      </w:pPr>
      <w:r>
        <w:t xml:space="preserve">En laboratoire, le LL-37 tue un large éventail de bactéries, de champignons et certains virus, et favorise la migration des cellules cutanées. Un article de synthèse sur son rôle dans le cancer résume que, dans des expériences cellulaires et animales, le LL-37</w:t>
      </w:r>
      <w:r>
        <w:t xml:space="preserve"> </w:t>
      </w:r>
      <w:r>
        <w:rPr>
          <w:iCs/>
          <w:i/>
        </w:rPr>
        <w:t xml:space="preserve">favorise</w:t>
      </w:r>
      <w:r>
        <w:t xml:space="preserve"> </w:t>
      </w:r>
      <w:r>
        <w:t xml:space="preserve">la croissance tumorale dans les cancers de l’ovaire, du poumon, du sein, de la prostate et du pancréas ainsi que dans le mélanome, mais l’</w:t>
      </w:r>
      <w:r>
        <w:rPr>
          <w:iCs/>
          <w:i/>
        </w:rPr>
        <w:t xml:space="preserve">inhibe</w:t>
      </w:r>
      <w:r>
        <w:t xml:space="preserve"> </w:t>
      </w:r>
      <w:r>
        <w:t xml:space="preserve">dans les cancers du côlon, de l’estomac et certains cancers du sang</w:t>
      </w:r>
      <w:r>
        <w:rPr>
          <w:rStyle w:val="FootnoteReference"/>
        </w:rPr>
        <w:footnoteReference w:id="1106"/>
      </w:r>
      <w:r>
        <w:t xml:space="preserve">. La même substance peut donc avoir des effets opposés selon le tissu.</w:t>
      </w:r>
    </w:p>
    <w:p>
      <w:pPr>
        <w:pStyle w:val="BodyText"/>
      </w:pPr>
      <w:r>
        <w:t xml:space="preserve">Pour la transposabilité, un point est important : la souris possède sa propre cathélicidine, qui ne fait que ressembler au LL-37 humain, et la régule différemment</w:t>
      </w:r>
      <w:r>
        <w:rPr>
          <w:rStyle w:val="FootnoteReference"/>
        </w:rPr>
        <w:footnoteReference w:id="1107"/>
      </w:r>
      <w:r>
        <w:t xml:space="preserve">. Les résultats murins sur le LL-37 doivent donc être évalués avec encore plus de prudence que pour d’autres peptides.</w:t>
      </w:r>
    </w:p>
    <w:bookmarkEnd w:id="1108"/>
    <w:bookmarkStart w:id="1116" w:name="risques-et-effets-indésirables-19"/>
    <w:p>
      <w:pPr>
        <w:pStyle w:val="Heading3"/>
      </w:pPr>
      <w:r>
        <w:t xml:space="preserve">Risques et effets indésirables</w:t>
      </w:r>
    </w:p>
    <w:bookmarkStart w:id="1111" w:name="établi-3"/>
    <w:p>
      <w:pPr>
        <w:pStyle w:val="Heading4"/>
      </w:pPr>
      <w:r>
        <w:t xml:space="preserve">Établi</w:t>
      </w:r>
    </w:p>
    <w:p>
      <w:pPr>
        <w:pStyle w:val="FirstParagraph"/>
      </w:pPr>
      <w:r>
        <w:t xml:space="preserve">Dans les études sur les plaies, le LL-37 appliqué localement a été bien toléré ; il n’y a eu aucune préoccupation de sécurité concernant des effets indésirables locaux ou généraux</w:t>
      </w:r>
      <w:r>
        <w:rPr>
          <w:rStyle w:val="FootnoteReference"/>
        </w:rPr>
        <w:footnoteReference w:id="1109"/>
      </w:r>
      <w:r>
        <w:t xml:space="preserve">.</w:t>
      </w:r>
    </w:p>
    <w:p>
      <w:pPr>
        <w:pStyle w:val="BodyText"/>
      </w:pPr>
      <w:r>
        <w:t xml:space="preserve">Un rapport de cas issu de l’étude sur le mélanome montre toutefois que le LL-37 injectable n’est pas anodin : chez une femme de 63 ans ayant reçu huit injections hebdomadaires dans des métastases cutanées, de nombreuses lésions cutanées verruqueuses et des bulles sont apparues sur le tronc et les membres environ 45 jours après le début, d’abord prises pour un cancer de la peau. L’examen histologique a montré des modifications inflammatoires avec des cellules cutanées atypiques ; toutes les lésions ont régressé dans les deux mois suivant l’arrêt</w:t>
      </w:r>
      <w:r>
        <w:rPr>
          <w:rStyle w:val="FootnoteReference"/>
        </w:rPr>
        <w:footnoteReference w:id="1110"/>
      </w:r>
      <w:r>
        <w:t xml:space="preserve">.</w:t>
      </w:r>
    </w:p>
    <w:bookmarkEnd w:id="1111"/>
    <w:bookmarkStart w:id="1115" w:name="Xb0f7103516b7c09b48757dc38ebee778c79dcf9"/>
    <w:p>
      <w:pPr>
        <w:pStyle w:val="Heading4"/>
      </w:pPr>
      <w:r>
        <w:t xml:space="preserve">Théorique et déduit de la recherche sur les maladies</w:t>
      </w:r>
    </w:p>
    <w:p>
      <w:pPr>
        <w:numPr>
          <w:ilvl w:val="0"/>
          <w:numId w:val="1133"/>
        </w:numPr>
        <w:pStyle w:val="Compact"/>
      </w:pPr>
      <w:r>
        <w:rPr>
          <w:bCs/>
          <w:b/>
        </w:rPr>
        <w:t xml:space="preserve">Auto-immunité et maladies de peau :</w:t>
      </w:r>
      <w:r>
        <w:t xml:space="preserve"> </w:t>
      </w:r>
      <w:r>
        <w:t xml:space="preserve">dans le psoriasis, le LL-37 est un déclencheur de l’inflammation et la cible de lymphocytes T mal orientés</w:t>
      </w:r>
      <w:r>
        <w:rPr>
          <w:rStyle w:val="FootnoteReference"/>
        </w:rPr>
        <w:footnoteReference w:id="1112"/>
      </w:r>
      <w:r>
        <w:t xml:space="preserve">, et il participe à l’inflammation cutanée dans la rosacée</w:t>
      </w:r>
      <w:r>
        <w:rPr>
          <w:rStyle w:val="FootnoteReference"/>
        </w:rPr>
        <w:footnoteReference w:id="1113"/>
      </w:r>
      <w:r>
        <w:t xml:space="preserve">. Les personnes atteintes de ces maladies ou d’autres maladies auto-immunes (comme le lupus) devraient être particulièrement prudentes – il n’existe pas d’études à ce sujet.</w:t>
      </w:r>
    </w:p>
    <w:p>
      <w:pPr>
        <w:numPr>
          <w:ilvl w:val="0"/>
          <w:numId w:val="1133"/>
        </w:numPr>
        <w:pStyle w:val="Compact"/>
      </w:pPr>
      <w:r>
        <w:rPr>
          <w:bCs/>
          <w:b/>
        </w:rPr>
        <w:t xml:space="preserve">Cancer :</w:t>
      </w:r>
      <w:r>
        <w:t xml:space="preserve"> </w:t>
      </w:r>
      <w:r>
        <w:t xml:space="preserve">comme le LL-37 favorise en laboratoire la croissance de certains types de tumeurs</w:t>
      </w:r>
      <w:r>
        <w:rPr>
          <w:rStyle w:val="FootnoteReference"/>
        </w:rPr>
        <w:footnoteReference w:id="1114"/>
      </w:r>
      <w:r>
        <w:t xml:space="preserve">, une utilisation chez des personnes atteintes d’un cancer ou ayant des antécédents de cancer n’est pas évaluable sans études.</w:t>
      </w:r>
    </w:p>
    <w:p>
      <w:pPr>
        <w:numPr>
          <w:ilvl w:val="0"/>
          <w:numId w:val="1133"/>
        </w:numPr>
        <w:pStyle w:val="Compact"/>
      </w:pPr>
      <w:r>
        <w:rPr>
          <w:bCs/>
          <w:b/>
        </w:rPr>
        <w:t xml:space="preserve">Lésions cellulaires à forte concentration :</w:t>
      </w:r>
      <w:r>
        <w:t xml:space="preserve"> </w:t>
      </w:r>
      <w:r>
        <w:t xml:space="preserve">le peptide attaque les membranes cellulaires ; à des concentrations plus élevées, il peut aussi endommager des cellules humaines. Cela pourrait expliquer pourquoi, dans la première étude sur les plaies, la concentration la plus élevée n’agissait pas.</w:t>
      </w:r>
    </w:p>
    <w:p>
      <w:pPr>
        <w:numPr>
          <w:ilvl w:val="0"/>
          <w:numId w:val="1133"/>
        </w:numPr>
        <w:pStyle w:val="Compact"/>
      </w:pPr>
      <w:r>
        <w:rPr>
          <w:bCs/>
          <w:b/>
        </w:rPr>
        <w:t xml:space="preserve">Marché gris :</w:t>
      </w:r>
      <w:r>
        <w:t xml:space="preserve"> </w:t>
      </w:r>
      <w:r>
        <w:t xml:space="preserve">comme pour tous les « peptides de recherche », la pureté, la teneur et la stérilité sont inconnues. C’est particulièrement vrai pour les injections.</w:t>
      </w:r>
    </w:p>
    <w:bookmarkEnd w:id="1115"/>
    <w:bookmarkEnd w:id="1116"/>
    <w:bookmarkStart w:id="1117" w:name="statut-juridique-19"/>
    <w:p>
      <w:pPr>
        <w:pStyle w:val="Heading3"/>
      </w:pPr>
      <w:r>
        <w:t xml:space="preserve">Statut juridique</w:t>
      </w:r>
    </w:p>
    <w:p>
      <w:pPr>
        <w:pStyle w:val="FirstParagraph"/>
      </w:pPr>
      <w:r>
        <w:rPr>
          <w:iCs/>
          <w:i/>
        </w:rPr>
        <w:t xml:space="preserve">État 2026, à vérifier.</w:t>
      </w:r>
    </w:p>
    <w:p>
      <w:pPr>
        <w:numPr>
          <w:ilvl w:val="0"/>
          <w:numId w:val="1134"/>
        </w:numPr>
        <w:pStyle w:val="Compact"/>
      </w:pPr>
      <w:r>
        <w:rPr>
          <w:bCs/>
          <w:b/>
        </w:rPr>
        <w:t xml:space="preserve">UE, Allemagne, Autriche :</w:t>
      </w:r>
      <w:r>
        <w:t xml:space="preserve"> </w:t>
      </w:r>
      <w:r>
        <w:t xml:space="preserve">le LL-37 n’est pas autorisé comme médicament. Le développement comme produit de cicatrisation par une entreprise suédoise (sous le nom de ropocamptide) n’a, à la connaissance de l’auteur, pas dépassé la phase 2. La vente en vue d’un usage humain n’est pas permise.</w:t>
      </w:r>
    </w:p>
    <w:p>
      <w:pPr>
        <w:numPr>
          <w:ilvl w:val="0"/>
          <w:numId w:val="1134"/>
        </w:numPr>
        <w:pStyle w:val="Compact"/>
      </w:pPr>
      <w:r>
        <w:rPr>
          <w:bCs/>
          <w:b/>
        </w:rPr>
        <w:t xml:space="preserve">États-Unis :</w:t>
      </w:r>
      <w:r>
        <w:t xml:space="preserve"> </w:t>
      </w:r>
      <w:r>
        <w:t xml:space="preserve">pas d’autorisation de la FDA.</w:t>
      </w:r>
    </w:p>
    <w:p>
      <w:pPr>
        <w:numPr>
          <w:ilvl w:val="0"/>
          <w:numId w:val="1134"/>
        </w:numPr>
        <w:pStyle w:val="Compact"/>
      </w:pPr>
      <w:r>
        <w:rPr>
          <w:bCs/>
          <w:b/>
        </w:rPr>
        <w:t xml:space="preserve">AMA (WADA) :</w:t>
      </w:r>
      <w:r>
        <w:t xml:space="preserve"> </w:t>
      </w:r>
      <w:r>
        <w:t xml:space="preserve">non cité nommément ; selon l’auteur, à classer sous S0 en tant que substance non approuvée.</w:t>
      </w:r>
    </w:p>
    <w:bookmarkEnd w:id="1117"/>
    <w:bookmarkStart w:id="1118" w:name="études-en-cours-et-perspectives-19"/>
    <w:p>
      <w:pPr>
        <w:pStyle w:val="Heading3"/>
      </w:pPr>
      <w:r>
        <w:t xml:space="preserve">Études en cours et perspectives</w:t>
      </w:r>
    </w:p>
    <w:p>
      <w:pPr>
        <w:pStyle w:val="FirstParagraph"/>
      </w:pPr>
      <w:r>
        <w:rPr>
          <w:bCs/>
          <w:b/>
        </w:rPr>
        <w:t xml:space="preserve">Établi :</w:t>
      </w:r>
      <w:r>
        <w:t xml:space="preserve"> </w:t>
      </w:r>
      <w:r>
        <w:t xml:space="preserve">en octobre 2026, aucune étude en cours administrant le LL-37 comme substance active n’est enregistrée sur ClinicalTrials.gov. Les deux entrées avec le LL-37 comme substance active (mélanome, NCT02225366 ; ulcère du pied diabétique, NCT04098562) sont terminées ou de statut inconnu. Les autres entrées du registre ne mesurent le LL-37 que comme biomarqueur, par exemple dans la gencive ou lors d’un apport de vitamine D.</w:t>
      </w:r>
    </w:p>
    <w:p>
      <w:pPr>
        <w:pStyle w:val="BodyText"/>
      </w:pPr>
      <w:r>
        <w:rPr>
          <w:bCs/>
          <w:b/>
        </w:rPr>
        <w:t xml:space="preserve">Appréciation de l’auteur :</w:t>
      </w:r>
      <w:r>
        <w:t xml:space="preserve"> </w:t>
      </w:r>
      <w:r>
        <w:t xml:space="preserve">le LL-37 lui-même n’a sans doute guère d’avenir comme médicament – trop instable, toxique pour les cellules à forte concentration et porteur de risques auto-immuns. La recherche se déplace vers des dérivés raccourcis ou modifiés et vers des moyens d’augmenter la production endogène. Une étude sur les plaies dans le sous-groupe des grands ulcères de jambe, comme la réclament les auteurs de HEAL, serait l’étape logique suivante ; elle n’est pas enregistrée.</w:t>
      </w:r>
    </w:p>
    <w:bookmarkEnd w:id="1118"/>
    <w:bookmarkStart w:id="1120" w:name="conclusion-19"/>
    <w:p>
      <w:pPr>
        <w:pStyle w:val="Heading3"/>
      </w:pPr>
      <w:r>
        <w:t xml:space="preserve">Conclusion</w:t>
      </w:r>
    </w:p>
    <w:p>
      <w:pPr>
        <w:pStyle w:val="FirstParagraph"/>
      </w:pPr>
      <w:r>
        <w:t xml:space="preserve">Le LL-37 est un important peptide de défense endogène, dont le taux a été mesuré dans de nombreuses études – mais il n’a été administré comme substance active chez l’humain que dans quelques petites études. Appliqué sur des plaies, il a été bien toléré, mais la plus grande étude randomisée, avec 148 personnes, n’a trouvé aucun avantage par rapport au placebo</w:t>
      </w:r>
      <w:r>
        <w:rPr>
          <w:rStyle w:val="FootnoteReference"/>
        </w:rPr>
        <w:footnoteReference w:id="1119"/>
      </w:r>
      <w:r>
        <w:t xml:space="preserve">. Parallèlement, le LL-37 joue un rôle de moteur de l’inflammation dans le psoriasis et la rosacée, et un traitement par injection a déclenché dans un cas documenté des lésions cutanées marquées. Pour les applications promues sur Internet – par exemple contre les infections chroniques ou comme stimulant immunitaire injectable – il n’existe pas d’études chez l’humain.</w:t>
      </w:r>
    </w:p>
    <w:bookmarkEnd w:id="1120"/>
    <w:bookmarkEnd w:id="1121"/>
    <w:bookmarkStart w:id="1154" w:name="ara-290-cibinétide"/>
    <w:p>
      <w:pPr>
        <w:pStyle w:val="Heading2"/>
      </w:pPr>
      <w:r>
        <w:t xml:space="preserve">ARA-290 (cibinétide)</w:t>
      </w:r>
    </w:p>
    <w:p>
      <w:pPr>
        <w:pStyle w:val="FirstParagraph"/>
      </w:pPr>
      <w:r>
        <w:t xml:space="preserve">L’ARA-290 est un peptide artificiel dérivé de l’hormone de l’hématopoïèse érythropoïétine (EPO) – celle-là même qui est devenue célèbre comme produit dopant dans le cyclisme. L’ARA-290 n’est toutefois justement pas censé stimuler la production de globules rouges, mais seulement exploiter les propriétés protectrices tissulaires de l’EPO. Dans de petites études sur les douleurs neuropathiques liées à la sarcoïdose, il a montré des signaux encourageants. Dans le milieu du biohacking, il est désormais proposé comme peptide de « régénération nerveuse » et « anti-âge ».</w:t>
      </w:r>
    </w:p>
    <w:bookmarkStart w:id="1124" w:name="fiche-signalétique-20"/>
    <w:p>
      <w:pPr>
        <w:pStyle w:val="Heading3"/>
      </w:pPr>
      <w:r>
        <w:t xml:space="preserve">Fiche signalétique</w:t>
      </w:r>
    </w:p>
    <w:p>
      <w:pPr>
        <w:numPr>
          <w:ilvl w:val="0"/>
          <w:numId w:val="1135"/>
        </w:numPr>
        <w:pStyle w:val="Compact"/>
      </w:pPr>
      <w:r>
        <w:rPr>
          <w:bCs/>
          <w:b/>
        </w:rPr>
        <w:t xml:space="preserve">Type et structure :</w:t>
      </w:r>
      <w:r>
        <w:t xml:space="preserve"> </w:t>
      </w:r>
      <w:r>
        <w:t xml:space="preserve">peptide de synthèse de 11 acides aminés</w:t>
      </w:r>
      <w:r>
        <w:rPr>
          <w:rStyle w:val="FootnoteReference"/>
        </w:rPr>
        <w:footnoteReference w:id="1122"/>
      </w:r>
      <w:r>
        <w:t xml:space="preserve"> </w:t>
      </w:r>
      <w:r>
        <w:t xml:space="preserve">; dénomination de la substance : cibinétide.</w:t>
      </w:r>
    </w:p>
    <w:p>
      <w:pPr>
        <w:numPr>
          <w:ilvl w:val="0"/>
          <w:numId w:val="1135"/>
        </w:numPr>
        <w:pStyle w:val="Compact"/>
      </w:pPr>
      <w:r>
        <w:rPr>
          <w:bCs/>
          <w:b/>
        </w:rPr>
        <w:t xml:space="preserve">Origine :</w:t>
      </w:r>
      <w:r>
        <w:t xml:space="preserve"> </w:t>
      </w:r>
      <w:r>
        <w:t xml:space="preserve">construit d’après un segment de la structure spatiale de l’érythropoïétine censé être responsable de son effet protecteur sur les tissus ; développé par la société américaine Araim Pharmaceuticals.</w:t>
      </w:r>
    </w:p>
    <w:p>
      <w:pPr>
        <w:numPr>
          <w:ilvl w:val="0"/>
          <w:numId w:val="1135"/>
        </w:numPr>
        <w:pStyle w:val="Compact"/>
      </w:pPr>
      <w:r>
        <w:rPr>
          <w:bCs/>
          <w:b/>
        </w:rPr>
        <w:t xml:space="preserve">Principe d’action :</w:t>
      </w:r>
      <w:r>
        <w:t xml:space="preserve"> </w:t>
      </w:r>
      <w:r>
        <w:t xml:space="preserve">se lie à un « récepteur de réparation inné » (une combinaison du récepteur de l’EPO et de la sous-unité de récepteur CD131), et non au récepteur classique de l’EPO responsable de l’hématopoïèse ; censé atténuer les inflammations et stimuler la réparation tissulaire.</w:t>
      </w:r>
    </w:p>
    <w:p>
      <w:pPr>
        <w:numPr>
          <w:ilvl w:val="0"/>
          <w:numId w:val="1135"/>
        </w:numPr>
        <w:pStyle w:val="Compact"/>
      </w:pPr>
      <w:r>
        <w:rPr>
          <w:bCs/>
          <w:b/>
        </w:rPr>
        <w:t xml:space="preserve">Autorisation UE/États-Unis :</w:t>
      </w:r>
      <w:r>
        <w:t xml:space="preserve"> </w:t>
      </w:r>
      <w:r>
        <w:t xml:space="preserve">non.</w:t>
      </w:r>
    </w:p>
    <w:p>
      <w:pPr>
        <w:numPr>
          <w:ilvl w:val="0"/>
          <w:numId w:val="1135"/>
        </w:numPr>
        <w:pStyle w:val="Compact"/>
      </w:pPr>
      <w:r>
        <w:rPr>
          <w:bCs/>
          <w:b/>
        </w:rPr>
        <w:t xml:space="preserve">AMA (WADA) :</w:t>
      </w:r>
      <w:r>
        <w:t xml:space="preserve"> </w:t>
      </w:r>
      <w:r>
        <w:t xml:space="preserve">interdit – les agonistes non hématopoïétiques du récepteur de l’EPO comme l’ARA-290 sont expressément cités dans la classe S2 ; des laboratoires antidopage ont développé des méthodes de détection</w:t>
      </w:r>
      <w:r>
        <w:rPr>
          <w:rStyle w:val="FootnoteReference"/>
        </w:rPr>
        <w:footnoteReference w:id="1123"/>
      </w:r>
      <w:r>
        <w:t xml:space="preserve">.</w:t>
      </w:r>
    </w:p>
    <w:p>
      <w:pPr>
        <w:numPr>
          <w:ilvl w:val="0"/>
          <w:numId w:val="1135"/>
        </w:numPr>
        <w:pStyle w:val="Compact"/>
      </w:pPr>
      <w:r>
        <w:rPr>
          <w:bCs/>
          <w:b/>
        </w:rPr>
        <w:t xml:space="preserve">Niveau de preuve : B</w:t>
      </w:r>
      <w:r>
        <w:t xml:space="preserve"> </w:t>
      </w:r>
      <w:r>
        <w:t xml:space="preserve">– plusieurs petites études de phase 2 randomisées contrôlées contre placebo ; aucune étude de phase 3.</w:t>
      </w:r>
    </w:p>
    <w:bookmarkEnd w:id="1124"/>
    <w:bookmarkStart w:id="1127" w:name="mode-daction-supposé-20"/>
    <w:p>
      <w:pPr>
        <w:pStyle w:val="Heading3"/>
      </w:pPr>
      <w:r>
        <w:t xml:space="preserve">Mode d’action supposé</w:t>
      </w:r>
    </w:p>
    <w:p>
      <w:pPr>
        <w:pStyle w:val="FirstParagraph"/>
      </w:pPr>
      <w:r>
        <w:t xml:space="preserve">L’érythropoïétine est produite dans le rein et stimule la formation de globules rouges dans la moelle osseuse. Dans les années 2000, des expériences animales ont montré que l’EPO pouvait en outre protéger les nerfs, le cœur et les reins contre des lésions. Comme médicament, l’EPO ne convient cependant pas à cet usage : elle augmente le nombre de globules rouges, épaissit le sang et accroît le risque de thrombose.</w:t>
      </w:r>
    </w:p>
    <w:p>
      <w:pPr>
        <w:pStyle w:val="BodyText"/>
      </w:pPr>
      <w:r>
        <w:t xml:space="preserve">Les développeurs de l’ARA-290 ont supposé que l’effet protecteur passait par un autre récepteur que l’hématopoïèse. Ce « récepteur de réparation » n’est produit en plus grande quantité qu’en cas de lésion tissulaire ou d’inflammation. L’ARA-290 est censé n’activer que lui, de manière ciblée. Chez des rats présentant une lésion nerveuse, il a réduit de façon dose-dépendante l’hypersensibilité au toucher et au froid pendant jusqu’à 20 semaines et atténué l’activation des cellules immunitaires dans la moelle épinière</w:t>
      </w:r>
      <w:r>
        <w:rPr>
          <w:rStyle w:val="FootnoteReference"/>
        </w:rPr>
        <w:footnoteReference w:id="1125"/>
      </w:r>
      <w:r>
        <w:t xml:space="preserve">.</w:t>
      </w:r>
    </w:p>
    <w:p>
      <w:pPr>
        <w:pStyle w:val="BodyText"/>
      </w:pPr>
      <w:r>
        <w:t xml:space="preserve">L’ARA-290 est rapidement dégradé dans le sang ; un laboratoire antidopage a décrit une dégradation enzymatique marquée, avec un produit de dégradation principal</w:t>
      </w:r>
      <w:r>
        <w:rPr>
          <w:rStyle w:val="FootnoteReference"/>
        </w:rPr>
        <w:footnoteReference w:id="1126"/>
      </w:r>
      <w:r>
        <w:t xml:space="preserve">.</w:t>
      </w:r>
    </w:p>
    <w:bookmarkEnd w:id="1127"/>
    <w:bookmarkStart w:id="1136" w:name="études-chez-lhumain-20"/>
    <w:p>
      <w:pPr>
        <w:pStyle w:val="Heading3"/>
      </w:pPr>
      <w:r>
        <w:t xml:space="preserve">Études chez l’humain</w:t>
      </w:r>
    </w:p>
    <w:p>
      <w:pPr>
        <w:pStyle w:val="FirstParagraph"/>
      </w:pPr>
      <w:r>
        <w:rPr>
          <w:bCs/>
          <w:b/>
        </w:rPr>
        <w:t xml:space="preserve">Ampleur des données (requête d’octobre 2026) :</w:t>
      </w:r>
      <w:r>
        <w:t xml:space="preserve"> </w:t>
      </w:r>
      <w:r>
        <w:t xml:space="preserve">la recherche automatisée a trouvé</w:t>
      </w:r>
      <w:r>
        <w:t xml:space="preserve"> </w:t>
      </w:r>
      <w:r>
        <w:rPr>
          <w:bCs/>
          <w:b/>
        </w:rPr>
        <w:t xml:space="preserve">5</w:t>
      </w:r>
      <w:r>
        <w:t xml:space="preserve"> </w:t>
      </w:r>
      <w:r>
        <w:t xml:space="preserve">études chez l’humain dans PubMed et</w:t>
      </w:r>
      <w:r>
        <w:t xml:space="preserve"> </w:t>
      </w:r>
      <w:r>
        <w:rPr>
          <w:bCs/>
          <w:b/>
        </w:rPr>
        <w:t xml:space="preserve">5</w:t>
      </w:r>
      <w:r>
        <w:t xml:space="preserve"> </w:t>
      </w:r>
      <w:r>
        <w:t xml:space="preserve">entrées sur ClinicalTrials.gov. Une autre étude (œdème maculaire diabétique) a fait l’objet d’une recherche ciblée. Toutes les études sont petites et ont duré de quatre à douze semaines.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schéma</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Sarcoïdose, étude pilote (Heij 2012, PMID 23168581)</w:t>
            </w:r>
          </w:p>
        </w:tc>
        <w:tc>
          <w:tcPr/>
          <w:p>
            <w:pPr>
              <w:pStyle w:val="Compact"/>
              <w:jc w:val="left"/>
            </w:pPr>
            <w:r>
              <w:t xml:space="preserve">22 personnes souffrant de douleurs neuropathiques liées à la sarcoïdose, ECR en double aveugle, perfusion</w:t>
            </w:r>
          </w:p>
        </w:tc>
        <w:tc>
          <w:tcPr/>
          <w:p>
            <w:pPr>
              <w:pStyle w:val="Compact"/>
              <w:jc w:val="left"/>
            </w:pPr>
            <w:r>
              <w:t xml:space="preserve">4 semaines</w:t>
            </w:r>
          </w:p>
        </w:tc>
        <w:tc>
          <w:tcPr/>
          <w:p>
            <w:pPr>
              <w:pStyle w:val="Compact"/>
              <w:jc w:val="left"/>
            </w:pPr>
            <w:r>
              <w:t xml:space="preserve">questionnaire de neuropathie −11,5 vs −2,9 points ; échelle principale de la douleur améliorée de la même façon dans les deux groupes</w:t>
            </w:r>
          </w:p>
        </w:tc>
      </w:tr>
      <w:tr>
        <w:tc>
          <w:tcPr/>
          <w:p>
            <w:pPr>
              <w:pStyle w:val="Compact"/>
              <w:jc w:val="left"/>
            </w:pPr>
            <w:r>
              <w:t xml:space="preserve">Sarcoïdose, injection sous-cutanée (Dahan 2013, PMID 24136731)</w:t>
            </w:r>
          </w:p>
        </w:tc>
        <w:tc>
          <w:tcPr/>
          <w:p>
            <w:pPr>
              <w:pStyle w:val="Compact"/>
              <w:jc w:val="left"/>
            </w:pPr>
            <w:r>
              <w:t xml:space="preserve">personnes avec perte de fibres nerveuses liée à la sarcoïdose, étude en aveugle contrôlée contre placebo</w:t>
            </w:r>
          </w:p>
        </w:tc>
        <w:tc>
          <w:tcPr/>
          <w:p>
            <w:pPr>
              <w:pStyle w:val="Compact"/>
              <w:jc w:val="left"/>
            </w:pPr>
            <w:r>
              <w:t xml:space="preserve">28 jours</w:t>
            </w:r>
          </w:p>
        </w:tc>
        <w:tc>
          <w:tcPr/>
          <w:p>
            <w:pPr>
              <w:pStyle w:val="Compact"/>
              <w:jc w:val="left"/>
            </w:pPr>
            <w:r>
              <w:t xml:space="preserve">amélioration des symptômes, davantage de fibres nerveuses dans la cornée, distance de marche plus longue</w:t>
            </w:r>
          </w:p>
        </w:tc>
      </w:tr>
      <w:tr>
        <w:tc>
          <w:tcPr/>
          <w:p>
            <w:pPr>
              <w:pStyle w:val="Compact"/>
              <w:jc w:val="left"/>
            </w:pPr>
            <w:r>
              <w:t xml:space="preserve">Sarcoïdose, phase 2b (Culver 2017, PMID 28475703 ; NCT02039687)</w:t>
            </w:r>
          </w:p>
        </w:tc>
        <w:tc>
          <w:tcPr/>
          <w:p>
            <w:pPr>
              <w:pStyle w:val="Compact"/>
              <w:jc w:val="left"/>
            </w:pPr>
            <w:r>
              <w:t xml:space="preserve">64 personnes, ECR avec trois doses et placebo</w:t>
            </w:r>
          </w:p>
        </w:tc>
        <w:tc>
          <w:tcPr/>
          <w:p>
            <w:pPr>
              <w:pStyle w:val="Compact"/>
              <w:jc w:val="left"/>
            </w:pPr>
            <w:r>
              <w:t xml:space="preserve">28 jours</w:t>
            </w:r>
          </w:p>
        </w:tc>
        <w:tc>
          <w:tcPr/>
          <w:p>
            <w:pPr>
              <w:pStyle w:val="Compact"/>
              <w:jc w:val="left"/>
            </w:pPr>
            <w:r>
              <w:t xml:space="preserve">surface des fibres nerveuses cornéennes significativement augmentée uniquement à la dose intermédiaire ; douleur améliorée dans tous les groupes, placebo compris</w:t>
            </w:r>
          </w:p>
        </w:tc>
      </w:tr>
      <w:tr>
        <w:tc>
          <w:tcPr/>
          <w:p>
            <w:pPr>
              <w:pStyle w:val="Compact"/>
              <w:jc w:val="left"/>
            </w:pPr>
            <w:r>
              <w:t xml:space="preserve">Diabète de type 2 avec neuropathie (Brines 2015, PMID 25387363)</w:t>
            </w:r>
          </w:p>
        </w:tc>
        <w:tc>
          <w:tcPr/>
          <w:p>
            <w:pPr>
              <w:pStyle w:val="Compact"/>
              <w:jc w:val="left"/>
            </w:pPr>
            <w:r>
              <w:t xml:space="preserve">personnes atteintes de diabète de type 2 et de douleurs neuropathiques, phase 2, contre placebo</w:t>
            </w:r>
          </w:p>
        </w:tc>
        <w:tc>
          <w:tcPr/>
          <w:p>
            <w:pPr>
              <w:pStyle w:val="Compact"/>
              <w:jc w:val="left"/>
            </w:pPr>
            <w:r>
              <w:t xml:space="preserve">28 jours plus 28 jours</w:t>
            </w:r>
          </w:p>
        </w:tc>
        <w:tc>
          <w:tcPr/>
          <w:p>
            <w:pPr>
              <w:pStyle w:val="Compact"/>
              <w:jc w:val="left"/>
            </w:pPr>
            <w:r>
              <w:t xml:space="preserve">HbA1c et lipides sanguins améliorés, questionnaire de neuropathie meilleur</w:t>
            </w:r>
          </w:p>
        </w:tc>
      </w:tr>
      <w:tr>
        <w:tc>
          <w:tcPr/>
          <w:p>
            <w:pPr>
              <w:pStyle w:val="Compact"/>
              <w:jc w:val="left"/>
            </w:pPr>
            <w:r>
              <w:t xml:space="preserve">Œdème maculaire diabétique (Lois 2020, PMID 32674280)</w:t>
            </w:r>
          </w:p>
        </w:tc>
        <w:tc>
          <w:tcPr/>
          <w:p>
            <w:pPr>
              <w:pStyle w:val="Compact"/>
              <w:jc w:val="left"/>
            </w:pPr>
            <w:r>
              <w:t xml:space="preserve">9 personnes, phase 2 sans groupe témoin</w:t>
            </w:r>
          </w:p>
        </w:tc>
        <w:tc>
          <w:tcPr/>
          <w:p>
            <w:pPr>
              <w:pStyle w:val="Compact"/>
              <w:jc w:val="left"/>
            </w:pPr>
            <w:r>
              <w:t xml:space="preserve">12 semaines</w:t>
            </w:r>
          </w:p>
        </w:tc>
        <w:tc>
          <w:tcPr/>
          <w:p>
            <w:pPr>
              <w:pStyle w:val="Compact"/>
              <w:jc w:val="left"/>
            </w:pPr>
            <w:r>
              <w:t xml:space="preserve">aucune amélioration de l’acuité visuelle ni de l’épaisseur rétinienne ; pas d’anticorps contre la substance</w:t>
            </w:r>
          </w:p>
        </w:tc>
      </w:tr>
      <w:tr>
        <w:tc>
          <w:tcPr/>
          <w:p>
            <w:pPr>
              <w:pStyle w:val="Compact"/>
              <w:jc w:val="left"/>
            </w:pPr>
            <w:r>
              <w:t xml:space="preserve">Volontaires sains, humeur (Cerit 2015, PMID 26431906)</w:t>
            </w:r>
          </w:p>
        </w:tc>
        <w:tc>
          <w:tcPr/>
          <w:p>
            <w:pPr>
              <w:pStyle w:val="Compact"/>
              <w:jc w:val="left"/>
            </w:pPr>
            <w:r>
              <w:t xml:space="preserve">36 volontaires sains, ECR en double aveugle, dose unique</w:t>
            </w:r>
          </w:p>
        </w:tc>
        <w:tc>
          <w:tcPr/>
          <w:p>
            <w:pPr>
              <w:pStyle w:val="Compact"/>
              <w:jc w:val="left"/>
            </w:pPr>
            <w:r>
              <w:t xml:space="preserve">1 semaine</w:t>
            </w:r>
          </w:p>
        </w:tc>
        <w:tc>
          <w:tcPr/>
          <w:p>
            <w:pPr>
              <w:pStyle w:val="Compact"/>
              <w:jc w:val="left"/>
            </w:pPr>
            <w:r>
              <w:t xml:space="preserve">aucun effet sur l’humeur ; les résultats ne plaident pas clairement pour un effet antidépresseur</w:t>
            </w:r>
          </w:p>
        </w:tc>
      </w:tr>
    </w:tbl>
    <w:bookmarkStart w:id="1131" w:name="Xf3f06a2e03bf695b39ca843060869bf9bfd3edd"/>
    <w:p>
      <w:pPr>
        <w:pStyle w:val="Heading4"/>
      </w:pPr>
      <w:r>
        <w:t xml:space="preserve">Sarcoïdose – le principal domaine d’application</w:t>
      </w:r>
    </w:p>
    <w:p>
      <w:pPr>
        <w:pStyle w:val="FirstParagraph"/>
      </w:pPr>
      <w:r>
        <w:t xml:space="preserve">La sarcoïdose est une maladie inflammatoire dans laquelle de petits nodules se forment dans les poumons, la peau, les yeux et d’autres organes. De nombreuses personnes atteintes souffrent de douleurs brûlantes et de dysesthésies dues à l’atteinte de fines fibres nerveuses (neuropathie des petites fibres). Il n’existe guère de traitements efficaces.</w:t>
      </w:r>
    </w:p>
    <w:p>
      <w:pPr>
        <w:pStyle w:val="BodyText"/>
      </w:pPr>
      <w:r>
        <w:t xml:space="preserve">Dans la première étude pilote avec 22 personnes, un questionnaire sur les symptômes de neuropathie s’est nettement plus amélioré sous ARA-290 que sous placebo. Les valeurs du questionnaire principal de la douleur et de la fatigue se sont toutefois améliorées de manière identique dans les deux groupes – un indice d’un effet placebo considérable</w:t>
      </w:r>
      <w:r>
        <w:rPr>
          <w:rStyle w:val="FootnoteReference"/>
        </w:rPr>
        <w:footnoteReference w:id="1128"/>
      </w:r>
      <w:r>
        <w:t xml:space="preserve">.</w:t>
      </w:r>
    </w:p>
    <w:p>
      <w:pPr>
        <w:pStyle w:val="BodyText"/>
      </w:pPr>
      <w:r>
        <w:t xml:space="preserve">La plus grande étude, une étude de phase 2b avec 64 personnes, a choisi comme critère principal la surface des fines fibres nerveuses de la cornée de l’œil, mesurable avec un microscope spécial. Seule la dose intermédiaire, sur trois, a augmenté significativement cette surface par rapport au placebo ; la dose faible et la dose élevée n’ont pas montré d’effet significatif. Les douleurs se sont améliorées dans tous les groupes, y compris sous placebo</w:t>
      </w:r>
      <w:r>
        <w:rPr>
          <w:rStyle w:val="FootnoteReference"/>
        </w:rPr>
        <w:footnoteReference w:id="1129"/>
      </w:r>
      <w:r>
        <w:t xml:space="preserve">. Les fibres nerveuses cornéennes sont un marqueur de substitution (critère de substitution) : il n’est pas démontré que davantage de fibres nerveuses dans la cornée signifie aussi durablement moins de douleurs.</w:t>
      </w:r>
    </w:p>
    <w:p>
      <w:pPr>
        <w:pStyle w:val="BodyText"/>
      </w:pPr>
      <w:r>
        <w:t xml:space="preserve">Une synthèse rédigée par des membres du groupe de recherche de Leyde a jugé les perspectives prometteuses</w:t>
      </w:r>
      <w:r>
        <w:rPr>
          <w:rStyle w:val="FootnoteReference"/>
        </w:rPr>
        <w:footnoteReference w:id="1130"/>
      </w:r>
      <w:r>
        <w:t xml:space="preserve">. Il faut noter qu’une grande partie des études provient de la société développeuse et de chercheurs qui lui sont étroitement liés.</w:t>
      </w:r>
    </w:p>
    <w:bookmarkEnd w:id="1131"/>
    <w:bookmarkStart w:id="1135" w:name="diabète"/>
    <w:p>
      <w:pPr>
        <w:pStyle w:val="Heading4"/>
      </w:pPr>
      <w:r>
        <w:t xml:space="preserve">Diabète</w:t>
      </w:r>
    </w:p>
    <w:p>
      <w:pPr>
        <w:pStyle w:val="FirstParagraph"/>
      </w:pPr>
      <w:r>
        <w:t xml:space="preserve">Chez des personnes atteintes de diabète de type 2 et de neuropathie douloureuse, l’HbA1c (glycémie à long terme), les lipides sanguins et les symptômes de neuropathie se sont améliorés sous ARA-290 sur 28 jours</w:t>
      </w:r>
      <w:r>
        <w:rPr>
          <w:rStyle w:val="FootnoteReference"/>
        </w:rPr>
        <w:footnoteReference w:id="1132"/>
      </w:r>
      <w:r>
        <w:t xml:space="preserve">. Le nombre de participants n’est pas indiqué dans le résumé ; l’étude était courte. Une étude suédoise enregistrée séparément sur l’effet glycémique dans le prédiabète, avec 24 personnes prévues, a un statut inconnu</w:t>
      </w:r>
      <w:r>
        <w:rPr>
          <w:rStyle w:val="FootnoteReference"/>
        </w:rPr>
        <w:footnoteReference w:id="1133"/>
      </w:r>
      <w:r>
        <w:t xml:space="preserve">. Chez neuf personnes atteintes d’œdème maculaire diabétique – un gonflement du centre de la rétine –, l’acuité visuelle et l’épaisseur rétinienne ne se sont pas améliorées</w:t>
      </w:r>
      <w:r>
        <w:rPr>
          <w:rStyle w:val="FootnoteReference"/>
        </w:rPr>
        <w:footnoteReference w:id="1134"/>
      </w:r>
      <w:r>
        <w:t xml:space="preserve">.</w:t>
      </w:r>
    </w:p>
    <w:bookmarkEnd w:id="1135"/>
    <w:bookmarkEnd w:id="1136"/>
    <w:bookmarkStart w:id="1142" w:name="études-animales-et-de-laboratoire-20"/>
    <w:p>
      <w:pPr>
        <w:pStyle w:val="Heading3"/>
      </w:pPr>
      <w:r>
        <w:t xml:space="preserve">Études animales et de laboratoire</w:t>
      </w:r>
    </w:p>
    <w:p>
      <w:pPr>
        <w:pStyle w:val="FirstParagraph"/>
      </w:pPr>
      <w:r>
        <w:t xml:space="preserve">La recherche animale sur l’ARA-290 est vaste. Chez le rat, la souris et le porc, des effets protecteurs ont été décrits dans les douleurs neuropathiques</w:t>
      </w:r>
      <w:r>
        <w:rPr>
          <w:rStyle w:val="FootnoteReference"/>
        </w:rPr>
        <w:footnoteReference w:id="1137"/>
      </w:r>
      <w:r>
        <w:t xml:space="preserve">, les lésions rénales après trouble circulatoire chez le porc</w:t>
      </w:r>
      <w:r>
        <w:rPr>
          <w:rStyle w:val="FootnoteReference"/>
        </w:rPr>
        <w:footnoteReference w:id="1138"/>
      </w:r>
      <w:r>
        <w:t xml:space="preserve">, le diabète chez le rat</w:t>
      </w:r>
      <w:r>
        <w:rPr>
          <w:rStyle w:val="FootnoteReference"/>
        </w:rPr>
        <w:footnoteReference w:id="1139"/>
      </w:r>
      <w:r>
        <w:t xml:space="preserve"> </w:t>
      </w:r>
      <w:r>
        <w:t xml:space="preserve">et des modifications de type Alzheimer</w:t>
      </w:r>
      <w:r>
        <w:rPr>
          <w:rStyle w:val="FootnoteReference"/>
        </w:rPr>
        <w:footnoteReference w:id="1140"/>
      </w:r>
      <w:r>
        <w:t xml:space="preserve">. Dans une étude à long terme sur des rats vieillissants pendant 15 mois, l’ARA-290 a réduit les signes inflammatoires dans le cœur et atténué la détérioration de la fonction cardiaque liée à l’âge</w:t>
      </w:r>
      <w:r>
        <w:rPr>
          <w:rStyle w:val="FootnoteReference"/>
        </w:rPr>
        <w:footnoteReference w:id="1141"/>
      </w:r>
      <w:r>
        <w:t xml:space="preserve"> </w:t>
      </w:r>
      <w:r>
        <w:t xml:space="preserve">– c’est sur ce travail que s’appuie sa commercialisation comme « peptide anti-âge ». Tous ces résultats proviennent d’expériences animales.</w:t>
      </w:r>
    </w:p>
    <w:bookmarkEnd w:id="1142"/>
    <w:bookmarkStart w:id="1147" w:name="risques-et-effets-indésirables-20"/>
    <w:p>
      <w:pPr>
        <w:pStyle w:val="Heading3"/>
      </w:pPr>
      <w:r>
        <w:t xml:space="preserve">Risques et effets indésirables</w:t>
      </w:r>
    </w:p>
    <w:bookmarkStart w:id="1145" w:name="établi-4"/>
    <w:p>
      <w:pPr>
        <w:pStyle w:val="Heading4"/>
      </w:pPr>
      <w:r>
        <w:t xml:space="preserve">Établi</w:t>
      </w:r>
    </w:p>
    <w:p>
      <w:pPr>
        <w:pStyle w:val="FirstParagraph"/>
      </w:pPr>
      <w:r>
        <w:t xml:space="preserve">Aucune étude publiée n’a rapporté de problème de sécurité</w:t>
      </w:r>
      <w:r>
        <w:rPr>
          <w:rStyle w:val="FootnoteReference"/>
        </w:rPr>
        <w:footnoteReference w:id="1143"/>
      </w:r>
      <w:r>
        <w:t xml:space="preserve">. Dans l’étude sur l’œdème maculaire, sur douze semaines, aucun effet indésirable grave et aucun anticorps contre l’ARA-290 ne sont apparus</w:t>
      </w:r>
      <w:r>
        <w:rPr>
          <w:rStyle w:val="FootnoteReference"/>
        </w:rPr>
        <w:footnoteReference w:id="1144"/>
      </w:r>
      <w:r>
        <w:t xml:space="preserve">. La base de données est toutefois réduite, avec nettement moins de 200 personnes traitées au total et des durées de traitement de douze semaines au plus.</w:t>
      </w:r>
    </w:p>
    <w:bookmarkEnd w:id="1145"/>
    <w:bookmarkStart w:id="1146" w:name="théorique-1"/>
    <w:p>
      <w:pPr>
        <w:pStyle w:val="Heading4"/>
      </w:pPr>
      <w:r>
        <w:t xml:space="preserve">Théorique</w:t>
      </w:r>
    </w:p>
    <w:p>
      <w:pPr>
        <w:numPr>
          <w:ilvl w:val="0"/>
          <w:numId w:val="1136"/>
        </w:numPr>
        <w:pStyle w:val="Compact"/>
      </w:pPr>
      <w:r>
        <w:rPr>
          <w:bCs/>
          <w:b/>
        </w:rPr>
        <w:t xml:space="preserve">Effets de type EPO :</w:t>
      </w:r>
      <w:r>
        <w:t xml:space="preserve"> </w:t>
      </w:r>
      <w:r>
        <w:t xml:space="preserve">l’ARA-290 a été conçu pour ne pas stimuler l’hématopoïèse. On n’a pas étudié chez l’humain si des effets de type EPO apparaissent néanmoins lors d’une utilisation prolongée ou à des doses plus élevées, comme celles qui circulent sur le marché gris.</w:t>
      </w:r>
    </w:p>
    <w:p>
      <w:pPr>
        <w:numPr>
          <w:ilvl w:val="0"/>
          <w:numId w:val="1136"/>
        </w:numPr>
        <w:pStyle w:val="Compact"/>
      </w:pPr>
      <w:r>
        <w:rPr>
          <w:bCs/>
          <w:b/>
        </w:rPr>
        <w:t xml:space="preserve">Croissance tumorale :</w:t>
      </w:r>
      <w:r>
        <w:t xml:space="preserve"> </w:t>
      </w:r>
      <w:r>
        <w:t xml:space="preserve">l’EPO elle-même est soupçonnée de favoriser la croissance tumorale dans certains cancers. On ignore si cela joue un rôle pour l’ARA-290 ; les données à long terme manquent.</w:t>
      </w:r>
    </w:p>
    <w:p>
      <w:pPr>
        <w:numPr>
          <w:ilvl w:val="0"/>
          <w:numId w:val="1136"/>
        </w:numPr>
        <w:pStyle w:val="Compact"/>
      </w:pPr>
      <w:r>
        <w:rPr>
          <w:bCs/>
          <w:b/>
        </w:rPr>
        <w:t xml:space="preserve">Marché gris :</w:t>
      </w:r>
      <w:r>
        <w:t xml:space="preserve"> </w:t>
      </w:r>
      <w:r>
        <w:t xml:space="preserve">les études ont été menées avec une qualité pharmaceutique. Pour les produits vendus librement, la pureté et la teneur sont inconnues.</w:t>
      </w:r>
    </w:p>
    <w:bookmarkEnd w:id="1146"/>
    <w:bookmarkEnd w:id="1147"/>
    <w:bookmarkStart w:id="1148" w:name="statut-juridique-20"/>
    <w:p>
      <w:pPr>
        <w:pStyle w:val="Heading3"/>
      </w:pPr>
      <w:r>
        <w:t xml:space="preserve">Statut juridique</w:t>
      </w:r>
    </w:p>
    <w:p>
      <w:pPr>
        <w:pStyle w:val="FirstParagraph"/>
      </w:pPr>
      <w:r>
        <w:rPr>
          <w:iCs/>
          <w:i/>
        </w:rPr>
        <w:t xml:space="preserve">État 2026, à vérifier.</w:t>
      </w:r>
    </w:p>
    <w:p>
      <w:pPr>
        <w:numPr>
          <w:ilvl w:val="0"/>
          <w:numId w:val="1137"/>
        </w:numPr>
        <w:pStyle w:val="Compact"/>
      </w:pPr>
      <w:r>
        <w:rPr>
          <w:bCs/>
          <w:b/>
        </w:rPr>
        <w:t xml:space="preserve">UE, Allemagne, Autriche :</w:t>
      </w:r>
      <w:r>
        <w:t xml:space="preserve"> </w:t>
      </w:r>
      <w:r>
        <w:t xml:space="preserve">non autorisé. La délivrance en vue d’un usage humain n’est pas permise.</w:t>
      </w:r>
    </w:p>
    <w:p>
      <w:pPr>
        <w:numPr>
          <w:ilvl w:val="0"/>
          <w:numId w:val="1137"/>
        </w:numPr>
        <w:pStyle w:val="Compact"/>
      </w:pPr>
      <w:r>
        <w:rPr>
          <w:bCs/>
          <w:b/>
        </w:rPr>
        <w:t xml:space="preserve">États-Unis :</w:t>
      </w:r>
      <w:r>
        <w:t xml:space="preserve"> </w:t>
      </w:r>
      <w:r>
        <w:t xml:space="preserve">pas d’autorisation de la FDA.</w:t>
      </w:r>
    </w:p>
    <w:p>
      <w:pPr>
        <w:numPr>
          <w:ilvl w:val="0"/>
          <w:numId w:val="1137"/>
        </w:numPr>
        <w:pStyle w:val="Compact"/>
      </w:pPr>
      <w:r>
        <w:rPr>
          <w:bCs/>
          <w:b/>
        </w:rPr>
        <w:t xml:space="preserve">AMA (WADA) :</w:t>
      </w:r>
      <w:r>
        <w:t xml:space="preserve"> </w:t>
      </w:r>
      <w:r>
        <w:t xml:space="preserve">interdit en compétition et hors compétition (S2, hormones peptidiques et substances apparentées ; l’ARA-290 est cité comme exemple d’agoniste non hématopoïétique du récepteur de l’EPO).</w:t>
      </w:r>
    </w:p>
    <w:bookmarkEnd w:id="1148"/>
    <w:bookmarkStart w:id="1151" w:name="études-en-cours-et-perspectives-20"/>
    <w:p>
      <w:pPr>
        <w:pStyle w:val="Heading3"/>
      </w:pPr>
      <w:r>
        <w:t xml:space="preserve">Études en cours et perspectives</w:t>
      </w:r>
    </w:p>
    <w:p>
      <w:pPr>
        <w:pStyle w:val="FirstParagraph"/>
      </w:pPr>
      <w:r>
        <w:rPr>
          <w:bCs/>
          <w:b/>
        </w:rPr>
        <w:t xml:space="preserve">Établi :</w:t>
      </w:r>
      <w:r>
        <w:t xml:space="preserve"> </w:t>
      </w:r>
      <w:r>
        <w:t xml:space="preserve">en octobre 2026, aucune étude en cours sur l’ARA-290 ou le cibinétide n’est enregistrée sur ClinicalTrials.gov. La plus grande étude à ce jour</w:t>
      </w:r>
      <w:r>
        <w:rPr>
          <w:rStyle w:val="FootnoteReference"/>
        </w:rPr>
        <w:footnoteReference w:id="1149"/>
      </w:r>
      <w:r>
        <w:t xml:space="preserve"> </w:t>
      </w:r>
      <w:r>
        <w:t xml:space="preserve">s’est terminée en 2015 ; aucune étude de phase 3 n’a été lancée depuis. L’étude sur l’œdème maculaire s’est achevée avec neuf personnes</w:t>
      </w:r>
      <w:r>
        <w:rPr>
          <w:rStyle w:val="FootnoteReference"/>
        </w:rPr>
        <w:footnoteReference w:id="1150"/>
      </w:r>
      <w:r>
        <w:t xml:space="preserve">.</w:t>
      </w:r>
    </w:p>
    <w:p>
      <w:pPr>
        <w:pStyle w:val="BodyText"/>
      </w:pPr>
      <w:r>
        <w:rPr>
          <w:bCs/>
          <w:b/>
        </w:rPr>
        <w:t xml:space="preserve">Appréciation de l’auteur :</w:t>
      </w:r>
      <w:r>
        <w:t xml:space="preserve"> </w:t>
      </w:r>
      <w:r>
        <w:t xml:space="preserve">les résultats dans la neuropathie de la sarcoïdose étaient assez intéressants pour une étude de phase 3, qui n’a cependant visiblement pas été lancée plus de dix ans après l’étude de phase 2b. Sans nouveau développeur ou financeur, une autorisation est improbable. La commercialisation sur le marché gris comme produit anti-âge s’appuie sur des études chez le rat et n’a pas grand-chose à voir avec les applications étudiées chez l’humain.</w:t>
      </w:r>
    </w:p>
    <w:bookmarkEnd w:id="1151"/>
    <w:bookmarkStart w:id="1153" w:name="conclusion-20"/>
    <w:p>
      <w:pPr>
        <w:pStyle w:val="Heading3"/>
      </w:pPr>
      <w:r>
        <w:t xml:space="preserve">Conclusion</w:t>
      </w:r>
    </w:p>
    <w:p>
      <w:pPr>
        <w:pStyle w:val="FirstParagraph"/>
      </w:pPr>
      <w:r>
        <w:t xml:space="preserve">L’ARA-290 est un peptide dérivé de l’érythropoïétine, censé protéger les tissus sans stimuler l’hématopoïèse. Dans de petites études randomisées sur l’atteinte nerveuse liée à la sarcoïdose, les fibres nerveuses de la cornée ont augmenté, mais seulement à une dose sur trois, et les douleurs se sont aussi nettement améliorées sous placebo</w:t>
      </w:r>
      <w:r>
        <w:rPr>
          <w:rStyle w:val="FootnoteReference"/>
        </w:rPr>
        <w:footnoteReference w:id="1152"/>
      </w:r>
      <w:r>
        <w:t xml:space="preserve">. La tolérance était bonne dans les études courtes ; les données à long terme manquent. Depuis 2015, il n’y a pas de nouvelles études enregistrées ; dans le sport, l’ARA-290 est interdit.</w:t>
      </w:r>
    </w:p>
    <w:bookmarkEnd w:id="1153"/>
    <w:bookmarkEnd w:id="1154"/>
    <w:bookmarkStart w:id="1192" w:name="larazotide"/>
    <w:p>
      <w:pPr>
        <w:pStyle w:val="Heading2"/>
      </w:pPr>
      <w:r>
        <w:t xml:space="preserve">Larazotide</w:t>
      </w:r>
    </w:p>
    <w:p>
      <w:pPr>
        <w:pStyle w:val="FirstParagraph"/>
      </w:pPr>
      <w:r>
        <w:t xml:space="preserve">Le larazotide est le seul peptide de ce groupe à être parvenu jusqu’à une étude d’homologation de phase 3 sans avoir été autorisé auparavant nulle part. Il devait devenir le premier médicament contre la maladie cœliaque – une maladie pour laquelle seul un régime sans gluten à vie est efficace à ce jour. Le concept sous-jacent, l’étanchéification d’une paroi intestinale « perméable », rend aussi le larazotide intéressant pour le milieu du « leaky gut ». L’histoire de cette substance montre combien il est difficile de transformer une idée plausible en médicament efficace.</w:t>
      </w:r>
    </w:p>
    <w:bookmarkStart w:id="1156" w:name="fiche-signalétique-21"/>
    <w:p>
      <w:pPr>
        <w:pStyle w:val="Heading3"/>
      </w:pPr>
      <w:r>
        <w:t xml:space="preserve">Fiche signalétique</w:t>
      </w:r>
    </w:p>
    <w:p>
      <w:pPr>
        <w:numPr>
          <w:ilvl w:val="0"/>
          <w:numId w:val="1138"/>
        </w:numPr>
        <w:pStyle w:val="Compact"/>
      </w:pPr>
      <w:r>
        <w:rPr>
          <w:bCs/>
          <w:b/>
        </w:rPr>
        <w:t xml:space="preserve">Type et structure :</w:t>
      </w:r>
      <w:r>
        <w:t xml:space="preserve"> </w:t>
      </w:r>
      <w:r>
        <w:t xml:space="preserve">peptide de synthèse de 8 acides aminés</w:t>
      </w:r>
      <w:r>
        <w:rPr>
          <w:rStyle w:val="FootnoteReference"/>
        </w:rPr>
        <w:footnoteReference w:id="1155"/>
      </w:r>
      <w:r>
        <w:t xml:space="preserve">, sous forme de sel d’acétate (acétate de larazotide) ; code de développement AT-1001.</w:t>
      </w:r>
    </w:p>
    <w:p>
      <w:pPr>
        <w:numPr>
          <w:ilvl w:val="0"/>
          <w:numId w:val="1138"/>
        </w:numPr>
        <w:pStyle w:val="Compact"/>
      </w:pPr>
      <w:r>
        <w:rPr>
          <w:bCs/>
          <w:b/>
        </w:rPr>
        <w:t xml:space="preserve">Origine :</w:t>
      </w:r>
      <w:r>
        <w:t xml:space="preserve"> </w:t>
      </w:r>
      <w:r>
        <w:t xml:space="preserve">issu de la recherche sur la toxine zonula occludens de la bactérie du choléra, qui ouvre les jonctions entre les cellules intestinales ; le larazotide est censé agir en sens inverse.</w:t>
      </w:r>
    </w:p>
    <w:p>
      <w:pPr>
        <w:numPr>
          <w:ilvl w:val="0"/>
          <w:numId w:val="1138"/>
        </w:numPr>
        <w:pStyle w:val="Compact"/>
      </w:pPr>
      <w:r>
        <w:rPr>
          <w:bCs/>
          <w:b/>
        </w:rPr>
        <w:t xml:space="preserve">Principe d’action :</w:t>
      </w:r>
      <w:r>
        <w:t xml:space="preserve"> </w:t>
      </w:r>
      <w:r>
        <w:t xml:space="preserve">régulateur des « jonctions serrées » (tight junctions, les jonctions d’étanchéité entre les cellules intestinales) ; considéré comme antagoniste de la substance de signalisation endogène zonuline. Agit localement dans l’intestin et n’est pratiquement pas absorbé dans le sang.</w:t>
      </w:r>
    </w:p>
    <w:p>
      <w:pPr>
        <w:numPr>
          <w:ilvl w:val="0"/>
          <w:numId w:val="1138"/>
        </w:numPr>
        <w:pStyle w:val="Compact"/>
      </w:pPr>
      <w:r>
        <w:rPr>
          <w:bCs/>
          <w:b/>
        </w:rPr>
        <w:t xml:space="preserve">Autorisation UE/États-Unis :</w:t>
      </w:r>
      <w:r>
        <w:t xml:space="preserve"> </w:t>
      </w:r>
      <w:r>
        <w:t xml:space="preserve">non.</w:t>
      </w:r>
    </w:p>
    <w:p>
      <w:pPr>
        <w:numPr>
          <w:ilvl w:val="0"/>
          <w:numId w:val="1138"/>
        </w:numPr>
        <w:pStyle w:val="Compact"/>
      </w:pPr>
      <w:r>
        <w:rPr>
          <w:bCs/>
          <w:b/>
        </w:rPr>
        <w:t xml:space="preserve">AMA (WADA) :</w:t>
      </w:r>
      <w:r>
        <w:t xml:space="preserve"> </w:t>
      </w:r>
      <w:r>
        <w:t xml:space="preserve">non listé ; pas d’effet améliorant la performance identifiable.</w:t>
      </w:r>
    </w:p>
    <w:p>
      <w:pPr>
        <w:numPr>
          <w:ilvl w:val="0"/>
          <w:numId w:val="1138"/>
        </w:numPr>
        <w:pStyle w:val="Compact"/>
      </w:pPr>
      <w:r>
        <w:rPr>
          <w:bCs/>
          <w:b/>
        </w:rPr>
        <w:t xml:space="preserve">Niveau de preuve : B</w:t>
      </w:r>
      <w:r>
        <w:t xml:space="preserve"> </w:t>
      </w:r>
      <w:r>
        <w:t xml:space="preserve">– plusieurs études randomisées de phase 2 aux résultats mitigés ; l’étude de phase 3 a été interrompue, sans résultats publiés.</w:t>
      </w:r>
    </w:p>
    <w:bookmarkEnd w:id="1156"/>
    <w:bookmarkStart w:id="1159" w:name="mode-daction-supposé-21"/>
    <w:p>
      <w:pPr>
        <w:pStyle w:val="Heading3"/>
      </w:pPr>
      <w:r>
        <w:t xml:space="preserve">Mode d’action supposé</w:t>
      </w:r>
    </w:p>
    <w:p>
      <w:pPr>
        <w:pStyle w:val="FirstParagraph"/>
      </w:pPr>
      <w:r>
        <w:t xml:space="preserve">Dans la maladie cœliaque, le système immunitaire de personnes génétiquement prédisposées réagit au gluten, une protéine du blé, du seigle et de l’orge. Des fragments de gluten traversent la muqueuse intestinale et y déclenchent une inflammation qui détruit les villosités intestinales. Une partie de ces fragments passe probablement par les espaces entre les cellules intestinales. Ces espaces sont fermés par les jonctions serrées – une sorte de fermeture éclair moléculaire.</w:t>
      </w:r>
    </w:p>
    <w:p>
      <w:pPr>
        <w:pStyle w:val="BodyText"/>
      </w:pPr>
      <w:r>
        <w:t xml:space="preserve">La substance de signalisation zonuline peut ouvrir cette fermeture éclair ; la gliadine, un composant du gluten, libère de la zonuline. Le larazotide est censé bloquer cette voie. Dans des cultures de cellules intestinales humaines, le larazotide a empêché le réarrangement des protéines de jonction et réduit le passage d’un fragment de gliadine à travers la couche cellulaire ; chez des souris génétiquement modifiées sensibles au gluten, la structure des jonctions a été préservée</w:t>
      </w:r>
      <w:r>
        <w:rPr>
          <w:rStyle w:val="FootnoteReference"/>
        </w:rPr>
        <w:footnoteReference w:id="1157"/>
      </w:r>
      <w:r>
        <w:t xml:space="preserve">. Des travaux plus récents suggèrent en outre une inhibition de l’enzyme kinase des chaînes légères de la myosine, qui met les jonctions cellulaires sous tension</w:t>
      </w:r>
      <w:r>
        <w:rPr>
          <w:rStyle w:val="FootnoteReference"/>
        </w:rPr>
        <w:footnoteReference w:id="1158"/>
      </w:r>
      <w:r>
        <w:t xml:space="preserve">.</w:t>
      </w:r>
    </w:p>
    <w:p>
      <w:pPr>
        <w:pStyle w:val="BodyText"/>
      </w:pPr>
      <w:r>
        <w:t xml:space="preserve">Le larazotide n’a jamais été conçu comme substitut au régime sans gluten. L’objectif était un traitement d’appoint pour les personnes qui ont des symptômes malgré le régime – par exemple à cause de traces de gluten passées inaperçues.</w:t>
      </w:r>
    </w:p>
    <w:bookmarkEnd w:id="1159"/>
    <w:bookmarkStart w:id="1175" w:name="études-chez-lhumain-21"/>
    <w:p>
      <w:pPr>
        <w:pStyle w:val="Heading3"/>
      </w:pPr>
      <w:r>
        <w:t xml:space="preserve">Études chez l’humain</w:t>
      </w:r>
    </w:p>
    <w:p>
      <w:pPr>
        <w:pStyle w:val="FirstParagraph"/>
      </w:pPr>
      <w:r>
        <w:rPr>
          <w:bCs/>
          <w:b/>
        </w:rPr>
        <w:t xml:space="preserve">Ampleur des données (requête d’octobre 2026) :</w:t>
      </w:r>
      <w:r>
        <w:t xml:space="preserve"> </w:t>
      </w:r>
      <w:r>
        <w:t xml:space="preserve">la recherche automatisée a trouvé</w:t>
      </w:r>
      <w:r>
        <w:t xml:space="preserve"> </w:t>
      </w:r>
      <w:r>
        <w:rPr>
          <w:bCs/>
          <w:b/>
        </w:rPr>
        <w:t xml:space="preserve">4</w:t>
      </w:r>
      <w:r>
        <w:t xml:space="preserve"> </w:t>
      </w:r>
      <w:r>
        <w:t xml:space="preserve">études chez l’humain dans PubMed et</w:t>
      </w:r>
      <w:r>
        <w:t xml:space="preserve"> </w:t>
      </w:r>
      <w:r>
        <w:rPr>
          <w:bCs/>
          <w:b/>
        </w:rPr>
        <w:t xml:space="preserve">29</w:t>
      </w:r>
      <w:r>
        <w:t xml:space="preserve"> </w:t>
      </w:r>
      <w:r>
        <w:t xml:space="preserve">entrées sur ClinicalTrials.gov. Sur ces 29 entrées, 19 concernent toutefois un tout autre médicament : le migalastat contre la maladie de Fabry portait autrefois le même code de développement AT1001. Seules</w:t>
      </w:r>
      <w:r>
        <w:t xml:space="preserve"> </w:t>
      </w:r>
      <w:r>
        <w:rPr>
          <w:bCs/>
          <w:b/>
        </w:rPr>
        <w:t xml:space="preserve">10</w:t>
      </w:r>
      <w:r>
        <w:t xml:space="preserve"> </w:t>
      </w:r>
      <w:r>
        <w:t xml:space="preserve">entrées du registre concernent réellement le larazotide. Une méta-analyse de 2022 a regroupé quatre études randomisées avec 626 personnes</w:t>
      </w:r>
      <w:r>
        <w:rPr>
          <w:rStyle w:val="FootnoteReference"/>
        </w:rPr>
        <w:footnoteReference w:id="1160"/>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schéma</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Provocation au gluten (Leffler 2012, PMID 22825365)</w:t>
            </w:r>
          </w:p>
        </w:tc>
        <w:tc>
          <w:tcPr/>
          <w:p>
            <w:pPr>
              <w:pStyle w:val="Compact"/>
              <w:jc w:val="left"/>
            </w:pPr>
            <w:r>
              <w:t xml:space="preserve">86 personnes atteintes de maladie cœliaque, ECR avec 4 doses et placebo</w:t>
            </w:r>
          </w:p>
        </w:tc>
        <w:tc>
          <w:tcPr/>
          <w:p>
            <w:pPr>
              <w:pStyle w:val="Compact"/>
              <w:jc w:val="left"/>
            </w:pPr>
            <w:r>
              <w:t xml:space="preserve">14 jours</w:t>
            </w:r>
          </w:p>
        </w:tc>
        <w:tc>
          <w:tcPr/>
          <w:p>
            <w:pPr>
              <w:pStyle w:val="Compact"/>
              <w:jc w:val="left"/>
            </w:pPr>
            <w:r>
              <w:t xml:space="preserve">test de perméabilité sans différence significative ; moins de symptômes avec certaines faibles doses</w:t>
            </w:r>
          </w:p>
        </w:tc>
      </w:tr>
      <w:tr>
        <w:tc>
          <w:tcPr/>
          <w:p>
            <w:pPr>
              <w:pStyle w:val="Compact"/>
              <w:jc w:val="left"/>
            </w:pPr>
            <w:r>
              <w:t xml:space="preserve">Provocation au gluten (Kelly 2013, PMID 23163616)</w:t>
            </w:r>
          </w:p>
        </w:tc>
        <w:tc>
          <w:tcPr/>
          <w:p>
            <w:pPr>
              <w:pStyle w:val="Compact"/>
              <w:jc w:val="left"/>
            </w:pPr>
            <w:r>
              <w:t xml:space="preserve">184 personnes, ECR avec 3 doses et placebo, 2,7 g de gluten par jour</w:t>
            </w:r>
          </w:p>
        </w:tc>
        <w:tc>
          <w:tcPr/>
          <w:p>
            <w:pPr>
              <w:pStyle w:val="Compact"/>
              <w:jc w:val="left"/>
            </w:pPr>
            <w:r>
              <w:t xml:space="preserve">6 semaines</w:t>
            </w:r>
          </w:p>
        </w:tc>
        <w:tc>
          <w:tcPr/>
          <w:p>
            <w:pPr>
              <w:pStyle w:val="Compact"/>
              <w:jc w:val="left"/>
            </w:pPr>
            <w:r>
              <w:t xml:space="preserve">perméabilité inchangée ; moins de symptômes seulement avec 1 mg ; moindre hausse des anticorps de la maladie cœliaque</w:t>
            </w:r>
          </w:p>
        </w:tc>
      </w:tr>
      <w:tr>
        <w:tc>
          <w:tcPr/>
          <w:p>
            <w:pPr>
              <w:pStyle w:val="Compact"/>
              <w:jc w:val="left"/>
            </w:pPr>
            <w:r>
              <w:t xml:space="preserve">Symptômes malgré le régime (Leffler 2015, PMID 25683116 ; NCT01396213)</w:t>
            </w:r>
          </w:p>
        </w:tc>
        <w:tc>
          <w:tcPr/>
          <w:p>
            <w:pPr>
              <w:pStyle w:val="Compact"/>
              <w:jc w:val="left"/>
            </w:pPr>
            <w:r>
              <w:t xml:space="preserve">342 personnes, ECR avec 3 doses et placebo</w:t>
            </w:r>
          </w:p>
        </w:tc>
        <w:tc>
          <w:tcPr/>
          <w:p>
            <w:pPr>
              <w:pStyle w:val="Compact"/>
              <w:jc w:val="left"/>
            </w:pPr>
            <w:r>
              <w:t xml:space="preserve">12 semaines</w:t>
            </w:r>
          </w:p>
        </w:tc>
        <w:tc>
          <w:tcPr/>
          <w:p>
            <w:pPr>
              <w:pStyle w:val="Compact"/>
              <w:jc w:val="left"/>
            </w:pPr>
            <w:r>
              <w:t xml:space="preserve">objectif principal atteint seulement avec la dose la plus faible (0,5 mg) ; 1 mg et 2 mg pas meilleurs que le placebo</w:t>
            </w:r>
          </w:p>
        </w:tc>
      </w:tr>
      <w:tr>
        <w:tc>
          <w:tcPr/>
          <w:p>
            <w:pPr>
              <w:pStyle w:val="Compact"/>
              <w:jc w:val="left"/>
            </w:pPr>
            <w:r>
              <w:t xml:space="preserve">CeDLara, phase 3 (NCT03569007)</w:t>
            </w:r>
          </w:p>
        </w:tc>
        <w:tc>
          <w:tcPr/>
          <w:p>
            <w:pPr>
              <w:pStyle w:val="Compact"/>
              <w:jc w:val="left"/>
            </w:pPr>
            <w:r>
              <w:t xml:space="preserve">307 personnes, randomisée, en aveugle</w:t>
            </w:r>
          </w:p>
        </w:tc>
        <w:tc>
          <w:tcPr/>
          <w:p>
            <w:pPr>
              <w:pStyle w:val="Compact"/>
              <w:jc w:val="left"/>
            </w:pPr>
            <w:r>
              <w:t xml:space="preserve">12 semaines prévues</w:t>
            </w:r>
          </w:p>
        </w:tc>
        <w:tc>
          <w:tcPr/>
          <w:p>
            <w:pPr>
              <w:pStyle w:val="Compact"/>
              <w:jc w:val="left"/>
            </w:pPr>
            <w:r>
              <w:t xml:space="preserve">interrompue par le promoteur en 2022 ; aucun résultat publié</w:t>
            </w:r>
          </w:p>
        </w:tc>
      </w:tr>
      <w:tr>
        <w:tc>
          <w:tcPr/>
          <w:p>
            <w:pPr>
              <w:pStyle w:val="Compact"/>
              <w:jc w:val="left"/>
            </w:pPr>
            <w:r>
              <w:t xml:space="preserve">MIS-C chez l’enfant (Yonker 2025, PMID 40737433)</w:t>
            </w:r>
          </w:p>
        </w:tc>
        <w:tc>
          <w:tcPr/>
          <w:p>
            <w:pPr>
              <w:pStyle w:val="Compact"/>
              <w:jc w:val="left"/>
            </w:pPr>
            <w:r>
              <w:t xml:space="preserve">12 enfants atteints d’un syndrome inflammatoire après la COVID-19, phase 2a, ECR</w:t>
            </w:r>
          </w:p>
        </w:tc>
        <w:tc>
          <w:tcPr/>
          <w:p>
            <w:pPr>
              <w:pStyle w:val="Compact"/>
              <w:jc w:val="left"/>
            </w:pPr>
            <w:r>
              <w:t xml:space="preserve">3 semaines</w:t>
            </w:r>
          </w:p>
        </w:tc>
        <w:tc>
          <w:tcPr/>
          <w:p>
            <w:pPr>
              <w:pStyle w:val="Compact"/>
              <w:jc w:val="left"/>
            </w:pPr>
            <w:r>
              <w:t xml:space="preserve">disparition plus rapide des troubles digestifs ; aucun effet indésirable dû au larazotide</w:t>
            </w:r>
          </w:p>
        </w:tc>
      </w:tr>
    </w:tbl>
    <w:bookmarkStart w:id="1165" w:name="maladie-cœliaque-phase-2"/>
    <w:p>
      <w:pPr>
        <w:pStyle w:val="Heading4"/>
      </w:pPr>
      <w:r>
        <w:t xml:space="preserve">Maladie cœliaque : phase 2</w:t>
      </w:r>
    </w:p>
    <w:p>
      <w:pPr>
        <w:pStyle w:val="FirstParagraph"/>
      </w:pPr>
      <w:r>
        <w:t xml:space="preserve">Dans les deux études avec provocation ciblée au gluten, le larazotide devait empêcher l’augmentation de la perméabilité intestinale. Celle-ci a été mesurée par un test aux sucres dans l’urine (rapport lactulose/mannitol). Ce test était si variable en conditions réelles qu’aucun effet n’a pu être démontré</w:t>
      </w:r>
      <w:r>
        <w:rPr>
          <w:rStyle w:val="FootnoteReference"/>
        </w:rPr>
        <w:footnoteReference w:id="1161"/>
      </w:r>
      <w:r>
        <w:t xml:space="preserve">. Les symptômes ont montré un schéma inhabituel : les faibles doses agissaient parfois mieux que les fortes. Dans l’étude avec 184 personnes, seule la dose de 1 mg a limité significativement les symptômes provoqués par le gluten ; en même temps, les anticorps de la maladie cœliaque augmentaient nettement moins sous toutes les doses de larazotide que sous placebo</w:t>
      </w:r>
      <w:r>
        <w:rPr>
          <w:rStyle w:val="FootnoteReference"/>
        </w:rPr>
        <w:footnoteReference w:id="1162"/>
      </w:r>
      <w:r>
        <w:t xml:space="preserve">.</w:t>
      </w:r>
    </w:p>
    <w:p>
      <w:pPr>
        <w:pStyle w:val="BodyText"/>
      </w:pPr>
      <w:r>
        <w:t xml:space="preserve">La plus grande étude de phase 2, avec 342 personnes qui avaient des symptômes malgré un régime sans gluten, n’a atteint son objectif principal qu’avec la dose la plus faible de 0,5 mg. Sous cette dose, il y a eu 26 pour cent de jours en moins avec des symptômes de la maladie cœliaque. Les doses plus élevées n’ont été meilleures que le placebo sur aucun critère ; les auteurs qualifient eux-mêmes les résultats de « mitigés »</w:t>
      </w:r>
      <w:r>
        <w:rPr>
          <w:rStyle w:val="FootnoteReference"/>
        </w:rPr>
        <w:footnoteReference w:id="1163"/>
      </w:r>
      <w:r>
        <w:t xml:space="preserve">. Un médicament dont seule la dose la plus faible agit est pharmacologiquement inhabituel et laisse planer le doute sur la nature réelle de l’effet ou sur le rôle du hasard.</w:t>
      </w:r>
    </w:p>
    <w:p>
      <w:pPr>
        <w:pStyle w:val="BodyText"/>
      </w:pPr>
      <w:r>
        <w:t xml:space="preserve">La méta-analyse n’a trouvé aucun effet sur la perméabilité intestinale, et une amélioration des symptômes seulement en cas de provocation au gluten, mais pas chez les personnes suivant un régime sans gluten – c’est-à-dire justement pas dans le groupe auquel le larazotide était destiné</w:t>
      </w:r>
      <w:r>
        <w:rPr>
          <w:rStyle w:val="FootnoteReference"/>
        </w:rPr>
        <w:footnoteReference w:id="1164"/>
      </w:r>
      <w:r>
        <w:t xml:space="preserve">.</w:t>
      </w:r>
    </w:p>
    <w:bookmarkEnd w:id="1165"/>
    <w:bookmarkStart w:id="1169" w:name="X36db2396ae6ec32eebe56d20e04efefa9640ffa"/>
    <w:p>
      <w:pPr>
        <w:pStyle w:val="Heading4"/>
      </w:pPr>
      <w:r>
        <w:t xml:space="preserve">Maladie cœliaque : l’étude de phase 3 CeDLara</w:t>
      </w:r>
    </w:p>
    <w:p>
      <w:pPr>
        <w:pStyle w:val="FirstParagraph"/>
      </w:pPr>
      <w:r>
        <w:t xml:space="preserve">Sur la base des résultats à 0,5 mg, l’étude de phase 3 CeDLara a démarré en 2019 avec du larazotide en microbilles gastrorésistantes</w:t>
      </w:r>
      <w:r>
        <w:rPr>
          <w:rStyle w:val="FootnoteReference"/>
        </w:rPr>
        <w:footnoteReference w:id="1166"/>
      </w:r>
      <w:r>
        <w:t xml:space="preserve">. Selon le registre, 307 personnes ont été incluses ; l’étude a été « arrêtée par le promoteur » en juillet 2022. À la connaissance de l’auteur, le fabricant de l’époque, 9 Meters Biopharma, a justifié l’arrêt par le fait qu’une analyse intermédiaire avait montré qu’il aurait fallu nettement plus de participants pour démontrer une différence avec le placebo. Il n’existe pas de publication scientifique des résultats dans PubMed. Des articles de synthèse constatent qu’à ce jour, aucun médicament contre la maladie cœliaque n’a mené à bien une étude de phase 3</w:t>
      </w:r>
      <w:r>
        <w:rPr>
          <w:rStyle w:val="FootnoteReference"/>
        </w:rPr>
        <w:footnoteReference w:id="1167"/>
      </w:r>
      <w:r>
        <w:t xml:space="preserve"> </w:t>
      </w:r>
      <w:r>
        <w:t xml:space="preserve">et qu’aucun traitement n’est démontré comme alternative efficace au régime sans gluten</w:t>
      </w:r>
      <w:r>
        <w:rPr>
          <w:rStyle w:val="FootnoteReference"/>
        </w:rPr>
        <w:footnoteReference w:id="1168"/>
      </w:r>
      <w:r>
        <w:t xml:space="preserve">.</w:t>
      </w:r>
    </w:p>
    <w:bookmarkEnd w:id="1169"/>
    <w:bookmarkStart w:id="1174" w:name="X004b962c3274415e8ca73d31f6a762dc3b06105"/>
    <w:p>
      <w:pPr>
        <w:pStyle w:val="Heading4"/>
      </w:pPr>
      <w:r>
        <w:t xml:space="preserve">Nouvelle application : syndrome inflammatoire après la COVID-19</w:t>
      </w:r>
    </w:p>
    <w:p>
      <w:pPr>
        <w:pStyle w:val="FirstParagraph"/>
      </w:pPr>
      <w:r>
        <w:t xml:space="preserve">Un groupe de recherche suppose que, dans le syndrome inflammatoire multisystémique de l’enfant (MIS-C) après la COVID-19, des composants viraux passent de l’intestin dans le sang. Dans une première série de cas avec quatre enfants, la protéine virale a disparu du sang sous larazotide, et les troubles digestifs se sont résorbés plus vite que chez 22 enfants de comparaison</w:t>
      </w:r>
      <w:r>
        <w:rPr>
          <w:rStyle w:val="FootnoteReference"/>
        </w:rPr>
        <w:footnoteReference w:id="1170"/>
      </w:r>
      <w:r>
        <w:t xml:space="preserve">. Une étude randomisée de phase 2a avec seulement 12 enfants a confirmé une amélioration plus rapide des symptômes ; aucun effet indésirable dû au larazotide n’a été observé</w:t>
      </w:r>
      <w:r>
        <w:rPr>
          <w:rStyle w:val="FootnoteReference"/>
        </w:rPr>
        <w:footnoteReference w:id="1171"/>
      </w:r>
      <w:r>
        <w:t xml:space="preserve">. L’étude a été interrompue en raison de la baisse du nombre de cas</w:t>
      </w:r>
      <w:r>
        <w:rPr>
          <w:rStyle w:val="FootnoteReference"/>
        </w:rPr>
        <w:footnoteReference w:id="1172"/>
      </w:r>
      <w:r>
        <w:t xml:space="preserve">. Une étude sur le COVID long avec 107 enfants et adultes est terminée depuis juin 2026 selon le registre</w:t>
      </w:r>
      <w:r>
        <w:rPr>
          <w:rStyle w:val="FootnoteReference"/>
        </w:rPr>
        <w:footnoteReference w:id="1173"/>
      </w:r>
      <w:r>
        <w:t xml:space="preserve"> </w:t>
      </w:r>
      <w:r>
        <w:t xml:space="preserve">; les résultats n’étaient pas publiés en octobre 2026.</w:t>
      </w:r>
    </w:p>
    <w:bookmarkEnd w:id="1174"/>
    <w:bookmarkEnd w:id="1175"/>
    <w:bookmarkStart w:id="1179" w:name="études-animales-et-de-laboratoire-21"/>
    <w:p>
      <w:pPr>
        <w:pStyle w:val="Heading3"/>
      </w:pPr>
      <w:r>
        <w:t xml:space="preserve">Études animales et de laboratoire</w:t>
      </w:r>
    </w:p>
    <w:p>
      <w:pPr>
        <w:pStyle w:val="FirstParagraph"/>
      </w:pPr>
      <w:r>
        <w:t xml:space="preserve">En dehors de la maladie cœliaque, le larazotide a été évalué dans des modèles animaux d’autres maladies avec altération de la barrière intestinale. Chez des souris prédisposées à l’arthrite, le larazotide a réduit l’apparition de l’arthrite</w:t>
      </w:r>
      <w:r>
        <w:rPr>
          <w:rStyle w:val="FootnoteReference"/>
        </w:rPr>
        <w:footnoteReference w:id="1176"/>
      </w:r>
      <w:r>
        <w:t xml:space="preserve">. Chez le porc, il a favorisé la récupération du tissu de l’intestin grêle après un trouble circulatoire</w:t>
      </w:r>
      <w:r>
        <w:rPr>
          <w:rStyle w:val="FootnoteReference"/>
        </w:rPr>
        <w:footnoteReference w:id="1177"/>
      </w:r>
      <w:r>
        <w:t xml:space="preserve">. Chez le rat, des effets ont été décrits dans la pancréatite aiguë et l’insuffisance hépatique aiguë</w:t>
      </w:r>
      <w:r>
        <w:rPr>
          <w:rStyle w:val="FootnoteReference"/>
        </w:rPr>
        <w:footnoteReference w:id="1178"/>
      </w:r>
      <w:r>
        <w:t xml:space="preserve">. Ce sont des expériences animales ; on ne peut en déduire aucune conclusion sur les rhumatismes, le pancréas ou le foie chez l’humain.</w:t>
      </w:r>
    </w:p>
    <w:bookmarkEnd w:id="1179"/>
    <w:bookmarkStart w:id="1185" w:name="risques-et-effets-indésirables-21"/>
    <w:p>
      <w:pPr>
        <w:pStyle w:val="Heading3"/>
      </w:pPr>
      <w:r>
        <w:t xml:space="preserve">Risques et effets indésirables</w:t>
      </w:r>
    </w:p>
    <w:bookmarkStart w:id="1183" w:name="établi-5"/>
    <w:p>
      <w:pPr>
        <w:pStyle w:val="Heading4"/>
      </w:pPr>
      <w:r>
        <w:t xml:space="preserve">Établi</w:t>
      </w:r>
    </w:p>
    <w:p>
      <w:pPr>
        <w:pStyle w:val="FirstParagraph"/>
      </w:pPr>
      <w:r>
        <w:t xml:space="preserve">Le larazotide a été bien toléré dans toutes les études. Dans l’étude avec 86 personnes, aucun effet indésirable grave n’est survenu ; les plus fréquents étaient les céphalées et les infections urinaires</w:t>
      </w:r>
      <w:r>
        <w:rPr>
          <w:rStyle w:val="FootnoteReference"/>
        </w:rPr>
        <w:footnoteReference w:id="1180"/>
      </w:r>
      <w:r>
        <w:t xml:space="preserve">. Dans la plus grande étude de phase 2, la sécurité était comparable au placebo</w:t>
      </w:r>
      <w:r>
        <w:rPr>
          <w:rStyle w:val="FootnoteReference"/>
        </w:rPr>
        <w:footnoteReference w:id="1181"/>
      </w:r>
      <w:r>
        <w:t xml:space="preserve">. La méta-analyse n’a trouvé globalement aucune accumulation d’effets indésirables par rapport au placebo</w:t>
      </w:r>
      <w:r>
        <w:rPr>
          <w:rStyle w:val="FootnoteReference"/>
        </w:rPr>
        <w:footnoteReference w:id="1182"/>
      </w:r>
      <w:r>
        <w:t xml:space="preserve">. Comme le larazotide ne passe pratiquement pas dans le sang, un profil de sécurité favorable est plausible.</w:t>
      </w:r>
    </w:p>
    <w:bookmarkEnd w:id="1183"/>
    <w:bookmarkStart w:id="1184" w:name="points-dattention-1"/>
    <w:p>
      <w:pPr>
        <w:pStyle w:val="Heading4"/>
      </w:pPr>
      <w:r>
        <w:t xml:space="preserve">Points d’attention</w:t>
      </w:r>
    </w:p>
    <w:p>
      <w:pPr>
        <w:numPr>
          <w:ilvl w:val="0"/>
          <w:numId w:val="1139"/>
        </w:numPr>
        <w:pStyle w:val="Compact"/>
      </w:pPr>
      <w:r>
        <w:rPr>
          <w:bCs/>
          <w:b/>
        </w:rPr>
        <w:t xml:space="preserve">Pas d’alternative au régime :</w:t>
      </w:r>
      <w:r>
        <w:t xml:space="preserve"> </w:t>
      </w:r>
      <w:r>
        <w:t xml:space="preserve">même dans les études positives, le larazotide n’a pas protégé contre les lésions dues à de plus grandes quantités de gluten. Quiconque relâche le régime sans gluten en raison d’un tel produit risque des lésions intestinales.</w:t>
      </w:r>
    </w:p>
    <w:p>
      <w:pPr>
        <w:numPr>
          <w:ilvl w:val="0"/>
          <w:numId w:val="1139"/>
        </w:numPr>
        <w:pStyle w:val="Compact"/>
      </w:pPr>
      <w:r>
        <w:rPr>
          <w:bCs/>
          <w:b/>
        </w:rPr>
        <w:t xml:space="preserve">Marché gris :</w:t>
      </w:r>
      <w:r>
        <w:t xml:space="preserve"> </w:t>
      </w:r>
      <w:r>
        <w:t xml:space="preserve">le larazotide est proposé ponctuellement comme « peptide leaky gut ». Les études utilisaient une forme pharmaceutique gastrorésistante spéciale ; on ignore si les produits vendus librement amènent seulement la substance jusqu’à son site d’action. Pour le concept de « leaky gut » sans maladie cœliaque, il n’existe aucune étude avec le larazotide.</w:t>
      </w:r>
    </w:p>
    <w:bookmarkEnd w:id="1184"/>
    <w:bookmarkEnd w:id="1185"/>
    <w:bookmarkStart w:id="1186" w:name="statut-juridique-21"/>
    <w:p>
      <w:pPr>
        <w:pStyle w:val="Heading3"/>
      </w:pPr>
      <w:r>
        <w:t xml:space="preserve">Statut juridique</w:t>
      </w:r>
    </w:p>
    <w:p>
      <w:pPr>
        <w:pStyle w:val="FirstParagraph"/>
      </w:pPr>
      <w:r>
        <w:rPr>
          <w:iCs/>
          <w:i/>
        </w:rPr>
        <w:t xml:space="preserve">État 2026, à vérifier.</w:t>
      </w:r>
    </w:p>
    <w:p>
      <w:pPr>
        <w:numPr>
          <w:ilvl w:val="0"/>
          <w:numId w:val="1140"/>
        </w:numPr>
        <w:pStyle w:val="Compact"/>
      </w:pPr>
      <w:r>
        <w:rPr>
          <w:bCs/>
          <w:b/>
        </w:rPr>
        <w:t xml:space="preserve">UE, Allemagne, Autriche :</w:t>
      </w:r>
      <w:r>
        <w:t xml:space="preserve"> </w:t>
      </w:r>
      <w:r>
        <w:t xml:space="preserve">non autorisé.</w:t>
      </w:r>
    </w:p>
    <w:p>
      <w:pPr>
        <w:numPr>
          <w:ilvl w:val="0"/>
          <w:numId w:val="1140"/>
        </w:numPr>
        <w:pStyle w:val="Compact"/>
      </w:pPr>
      <w:r>
        <w:rPr>
          <w:bCs/>
          <w:b/>
        </w:rPr>
        <w:t xml:space="preserve">États-Unis :</w:t>
      </w:r>
      <w:r>
        <w:t xml:space="preserve"> </w:t>
      </w:r>
      <w:r>
        <w:t xml:space="preserve">non autorisé. À la connaissance de l’auteur, le développeur avait obtenu de la FDA une procédure accélérée (« Fast Track ») pour la maladie cœliaque ; après l’arrêt de l’étude de phase 3, aucune demande d’autorisation n’a été déposée.</w:t>
      </w:r>
    </w:p>
    <w:p>
      <w:pPr>
        <w:numPr>
          <w:ilvl w:val="0"/>
          <w:numId w:val="1140"/>
        </w:numPr>
        <w:pStyle w:val="Compact"/>
      </w:pPr>
      <w:r>
        <w:rPr>
          <w:bCs/>
          <w:b/>
        </w:rPr>
        <w:t xml:space="preserve">AMA (WADA) :</w:t>
      </w:r>
      <w:r>
        <w:t xml:space="preserve"> </w:t>
      </w:r>
      <w:r>
        <w:t xml:space="preserve">non listé.</w:t>
      </w:r>
    </w:p>
    <w:bookmarkEnd w:id="1186"/>
    <w:bookmarkStart w:id="1189" w:name="études-en-cours-et-perspectives-21"/>
    <w:p>
      <w:pPr>
        <w:pStyle w:val="Heading3"/>
      </w:pPr>
      <w:r>
        <w:t xml:space="preserve">Études en cours et perspectives</w:t>
      </w:r>
    </w:p>
    <w:p>
      <w:pPr>
        <w:pStyle w:val="FirstParagraph"/>
      </w:pPr>
      <w:r>
        <w:rPr>
          <w:bCs/>
          <w:b/>
        </w:rPr>
        <w:t xml:space="preserve">Établi :</w:t>
      </w:r>
      <w:r>
        <w:t xml:space="preserve"> </w:t>
      </w:r>
      <w:r>
        <w:t xml:space="preserve">en octobre 2026, aucune étude en cours sur le larazotide n’est enregistrée sur ClinicalTrials.gov. L’étude sur le COVID long</w:t>
      </w:r>
      <w:r>
        <w:rPr>
          <w:rStyle w:val="FootnoteReference"/>
        </w:rPr>
        <w:footnoteReference w:id="1187"/>
      </w:r>
      <w:r>
        <w:t xml:space="preserve"> </w:t>
      </w:r>
      <w:r>
        <w:t xml:space="preserve">est terminée, les résultats sont attendus.</w:t>
      </w:r>
    </w:p>
    <w:p>
      <w:pPr>
        <w:pStyle w:val="BodyText"/>
      </w:pPr>
      <w:r>
        <w:rPr>
          <w:bCs/>
          <w:b/>
        </w:rPr>
        <w:t xml:space="preserve">Appréciation de l’auteur :</w:t>
      </w:r>
      <w:r>
        <w:t xml:space="preserve"> </w:t>
      </w:r>
      <w:r>
        <w:t xml:space="preserve">pour la maladie cœliaque, le larazotide n’a sans doute plus d’avenir après l’arrêt de CeDLara, à moins qu’un nouveau développeur ne reprenne les droits. D’autres approches – enzymes dégradant le gluten, inhibiteurs de la transglutaminase 2 ou méthodes d’induction de tolérance immunitaire – sont actuellement considérées comme plus prometteuses</w:t>
      </w:r>
      <w:r>
        <w:rPr>
          <w:rStyle w:val="FootnoteReference"/>
        </w:rPr>
        <w:footnoteReference w:id="1188"/>
      </w:r>
      <w:r>
        <w:t xml:space="preserve">. Pour le MIS-C et le COVID long, la suite du développement dépend des résultats encore non publiés.</w:t>
      </w:r>
    </w:p>
    <w:bookmarkEnd w:id="1189"/>
    <w:bookmarkStart w:id="1191" w:name="conclusion-21"/>
    <w:p>
      <w:pPr>
        <w:pStyle w:val="Heading3"/>
      </w:pPr>
      <w:r>
        <w:t xml:space="preserve">Conclusion</w:t>
      </w:r>
    </w:p>
    <w:p>
      <w:pPr>
        <w:pStyle w:val="FirstParagraph"/>
      </w:pPr>
      <w:r>
        <w:t xml:space="preserve">Le larazotide est un peptide de huit acides aminés censé rendre étanches les jonctions entre les cellules intestinales ; il a été la première substance contre la maladie cœliaque à atteindre une étude de phase 3. Dans les études de phase 2, les résultats étaient mitigés : aucun effet sur la perméabilité intestinale n’a pu être démontré, et pour les symptômes persistant malgré le régime, seule la dose la plus faible a agi</w:t>
      </w:r>
      <w:r>
        <w:rPr>
          <w:rStyle w:val="FootnoteReference"/>
        </w:rPr>
        <w:footnoteReference w:id="1190"/>
      </w:r>
      <w:r>
        <w:t xml:space="preserve">. L’étude de phase 3 CeDLara a été interrompue en 2022, et ses résultats n’ont pas été publiés. Le larazotide est bien toléré, mais il n’est ni autorisé ni démontré efficace – et il ne remplace pas le régime sans gluten.</w:t>
      </w:r>
    </w:p>
    <w:bookmarkEnd w:id="1191"/>
    <w:bookmarkEnd w:id="1192"/>
    <w:bookmarkStart w:id="1221" w:name="thymaline-et-thymogène"/>
    <w:p>
      <w:pPr>
        <w:pStyle w:val="Heading2"/>
      </w:pPr>
      <w:r>
        <w:t xml:space="preserve">Thymaline et thymogène</w:t>
      </w:r>
    </w:p>
    <w:p>
      <w:pPr>
        <w:pStyle w:val="FirstParagraph"/>
      </w:pPr>
      <w:r>
        <w:t xml:space="preserve">La thymaline est un extrait de thymus de veau, le thymogène un dipeptide de synthèse qui en est dérivé. Tous deux sont issus de la médecine militaire soviétique des années 1970 et 1980 et sont aujourd’hui encore commercialisés en Russie comme médicaments. Dans les milieux occidentaux de la longévité, ils sont commercialisés comme « biorégulateurs » censés « rajeunir » le système immunitaire et prolonger la vie. Ces promesses reposent presque exclusivement sur les recherches d’une seule école, autour du gérontologue pétersbourgeois Vladimir Khavinson. Ce chapitre fait le point sur ces recherches – et explique pourquoi leurs résultats doivent être lus avec une grande prudence.</w:t>
      </w:r>
    </w:p>
    <w:bookmarkStart w:id="1196" w:name="fiche-signalétique-22"/>
    <w:p>
      <w:pPr>
        <w:pStyle w:val="Heading3"/>
      </w:pPr>
      <w:r>
        <w:t xml:space="preserve">Fiche signalétique</w:t>
      </w:r>
    </w:p>
    <w:p>
      <w:pPr>
        <w:numPr>
          <w:ilvl w:val="0"/>
          <w:numId w:val="1141"/>
        </w:numPr>
        <w:pStyle w:val="Compact"/>
      </w:pPr>
      <w:r>
        <w:rPr>
          <w:bCs/>
          <w:b/>
        </w:rPr>
        <w:t xml:space="preserve">Thymaline :</w:t>
      </w:r>
      <w:r>
        <w:t xml:space="preserve"> </w:t>
      </w:r>
      <w:r>
        <w:t xml:space="preserve">mélange de peptides obtenu par extraction acide à partir du thymus de veau</w:t>
      </w:r>
      <w:r>
        <w:rPr>
          <w:rStyle w:val="FootnoteReference"/>
        </w:rPr>
        <w:footnoteReference w:id="1193"/>
      </w:r>
      <w:r>
        <w:t xml:space="preserve"> </w:t>
      </w:r>
      <w:r>
        <w:t xml:space="preserve">; pas de substance définie de manière homogène. Les dipeptides Lys-Glu (KE) et Glu-Trp (EW) sont cités comme principaux composants actifs</w:t>
      </w:r>
      <w:r>
        <w:rPr>
          <w:rStyle w:val="FootnoteReference"/>
        </w:rPr>
        <w:footnoteReference w:id="1194"/>
      </w:r>
      <w:r>
        <w:t xml:space="preserve">.</w:t>
      </w:r>
    </w:p>
    <w:p>
      <w:pPr>
        <w:numPr>
          <w:ilvl w:val="0"/>
          <w:numId w:val="1141"/>
        </w:numPr>
        <w:pStyle w:val="Compact"/>
      </w:pPr>
      <w:r>
        <w:rPr>
          <w:bCs/>
          <w:b/>
        </w:rPr>
        <w:t xml:space="preserve">Thymogène :</w:t>
      </w:r>
      <w:r>
        <w:t xml:space="preserve"> </w:t>
      </w:r>
      <w:r>
        <w:t xml:space="preserve">dipeptide de synthèse L-Glu-L-Trp, isolé à partir de la thymaline</w:t>
      </w:r>
      <w:r>
        <w:rPr>
          <w:rStyle w:val="FootnoteReference"/>
        </w:rPr>
        <w:footnoteReference w:id="1195"/>
      </w:r>
      <w:r>
        <w:t xml:space="preserve"> </w:t>
      </w:r>
      <w:r>
        <w:t xml:space="preserve">; disponible en Russie aussi en spray nasal.</w:t>
      </w:r>
    </w:p>
    <w:p>
      <w:pPr>
        <w:numPr>
          <w:ilvl w:val="0"/>
          <w:numId w:val="1141"/>
        </w:numPr>
        <w:pStyle w:val="Compact"/>
      </w:pPr>
      <w:r>
        <w:rPr>
          <w:bCs/>
          <w:b/>
        </w:rPr>
        <w:t xml:space="preserve">Principe d’action (allégué) :</w:t>
      </w:r>
      <w:r>
        <w:t xml:space="preserve"> </w:t>
      </w:r>
      <w:r>
        <w:t xml:space="preserve">stimulation de la maturation des lymphocytes T, « normalisation » de la fonction immunitaire et de la coagulation ; selon la théorie de Khavinson, les peptides courts agissent comme « biorégulateurs » directement sur l’activité des gènes.</w:t>
      </w:r>
    </w:p>
    <w:p>
      <w:pPr>
        <w:numPr>
          <w:ilvl w:val="0"/>
          <w:numId w:val="1141"/>
        </w:numPr>
        <w:pStyle w:val="Compact"/>
      </w:pPr>
      <w:r>
        <w:rPr>
          <w:bCs/>
          <w:b/>
        </w:rPr>
        <w:t xml:space="preserve">Autorisation :</w:t>
      </w:r>
      <w:r>
        <w:t xml:space="preserve"> </w:t>
      </w:r>
      <w:r>
        <w:t xml:space="preserve">autorisés comme médicaments en Russie et dans quelques États successeurs de l’Union soviétique ;</w:t>
      </w:r>
      <w:r>
        <w:t xml:space="preserve"> </w:t>
      </w:r>
      <w:r>
        <w:rPr>
          <w:bCs/>
          <w:b/>
        </w:rPr>
        <w:t xml:space="preserve">UE et États-Unis :</w:t>
      </w:r>
      <w:r>
        <w:t xml:space="preserve"> </w:t>
      </w:r>
      <w:r>
        <w:t xml:space="preserve">non.</w:t>
      </w:r>
    </w:p>
    <w:p>
      <w:pPr>
        <w:numPr>
          <w:ilvl w:val="0"/>
          <w:numId w:val="1141"/>
        </w:numPr>
        <w:pStyle w:val="Compact"/>
      </w:pPr>
      <w:r>
        <w:rPr>
          <w:bCs/>
          <w:b/>
        </w:rPr>
        <w:t xml:space="preserve">AMA (WADA) :</w:t>
      </w:r>
      <w:r>
        <w:t xml:space="preserve"> </w:t>
      </w:r>
      <w:r>
        <w:t xml:space="preserve">non expressément listés.</w:t>
      </w:r>
    </w:p>
    <w:p>
      <w:pPr>
        <w:numPr>
          <w:ilvl w:val="0"/>
          <w:numId w:val="1141"/>
        </w:numPr>
        <w:pStyle w:val="Compact"/>
      </w:pPr>
      <w:r>
        <w:rPr>
          <w:bCs/>
          <w:b/>
        </w:rPr>
        <w:t xml:space="preserve">Niveau de preuve : C</w:t>
      </w:r>
      <w:r>
        <w:t xml:space="preserve"> </w:t>
      </w:r>
      <w:r>
        <w:t xml:space="preserve">– majoritairement de petites études en ouvert ou insuffisamment décrites ; une seule étude décrite comme randomisée et contrôlée contre placebo dans PubMed.</w:t>
      </w:r>
    </w:p>
    <w:bookmarkEnd w:id="1196"/>
    <w:bookmarkStart w:id="1200" w:name="mode-daction-supposé-22"/>
    <w:p>
      <w:pPr>
        <w:pStyle w:val="Heading3"/>
      </w:pPr>
      <w:r>
        <w:t xml:space="preserve">Mode d’action supposé</w:t>
      </w:r>
    </w:p>
    <w:p>
      <w:pPr>
        <w:pStyle w:val="FirstParagraph"/>
      </w:pPr>
      <w:r>
        <w:t xml:space="preserve">L’idée suit la même logique que pour la thymosine alpha 1 (voir ce chapitre) : le thymus forme les lymphocytes T et s’atrophie avec l’âge, donc des messagers thymiques devraient renforcer les défenses. Mais alors que la thymosine alpha 1 est un peptide précisément défini, de séquence connue, la thymaline est un mélange de nombreux composants d’origine animale.</w:t>
      </w:r>
    </w:p>
    <w:p>
      <w:pPr>
        <w:pStyle w:val="BodyText"/>
      </w:pPr>
      <w:r>
        <w:t xml:space="preserve">À partir de ce mélange, les chercheurs ont isolé le dipeptide Glu-Trp et l’ont mis sur le marché sous forme synthétique, sous le nom de thymogène. Il est censé favoriser la différenciation des lymphocytes T et la reconnaissance des antigènes ainsi qu’activer les cellules phagocytaires</w:t>
      </w:r>
      <w:r>
        <w:rPr>
          <w:rStyle w:val="FootnoteReference"/>
        </w:rPr>
        <w:footnoteReference w:id="1197"/>
      </w:r>
      <w:r>
        <w:t xml:space="preserve">.</w:t>
      </w:r>
    </w:p>
    <w:p>
      <w:pPr>
        <w:pStyle w:val="BodyText"/>
      </w:pPr>
      <w:r>
        <w:t xml:space="preserve">Khavinson en a tiré une théorie plus large : des peptides courts issus de différents organes agiraient de manière spécifique aux tissus et « réguleraient » l’activité des gènes – des peptides de l’épiphyse pour l’épiphyse, du thymus pour le système immunitaire, et ainsi de suite</w:t>
      </w:r>
      <w:r>
        <w:rPr>
          <w:rStyle w:val="FootnoteReference"/>
        </w:rPr>
        <w:footnoteReference w:id="1198"/>
      </w:r>
      <w:r>
        <w:t xml:space="preserve">. L’épitalon, traité dans la partie II · D, est aussi issu de cette école. Cette théorie n’a guère été vérifiée en dehors du groupe de travail et ne correspond pas à la compréhension générale du mode d’action des messagers peptidiques – à savoir, en règle générale, via des récepteurs à la surface des cellules. Les travaux récents du groupe fondent le mécanisme surtout sur des simulations informatiques de liaison au matériel génétique et sur des cultures cellulaires</w:t>
      </w:r>
      <w:r>
        <w:rPr>
          <w:rStyle w:val="FootnoteReference"/>
        </w:rPr>
        <w:footnoteReference w:id="1199"/>
      </w:r>
      <w:r>
        <w:t xml:space="preserve">.</w:t>
      </w:r>
    </w:p>
    <w:bookmarkEnd w:id="1200"/>
    <w:bookmarkStart w:id="1209" w:name="études-chez-lhumain-22"/>
    <w:p>
      <w:pPr>
        <w:pStyle w:val="Heading3"/>
      </w:pPr>
      <w:r>
        <w:t xml:space="preserve">Études chez l’humain</w:t>
      </w:r>
    </w:p>
    <w:p>
      <w:pPr>
        <w:pStyle w:val="FirstParagraph"/>
      </w:pPr>
      <w:r>
        <w:rPr>
          <w:bCs/>
          <w:b/>
        </w:rPr>
        <w:t xml:space="preserve">Ampleur des données (requête d’octobre 2026) :</w:t>
      </w:r>
      <w:r>
        <w:t xml:space="preserve"> </w:t>
      </w:r>
      <w:r>
        <w:t xml:space="preserve">la recherche automatisée a trouvé</w:t>
      </w:r>
      <w:r>
        <w:t xml:space="preserve"> </w:t>
      </w:r>
      <w:r>
        <w:rPr>
          <w:bCs/>
          <w:b/>
        </w:rPr>
        <w:t xml:space="preserve">17</w:t>
      </w:r>
      <w:r>
        <w:t xml:space="preserve"> </w:t>
      </w:r>
      <w:r>
        <w:t xml:space="preserve">études chez l’humain dans PubMed et</w:t>
      </w:r>
      <w:r>
        <w:t xml:space="preserve"> </w:t>
      </w:r>
      <w:r>
        <w:rPr>
          <w:bCs/>
          <w:b/>
        </w:rPr>
        <w:t xml:space="preserve">0</w:t>
      </w:r>
      <w:r>
        <w:t xml:space="preserve"> </w:t>
      </w:r>
      <w:r>
        <w:t xml:space="preserve">entrée sur ClinicalTrials.gov. Au total, PubMed recense environ 290 publications sur la thymaline ou le thymogène ; environ 250 sont en russe, et une seule mentionne « randomisé » ou « placebo » dans son titre ou son résumé. Pour la plupart des études chez l’humain, PubMed ne présente qu’un bref résumé en russe ou en ukrainien, souvent sans indication du nombre de participants, du groupe témoin ou de l’aveugle.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schéma</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 Prolongation de la vie » (Khavinson 2003, PMID 14523363)</w:t>
            </w:r>
          </w:p>
        </w:tc>
        <w:tc>
          <w:tcPr/>
          <w:p>
            <w:pPr>
              <w:pStyle w:val="Compact"/>
              <w:jc w:val="left"/>
            </w:pPr>
            <w:r>
              <w:t xml:space="preserve">266 personnes âgées, thymaline et/ou épithalamine vs contrôle ; répartition et aveugle non décrits</w:t>
            </w:r>
          </w:p>
        </w:tc>
        <w:tc>
          <w:tcPr/>
          <w:p>
            <w:pPr>
              <w:pStyle w:val="Compact"/>
              <w:jc w:val="left"/>
            </w:pPr>
            <w:r>
              <w:t xml:space="preserve">6–8 ans d’observation</w:t>
            </w:r>
          </w:p>
        </w:tc>
        <w:tc>
          <w:tcPr/>
          <w:p>
            <w:pPr>
              <w:pStyle w:val="Compact"/>
              <w:jc w:val="left"/>
            </w:pPr>
            <w:r>
              <w:t xml:space="preserve">mortalité 2,0 à 2,1 fois plus faible dans le groupe thymaline que dans le groupe témoin</w:t>
            </w:r>
          </w:p>
        </w:tc>
      </w:tr>
      <w:tr>
        <w:tc>
          <w:tcPr/>
          <w:p>
            <w:pPr>
              <w:pStyle w:val="Compact"/>
              <w:jc w:val="left"/>
            </w:pPr>
            <w:r>
              <w:t xml:space="preserve">Avant chirurgie abdominale (Smirnov 2011, PMID 21957588)</w:t>
            </w:r>
          </w:p>
        </w:tc>
        <w:tc>
          <w:tcPr/>
          <w:p>
            <w:pPr>
              <w:pStyle w:val="Compact"/>
              <w:jc w:val="left"/>
            </w:pPr>
            <w:r>
              <w:t xml:space="preserve">personnes âgées avec tumeurs abdominales, ECR en double aveugle contre placebo, thymogène en gouttes nasales ; nombre de participants non indiqué dans le résumé</w:t>
            </w:r>
          </w:p>
        </w:tc>
        <w:tc>
          <w:tcPr/>
          <w:p>
            <w:pPr>
              <w:pStyle w:val="Compact"/>
              <w:jc w:val="left"/>
            </w:pPr>
            <w:r>
              <w:t xml:space="preserve">7 jours avant l’opération</w:t>
            </w:r>
          </w:p>
        </w:tc>
        <w:tc>
          <w:tcPr/>
          <w:p>
            <w:pPr>
              <w:pStyle w:val="Compact"/>
              <w:jc w:val="left"/>
            </w:pPr>
            <w:r>
              <w:t xml:space="preserve">moins de complications postopératoires</w:t>
            </w:r>
          </w:p>
        </w:tc>
      </w:tr>
      <w:tr>
        <w:tc>
          <w:tcPr/>
          <w:p>
            <w:pPr>
              <w:pStyle w:val="Compact"/>
              <w:jc w:val="left"/>
            </w:pPr>
            <w:r>
              <w:t xml:space="preserve">COVID-19 sévère (Kuznik 2022, PMID 36169363)</w:t>
            </w:r>
          </w:p>
        </w:tc>
        <w:tc>
          <w:tcPr/>
          <w:p>
            <w:pPr>
              <w:pStyle w:val="Compact"/>
              <w:jc w:val="left"/>
            </w:pPr>
            <w:r>
              <w:t xml:space="preserve">trois groupes : traitement de base, plus tocilizumab, plus thymaline ; répartition non décrite</w:t>
            </w:r>
          </w:p>
        </w:tc>
        <w:tc>
          <w:tcPr/>
          <w:p>
            <w:pPr>
              <w:pStyle w:val="Compact"/>
              <w:jc w:val="left"/>
            </w:pPr>
            <w:r>
              <w:t xml:space="preserve">durée d’hospitalisation</w:t>
            </w:r>
          </w:p>
        </w:tc>
        <w:tc>
          <w:tcPr/>
          <w:p>
            <w:pPr>
              <w:pStyle w:val="Compact"/>
              <w:jc w:val="left"/>
            </w:pPr>
            <w:r>
              <w:t xml:space="preserve">mortalité hospitalière 40,9 %, 28,4 % et 20,6 %</w:t>
            </w:r>
          </w:p>
        </w:tc>
      </w:tr>
      <w:tr>
        <w:tc>
          <w:tcPr/>
          <w:p>
            <w:pPr>
              <w:pStyle w:val="Compact"/>
              <w:jc w:val="left"/>
            </w:pPr>
            <w:r>
              <w:t xml:space="preserve">Schizophrénie résistante au traitement (Govorin 1990, PMID 2163147)</w:t>
            </w:r>
          </w:p>
        </w:tc>
        <w:tc>
          <w:tcPr/>
          <w:p>
            <w:pPr>
              <w:pStyle w:val="Compact"/>
              <w:jc w:val="left"/>
            </w:pPr>
            <w:r>
              <w:t xml:space="preserve">36 personnes, sans groupe témoin</w:t>
            </w:r>
          </w:p>
        </w:tc>
        <w:tc>
          <w:tcPr/>
          <w:p>
            <w:pPr>
              <w:pStyle w:val="Compact"/>
              <w:jc w:val="left"/>
            </w:pPr>
            <w:r>
              <w:t xml:space="preserve">non indiquée</w:t>
            </w:r>
          </w:p>
        </w:tc>
        <w:tc>
          <w:tcPr/>
          <w:p>
            <w:pPr>
              <w:pStyle w:val="Compact"/>
              <w:jc w:val="left"/>
            </w:pPr>
            <w:r>
              <w:t xml:space="preserve">amélioration des symptômes psychiques rapportée</w:t>
            </w:r>
          </w:p>
        </w:tc>
      </w:tr>
      <w:tr>
        <w:tc>
          <w:tcPr/>
          <w:p>
            <w:pPr>
              <w:pStyle w:val="Compact"/>
              <w:jc w:val="left"/>
            </w:pPr>
            <w:r>
              <w:t xml:space="preserve">Parkinson (Musienko 1999, PMID 10424021)</w:t>
            </w:r>
          </w:p>
        </w:tc>
        <w:tc>
          <w:tcPr/>
          <w:p>
            <w:pPr>
              <w:pStyle w:val="Compact"/>
              <w:jc w:val="left"/>
            </w:pPr>
            <w:r>
              <w:t xml:space="preserve">15 personnes, sans groupe témoin</w:t>
            </w:r>
          </w:p>
        </w:tc>
        <w:tc>
          <w:tcPr/>
          <w:p>
            <w:pPr>
              <w:pStyle w:val="Compact"/>
              <w:jc w:val="left"/>
            </w:pPr>
            <w:r>
              <w:t xml:space="preserve">une série de traitements</w:t>
            </w:r>
          </w:p>
        </w:tc>
        <w:tc>
          <w:tcPr/>
          <w:p>
            <w:pPr>
              <w:pStyle w:val="Compact"/>
              <w:jc w:val="left"/>
            </w:pPr>
            <w:r>
              <w:t xml:space="preserve">amélioration du bien-être et des symptômes rapportée</w:t>
            </w:r>
          </w:p>
        </w:tc>
      </w:tr>
    </w:tbl>
    <w:bookmarkStart w:id="1202" w:name="Xec70fe379d19f36bcc90e97131cca51d4dd409a"/>
    <w:p>
      <w:pPr>
        <w:pStyle w:val="Heading4"/>
      </w:pPr>
      <w:r>
        <w:t xml:space="preserve">L’étude à long terme sur la prolongation de la vie</w:t>
      </w:r>
    </w:p>
    <w:p>
      <w:pPr>
        <w:pStyle w:val="FirstParagraph"/>
      </w:pPr>
      <w:r>
        <w:t xml:space="preserve">Le travail le plus connu est aussi le plus problématique. Sur six à huit ans, 266 personnes âgées ont été suivies à Saint-Pétersbourg et à Kiev, dont certaines ont reçu au cours des deux à trois premières années de la thymaline, de l’épithalamine ou les deux. Les auteurs rapportent une mortalité 2,0 à 2,1 fois plus faible sous thymaline et 4,1 fois plus faible avec un traitement combiné annuel sur six ans</w:t>
      </w:r>
      <w:r>
        <w:rPr>
          <w:rStyle w:val="FootnoteReference"/>
        </w:rPr>
        <w:footnoteReference w:id="1201"/>
      </w:r>
      <w:r>
        <w:t xml:space="preserve">.</w:t>
      </w:r>
    </w:p>
    <w:p>
      <w:pPr>
        <w:pStyle w:val="BodyText"/>
      </w:pPr>
      <w:r>
        <w:t xml:space="preserve">De tels effets seraient spectaculaires – plus importants qu’avec presque n’importe quel médicament établi. Le résumé ne décrit cependant ni comment les participants ont été répartis entre les groupes, ni s’il y avait un aveugle, ni combien de personnes comptait chaque groupe. Les personnes en meilleure santé et plus actives participent plus volontiers à un traitement de plusieurs années ; sans répartition aléatoire, une telle différence peut naître de ce seul fait. Il n’existe pas de réplications indépendantes.</w:t>
      </w:r>
    </w:p>
    <w:bookmarkEnd w:id="1202"/>
    <w:bookmarkStart w:id="1205" w:name="covid-19-1"/>
    <w:p>
      <w:pPr>
        <w:pStyle w:val="Heading4"/>
      </w:pPr>
      <w:r>
        <w:t xml:space="preserve">COVID-19</w:t>
      </w:r>
    </w:p>
    <w:p>
      <w:pPr>
        <w:pStyle w:val="FirstParagraph"/>
      </w:pPr>
      <w:r>
        <w:t xml:space="preserve">Pendant la pandémie, le groupe de travail a rapporté l’utilisation de la thymaline chez des patients gravement atteints de COVID-19. Dans une analyse, la mortalité hospitalière était de 40,9 pour cent sous traitement de base, de 28,4 pour cent avec du tocilizumab en plus et de 20,6 pour cent avec de la thymaline en plus</w:t>
      </w:r>
      <w:r>
        <w:rPr>
          <w:rStyle w:val="FootnoteReference"/>
        </w:rPr>
        <w:footnoteReference w:id="1203"/>
      </w:r>
      <w:r>
        <w:t xml:space="preserve">. Le résumé n’indique pas comment les personnes ont été réparties entre les groupes ni quelle était la taille des groupes. Un autre travail fait état d’une baisse plus rapide des marqueurs inflammatoires et de coagulation</w:t>
      </w:r>
      <w:r>
        <w:rPr>
          <w:rStyle w:val="FootnoteReference"/>
        </w:rPr>
        <w:footnoteReference w:id="1204"/>
      </w:r>
      <w:r>
        <w:t xml:space="preserve">. Après l’expérience de la thymosine alpha 1, pour laquelle des données observationnelles précoces favorables ne se sont pas confirmées dans des études plus grandes (voir ce chapitre), ces chiffres ne sont pas fiables sans confirmation randomisée.</w:t>
      </w:r>
    </w:p>
    <w:bookmarkEnd w:id="1205"/>
    <w:bookmarkStart w:id="1207" w:name="la-seule-étude-contrôlée-contre-placebo"/>
    <w:p>
      <w:pPr>
        <w:pStyle w:val="Heading4"/>
      </w:pPr>
      <w:r>
        <w:t xml:space="preserve">La seule étude contrôlée contre placebo</w:t>
      </w:r>
    </w:p>
    <w:p>
      <w:pPr>
        <w:pStyle w:val="FirstParagraph"/>
      </w:pPr>
      <w:r>
        <w:t xml:space="preserve">La seule étude décrite comme en double aveugle, randomisée et contrôlée contre placebo a examiné des gouttes nasales de thymogène chez des personnes âgées avant une opération de tumeurs abdominales. Elle rapporte moins de complications postopératoires et une cicatrisation plus rapide</w:t>
      </w:r>
      <w:r>
        <w:rPr>
          <w:rStyle w:val="FootnoteReference"/>
        </w:rPr>
        <w:footnoteReference w:id="1206"/>
      </w:r>
      <w:r>
        <w:t xml:space="preserve">. Le résumé russe n’indique ni le nombre de participants ni l’ampleur des effets.</w:t>
      </w:r>
    </w:p>
    <w:bookmarkEnd w:id="1207"/>
    <w:bookmarkStart w:id="1208" w:name="autres-études"/>
    <w:p>
      <w:pPr>
        <w:pStyle w:val="Heading4"/>
      </w:pPr>
      <w:r>
        <w:t xml:space="preserve">Autres études</w:t>
      </w:r>
    </w:p>
    <w:p>
      <w:pPr>
        <w:pStyle w:val="FirstParagraph"/>
      </w:pPr>
      <w:r>
        <w:t xml:space="preserve">Les autres études chez l’humain datent majoritairement des années 1980 et 1990 et couvrent un éventail étonnamment large : tuberculose, dysenterie, érysipèle, plaies purulentes, péritonite chez l’enfant, pancréatite, rectocolite hémorragique, inflammations des organes génitaux féminins, schizophrénie et Parkinson. Presque toujours, la thymaline ou le thymogène étaient administrés en plus du traitement standard, sans placebo et le plus souvent sans répartition aléatoire. On mesurait souvent des valeurs biologiques du système immunitaire, et non des critères cliniques forts comme la guérison ou la survie.</w:t>
      </w:r>
    </w:p>
    <w:bookmarkEnd w:id="1208"/>
    <w:bookmarkEnd w:id="1209"/>
    <w:bookmarkStart w:id="1212" w:name="études-animales-et-de-laboratoire-22"/>
    <w:p>
      <w:pPr>
        <w:pStyle w:val="Heading3"/>
      </w:pPr>
      <w:r>
        <w:t xml:space="preserve">Études animales et de laboratoire</w:t>
      </w:r>
    </w:p>
    <w:p>
      <w:pPr>
        <w:pStyle w:val="FirstParagraph"/>
      </w:pPr>
      <w:r>
        <w:t xml:space="preserve">Les études animales proviennent elles aussi majoritairement de groupes de travail russes et ukrainiens. Chez 76 rats ayant reçu pendant douze mois du Glu-Trp (thymogène) ou du sérum physiologique, la durée de vie moyenne était identique ; les dix pour cent vivant le plus longtemps vivaient plus longtemps sous thymogène, et les tumeurs étaient plus rares</w:t>
      </w:r>
      <w:r>
        <w:rPr>
          <w:rStyle w:val="FootnoteReference"/>
        </w:rPr>
        <w:footnoteReference w:id="1210"/>
      </w:r>
      <w:r>
        <w:t xml:space="preserve">. Dans des cultures de cellules souches sanguines humaines, la thymaline a influencé leur différenciation</w:t>
      </w:r>
      <w:r>
        <w:rPr>
          <w:rStyle w:val="FootnoteReference"/>
        </w:rPr>
        <w:footnoteReference w:id="1211"/>
      </w:r>
      <w:r>
        <w:t xml:space="preserve">. D’autres travaux décrivent des effets sur la coagulation, la cancérogenèse après irradiation ou exposition chimique et les infections chez les rongeurs.</w:t>
      </w:r>
    </w:p>
    <w:bookmarkEnd w:id="1212"/>
    <w:bookmarkStart w:id="1213" w:name="X6450b2b90d555cb067d8bb224a988dc8daa9c32"/>
    <w:p>
      <w:pPr>
        <w:pStyle w:val="Heading3"/>
      </w:pPr>
      <w:r>
        <w:t xml:space="preserve">Qualité de la recherche : une mise en perspective critique</w:t>
      </w:r>
    </w:p>
    <w:p>
      <w:pPr>
        <w:pStyle w:val="FirstParagraph"/>
      </w:pPr>
      <w:r>
        <w:t xml:space="preserve">Pour évaluer la thymaline et le thymogène, l’origine des données est plus importante que les résultats individuels :</w:t>
      </w:r>
    </w:p>
    <w:p>
      <w:pPr>
        <w:numPr>
          <w:ilvl w:val="0"/>
          <w:numId w:val="1142"/>
        </w:numPr>
        <w:pStyle w:val="Compact"/>
      </w:pPr>
      <w:r>
        <w:rPr>
          <w:bCs/>
          <w:b/>
        </w:rPr>
        <w:t xml:space="preserve">Une seule école, pratiquement aucune confirmation indépendante.</w:t>
      </w:r>
      <w:r>
        <w:t xml:space="preserve"> </w:t>
      </w:r>
      <w:r>
        <w:t xml:space="preserve">Une grande partie des travaux provient de Khavinson, de ses collaborateurs ou d’instituts partenaires. Selon PubMed, Khavinson a participé à plus de 80 des quelque 290 publications ; beaucoup d’autres proviennent de groupes étroitement liés. Les études de réplication indépendantes occidentales font défaut.</w:t>
      </w:r>
    </w:p>
    <w:p>
      <w:pPr>
        <w:numPr>
          <w:ilvl w:val="0"/>
          <w:numId w:val="1142"/>
        </w:numPr>
        <w:pStyle w:val="Compact"/>
      </w:pPr>
      <w:r>
        <w:rPr>
          <w:bCs/>
          <w:b/>
        </w:rPr>
        <w:t xml:space="preserve">Langue et accessibilité.</w:t>
      </w:r>
      <w:r>
        <w:t xml:space="preserve"> </w:t>
      </w:r>
      <w:r>
        <w:t xml:space="preserve">Environ 250 des travaux sont en russe, souvent avec un simple résumé succinct dans PubMed. Les textes intégraux sont difficiles d’accès, et les méthodes à peine vérifiables.</w:t>
      </w:r>
    </w:p>
    <w:p>
      <w:pPr>
        <w:numPr>
          <w:ilvl w:val="0"/>
          <w:numId w:val="1142"/>
        </w:numPr>
        <w:pStyle w:val="Compact"/>
      </w:pPr>
      <w:r>
        <w:rPr>
          <w:bCs/>
          <w:b/>
        </w:rPr>
        <w:t xml:space="preserve">Conception des études.</w:t>
      </w:r>
      <w:r>
        <w:t xml:space="preserve"> </w:t>
      </w:r>
      <w:r>
        <w:t xml:space="preserve">Presque aucune étude n’est randomisée, en aveugle et préenregistrée selon les normes actuelles. Aucune étude n’est inscrite sur ClinicalTrials.gov.</w:t>
      </w:r>
    </w:p>
    <w:p>
      <w:pPr>
        <w:numPr>
          <w:ilvl w:val="0"/>
          <w:numId w:val="1142"/>
        </w:numPr>
        <w:pStyle w:val="Compact"/>
      </w:pPr>
      <w:r>
        <w:rPr>
          <w:bCs/>
          <w:b/>
        </w:rPr>
        <w:t xml:space="preserve">Effets inhabituellement importants dans de très nombreuses maladies.</w:t>
      </w:r>
      <w:r>
        <w:t xml:space="preserve"> </w:t>
      </w:r>
      <w:r>
        <w:t xml:space="preserve">Une préparation qui agirait de la même façon sur la tuberculose, la schizophrénie, le Parkinson, la COVID-19 et le vieillissement, et qui réduirait de moitié la mortalité, est d’un point de vue méthodologique un signal d’alerte, pas une recommandation.</w:t>
      </w:r>
    </w:p>
    <w:p>
      <w:pPr>
        <w:numPr>
          <w:ilvl w:val="0"/>
          <w:numId w:val="1142"/>
        </w:numPr>
        <w:pStyle w:val="Compact"/>
      </w:pPr>
      <w:r>
        <w:rPr>
          <w:bCs/>
          <w:b/>
        </w:rPr>
        <w:t xml:space="preserve">Conflits d’intérêts.</w:t>
      </w:r>
      <w:r>
        <w:t xml:space="preserve"> </w:t>
      </w:r>
      <w:r>
        <w:t xml:space="preserve">Le groupe de travail a lui-même développé les préparations ; à la connaissance de l’auteur, des « biorégulateurs » issus de cette école sont commercialisés à l’international comme compléments alimentaires. Les évaluations indépendantes par des chercheurs sans de tels liens font défaut.</w:t>
      </w:r>
    </w:p>
    <w:p>
      <w:pPr>
        <w:pStyle w:val="FirstParagraph"/>
      </w:pPr>
      <w:r>
        <w:t xml:space="preserve">Cela ne signifie pas que tous les résultats sont forcément faux. Cela signifie que, selon les critères de ce livre, ils ne peuvent pas être considérés comme la preuve d’un bénéfice tant qu’ils ne sont pas confirmés par des études indépendantes rigoureusement conçues.</w:t>
      </w:r>
    </w:p>
    <w:bookmarkEnd w:id="1213"/>
    <w:bookmarkStart w:id="1216" w:name="risques-et-effets-indésirables-22"/>
    <w:p>
      <w:pPr>
        <w:pStyle w:val="Heading3"/>
      </w:pPr>
      <w:r>
        <w:t xml:space="preserve">Risques et effets indésirables</w:t>
      </w:r>
    </w:p>
    <w:bookmarkStart w:id="1214" w:name="établi-6"/>
    <w:p>
      <w:pPr>
        <w:pStyle w:val="Heading4"/>
      </w:pPr>
      <w:r>
        <w:t xml:space="preserve">Établi</w:t>
      </w:r>
    </w:p>
    <w:p>
      <w:pPr>
        <w:pStyle w:val="FirstParagraph"/>
      </w:pPr>
      <w:r>
        <w:t xml:space="preserve">Il n’existe pas de données de sécurité recueillies systématiquement selon les normes actuelles. Les études disponibles ne rapportent guère d’effets indésirables – ce qui signifie peu pour de petites études non menées en aveugle.</w:t>
      </w:r>
    </w:p>
    <w:bookmarkEnd w:id="1214"/>
    <w:bookmarkStart w:id="1215" w:name="théorique-2"/>
    <w:p>
      <w:pPr>
        <w:pStyle w:val="Heading4"/>
      </w:pPr>
      <w:r>
        <w:t xml:space="preserve">Théorique</w:t>
      </w:r>
    </w:p>
    <w:p>
      <w:pPr>
        <w:numPr>
          <w:ilvl w:val="0"/>
          <w:numId w:val="1143"/>
        </w:numPr>
        <w:pStyle w:val="Compact"/>
      </w:pPr>
      <w:r>
        <w:rPr>
          <w:bCs/>
          <w:b/>
        </w:rPr>
        <w:t xml:space="preserve">Matière première animale :</w:t>
      </w:r>
      <w:r>
        <w:t xml:space="preserve"> </w:t>
      </w:r>
      <w:r>
        <w:t xml:space="preserve">la thymaline est un extrait de thymus de veau. Les extraits animaux comportent par principe des risques d’impuretés, de variations entre les lots et de réactions allergiques. La transmission d’agents pathogènes à partir de tissus bovins est également un risque théorique, qui dépend de la qualité de fabrication.</w:t>
      </w:r>
    </w:p>
    <w:p>
      <w:pPr>
        <w:numPr>
          <w:ilvl w:val="0"/>
          <w:numId w:val="1143"/>
        </w:numPr>
        <w:pStyle w:val="Compact"/>
      </w:pPr>
      <w:r>
        <w:rPr>
          <w:bCs/>
          <w:b/>
        </w:rPr>
        <w:t xml:space="preserve">Stimulation immunitaire :</w:t>
      </w:r>
      <w:r>
        <w:t xml:space="preserve"> </w:t>
      </w:r>
      <w:r>
        <w:t xml:space="preserve">en cas de maladie auto-immune ou après une transplantation d’organe, une stimulation du système immunitaire pourrait être nocive. Les données à ce sujet font défaut.</w:t>
      </w:r>
    </w:p>
    <w:p>
      <w:pPr>
        <w:numPr>
          <w:ilvl w:val="0"/>
          <w:numId w:val="1143"/>
        </w:numPr>
        <w:pStyle w:val="Compact"/>
      </w:pPr>
      <w:r>
        <w:rPr>
          <w:bCs/>
          <w:b/>
        </w:rPr>
        <w:t xml:space="preserve">Marché gris et « biorégulateurs » :</w:t>
      </w:r>
      <w:r>
        <w:t xml:space="preserve"> </w:t>
      </w:r>
      <w:r>
        <w:t xml:space="preserve">hors de Russie, la thymaline, le thymogène et des produits apparentés sont distribués via Internet, parfois en solution injectable, parfois en gélules portant la désignation « biorégulateur ». L’origine, la teneur et la qualité de ces produits ne sont pas vérifiables.</w:t>
      </w:r>
    </w:p>
    <w:bookmarkEnd w:id="1215"/>
    <w:bookmarkEnd w:id="1216"/>
    <w:bookmarkStart w:id="1217" w:name="statut-juridique-22"/>
    <w:p>
      <w:pPr>
        <w:pStyle w:val="Heading3"/>
      </w:pPr>
      <w:r>
        <w:t xml:space="preserve">Statut juridique</w:t>
      </w:r>
    </w:p>
    <w:p>
      <w:pPr>
        <w:pStyle w:val="FirstParagraph"/>
      </w:pPr>
      <w:r>
        <w:rPr>
          <w:iCs/>
          <w:i/>
        </w:rPr>
        <w:t xml:space="preserve">État 2026, à vérifier.</w:t>
      </w:r>
    </w:p>
    <w:p>
      <w:pPr>
        <w:numPr>
          <w:ilvl w:val="0"/>
          <w:numId w:val="1144"/>
        </w:numPr>
        <w:pStyle w:val="Compact"/>
      </w:pPr>
      <w:r>
        <w:rPr>
          <w:bCs/>
          <w:b/>
        </w:rPr>
        <w:t xml:space="preserve">Russie et quelques États successeurs de l’Union soviétique :</w:t>
      </w:r>
      <w:r>
        <w:t xml:space="preserve"> </w:t>
      </w:r>
      <w:r>
        <w:t xml:space="preserve">la thymaline et le thymogène sont autorisés comme médicaments.</w:t>
      </w:r>
    </w:p>
    <w:p>
      <w:pPr>
        <w:numPr>
          <w:ilvl w:val="0"/>
          <w:numId w:val="1144"/>
        </w:numPr>
        <w:pStyle w:val="Compact"/>
      </w:pPr>
      <w:r>
        <w:rPr>
          <w:bCs/>
          <w:b/>
        </w:rPr>
        <w:t xml:space="preserve">UE, Allemagne, Autriche :</w:t>
      </w:r>
      <w:r>
        <w:t xml:space="preserve"> </w:t>
      </w:r>
      <w:r>
        <w:t xml:space="preserve">pas d’autorisation. L’importation et la délivrance en vue d’un usage humain ne sont permises que dans les conditions strictes du droit pharmaceutique de chaque pays. Les gélules d’extraits d’organes vendues comme compléments alimentaires ne doivent promettre aucun effet sur des maladies ; leur éventuelle qualification de médicament dépend du cas d’espèce.</w:t>
      </w:r>
    </w:p>
    <w:p>
      <w:pPr>
        <w:numPr>
          <w:ilvl w:val="0"/>
          <w:numId w:val="1144"/>
        </w:numPr>
        <w:pStyle w:val="Compact"/>
      </w:pPr>
      <w:r>
        <w:rPr>
          <w:bCs/>
          <w:b/>
        </w:rPr>
        <w:t xml:space="preserve">États-Unis :</w:t>
      </w:r>
      <w:r>
        <w:t xml:space="preserve"> </w:t>
      </w:r>
      <w:r>
        <w:t xml:space="preserve">pas d’autorisation de la FDA.</w:t>
      </w:r>
    </w:p>
    <w:p>
      <w:pPr>
        <w:numPr>
          <w:ilvl w:val="0"/>
          <w:numId w:val="1144"/>
        </w:numPr>
        <w:pStyle w:val="Compact"/>
      </w:pPr>
      <w:r>
        <w:rPr>
          <w:bCs/>
          <w:b/>
        </w:rPr>
        <w:t xml:space="preserve">AMA (WADA) :</w:t>
      </w:r>
      <w:r>
        <w:t xml:space="preserve"> </w:t>
      </w:r>
      <w:r>
        <w:t xml:space="preserve">non cités nommément.</w:t>
      </w:r>
    </w:p>
    <w:bookmarkEnd w:id="1217"/>
    <w:bookmarkStart w:id="1218" w:name="études-en-cours-et-perspectives-22"/>
    <w:p>
      <w:pPr>
        <w:pStyle w:val="Heading3"/>
      </w:pPr>
      <w:r>
        <w:t xml:space="preserve">Études en cours et perspectives</w:t>
      </w:r>
    </w:p>
    <w:p>
      <w:pPr>
        <w:pStyle w:val="FirstParagraph"/>
      </w:pPr>
      <w:r>
        <w:rPr>
          <w:bCs/>
          <w:b/>
        </w:rPr>
        <w:t xml:space="preserve">Établi :</w:t>
      </w:r>
      <w:r>
        <w:t xml:space="preserve"> </w:t>
      </w:r>
      <w:r>
        <w:t xml:space="preserve">en octobre 2026, aucune étude sur la thymaline ou le thymogène n’est enregistrée sur ClinicalTrials.gov.</w:t>
      </w:r>
    </w:p>
    <w:p>
      <w:pPr>
        <w:pStyle w:val="BodyText"/>
      </w:pPr>
      <w:r>
        <w:rPr>
          <w:bCs/>
          <w:b/>
        </w:rPr>
        <w:t xml:space="preserve">Appréciation de l’auteur :</w:t>
      </w:r>
      <w:r>
        <w:t xml:space="preserve"> </w:t>
      </w:r>
      <w:r>
        <w:t xml:space="preserve">une autorisation dans l’UE ou aux États-Unis est exclue sans nouvelles études menées selon les normes internationales, et de telles études ne sont pas en vue. La thymaline et le thymogène resteront donc vraisemblablement un phénomène du marché de la santé russophone et du milieu international de la longévité.</w:t>
      </w:r>
    </w:p>
    <w:bookmarkEnd w:id="1218"/>
    <w:bookmarkStart w:id="1220" w:name="conclusion-22"/>
    <w:p>
      <w:pPr>
        <w:pStyle w:val="Heading3"/>
      </w:pPr>
      <w:r>
        <w:t xml:space="preserve">Conclusion</w:t>
      </w:r>
    </w:p>
    <w:p>
      <w:pPr>
        <w:pStyle w:val="FirstParagraph"/>
      </w:pPr>
      <w:r>
        <w:t xml:space="preserve">La thymaline est un extrait de thymus de veau, le thymogène un dipeptide qui en est dérivé ; tous deux sont autorisés en Russie et promus en Occident comme « biorégulateurs » pour prolonger la vie. Les données proviennent presque entièrement d’une seule école de recherche russe, sont majoritairement publiées en russe et se composent de petites études, le plus souvent non randomisées. La réduction de moitié de la mortalité chez les personnes âgées, souvent citée</w:t>
      </w:r>
      <w:r>
        <w:rPr>
          <w:rStyle w:val="FootnoteReference"/>
        </w:rPr>
        <w:footnoteReference w:id="1219"/>
      </w:r>
      <w:r>
        <w:t xml:space="preserve">, repose sur une étude dont la conception n’est pas décrite de manière compréhensible dans le résumé. Un bénéfice n’est pas démontré selon les critères actuels, et la qualité des produits vendus librement est inconnue.</w:t>
      </w:r>
    </w:p>
    <w:bookmarkEnd w:id="1220"/>
    <w:bookmarkEnd w:id="1221"/>
    <w:bookmarkEnd w:id="1222"/>
    <w:bookmarkStart w:id="1602" w:name="Xe074f2d2327a9a6bb383a1a96e347ee1724bb9c"/>
    <w:p>
      <w:pPr>
        <w:pStyle w:val="Heading1"/>
      </w:pPr>
      <w:r>
        <w:t xml:space="preserve">Partie II · C – Axe de l’hormone de croissance</w:t>
      </w:r>
    </w:p>
    <w:p>
      <w:pPr>
        <w:pStyle w:val="FirstParagraph"/>
      </w:pPr>
      <w:r>
        <w:t xml:space="preserve">L’hormone de croissance (GH, de l’anglais</w:t>
      </w:r>
      <w:r>
        <w:t xml:space="preserve"> </w:t>
      </w:r>
      <w:r>
        <w:rPr>
          <w:iCs/>
          <w:i/>
        </w:rPr>
        <w:t xml:space="preserve">growth hormone</w:t>
      </w:r>
      <w:r>
        <w:t xml:space="preserve">) est l’une des hormones les plus mythifiées qui soient. Dans les salles de sport, elle passe pour l’hormone du muscle et de la combustion des graisses, et dans les cabinets anti-âge pour une « fontaine de jouvence ». La véritable hormone de croissance est une grosse protéine, coûteuse et soumise à prescription. Les peptides de cette partie promettent une voie apparemment plus élégante : ils sont censés amener l’organisme à libérer</w:t>
      </w:r>
      <w:r>
        <w:t xml:space="preserve"> </w:t>
      </w:r>
      <w:r>
        <w:rPr>
          <w:iCs/>
          <w:i/>
        </w:rPr>
        <w:t xml:space="preserve">davantage de sa propre</w:t>
      </w:r>
      <w:r>
        <w:t xml:space="preserve"> </w:t>
      </w:r>
      <w:r>
        <w:t xml:space="preserve">hormone de croissance – ou ils fournissent directement le messager situé en aval, l’IGF-1.</w:t>
      </w:r>
    </w:p>
    <w:bookmarkStart w:id="1224" w:name="laxe-en-quatre-étapes"/>
    <w:p>
      <w:pPr>
        <w:pStyle w:val="Heading3"/>
      </w:pPr>
      <w:r>
        <w:t xml:space="preserve">L’axe en quatre étapes</w:t>
      </w:r>
    </w:p>
    <w:p>
      <w:pPr>
        <w:numPr>
          <w:ilvl w:val="0"/>
          <w:numId w:val="1145"/>
        </w:numPr>
        <w:pStyle w:val="Compact"/>
      </w:pPr>
      <w:r>
        <w:rPr>
          <w:bCs/>
          <w:b/>
        </w:rPr>
        <w:t xml:space="preserve">La GHRH</w:t>
      </w:r>
      <w:r>
        <w:t xml:space="preserve"> </w:t>
      </w:r>
      <w:r>
        <w:t xml:space="preserve">(hormone de libération de l’hormone de croissance), issue du diencéphale, donne à l’hypophyse le signal de libération. Son antagoniste, la somatostatine, la freine.</w:t>
      </w:r>
    </w:p>
    <w:p>
      <w:pPr>
        <w:numPr>
          <w:ilvl w:val="0"/>
          <w:numId w:val="1145"/>
        </w:numPr>
        <w:pStyle w:val="Compact"/>
      </w:pPr>
      <w:r>
        <w:rPr>
          <w:bCs/>
          <w:b/>
        </w:rPr>
        <w:t xml:space="preserve">La ghréline</w:t>
      </w:r>
      <w:r>
        <w:t xml:space="preserve">, une hormone de l’estomac, renforce la libération via son propre récepteur (GHS-R1a) et donne en même temps faim</w:t>
      </w:r>
      <w:r>
        <w:rPr>
          <w:rStyle w:val="FootnoteReference"/>
        </w:rPr>
        <w:footnoteReference w:id="1223"/>
      </w:r>
      <w:r>
        <w:t xml:space="preserve">.</w:t>
      </w:r>
    </w:p>
    <w:p>
      <w:pPr>
        <w:numPr>
          <w:ilvl w:val="0"/>
          <w:numId w:val="1145"/>
        </w:numPr>
        <w:pStyle w:val="Compact"/>
      </w:pPr>
      <w:r>
        <w:rPr>
          <w:bCs/>
          <w:b/>
        </w:rPr>
        <w:t xml:space="preserve">L’hormone de croissance</w:t>
      </w:r>
      <w:r>
        <w:t xml:space="preserve"> </w:t>
      </w:r>
      <w:r>
        <w:t xml:space="preserve">est libérée par l’hypophyse par pulsations, surtout la nuit.</w:t>
      </w:r>
    </w:p>
    <w:p>
      <w:pPr>
        <w:numPr>
          <w:ilvl w:val="0"/>
          <w:numId w:val="1145"/>
        </w:numPr>
        <w:pStyle w:val="Compact"/>
      </w:pPr>
      <w:r>
        <w:rPr>
          <w:bCs/>
          <w:b/>
        </w:rPr>
        <w:t xml:space="preserve">L’IGF-1</w:t>
      </w:r>
      <w:r>
        <w:t xml:space="preserve"> </w:t>
      </w:r>
      <w:r>
        <w:t xml:space="preserve">(facteur de croissance insulinomimétique de type 1) est produit principalement dans le foie en réponse à l’hormone de croissance et transmet nombre de ses effets anaboliques. Des taux élevés d’IGF-1 freinent à leur tour l’axe.</w:t>
      </w:r>
    </w:p>
    <w:p>
      <w:pPr>
        <w:pStyle w:val="FirstParagraph"/>
      </w:pPr>
      <w:r>
        <w:t xml:space="preserve">Les substances de cette partie agissent à différentes étapes : les</w:t>
      </w:r>
      <w:r>
        <w:t xml:space="preserve"> </w:t>
      </w:r>
      <w:r>
        <w:rPr>
          <w:bCs/>
          <w:b/>
        </w:rPr>
        <w:t xml:space="preserve">analogues de la GHRH</w:t>
      </w:r>
      <w:r>
        <w:t xml:space="preserve"> </w:t>
      </w:r>
      <w:r>
        <w:t xml:space="preserve">(sermoréline, tésamoréline, CJC-1295) sur le récepteur de la GHRH, les</w:t>
      </w:r>
      <w:r>
        <w:t xml:space="preserve"> </w:t>
      </w:r>
      <w:r>
        <w:rPr>
          <w:bCs/>
          <w:b/>
        </w:rPr>
        <w:t xml:space="preserve">mimétiques de la ghréline</w:t>
      </w:r>
      <w:r>
        <w:t xml:space="preserve"> </w:t>
      </w:r>
      <w:r>
        <w:t xml:space="preserve">(ipamoréline, GHRP-2, GHRP-6, hexaréline, macimoréline et, à titre de comparaison, le non-peptide ibutamorène) sur le récepteur de la ghréline, l’</w:t>
      </w:r>
      <w:r>
        <w:rPr>
          <w:bCs/>
          <w:b/>
        </w:rPr>
        <w:t xml:space="preserve">IGF-1 et ses variantes</w:t>
      </w:r>
      <w:r>
        <w:t xml:space="preserve"> </w:t>
      </w:r>
      <w:r>
        <w:t xml:space="preserve">(mécasermine, IGF-1 LR3) directement en bout de chaîne.</w:t>
      </w:r>
    </w:p>
    <w:bookmarkEnd w:id="1224"/>
    <w:bookmarkStart w:id="1227" w:name="pourquoi-ce-groupe-est-si-populaire"/>
    <w:p>
      <w:pPr>
        <w:pStyle w:val="Heading3"/>
      </w:pPr>
      <w:r>
        <w:t xml:space="preserve">Pourquoi ce groupe est si populaire</w:t>
      </w:r>
    </w:p>
    <w:p>
      <w:pPr>
        <w:pStyle w:val="FirstParagraph"/>
      </w:pPr>
      <w:r>
        <w:t xml:space="preserve">L’hormone de croissance réduit la graisse et augmente la masse maigre – c’est bien établi. Une synthèse d’études randomisées chez des personnes jeunes et entraînées a trouvé une augmentation de la masse maigre de 2,1 kg, mais aucune amélioration de la force ou de l’endurance, avec en revanche davantage de rétention d’eau et de fatigue</w:t>
      </w:r>
      <w:r>
        <w:rPr>
          <w:rStyle w:val="FootnoteReference"/>
        </w:rPr>
        <w:footnoteReference w:id="1225"/>
      </w:r>
      <w:r>
        <w:t xml:space="preserve">. Chez des personnes âgées en bonne santé, la masse grasse a baissé de 2,1 kg et la masse maigre a augmenté de 2,1 kg ; dans le même temps, les œdèmes, les douleurs articulaires, le syndrome du canal carpien et l’augmentation du volume des seins chez l’homme étaient plus fréquents</w:t>
      </w:r>
      <w:r>
        <w:rPr>
          <w:rStyle w:val="FootnoteReference"/>
        </w:rPr>
        <w:footnoteReference w:id="1226"/>
      </w:r>
      <w:r>
        <w:t xml:space="preserve">. Comme la sécrétion d’hormone de croissance diminue avec l’âge, l’idée de « remonter le temps » s’impose. Les sécrétagogues passent pour une alternative plus douce, car la régulation propre de l’organisme est préservée. S’y ajoute le fait que beaucoup d’entre eux sont disponibles en ligne à bas prix comme « research peptides ».</w:t>
      </w:r>
    </w:p>
    <w:p>
      <w:pPr>
        <w:pStyle w:val="BodyText"/>
      </w:pPr>
      <w:r>
        <w:t xml:space="preserve">Le schéma qui traverse presque tous les chapitres : l’IGF-1 et la masse maigre augmentent, mais la force, la fonction ou l’évolution des maladies s’améliorent à peine dans les études contrôlées – tandis que la glycémie, la rétention d’eau et, pour certaines substances, les hormones de stress augmentent.</w:t>
      </w:r>
    </w:p>
    <w:bookmarkEnd w:id="1227"/>
    <w:bookmarkStart w:id="1234" w:name="la-principale-question-ouverte-le-cancer"/>
    <w:p>
      <w:pPr>
        <w:pStyle w:val="Heading3"/>
      </w:pPr>
      <w:r>
        <w:t xml:space="preserve">La principale question ouverte : le cancer</w:t>
      </w:r>
    </w:p>
    <w:p>
      <w:pPr>
        <w:pStyle w:val="FirstParagraph"/>
      </w:pPr>
      <w:r>
        <w:t xml:space="preserve">L’IGF-1 favorise la division cellulaire et maintient les cellules en vie. La question de savoir si une élévation durable augmente le risque de cancer est la question de sécurité centrale de ce groupe. Les données, résumées sobrement :</w:t>
      </w:r>
    </w:p>
    <w:p>
      <w:pPr>
        <w:numPr>
          <w:ilvl w:val="0"/>
          <w:numId w:val="1146"/>
        </w:numPr>
        <w:pStyle w:val="Compact"/>
      </w:pPr>
      <w:r>
        <w:rPr>
          <w:bCs/>
          <w:b/>
        </w:rPr>
        <w:t xml:space="preserve">IGF-1 naturellement élevé :</w:t>
      </w:r>
      <w:r>
        <w:t xml:space="preserve"> </w:t>
      </w:r>
      <w:r>
        <w:t xml:space="preserve">dans les études observationnelles, un taux plus élevé est associé à un risque modérément accru de cancer de la prostate et de cancer du sein avant la ménopause</w:t>
      </w:r>
      <w:r>
        <w:rPr>
          <w:rStyle w:val="FootnoteReference"/>
        </w:rPr>
        <w:footnoteReference w:id="1228"/>
      </w:r>
      <w:r>
        <w:t xml:space="preserve">. Des analyses génétiques portant sur des centaines de milliers de participants suggèrent que la relation pourrait être causale pour les cancers du sein et colorectal</w:t>
      </w:r>
      <w:r>
        <w:rPr>
          <w:rStyle w:val="FootnoteReference"/>
        </w:rPr>
        <w:footnoteReference w:id="1229"/>
      </w:r>
      <w:r>
        <w:t xml:space="preserve">.</w:t>
      </w:r>
    </w:p>
    <w:p>
      <w:pPr>
        <w:numPr>
          <w:ilvl w:val="0"/>
          <w:numId w:val="1146"/>
        </w:numPr>
        <w:pStyle w:val="Compact"/>
      </w:pPr>
      <w:r>
        <w:rPr>
          <w:bCs/>
          <w:b/>
        </w:rPr>
        <w:t xml:space="preserve">Excès naturel d’hormone de croissance (acromégalie) :</w:t>
      </w:r>
      <w:r>
        <w:t xml:space="preserve"> </w:t>
      </w:r>
      <w:r>
        <w:t xml:space="preserve">une méta-analyse de 23 études a trouvé un taux de cancer augmenté d’environ 50 %, mais suggère aussi des biais dans les études plus anciennes</w:t>
      </w:r>
      <w:r>
        <w:rPr>
          <w:rStyle w:val="FootnoteReference"/>
        </w:rPr>
        <w:footnoteReference w:id="1230"/>
      </w:r>
      <w:r>
        <w:t xml:space="preserve">.</w:t>
      </w:r>
    </w:p>
    <w:p>
      <w:pPr>
        <w:numPr>
          <w:ilvl w:val="0"/>
          <w:numId w:val="1146"/>
        </w:numPr>
        <w:pStyle w:val="Compact"/>
      </w:pPr>
      <w:r>
        <w:rPr>
          <w:bCs/>
          <w:b/>
        </w:rPr>
        <w:t xml:space="preserve">Déficit en IGF-1 à vie (syndrome de Laron) :</w:t>
      </w:r>
      <w:r>
        <w:t xml:space="preserve"> </w:t>
      </w:r>
      <w:r>
        <w:t xml:space="preserve">le cancer y était remarquablement rare</w:t>
      </w:r>
      <w:r>
        <w:rPr>
          <w:rStyle w:val="FootnoteReference"/>
        </w:rPr>
        <w:footnoteReference w:id="1231"/>
      </w:r>
      <w:r>
        <w:t xml:space="preserve">.</w:t>
      </w:r>
    </w:p>
    <w:p>
      <w:pPr>
        <w:numPr>
          <w:ilvl w:val="0"/>
          <w:numId w:val="1146"/>
        </w:numPr>
        <w:pStyle w:val="Compact"/>
      </w:pPr>
      <w:r>
        <w:rPr>
          <w:bCs/>
          <w:b/>
        </w:rPr>
        <w:t xml:space="preserve">Hormone de croissance comme médicament :</w:t>
      </w:r>
      <w:r>
        <w:t xml:space="preserve"> </w:t>
      </w:r>
      <w:r>
        <w:t xml:space="preserve">dans une cohorte européenne de 23 984 enfants traités, il n’y avait pas de risque globalement accru chez les enfants sans antécédents, mais des anomalies pour certains types de cancer et chez des enfants ayant déjà eu un cancer</w:t>
      </w:r>
      <w:r>
        <w:rPr>
          <w:rStyle w:val="FootnoteReference"/>
        </w:rPr>
        <w:footnoteReference w:id="1232"/>
      </w:r>
      <w:r>
        <w:t xml:space="preserve">. Chez 8 418 adultes traités pour insuffisance hypophysaire, le risque de cancer n’était pas augmenté</w:t>
      </w:r>
      <w:r>
        <w:rPr>
          <w:rStyle w:val="FootnoteReference"/>
        </w:rPr>
        <w:footnoteReference w:id="1233"/>
      </w:r>
      <w:r>
        <w:t xml:space="preserve">.</w:t>
      </w:r>
    </w:p>
    <w:p>
      <w:pPr>
        <w:pStyle w:val="FirstParagraph"/>
      </w:pPr>
      <w:r>
        <w:t xml:space="preserve">Conclusion : chez les personnes présentant un véritable déficit, un traitement substitutif n’est pas associé, selon les connaissances actuelles, à un risque de cancer nettement plus élevé. Pour des personnes en bonne santé qui élèvent un taux normal pendant des années, les données manquent – et la biologie plaide plutôt pour que contre un certain risque. La partie IV approfondit le sujet.</w:t>
      </w:r>
    </w:p>
    <w:bookmarkEnd w:id="1234"/>
    <w:bookmarkStart w:id="1235" w:name="vue-densemble-1"/>
    <w:p>
      <w:pPr>
        <w:pStyle w:val="Heading3"/>
      </w:pPr>
      <w:r>
        <w:t xml:space="preserve">Vue d’ensemble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Preuves</w:t>
            </w:r>
          </w:p>
        </w:tc>
        <w:tc>
          <w:tcPr/>
          <w:p>
            <w:pPr>
              <w:pStyle w:val="Compact"/>
              <w:jc w:val="left"/>
            </w:pPr>
            <w:r>
              <w:t xml:space="preserve">Autorisation</w:t>
            </w:r>
          </w:p>
        </w:tc>
        <w:tc>
          <w:tcPr/>
          <w:p>
            <w:pPr>
              <w:pStyle w:val="Compact"/>
              <w:jc w:val="left"/>
            </w:pPr>
            <w:r>
              <w:t xml:space="preserve">En bref</w:t>
            </w:r>
          </w:p>
        </w:tc>
      </w:tr>
      <w:tr>
        <w:tc>
          <w:tcPr/>
          <w:p>
            <w:pPr>
              <w:pStyle w:val="Compact"/>
              <w:jc w:val="left"/>
            </w:pPr>
            <w:r>
              <w:t xml:space="preserve">Sermoréline</w:t>
            </w:r>
          </w:p>
        </w:tc>
        <w:tc>
          <w:tcPr/>
          <w:p>
            <w:pPr>
              <w:pStyle w:val="Compact"/>
              <w:jc w:val="left"/>
            </w:pPr>
            <w:r>
              <w:t xml:space="preserve">B</w:t>
            </w:r>
          </w:p>
        </w:tc>
        <w:tc>
          <w:tcPr/>
          <w:p>
            <w:pPr>
              <w:pStyle w:val="Compact"/>
              <w:jc w:val="left"/>
            </w:pPr>
            <w:r>
              <w:t xml:space="preserve">autrefois États-Unis (Geref), aujourd’hui aucune</w:t>
            </w:r>
          </w:p>
        </w:tc>
        <w:tc>
          <w:tcPr/>
          <w:p>
            <w:pPr>
              <w:pStyle w:val="Compact"/>
              <w:jc w:val="left"/>
            </w:pPr>
            <w:r>
              <w:t xml:space="preserve">fragment de GHRH ; enfants avec déficit en GH</w:t>
            </w:r>
          </w:p>
        </w:tc>
      </w:tr>
      <w:tr>
        <w:tc>
          <w:tcPr/>
          <w:p>
            <w:pPr>
              <w:pStyle w:val="Compact"/>
              <w:jc w:val="left"/>
            </w:pPr>
            <w:r>
              <w:t xml:space="preserve">Tésamoréline</w:t>
            </w:r>
          </w:p>
        </w:tc>
        <w:tc>
          <w:tcPr/>
          <w:p>
            <w:pPr>
              <w:pStyle w:val="Compact"/>
              <w:jc w:val="left"/>
            </w:pPr>
            <w:r>
              <w:t xml:space="preserve">A</w:t>
            </w:r>
          </w:p>
        </w:tc>
        <w:tc>
          <w:tcPr/>
          <w:p>
            <w:pPr>
              <w:pStyle w:val="Compact"/>
              <w:jc w:val="left"/>
            </w:pPr>
            <w:r>
              <w:t xml:space="preserve">États-Unis (Egrifta)</w:t>
            </w:r>
          </w:p>
        </w:tc>
        <w:tc>
          <w:tcPr/>
          <w:p>
            <w:pPr>
              <w:pStyle w:val="Compact"/>
              <w:jc w:val="left"/>
            </w:pPr>
            <w:r>
              <w:t xml:space="preserve">moins de graisse abdominale et hépatique dans le VIH</w:t>
            </w:r>
          </w:p>
        </w:tc>
      </w:tr>
      <w:tr>
        <w:tc>
          <w:tcPr/>
          <w:p>
            <w:pPr>
              <w:pStyle w:val="Compact"/>
              <w:jc w:val="left"/>
            </w:pPr>
            <w:r>
              <w:t xml:space="preserve">CJC-1295</w:t>
            </w:r>
          </w:p>
        </w:tc>
        <w:tc>
          <w:tcPr/>
          <w:p>
            <w:pPr>
              <w:pStyle w:val="Compact"/>
              <w:jc w:val="left"/>
            </w:pPr>
            <w:r>
              <w:t xml:space="preserve">C</w:t>
            </w:r>
          </w:p>
        </w:tc>
        <w:tc>
          <w:tcPr/>
          <w:p>
            <w:pPr>
              <w:pStyle w:val="Compact"/>
              <w:jc w:val="left"/>
            </w:pPr>
            <w:r>
              <w:t xml:space="preserve">aucune</w:t>
            </w:r>
          </w:p>
        </w:tc>
        <w:tc>
          <w:tcPr/>
          <w:p>
            <w:pPr>
              <w:pStyle w:val="Compact"/>
              <w:jc w:val="left"/>
            </w:pPr>
            <w:r>
              <w:t xml:space="preserve">uniquement données de phase 1 ; variante « sans DAC » non étudiée</w:t>
            </w:r>
          </w:p>
        </w:tc>
      </w:tr>
      <w:tr>
        <w:tc>
          <w:tcPr/>
          <w:p>
            <w:pPr>
              <w:pStyle w:val="Compact"/>
              <w:jc w:val="left"/>
            </w:pPr>
            <w:r>
              <w:t xml:space="preserve">Ipamoréline</w:t>
            </w:r>
          </w:p>
        </w:tc>
        <w:tc>
          <w:tcPr/>
          <w:p>
            <w:pPr>
              <w:pStyle w:val="Compact"/>
              <w:jc w:val="left"/>
            </w:pPr>
            <w:r>
              <w:t xml:space="preserve">B</w:t>
            </w:r>
          </w:p>
        </w:tc>
        <w:tc>
          <w:tcPr/>
          <w:p>
            <w:pPr>
              <w:pStyle w:val="Compact"/>
              <w:jc w:val="left"/>
            </w:pPr>
            <w:r>
              <w:t xml:space="preserve">aucune</w:t>
            </w:r>
          </w:p>
        </w:tc>
        <w:tc>
          <w:tcPr/>
          <w:p>
            <w:pPr>
              <w:pStyle w:val="Compact"/>
              <w:jc w:val="left"/>
            </w:pPr>
            <w:r>
              <w:t xml:space="preserve">aucun bénéfice dans l’iléus postopératoire</w:t>
            </w:r>
          </w:p>
        </w:tc>
      </w:tr>
      <w:tr>
        <w:tc>
          <w:tcPr/>
          <w:p>
            <w:pPr>
              <w:pStyle w:val="Compact"/>
              <w:jc w:val="left"/>
            </w:pPr>
            <w:r>
              <w:t xml:space="preserve">GHRP-2 (pralmoréline)</w:t>
            </w:r>
          </w:p>
        </w:tc>
        <w:tc>
          <w:tcPr/>
          <w:p>
            <w:pPr>
              <w:pStyle w:val="Compact"/>
              <w:jc w:val="left"/>
            </w:pPr>
            <w:r>
              <w:t xml:space="preserve">B</w:t>
            </w:r>
          </w:p>
        </w:tc>
        <w:tc>
          <w:tcPr/>
          <w:p>
            <w:pPr>
              <w:pStyle w:val="Compact"/>
              <w:jc w:val="left"/>
            </w:pPr>
            <w:r>
              <w:t xml:space="preserve">Japon (diagnostic)</w:t>
            </w:r>
          </w:p>
        </w:tc>
        <w:tc>
          <w:tcPr/>
          <w:p>
            <w:pPr>
              <w:pStyle w:val="Compact"/>
              <w:jc w:val="left"/>
            </w:pPr>
            <w:r>
              <w:t xml:space="preserve">test du déficit en GH</w:t>
            </w:r>
          </w:p>
        </w:tc>
      </w:tr>
      <w:tr>
        <w:tc>
          <w:tcPr/>
          <w:p>
            <w:pPr>
              <w:pStyle w:val="Compact"/>
              <w:jc w:val="left"/>
            </w:pPr>
            <w:r>
              <w:t xml:space="preserve">GHRP-6</w:t>
            </w:r>
          </w:p>
        </w:tc>
        <w:tc>
          <w:tcPr/>
          <w:p>
            <w:pPr>
              <w:pStyle w:val="Compact"/>
              <w:jc w:val="left"/>
            </w:pPr>
            <w:r>
              <w:t xml:space="preserve">C</w:t>
            </w:r>
          </w:p>
        </w:tc>
        <w:tc>
          <w:tcPr/>
          <w:p>
            <w:pPr>
              <w:pStyle w:val="Compact"/>
              <w:jc w:val="left"/>
            </w:pPr>
            <w:r>
              <w:t xml:space="preserve">aucune</w:t>
            </w:r>
          </w:p>
        </w:tc>
        <w:tc>
          <w:tcPr/>
          <w:p>
            <w:pPr>
              <w:pStyle w:val="Compact"/>
              <w:jc w:val="left"/>
            </w:pPr>
            <w:r>
              <w:t xml:space="preserve">substance de recherche et de test</w:t>
            </w:r>
          </w:p>
        </w:tc>
      </w:tr>
      <w:tr>
        <w:tc>
          <w:tcPr/>
          <w:p>
            <w:pPr>
              <w:pStyle w:val="Compact"/>
              <w:jc w:val="left"/>
            </w:pPr>
            <w:r>
              <w:t xml:space="preserve">Hexaréline</w:t>
            </w:r>
          </w:p>
        </w:tc>
        <w:tc>
          <w:tcPr/>
          <w:p>
            <w:pPr>
              <w:pStyle w:val="Compact"/>
              <w:jc w:val="left"/>
            </w:pPr>
            <w:r>
              <w:t xml:space="preserve">C</w:t>
            </w:r>
          </w:p>
        </w:tc>
        <w:tc>
          <w:tcPr/>
          <w:p>
            <w:pPr>
              <w:pStyle w:val="Compact"/>
              <w:jc w:val="left"/>
            </w:pPr>
            <w:r>
              <w:t xml:space="preserve">aucune</w:t>
            </w:r>
          </w:p>
        </w:tc>
        <w:tc>
          <w:tcPr/>
          <w:p>
            <w:pPr>
              <w:pStyle w:val="Compact"/>
              <w:jc w:val="left"/>
            </w:pPr>
            <w:r>
              <w:t xml:space="preserve">effets cardiaques aigus ; perte d’effet en administration continue</w:t>
            </w:r>
          </w:p>
        </w:tc>
      </w:tr>
      <w:tr>
        <w:tc>
          <w:tcPr/>
          <w:p>
            <w:pPr>
              <w:pStyle w:val="Compact"/>
              <w:jc w:val="left"/>
            </w:pPr>
            <w:r>
              <w:t xml:space="preserve">Macimoréline</w:t>
            </w:r>
          </w:p>
        </w:tc>
        <w:tc>
          <w:tcPr/>
          <w:p>
            <w:pPr>
              <w:pStyle w:val="Compact"/>
              <w:jc w:val="left"/>
            </w:pPr>
            <w:r>
              <w:t xml:space="preserve">A</w:t>
            </w:r>
          </w:p>
        </w:tc>
        <w:tc>
          <w:tcPr/>
          <w:p>
            <w:pPr>
              <w:pStyle w:val="Compact"/>
              <w:jc w:val="left"/>
            </w:pPr>
            <w:r>
              <w:t xml:space="preserve">UE, États-Unis (diagnostic)</w:t>
            </w:r>
          </w:p>
        </w:tc>
        <w:tc>
          <w:tcPr/>
          <w:p>
            <w:pPr>
              <w:pStyle w:val="Compact"/>
              <w:jc w:val="left"/>
            </w:pPr>
            <w:r>
              <w:t xml:space="preserve">test buvable du déficit en GH</w:t>
            </w:r>
          </w:p>
        </w:tc>
      </w:tr>
      <w:tr>
        <w:tc>
          <w:tcPr/>
          <w:p>
            <w:pPr>
              <w:pStyle w:val="Compact"/>
              <w:jc w:val="left"/>
            </w:pPr>
            <w:r>
              <w:t xml:space="preserve">Mécasermine (IGF-1)</w:t>
            </w:r>
          </w:p>
        </w:tc>
        <w:tc>
          <w:tcPr/>
          <w:p>
            <w:pPr>
              <w:pStyle w:val="Compact"/>
              <w:jc w:val="left"/>
            </w:pPr>
            <w:r>
              <w:t xml:space="preserve">A</w:t>
            </w:r>
          </w:p>
        </w:tc>
        <w:tc>
          <w:tcPr/>
          <w:p>
            <w:pPr>
              <w:pStyle w:val="Compact"/>
              <w:jc w:val="left"/>
            </w:pPr>
            <w:r>
              <w:t xml:space="preserve">UE, États-Unis (Increlex)</w:t>
            </w:r>
          </w:p>
        </w:tc>
        <w:tc>
          <w:tcPr/>
          <w:p>
            <w:pPr>
              <w:pStyle w:val="Compact"/>
              <w:jc w:val="left"/>
            </w:pPr>
            <w:r>
              <w:t xml:space="preserve">déficit sévère en IGF-1 chez l’enfant</w:t>
            </w:r>
          </w:p>
        </w:tc>
      </w:tr>
      <w:tr>
        <w:tc>
          <w:tcPr/>
          <w:p>
            <w:pPr>
              <w:pStyle w:val="Compact"/>
              <w:jc w:val="left"/>
            </w:pPr>
            <w:r>
              <w:t xml:space="preserve">IGF-1 LR3</w:t>
            </w:r>
          </w:p>
        </w:tc>
        <w:tc>
          <w:tcPr/>
          <w:p>
            <w:pPr>
              <w:pStyle w:val="Compact"/>
              <w:jc w:val="left"/>
            </w:pPr>
            <w:r>
              <w:t xml:space="preserve">D</w:t>
            </w:r>
          </w:p>
        </w:tc>
        <w:tc>
          <w:tcPr/>
          <w:p>
            <w:pPr>
              <w:pStyle w:val="Compact"/>
              <w:jc w:val="left"/>
            </w:pPr>
            <w:r>
              <w:t xml:space="preserve">aucune</w:t>
            </w:r>
          </w:p>
        </w:tc>
        <w:tc>
          <w:tcPr/>
          <w:p>
            <w:pPr>
              <w:pStyle w:val="Compact"/>
              <w:jc w:val="left"/>
            </w:pPr>
            <w:r>
              <w:t xml:space="preserve">réactif de laboratoire, jamais évalué chez l’humain</w:t>
            </w:r>
          </w:p>
        </w:tc>
      </w:tr>
      <w:tr>
        <w:tc>
          <w:tcPr/>
          <w:p>
            <w:pPr>
              <w:pStyle w:val="Compact"/>
              <w:jc w:val="left"/>
            </w:pPr>
            <w:r>
              <w:t xml:space="preserve">Ibutamorène (comparaison)</w:t>
            </w:r>
          </w:p>
        </w:tc>
        <w:tc>
          <w:tcPr/>
          <w:p>
            <w:pPr>
              <w:pStyle w:val="Compact"/>
              <w:jc w:val="left"/>
            </w:pPr>
            <w:r>
              <w:t xml:space="preserve">B</w:t>
            </w:r>
          </w:p>
        </w:tc>
        <w:tc>
          <w:tcPr/>
          <w:p>
            <w:pPr>
              <w:pStyle w:val="Compact"/>
              <w:jc w:val="left"/>
            </w:pPr>
            <w:r>
              <w:t xml:space="preserve">aucune</w:t>
            </w:r>
          </w:p>
        </w:tc>
        <w:tc>
          <w:tcPr/>
          <w:p>
            <w:pPr>
              <w:pStyle w:val="Compact"/>
              <w:jc w:val="left"/>
            </w:pPr>
            <w:r>
              <w:t xml:space="preserve">comprimé ; signal d’insuffisance cardiaque</w:t>
            </w:r>
          </w:p>
        </w:tc>
      </w:tr>
    </w:tbl>
    <w:bookmarkEnd w:id="1235"/>
    <w:bookmarkStart w:id="1236" w:name="conseils-de-lecture-1"/>
    <w:p>
      <w:pPr>
        <w:pStyle w:val="Heading3"/>
      </w:pPr>
      <w:r>
        <w:t xml:space="preserve">Conseils de lecture</w:t>
      </w:r>
    </w:p>
    <w:p>
      <w:pPr>
        <w:pStyle w:val="FirstParagraph"/>
      </w:pPr>
      <w:r>
        <w:t xml:space="preserve">Si vous vous intéressez aux applications présentant un réel bénéfice, commencez par la tésamoréline, la macimoréline et la mécasermine. Si vous voulez savoir ce qui se cache derrière les classiques du marché gris, lisez CJC-1295, ipamoréline et IGF-1 LR3. L’ibutamorène n’est certes pas un peptide, mais il montre de façon particulièrement claire, dans de grandes études, ce qu’entraîne une stimulation durable de l’axe. Toutes les substances de ce groupe figurent sur la liste des interdictions de l’Agence mondiale antidopage (groupe S2).</w:t>
      </w:r>
    </w:p>
    <w:bookmarkEnd w:id="1236"/>
    <w:bookmarkStart w:id="1273" w:name="sermoréline"/>
    <w:p>
      <w:pPr>
        <w:pStyle w:val="Heading2"/>
      </w:pPr>
      <w:r>
        <w:t xml:space="preserve">Sermoréline</w:t>
      </w:r>
    </w:p>
    <w:p>
      <w:pPr>
        <w:pStyle w:val="FirstParagraph"/>
      </w:pPr>
      <w:r>
        <w:t xml:space="preserve">La sermoréline est un morceau d’histoire pharmaceutique qui connaît une seconde vie sur Internet. Dans les années 1990, elle était autorisée comme médicament aux États-Unis – d’abord comme substance de test pour le diagnostic d’un déficit en hormone de croissance, puis pour le traitement d’enfants de petite taille. Depuis la fin des années 2000, la spécialité d’origine a disparu du marché. Aujourd’hui, la sermoréline est surtout prescrite en préparation magistrale dans les cliniques américaines « anti-âge » et de « santé masculine », et proposée sur le marché gris. Ce chapitre montre ce que les anciennes études démontrent réellement et ce qu’elles ne démontrent pas.</w:t>
      </w:r>
    </w:p>
    <w:bookmarkStart w:id="1238" w:name="fiche-signalétique-23"/>
    <w:p>
      <w:pPr>
        <w:pStyle w:val="Heading3"/>
      </w:pPr>
      <w:r>
        <w:t xml:space="preserve">Fiche signalétique</w:t>
      </w:r>
    </w:p>
    <w:p>
      <w:pPr>
        <w:numPr>
          <w:ilvl w:val="0"/>
          <w:numId w:val="1147"/>
        </w:numPr>
        <w:pStyle w:val="Compact"/>
      </w:pPr>
      <w:r>
        <w:rPr>
          <w:bCs/>
          <w:b/>
        </w:rPr>
        <w:t xml:space="preserve">Type et structure :</w:t>
      </w:r>
      <w:r>
        <w:t xml:space="preserve"> </w:t>
      </w:r>
      <w:r>
        <w:t xml:space="preserve">peptide de synthèse de 29 acides aminés ; il correspond au segment antérieur actif de l’hormone endogène de libération de l’hormone de croissance, GHRH(1-29)NH2. C’est le plus court peptide de synthèse doté de l’effet complet de la GHRH</w:t>
      </w:r>
      <w:r>
        <w:rPr>
          <w:rStyle w:val="FootnoteReference"/>
        </w:rPr>
        <w:footnoteReference w:id="1237"/>
      </w:r>
      <w:r>
        <w:t xml:space="preserve">.</w:t>
      </w:r>
    </w:p>
    <w:p>
      <w:pPr>
        <w:numPr>
          <w:ilvl w:val="0"/>
          <w:numId w:val="1147"/>
        </w:numPr>
        <w:pStyle w:val="Compact"/>
      </w:pPr>
      <w:r>
        <w:rPr>
          <w:bCs/>
          <w:b/>
        </w:rPr>
        <w:t xml:space="preserve">Origine :</w:t>
      </w:r>
      <w:r>
        <w:t xml:space="preserve"> </w:t>
      </w:r>
      <w:r>
        <w:t xml:space="preserve">dérivée dans les années 1980 de la GHRH naturelle ; commercialisée par Serono sous le nom de Geref.</w:t>
      </w:r>
    </w:p>
    <w:p>
      <w:pPr>
        <w:numPr>
          <w:ilvl w:val="0"/>
          <w:numId w:val="1147"/>
        </w:numPr>
        <w:pStyle w:val="Compact"/>
      </w:pPr>
      <w:r>
        <w:rPr>
          <w:bCs/>
          <w:b/>
        </w:rPr>
        <w:t xml:space="preserve">Principe d’action :</w:t>
      </w:r>
      <w:r>
        <w:t xml:space="preserve"> </w:t>
      </w:r>
      <w:r>
        <w:t xml:space="preserve">se lie au récepteur de la GHRH de l’hypophyse et y déclenche une libération d’hormone de croissance ; la régulation propre de l’organisme (frein par la somatostatine, rétrocontrôle par l’IGF-1) est préservée.</w:t>
      </w:r>
    </w:p>
    <w:p>
      <w:pPr>
        <w:numPr>
          <w:ilvl w:val="0"/>
          <w:numId w:val="1147"/>
        </w:numPr>
        <w:pStyle w:val="Compact"/>
      </w:pPr>
      <w:r>
        <w:rPr>
          <w:bCs/>
          <w:b/>
        </w:rPr>
        <w:t xml:space="preserve">Autorisation UE :</w:t>
      </w:r>
      <w:r>
        <w:t xml:space="preserve"> </w:t>
      </w:r>
      <w:r>
        <w:t xml:space="preserve">non (état 2026).</w:t>
      </w:r>
      <w:r>
        <w:t xml:space="preserve"> </w:t>
      </w:r>
      <w:r>
        <w:rPr>
          <w:bCs/>
          <w:b/>
        </w:rPr>
        <w:t xml:space="preserve">Autorisation États-Unis :</w:t>
      </w:r>
      <w:r>
        <w:t xml:space="preserve"> </w:t>
      </w:r>
      <w:r>
        <w:t xml:space="preserve">autrefois oui (Geref comme produit de diagnostic et pour le traitement d’enfants présentant un déficit en hormone de croissance) ; la spécialité d’origine n’est plus disponible depuis la fin des années 2000.</w:t>
      </w:r>
    </w:p>
    <w:p>
      <w:pPr>
        <w:numPr>
          <w:ilvl w:val="0"/>
          <w:numId w:val="1147"/>
        </w:numPr>
        <w:pStyle w:val="Compact"/>
      </w:pPr>
      <w:r>
        <w:rPr>
          <w:bCs/>
          <w:b/>
        </w:rPr>
        <w:t xml:space="preserve">AMA (WADA) :</w:t>
      </w:r>
      <w:r>
        <w:t xml:space="preserve"> </w:t>
      </w:r>
      <w:r>
        <w:t xml:space="preserve">interdite, groupe S2 – la sermoréline est expressément citée comme analogue de la GHRH.</w:t>
      </w:r>
    </w:p>
    <w:p>
      <w:pPr>
        <w:numPr>
          <w:ilvl w:val="0"/>
          <w:numId w:val="1147"/>
        </w:numPr>
        <w:pStyle w:val="Compact"/>
      </w:pPr>
      <w:r>
        <w:rPr>
          <w:bCs/>
          <w:b/>
        </w:rPr>
        <w:t xml:space="preserve">Niveau de preuve : B</w:t>
      </w:r>
      <w:r>
        <w:t xml:space="preserve"> </w:t>
      </w:r>
      <w:r>
        <w:t xml:space="preserve">– quelques petites études randomisées ou contrôlées, le plus souvent en ouvert et datant des années 1980 et 1990 ; aucune grande étude moderne.</w:t>
      </w:r>
    </w:p>
    <w:bookmarkEnd w:id="1238"/>
    <w:bookmarkStart w:id="1240" w:name="mode-daction-supposé-23"/>
    <w:p>
      <w:pPr>
        <w:pStyle w:val="Heading3"/>
      </w:pPr>
      <w:r>
        <w:t xml:space="preserve">Mode d’action supposé</w:t>
      </w:r>
    </w:p>
    <w:p>
      <w:pPr>
        <w:pStyle w:val="FirstParagraph"/>
      </w:pPr>
      <w:r>
        <w:t xml:space="preserve">L’hypophyse libère l’hormone de croissance par pulsations. Le signal de départ est donné par la GHRH issue du diencéphale. Sous sa forme naturelle, la GHRH compte 44 acides aminés ; dans les années 1980, des chercheurs ont constaté que les 29 premiers suffisaient à l’effet complet. La sermoréline en est issue.</w:t>
      </w:r>
    </w:p>
    <w:p>
      <w:pPr>
        <w:pStyle w:val="BodyText"/>
      </w:pPr>
      <w:r>
        <w:t xml:space="preserve">L’avantage par rapport à l’hormone de croissance injectée serait que l’hypophyse « a son mot à dire » : s’il y a assez d’IGF-1 dans le sang, l’organisme freine lui-même via la somatostatine. Les surdosages comme lors d’une administration directe de GH devraient ainsi être moins probables. L’inconvénient : la sermoréline n’agit que si l’hypophyse peut encore produire de l’hormone de croissance, et son action est brève : chez l’humain, la demi-vie dans le sang n’est que d’environ 10 à 20 minutes</w:t>
      </w:r>
      <w:r>
        <w:rPr>
          <w:rStyle w:val="FootnoteReference"/>
        </w:rPr>
        <w:footnoteReference w:id="1239"/>
      </w:r>
      <w:r>
        <w:t xml:space="preserve">. Elle est donc surtout efficace dans les troubles situés dans le diencéphale, et non dans l’hypophyse elle-même.</w:t>
      </w:r>
    </w:p>
    <w:bookmarkEnd w:id="1240"/>
    <w:bookmarkStart w:id="1257" w:name="études-chez-lhumain-23"/>
    <w:p>
      <w:pPr>
        <w:pStyle w:val="Heading3"/>
      </w:pPr>
      <w:r>
        <w:t xml:space="preserve">Études chez l’humain</w:t>
      </w:r>
    </w:p>
    <w:p>
      <w:pPr>
        <w:pStyle w:val="FirstParagraph"/>
      </w:pPr>
      <w:r>
        <w:rPr>
          <w:bCs/>
          <w:b/>
        </w:rPr>
        <w:t xml:space="preserve">Ampleur des données (requête d’octobre 2026) :</w:t>
      </w:r>
      <w:r>
        <w:t xml:space="preserve"> </w:t>
      </w:r>
      <w:r>
        <w:t xml:space="preserve">la recherche automatisée de ce livre sous le mot-clé « sermorelin » n’a trouvé</w:t>
      </w:r>
      <w:r>
        <w:t xml:space="preserve"> </w:t>
      </w:r>
      <w:r>
        <w:rPr>
          <w:bCs/>
          <w:b/>
        </w:rPr>
        <w:t xml:space="preserve">aucune</w:t>
      </w:r>
      <w:r>
        <w:t xml:space="preserve"> </w:t>
      </w:r>
      <w:r>
        <w:t xml:space="preserve">étude chez l’humain (</w:t>
      </w:r>
      <w:r>
        <w:rPr>
          <w:rStyle w:val="VerbatimChar"/>
        </w:rPr>
        <w:t xml:space="preserve">humanstudien_alle</w:t>
      </w:r>
      <w:r>
        <w:t xml:space="preserve"> </w:t>
      </w:r>
      <w:r>
        <w:t xml:space="preserve">: 0) et</w:t>
      </w:r>
      <w:r>
        <w:t xml:space="preserve"> </w:t>
      </w:r>
      <w:r>
        <w:rPr>
          <w:bCs/>
          <w:b/>
        </w:rPr>
        <w:t xml:space="preserve">27</w:t>
      </w:r>
      <w:r>
        <w:t xml:space="preserve"> </w:t>
      </w:r>
      <w:r>
        <w:t xml:space="preserve">entrées sur ClinicalTrials.gov. Les deux chiffres sont trompeurs : la plupart des travaux cliniques ont paru sous des désignations comme « GHRH(1-29)NH2 », « GRF 1-29 » ou « Geref » et ne sont pas captés par une simple recherche par nom. À l’inverse, beaucoup des 27 entrées du registre ne concernent pas du tout la sermoréline, mais la tésamoréline ou les tests à la GHRH en général. Une recherche ciblée complémentaire a mis au jour plusieurs dizaines d’études cliniques, majoritairement petites et antérieures à 2000.</w:t>
      </w:r>
    </w:p>
    <w:bookmarkStart w:id="1246" w:name="X215f1f0cfce13a5970e57764387ad6251a9b7ea"/>
    <w:p>
      <w:pPr>
        <w:pStyle w:val="Heading4"/>
      </w:pPr>
      <w:r>
        <w:t xml:space="preserve">Enfants présentant un déficit en hormone de croissance</w:t>
      </w:r>
    </w:p>
    <w:p>
      <w:pPr>
        <w:pStyle w:val="FirstParagraph"/>
      </w:pPr>
      <w:r>
        <w:t xml:space="preserve">Le principal domaine d’application était le trouble de la croissance chez l’enfant. Dans une étude multicentrique en ouvert du groupe d’étude Geref, 110 enfants prépubères jamais traités ont reçu de la sermoréline une fois par jour le soir pendant un an. La vitesse de croissance est passée de 4,1 cm par an à 8,0 cm après six mois et à 7,2 cm après douze mois ; 74 % étaient considérés comme bons répondeurs après six mois. Aucune anomalie biologique notable n’est apparue</w:t>
      </w:r>
      <w:r>
        <w:rPr>
          <w:rStyle w:val="FootnoteReference"/>
        </w:rPr>
        <w:footnoteReference w:id="1241"/>
      </w:r>
      <w:r>
        <w:t xml:space="preserve">.</w:t>
      </w:r>
    </w:p>
    <w:p>
      <w:pPr>
        <w:pStyle w:val="BodyText"/>
      </w:pPr>
      <w:r>
        <w:t xml:space="preserve">Une étude britannique précoce avec 18 enfants en montrait déjà les limites : chez 8 enfants seulement, la vitesse de croissance a augmenté de plus de 2 cm par an au cours des six premiers mois ; 14 enfants ont développé des anticorps contre le peptide, sans influence visible sur la croissance</w:t>
      </w:r>
      <w:r>
        <w:rPr>
          <w:rStyle w:val="FootnoteReference"/>
        </w:rPr>
        <w:footnoteReference w:id="1242"/>
      </w:r>
      <w:r>
        <w:t xml:space="preserve">. Dans une étude randomisée avec 43 enfants, les enfants sous sermoréline à faible dose grandissaient le plus lentement ; seule l’hormone de croissance améliorait la taille par rapport à l’âge osseux</w:t>
      </w:r>
      <w:r>
        <w:rPr>
          <w:rStyle w:val="FootnoteReference"/>
        </w:rPr>
        <w:footnoteReference w:id="1243"/>
      </w:r>
      <w:r>
        <w:t xml:space="preserve">. Une synthèse a relevé que la sermoréline est efficace chez une partie des enfants, mais moins que l’hormone de croissance, et que les données sur la taille finale manquent</w:t>
      </w:r>
      <w:r>
        <w:rPr>
          <w:rStyle w:val="FootnoteReference"/>
        </w:rPr>
        <w:footnoteReference w:id="1244"/>
      </w:r>
      <w:r>
        <w:t xml:space="preserve">.</w:t>
      </w:r>
    </w:p>
    <w:p>
      <w:pPr>
        <w:pStyle w:val="BodyText"/>
      </w:pPr>
      <w:r>
        <w:t xml:space="preserve">Chez des enfants atteints de petite taille idiopathique (c’est-à-dire sans déficit hormonal démontrable) aussi, la vitesse de croissance a augmenté sous deux injections quotidiennes dans une petite étude avec 18 enfants ; après l’arrêt, elle est retombée sous la valeur initiale, et la glycémie à jeun et l’insuline ont augmenté pendant le traitement</w:t>
      </w:r>
      <w:r>
        <w:rPr>
          <w:rStyle w:val="FootnoteReference"/>
        </w:rPr>
        <w:footnoteReference w:id="1245"/>
      </w:r>
      <w:r>
        <w:t xml:space="preserve">.</w:t>
      </w:r>
    </w:p>
    <w:bookmarkEnd w:id="1246"/>
    <w:bookmarkStart w:id="1251" w:name="adultes-âgés"/>
    <w:p>
      <w:pPr>
        <w:pStyle w:val="Heading4"/>
      </w:pPr>
      <w:r>
        <w:t xml:space="preserve">Adultes âgés</w:t>
      </w:r>
    </w:p>
    <w:p>
      <w:pPr>
        <w:pStyle w:val="FirstParagraph"/>
      </w:pPr>
      <w:r>
        <w:t xml:space="preserve">Pour le marketing actuel (« anti-âge »), les études chez les personnes âgées sont déterminantes. Elles sont peu nombreuses et très petites :</w:t>
      </w:r>
    </w:p>
    <w:p>
      <w:pPr>
        <w:numPr>
          <w:ilvl w:val="0"/>
          <w:numId w:val="1148"/>
        </w:numPr>
        <w:pStyle w:val="Compact"/>
      </w:pPr>
      <w:r>
        <w:t xml:space="preserve">19 femmes et hommes en bonne santé âgés de 55 à 71 ans ont reçu, après quatre semaines de placebo, un analogue de la sermoréline pendant 16 semaines. L’hormone de croissance et l’IGF-1 ont augmenté, l’épaisseur de la peau a augmenté chez les deux sexes, la masse maigre et la sensibilité à l’insuline seulement chez les hommes. Les hommes ont rapporté un meilleur bien-être et une libido accrue ; la qualité du sommeil n’a pas changé. Comme effet indésirable, une hausse transitoire des lipides sanguins est survenue</w:t>
      </w:r>
      <w:r>
        <w:rPr>
          <w:rStyle w:val="FootnoteReference"/>
        </w:rPr>
        <w:footnoteReference w:id="1247"/>
      </w:r>
      <w:r>
        <w:t xml:space="preserve">. Le même groupe a décrit des modifications des cellules immunitaires</w:t>
      </w:r>
      <w:r>
        <w:rPr>
          <w:rStyle w:val="FootnoteReference"/>
        </w:rPr>
        <w:footnoteReference w:id="1248"/>
      </w:r>
      <w:r>
        <w:t xml:space="preserve">. L’étude n’était qu’en simple aveugle et n’avait pas de groupe témoin parallèle.</w:t>
      </w:r>
    </w:p>
    <w:p>
      <w:pPr>
        <w:numPr>
          <w:ilvl w:val="0"/>
          <w:numId w:val="1148"/>
        </w:numPr>
        <w:pStyle w:val="Compact"/>
      </w:pPr>
      <w:r>
        <w:t xml:space="preserve">Chez 11 hommes en bonne santé âgés de 64 à 76 ans, six semaines d’injections nocturnes ont augmenté la sécrétion nocturne de GH, mais ni l’IGF-1 ni la masse musculaire ou grasse n’ont changé ; deux mesures de force sur six se sont améliorées</w:t>
      </w:r>
      <w:r>
        <w:rPr>
          <w:rStyle w:val="FootnoteReference"/>
        </w:rPr>
        <w:footnoteReference w:id="1249"/>
      </w:r>
      <w:r>
        <w:t xml:space="preserve">.</w:t>
      </w:r>
    </w:p>
    <w:p>
      <w:pPr>
        <w:pStyle w:val="FirstParagraph"/>
      </w:pPr>
      <w:r>
        <w:t xml:space="preserve">Deux études ultérieures sur la GHRH chez des personnes âgées ont été interrompues après 5 et 13 participants respectivement</w:t>
      </w:r>
      <w:r>
        <w:rPr>
          <w:rStyle w:val="FootnoteReference"/>
        </w:rPr>
        <w:footnoteReference w:id="1250"/>
      </w:r>
      <w:r>
        <w:t xml:space="preserve">.</w:t>
      </w:r>
    </w:p>
    <w:bookmarkEnd w:id="1251"/>
    <w:bookmarkStart w:id="1254" w:name="diagnostic"/>
    <w:p>
      <w:pPr>
        <w:pStyle w:val="Heading4"/>
      </w:pPr>
      <w:r>
        <w:t xml:space="preserve">Diagnostic</w:t>
      </w:r>
    </w:p>
    <w:p>
      <w:pPr>
        <w:pStyle w:val="FirstParagraph"/>
      </w:pPr>
      <w:r>
        <w:t xml:space="preserve">Comme substance de test, la sermoréline était administrée par voie intraveineuse pour vérifier si l’hypophyse réagissait à la GHRH. Associé à l’acide aminé arginine, ce test était considéré chez l’adulte comme une alternative à l’éprouvant test d’hypoglycémie insulinique</w:t>
      </w:r>
      <w:r>
        <w:rPr>
          <w:rStyle w:val="FootnoteReference"/>
        </w:rPr>
        <w:footnoteReference w:id="1252"/>
      </w:r>
      <w:r>
        <w:t xml:space="preserve">. Après que le produit de diagnostic a cessé d’être disponible aux États-Unis, une étude en cours sur un nouveau test (macimoréline) a dû modifier son schéma</w:t>
      </w:r>
      <w:r>
        <w:rPr>
          <w:rStyle w:val="FootnoteReference"/>
        </w:rPr>
        <w:footnoteReference w:id="1253"/>
      </w:r>
      <w:r>
        <w:t xml:space="preserve">.</w:t>
      </w:r>
    </w:p>
    <w:bookmarkEnd w:id="1254"/>
    <w:bookmarkStart w:id="1256" w:name="médecine-masculine-moderne"/>
    <w:p>
      <w:pPr>
        <w:pStyle w:val="Heading4"/>
      </w:pPr>
      <w:r>
        <w:t xml:space="preserve">« Médecine masculine » moderne</w:t>
      </w:r>
    </w:p>
    <w:p>
      <w:pPr>
        <w:pStyle w:val="FirstParagraph"/>
      </w:pPr>
      <w:r>
        <w:t xml:space="preserve">Une analyse rétrospective de dossiers d’une clinique masculine américaine a décrit 14 jeunes hommes sous testostérone à qui une association de sermoréline, de GHRP-2 et de GHRP-6 avait été prescrite. L’IGF-1 est passé en moyenne de 159,5 à 239,0 ng/ml</w:t>
      </w:r>
      <w:r>
        <w:rPr>
          <w:rStyle w:val="FootnoteReference"/>
        </w:rPr>
        <w:footnoteReference w:id="1255"/>
      </w:r>
      <w:r>
        <w:t xml:space="preserve">. Sur 105 hommes au départ, seuls 14 remplissaient les critères d’inclusion ; le travail ne permet aucune conclusion sur la masse musculaire, la perte de graisse ou la sécurité.</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schéma</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Groupe d’étude Geref (Thorner 1996), PMID 8772599</w:t>
            </w:r>
          </w:p>
        </w:tc>
        <w:tc>
          <w:tcPr/>
          <w:p>
            <w:pPr>
              <w:pStyle w:val="Compact"/>
              <w:jc w:val="left"/>
            </w:pPr>
            <w:r>
              <w:t xml:space="preserve">110 enfants avec déficit en GH, en ouvert, sans groupe témoin</w:t>
            </w:r>
          </w:p>
        </w:tc>
        <w:tc>
          <w:tcPr/>
          <w:p>
            <w:pPr>
              <w:pStyle w:val="Compact"/>
              <w:jc w:val="left"/>
            </w:pPr>
            <w:r>
              <w:t xml:space="preserve">12 mois</w:t>
            </w:r>
          </w:p>
        </w:tc>
        <w:tc>
          <w:tcPr/>
          <w:p>
            <w:pPr>
              <w:pStyle w:val="Compact"/>
              <w:jc w:val="left"/>
            </w:pPr>
            <w:r>
              <w:t xml:space="preserve">croissance 4,1 → 7,2 cm/an</w:t>
            </w:r>
          </w:p>
        </w:tc>
      </w:tr>
      <w:tr>
        <w:tc>
          <w:tcPr/>
          <w:p>
            <w:pPr>
              <w:pStyle w:val="Compact"/>
              <w:jc w:val="left"/>
            </w:pPr>
            <w:r>
              <w:t xml:space="preserve">Comparaison avec la GH (Neyzi 1993), PMID 8329826</w:t>
            </w:r>
          </w:p>
        </w:tc>
        <w:tc>
          <w:tcPr/>
          <w:p>
            <w:pPr>
              <w:pStyle w:val="Compact"/>
              <w:jc w:val="left"/>
            </w:pPr>
            <w:r>
              <w:t xml:space="preserve">43 enfants, randomisés (2 doses de sermoréline vs GH)</w:t>
            </w:r>
          </w:p>
        </w:tc>
        <w:tc>
          <w:tcPr/>
          <w:p>
            <w:pPr>
              <w:pStyle w:val="Compact"/>
              <w:jc w:val="left"/>
            </w:pPr>
            <w:r>
              <w:t xml:space="preserve">6 mois</w:t>
            </w:r>
          </w:p>
        </w:tc>
        <w:tc>
          <w:tcPr/>
          <w:p>
            <w:pPr>
              <w:pStyle w:val="Compact"/>
              <w:jc w:val="left"/>
            </w:pPr>
            <w:r>
              <w:t xml:space="preserve">dose élevée proche de la GH, dose faible moins efficace</w:t>
            </w:r>
          </w:p>
        </w:tc>
      </w:tr>
      <w:tr>
        <w:tc>
          <w:tcPr/>
          <w:p>
            <w:pPr>
              <w:pStyle w:val="Compact"/>
              <w:jc w:val="left"/>
            </w:pPr>
            <w:r>
              <w:t xml:space="preserve">Adultes âgés (Khorram 1997), PMID 9141536</w:t>
            </w:r>
          </w:p>
        </w:tc>
        <w:tc>
          <w:tcPr/>
          <w:p>
            <w:pPr>
              <w:pStyle w:val="Compact"/>
              <w:jc w:val="left"/>
            </w:pPr>
            <w:r>
              <w:t xml:space="preserve">19 volontaires sains, 55–71 ans, simple aveugle, phase préalable sous placebo</w:t>
            </w:r>
          </w:p>
        </w:tc>
        <w:tc>
          <w:tcPr/>
          <w:p>
            <w:pPr>
              <w:pStyle w:val="Compact"/>
              <w:jc w:val="left"/>
            </w:pPr>
            <w:r>
              <w:t xml:space="preserve">5 mois</w:t>
            </w:r>
          </w:p>
        </w:tc>
        <w:tc>
          <w:tcPr/>
          <w:p>
            <w:pPr>
              <w:pStyle w:val="Compact"/>
              <w:jc w:val="left"/>
            </w:pPr>
            <w:r>
              <w:t xml:space="preserve">IGF-1 ↑, masse maigre ↑ seulement chez les hommes</w:t>
            </w:r>
          </w:p>
        </w:tc>
      </w:tr>
      <w:tr>
        <w:tc>
          <w:tcPr/>
          <w:p>
            <w:pPr>
              <w:pStyle w:val="Compact"/>
              <w:jc w:val="left"/>
            </w:pPr>
            <w:r>
              <w:t xml:space="preserve">Hommes âgés (Vittone 1997), PMID 9005976</w:t>
            </w:r>
          </w:p>
        </w:tc>
        <w:tc>
          <w:tcPr/>
          <w:p>
            <w:pPr>
              <w:pStyle w:val="Compact"/>
              <w:jc w:val="left"/>
            </w:pPr>
            <w:r>
              <w:t xml:space="preserve">11 volontaires sains, 64–76 ans, sans groupe témoin</w:t>
            </w:r>
          </w:p>
        </w:tc>
        <w:tc>
          <w:tcPr/>
          <w:p>
            <w:pPr>
              <w:pStyle w:val="Compact"/>
              <w:jc w:val="left"/>
            </w:pPr>
            <w:r>
              <w:t xml:space="preserve">6 semaines</w:t>
            </w:r>
          </w:p>
        </w:tc>
        <w:tc>
          <w:tcPr/>
          <w:p>
            <w:pPr>
              <w:pStyle w:val="Compact"/>
              <w:jc w:val="left"/>
            </w:pPr>
            <w:r>
              <w:t xml:space="preserve">GH ↑, IGF-1 et composition corporelle inchangés</w:t>
            </w:r>
          </w:p>
        </w:tc>
      </w:tr>
      <w:tr>
        <w:tc>
          <w:tcPr/>
          <w:p>
            <w:pPr>
              <w:pStyle w:val="Compact"/>
              <w:jc w:val="left"/>
            </w:pPr>
            <w:r>
              <w:t xml:space="preserve">Clinique masculine (Sigalos 2017), PMID 28830317</w:t>
            </w:r>
          </w:p>
        </w:tc>
        <w:tc>
          <w:tcPr/>
          <w:p>
            <w:pPr>
              <w:pStyle w:val="Compact"/>
              <w:jc w:val="left"/>
            </w:pPr>
            <w:r>
              <w:t xml:space="preserve">14 hommes, rétrospectif, association avec GHRP-2/-6</w:t>
            </w:r>
          </w:p>
        </w:tc>
        <w:tc>
          <w:tcPr/>
          <w:p>
            <w:pPr>
              <w:pStyle w:val="Compact"/>
              <w:jc w:val="left"/>
            </w:pPr>
            <w:r>
              <w:t xml:space="preserve">en moyenne 134 jours</w:t>
            </w:r>
          </w:p>
        </w:tc>
        <w:tc>
          <w:tcPr/>
          <w:p>
            <w:pPr>
              <w:pStyle w:val="Compact"/>
              <w:jc w:val="left"/>
            </w:pPr>
            <w:r>
              <w:t xml:space="preserve">IGF-1 159,5 → 239,0 ng/ml</w:t>
            </w:r>
          </w:p>
        </w:tc>
      </w:tr>
    </w:tbl>
    <w:bookmarkEnd w:id="1256"/>
    <w:bookmarkEnd w:id="1257"/>
    <w:bookmarkStart w:id="1260" w:name="études-animales-et-de-laboratoire-23"/>
    <w:p>
      <w:pPr>
        <w:pStyle w:val="Heading3"/>
      </w:pPr>
      <w:r>
        <w:t xml:space="preserve">Études animales et de laboratoire</w:t>
      </w:r>
    </w:p>
    <w:p>
      <w:pPr>
        <w:pStyle w:val="FirstParagraph"/>
      </w:pPr>
      <w:r>
        <w:t xml:space="preserve">La sermoréline elle-même a surtout été étudiée en laboratoire dans le contexte de sa découverte et de variantes à durée d’action prolongée, par exemple des variantes couplées au polyéthylène glycol qui agissaient plus longtemps que le peptide non modifié chez le rat et le porc</w:t>
      </w:r>
      <w:r>
        <w:rPr>
          <w:rStyle w:val="FootnoteReference"/>
        </w:rPr>
        <w:footnoteReference w:id="1258"/>
      </w:r>
      <w:r>
        <w:t xml:space="preserve">. Un travail purement computationnel, qui a croisé des données d’activité génique de patients atteints de gliome avec une base de données de médicaments, a cité la sermoréline comme candidat possible contre les tumeurs cérébrales récidivantes</w:t>
      </w:r>
      <w:r>
        <w:rPr>
          <w:rStyle w:val="FootnoteReference"/>
        </w:rPr>
        <w:footnoteReference w:id="1259"/>
      </w:r>
      <w:r>
        <w:t xml:space="preserve">. Il s’agit d’une hypothèse informatique sans confirmation en laboratoire ni chez des patients – et elle contraste nettement avec la crainte qu’une stimulation de l’axe de croissance favorise plutôt les tumeurs.</w:t>
      </w:r>
    </w:p>
    <w:bookmarkEnd w:id="1260"/>
    <w:bookmarkStart w:id="1266" w:name="risques-et-effets-indésirables-23"/>
    <w:p>
      <w:pPr>
        <w:pStyle w:val="Heading3"/>
      </w:pPr>
      <w:r>
        <w:t xml:space="preserve">Risques et effets indésirables</w:t>
      </w:r>
    </w:p>
    <w:p>
      <w:pPr>
        <w:pStyle w:val="FirstParagraph"/>
      </w:pPr>
      <w:r>
        <w:rPr>
          <w:bCs/>
          <w:b/>
        </w:rPr>
        <w:t xml:space="preserve">Établi (d’après les données d’autorisation et des études) :</w:t>
      </w:r>
      <w:r>
        <w:t xml:space="preserve"> </w:t>
      </w:r>
      <w:r>
        <w:t xml:space="preserve">des bouffées de chaleur transitoires au visage (flush) et des douleurs au point d’injection étaient les effets indésirables les plus fréquents</w:t>
      </w:r>
      <w:r>
        <w:rPr>
          <w:rStyle w:val="FootnoteReference"/>
        </w:rPr>
        <w:footnoteReference w:id="1261"/>
      </w:r>
      <w:r>
        <w:t xml:space="preserve">. Des anticorps contre la sermoréline apparaissaient fréquemment chez l’enfant, sans conséquences visibles</w:t>
      </w:r>
      <w:r>
        <w:rPr>
          <w:rStyle w:val="FootnoteReference"/>
        </w:rPr>
        <w:footnoteReference w:id="1262"/>
      </w:r>
      <w:r>
        <w:t xml:space="preserve">. Dans certaines études, la glycémie, l’insuline ou les lipides sanguins ont augmenté de façon transitoire</w:t>
      </w:r>
      <w:r>
        <w:rPr>
          <w:rStyle w:val="FootnoteReference"/>
        </w:rPr>
        <w:footnoteReference w:id="1263"/>
      </w:r>
      <w:r>
        <w:t xml:space="preserve">.</w:t>
      </w:r>
    </w:p>
    <w:p>
      <w:pPr>
        <w:pStyle w:val="BodyText"/>
      </w:pPr>
      <w:r>
        <w:rPr>
          <w:bCs/>
          <w:b/>
        </w:rPr>
        <w:t xml:space="preserve">Risques à long terme :</w:t>
      </w:r>
      <w:r>
        <w:t xml:space="preserve"> </w:t>
      </w:r>
      <w:r>
        <w:t xml:space="preserve">il n’existe pas de données systématiques à long terme sur la sermoréline chez l’adulte. Un rapport de cas décrit un culturiste amateur de 62 ans qui avait utilisé pendant environ 20 ans de l’hormone de croissance et des sécrétagogues de GH (dont la sermoréline avec le GHRP-6) et qui a développé des troubles de la déglutition dus à un gros ostéophyte de la colonne cervicale ; les auteurs jugent un lien possible, mais non démontré</w:t>
      </w:r>
      <w:r>
        <w:rPr>
          <w:rStyle w:val="FootnoteReference"/>
        </w:rPr>
        <w:footnoteReference w:id="1264"/>
      </w:r>
      <w:r>
        <w:t xml:space="preserve">. Sur la question de fond de savoir si une élévation durable de l’IGF-1 augmente le risque de cancer, voir l’introduction de ce groupe et la partie IV.</w:t>
      </w:r>
    </w:p>
    <w:p>
      <w:pPr>
        <w:pStyle w:val="BodyText"/>
      </w:pPr>
      <w:r>
        <w:rPr>
          <w:bCs/>
          <w:b/>
        </w:rPr>
        <w:t xml:space="preserve">Marché gris :</w:t>
      </w:r>
      <w:r>
        <w:t xml:space="preserve"> </w:t>
      </w:r>
      <w:r>
        <w:t xml:space="preserve">lors d’une opération douanière européenne, des produits à base de sermoréline ont été trouvés parmi des préparations injectables saisies, à côté d’hormone de croissance et de mélanotan II – sans étiquetage et parfois sans substance active</w:t>
      </w:r>
      <w:r>
        <w:rPr>
          <w:rStyle w:val="FootnoteReference"/>
        </w:rPr>
        <w:footnoteReference w:id="1265"/>
      </w:r>
      <w:r>
        <w:t xml:space="preserve">.</w:t>
      </w:r>
    </w:p>
    <w:bookmarkEnd w:id="1266"/>
    <w:bookmarkStart w:id="1270" w:name="statut-juridique-23"/>
    <w:p>
      <w:pPr>
        <w:pStyle w:val="Heading3"/>
      </w:pPr>
      <w:r>
        <w:t xml:space="preserve">Statut juridique</w:t>
      </w:r>
    </w:p>
    <w:p>
      <w:pPr>
        <w:pStyle w:val="FirstParagraph"/>
      </w:pPr>
      <w:r>
        <w:rPr>
          <w:iCs/>
          <w:i/>
        </w:rPr>
        <w:t xml:space="preserve">État 2026, à vérifier.</w:t>
      </w:r>
    </w:p>
    <w:p>
      <w:pPr>
        <w:numPr>
          <w:ilvl w:val="0"/>
          <w:numId w:val="1149"/>
        </w:numPr>
        <w:pStyle w:val="Compact"/>
      </w:pPr>
      <w:r>
        <w:rPr>
          <w:bCs/>
          <w:b/>
        </w:rPr>
        <w:t xml:space="preserve">Contexte de l’autorisation américaine :</w:t>
      </w:r>
      <w:r>
        <w:t xml:space="preserve"> </w:t>
      </w:r>
      <w:r>
        <w:t xml:space="preserve">Geref était autorisé aux États-Unis d’abord comme produit de diagnostic, puis à partir des années 1990 pour le traitement d’enfants présentant un déficit en hormone de croissance. Le fabricant a cessé la commercialisation vers la fin des années 2000 ; selon les informations publiques disponibles, pour des raisons de fabrication ou économiques, et non en raison d’un problème de sécurité nouvellement identifié. La disparition du produit de diagnostic à cette époque est documentée dans une étude</w:t>
      </w:r>
      <w:r>
        <w:rPr>
          <w:rStyle w:val="FootnoteReference"/>
        </w:rPr>
        <w:footnoteReference w:id="1267"/>
      </w:r>
      <w:r>
        <w:t xml:space="preserve">. Il n’existe aujourd’hui aucune spécialité dotée d’une autorisation valide.</w:t>
      </w:r>
    </w:p>
    <w:p>
      <w:pPr>
        <w:numPr>
          <w:ilvl w:val="0"/>
          <w:numId w:val="1149"/>
        </w:numPr>
        <w:pStyle w:val="Compact"/>
      </w:pPr>
      <w:r>
        <w:rPr>
          <w:bCs/>
          <w:b/>
        </w:rPr>
        <w:t xml:space="preserve">États-Unis aujourd’hui :</w:t>
      </w:r>
      <w:r>
        <w:t xml:space="preserve"> </w:t>
      </w:r>
      <w:r>
        <w:t xml:space="preserve">la sermoréline est fabriquée par des pharmacies de préparations magistrales (compounding) et prescrite surtout dans des cabinets anti-âge. La légalité et les conditions de cette pratique dépendent de l’évolution des règles de la FDA sur les substances pour préparations magistrales, qui font l’objet de débats controversés dans les milieux spécialisés</w:t>
      </w:r>
      <w:r>
        <w:rPr>
          <w:rStyle w:val="FootnoteReference"/>
        </w:rPr>
        <w:footnoteReference w:id="1268"/>
      </w:r>
      <w:r>
        <w:t xml:space="preserve">.</w:t>
      </w:r>
    </w:p>
    <w:p>
      <w:pPr>
        <w:numPr>
          <w:ilvl w:val="0"/>
          <w:numId w:val="1149"/>
        </w:numPr>
        <w:pStyle w:val="Compact"/>
      </w:pPr>
      <w:r>
        <w:rPr>
          <w:bCs/>
          <w:b/>
        </w:rPr>
        <w:t xml:space="preserve">UE, Allemagne, Autriche :</w:t>
      </w:r>
      <w:r>
        <w:t xml:space="preserve"> </w:t>
      </w:r>
      <w:r>
        <w:t xml:space="preserve">pas d’autorisation, aucune spécialité commercialisée. La délivrance en vue d’un usage humain sans autorisation est illégale selon la loi sur les médicaments de chaque pays ; les étiquettes « uniquement à des fins de recherche » n’y changent rien.</w:t>
      </w:r>
    </w:p>
    <w:p>
      <w:pPr>
        <w:numPr>
          <w:ilvl w:val="0"/>
          <w:numId w:val="1149"/>
        </w:numPr>
        <w:pStyle w:val="Compact"/>
      </w:pPr>
      <w:r>
        <w:rPr>
          <w:bCs/>
          <w:b/>
        </w:rPr>
        <w:t xml:space="preserve">AMA (WADA) :</w:t>
      </w:r>
      <w:r>
        <w:t xml:space="preserve"> </w:t>
      </w:r>
      <w:r>
        <w:t xml:space="preserve">interdite (S2). Des méthodes de détection de la sermoréline et de ses produits de dégradation dans l’urine ont été développées</w:t>
      </w:r>
      <w:r>
        <w:rPr>
          <w:rStyle w:val="FootnoteReference"/>
        </w:rPr>
        <w:footnoteReference w:id="1269"/>
      </w:r>
      <w:r>
        <w:t xml:space="preserve">.</w:t>
      </w:r>
    </w:p>
    <w:bookmarkEnd w:id="1270"/>
    <w:bookmarkStart w:id="1271" w:name="études-en-cours-et-perspectives-23"/>
    <w:p>
      <w:pPr>
        <w:pStyle w:val="Heading3"/>
      </w:pPr>
      <w:r>
        <w:t xml:space="preserve">Études en cours et perspectives</w:t>
      </w:r>
    </w:p>
    <w:p>
      <w:pPr>
        <w:pStyle w:val="FirstParagraph"/>
      </w:pPr>
      <w:r>
        <w:t xml:space="preserve">Aucune étude clinique en cours portant sur la sermoréline elle-même n’est répertoriée sur ClinicalTrials.gov en octobre 2026 ; les entrées du registre sous ce mot-clé concernent des études terminées sur la GHRH ou la tésamoréline.</w:t>
      </w:r>
      <w:r>
        <w:t xml:space="preserve"> </w:t>
      </w:r>
      <w:r>
        <w:rPr>
          <w:iCs/>
          <w:i/>
        </w:rPr>
        <w:t xml:space="preserve">Appréciation de l’auteur :</w:t>
      </w:r>
      <w:r>
        <w:t xml:space="preserve"> </w:t>
      </w:r>
      <w:r>
        <w:t xml:space="preserve">un retour comme médicament autorisé n’est pas en vue. La demande continuera d’être portée par les cliniques et les vendeurs en ligne, et non par de nouvelles données d’études.</w:t>
      </w:r>
    </w:p>
    <w:bookmarkEnd w:id="1271"/>
    <w:bookmarkStart w:id="1272" w:name="conclusion-23"/>
    <w:p>
      <w:pPr>
        <w:pStyle w:val="Heading3"/>
      </w:pPr>
      <w:r>
        <w:t xml:space="preserve">Conclusion</w:t>
      </w:r>
    </w:p>
    <w:p>
      <w:pPr>
        <w:pStyle w:val="FirstParagraph"/>
      </w:pPr>
      <w:r>
        <w:t xml:space="preserve">La sermoréline stimule de manière fiable la libération endogène d’hormone de croissance et était autorisée aux États-Unis pour les enfants présentant un déficit en hormone de croissance, mais elle y agissait moins que l’hormone de croissance elle-même. Les études chez les adultes âgés ne portent chacune que sur une dizaine à une vingtaine de personnes et ne montrent tout au plus que de petits effets hétérogènes. Les preuves d’un bénéfice comme produit « anti-âge » ou pour améliorer la performance font défaut, tout comme les données de sécurité à long terme.</w:t>
      </w:r>
    </w:p>
    <w:bookmarkEnd w:id="1272"/>
    <w:bookmarkEnd w:id="1273"/>
    <w:bookmarkStart w:id="1313" w:name="tésamoréline"/>
    <w:p>
      <w:pPr>
        <w:pStyle w:val="Heading2"/>
      </w:pPr>
      <w:r>
        <w:t xml:space="preserve">Tésamoréline</w:t>
      </w:r>
    </w:p>
    <w:p>
      <w:pPr>
        <w:pStyle w:val="FirstParagraph"/>
      </w:pPr>
      <w:r>
        <w:t xml:space="preserve">La tésamoréline est le seul peptide de ce groupe qui soit aujourd’hui autorisé aux États-Unis comme médicament pour un traitement au long cours – mais pour une situation très particulière : l’excès de graisse abdominale chez les personnes vivant avec le VIH. C’est justement ce qui la rend instructive. La tésamoréline permet de montrer ce qu’une augmentation de la sécrétion endogène d’hormone de croissance produit réellement dans des études rigoureuses contrôlées contre placebo – et ce qu’elle ne produit pas. Sur Internet, en revanche, elle est volontiers présentée comme le « peptide anti-graisse abdominale » pour tout le monde. Ce chapitre sépare l’usage démontré des espoirs.</w:t>
      </w:r>
    </w:p>
    <w:bookmarkStart w:id="1276" w:name="fiche-signalétique-24"/>
    <w:p>
      <w:pPr>
        <w:pStyle w:val="Heading3"/>
      </w:pPr>
      <w:r>
        <w:t xml:space="preserve">Fiche signalétique</w:t>
      </w:r>
    </w:p>
    <w:p>
      <w:pPr>
        <w:numPr>
          <w:ilvl w:val="0"/>
          <w:numId w:val="1150"/>
        </w:numPr>
        <w:pStyle w:val="Compact"/>
      </w:pPr>
      <w:r>
        <w:rPr>
          <w:bCs/>
          <w:b/>
        </w:rPr>
        <w:t xml:space="preserve">Nature et structure :</w:t>
      </w:r>
      <w:r>
        <w:t xml:space="preserve"> </w:t>
      </w:r>
      <w:r>
        <w:t xml:space="preserve">peptide de synthèse de 44 acides aminés ; il correspond à l’hormone de libération de l’hormone de croissance humaine complète, GHRH(1-44)</w:t>
      </w:r>
      <w:r>
        <w:rPr>
          <w:rStyle w:val="FootnoteReference"/>
        </w:rPr>
        <w:footnoteReference w:id="1274"/>
      </w:r>
      <w:r>
        <w:t xml:space="preserve">, au début de laquelle est fixé un groupement chimique supplémentaire qui retarde sa dégradation rapide dans le sang.</w:t>
      </w:r>
    </w:p>
    <w:p>
      <w:pPr>
        <w:numPr>
          <w:ilvl w:val="0"/>
          <w:numId w:val="1150"/>
        </w:numPr>
        <w:pStyle w:val="Compact"/>
      </w:pPr>
      <w:r>
        <w:rPr>
          <w:bCs/>
          <w:b/>
        </w:rPr>
        <w:t xml:space="preserve">Origine :</w:t>
      </w:r>
      <w:r>
        <w:t xml:space="preserve"> </w:t>
      </w:r>
      <w:r>
        <w:t xml:space="preserve">développée par la société canadienne Theratechnologies (nom de développement TH9507).</w:t>
      </w:r>
    </w:p>
    <w:p>
      <w:pPr>
        <w:numPr>
          <w:ilvl w:val="0"/>
          <w:numId w:val="1150"/>
        </w:numPr>
        <w:pStyle w:val="Compact"/>
      </w:pPr>
      <w:r>
        <w:rPr>
          <w:bCs/>
          <w:b/>
        </w:rPr>
        <w:t xml:space="preserve">Principe d’action :</w:t>
      </w:r>
      <w:r>
        <w:t xml:space="preserve"> </w:t>
      </w:r>
      <w:r>
        <w:t xml:space="preserve">se lie, comme la GHRH endogène, à son récepteur dans l’hypophyse et augmente ainsi la sécrétion propre, toujours pulsatile, d’hormone de croissance (GH) ; en conséquence, le messager IGF-1 augmente.</w:t>
      </w:r>
    </w:p>
    <w:p>
      <w:pPr>
        <w:numPr>
          <w:ilvl w:val="0"/>
          <w:numId w:val="1150"/>
        </w:numPr>
        <w:pStyle w:val="Compact"/>
      </w:pPr>
      <w:r>
        <w:rPr>
          <w:bCs/>
          <w:b/>
        </w:rPr>
        <w:t xml:space="preserve">Autorisation UE :</w:t>
      </w:r>
      <w:r>
        <w:t xml:space="preserve"> </w:t>
      </w:r>
      <w:r>
        <w:t xml:space="preserve">non.</w:t>
      </w:r>
      <w:r>
        <w:t xml:space="preserve"> </w:t>
      </w:r>
      <w:r>
        <w:rPr>
          <w:bCs/>
          <w:b/>
        </w:rPr>
        <w:t xml:space="preserve">Autorisation États-Unis :</w:t>
      </w:r>
      <w:r>
        <w:t xml:space="preserve"> </w:t>
      </w:r>
      <w:r>
        <w:t xml:space="preserve">oui (Egrifta, depuis 2010) pour la réduction de l’excès de graisse abdominale chez les adultes vivant avec le VIH et présentant une lipodystrophie</w:t>
      </w:r>
      <w:r>
        <w:rPr>
          <w:rStyle w:val="FootnoteReference"/>
        </w:rPr>
        <w:footnoteReference w:id="1275"/>
      </w:r>
      <w:r>
        <w:t xml:space="preserve">.</w:t>
      </w:r>
    </w:p>
    <w:p>
      <w:pPr>
        <w:numPr>
          <w:ilvl w:val="0"/>
          <w:numId w:val="1150"/>
        </w:numPr>
        <w:pStyle w:val="Compact"/>
      </w:pPr>
      <w:r>
        <w:rPr>
          <w:bCs/>
          <w:b/>
        </w:rPr>
        <w:t xml:space="preserve">AMA (WADA) :</w:t>
      </w:r>
      <w:r>
        <w:t xml:space="preserve"> </w:t>
      </w:r>
      <w:r>
        <w:t xml:space="preserve">interdite, classe S2 (hormones peptidiques, facteurs de croissance, substances apparentées) – expressément couverte en tant qu’analogue de la GHRH.</w:t>
      </w:r>
    </w:p>
    <w:p>
      <w:pPr>
        <w:numPr>
          <w:ilvl w:val="0"/>
          <w:numId w:val="1150"/>
        </w:numPr>
        <w:pStyle w:val="Compact"/>
      </w:pPr>
      <w:r>
        <w:rPr>
          <w:bCs/>
          <w:b/>
        </w:rPr>
        <w:t xml:space="preserve">Niveau de preuve : A</w:t>
      </w:r>
      <w:r>
        <w:t xml:space="preserve"> </w:t>
      </w:r>
      <w:r>
        <w:t xml:space="preserve">– deux grandes études de phase 3 totalisant 806 participants, plusieurs autres études randomisées, autorisation aux États-Unis.</w:t>
      </w:r>
    </w:p>
    <w:bookmarkEnd w:id="1276"/>
    <w:bookmarkStart w:id="1277" w:name="mode-daction-supposé-24"/>
    <w:p>
      <w:pPr>
        <w:pStyle w:val="Heading3"/>
      </w:pPr>
      <w:r>
        <w:t xml:space="preserve">Mode d’action supposé</w:t>
      </w:r>
    </w:p>
    <w:p>
      <w:pPr>
        <w:pStyle w:val="FirstParagraph"/>
      </w:pPr>
      <w:r>
        <w:t xml:space="preserve">L’hormone de croissance n’est pas libérée par l’hypophyse de manière régulière, mais par pics, surtout la nuit. Cette sécrétion est pilotée par deux antagonistes issus de l’hypothalamus : la GHRH accélère, la somatostatine freine. L’hormone de croissance elle-même dégrade les graisses – en particulier la graisse située entre les organes de la cavité abdominale (graisse viscérale) – et stimule la production par le foie d’IGF-1, qui assure une grande partie des effets anabolisants.</w:t>
      </w:r>
    </w:p>
    <w:p>
      <w:pPr>
        <w:pStyle w:val="BodyText"/>
      </w:pPr>
      <w:r>
        <w:t xml:space="preserve">Sous certains traitements anti-VIH, surtout les plus anciens, certaines personnes accumulent une quantité frappante de graisse abdominale, tandis que les bras et les jambes s’amincissent plutôt. Cette redistribution des graisses s’appelle lipodystrophie. Chez les personnes concernées, la sécrétion d’hormone de croissance est souvent diminuée. L’idée derrière la tésamoréline : au lieu d’injecter de l’hormone de croissance venue de l’extérieur, on stimule l’hypophyse elle-même. Comme les boucles de rétrocontrôle de l’organisme sont préservées, les taux excessifs et leurs effets indésirables devraient être plus rares qu’avec l’administration directe de GH – une hypothèse que les études confirment en partie, mais pas entièrement.</w:t>
      </w:r>
    </w:p>
    <w:bookmarkEnd w:id="1277"/>
    <w:bookmarkStart w:id="1295" w:name="études-chez-lhumain-24"/>
    <w:p>
      <w:pPr>
        <w:pStyle w:val="Heading3"/>
      </w:pPr>
      <w:r>
        <w:t xml:space="preserve">Études chez l’humain</w:t>
      </w:r>
    </w:p>
    <w:p>
      <w:pPr>
        <w:pStyle w:val="FirstParagraph"/>
      </w:pPr>
      <w:r>
        <w:rPr>
          <w:bCs/>
          <w:b/>
        </w:rPr>
        <w:t xml:space="preserve">Ampleur des données (requête d’octobre 2026) :</w:t>
      </w:r>
      <w:r>
        <w:t xml:space="preserve"> </w:t>
      </w:r>
      <w:r>
        <w:t xml:space="preserve">la recherche automatisée de ce livre a trouvé</w:t>
      </w:r>
      <w:r>
        <w:t xml:space="preserve"> </w:t>
      </w:r>
      <w:r>
        <w:rPr>
          <w:bCs/>
          <w:b/>
        </w:rPr>
        <w:t xml:space="preserve">23</w:t>
      </w:r>
      <w:r>
        <w:t xml:space="preserve"> </w:t>
      </w:r>
      <w:r>
        <w:t xml:space="preserve">études chez l’humain dans PubMed (</w:t>
      </w:r>
      <w:r>
        <w:rPr>
          <w:rStyle w:val="VerbatimChar"/>
        </w:rPr>
        <w:t xml:space="preserve">humanstudien_alle</w:t>
      </w:r>
      <w:r>
        <w:t xml:space="preserve">) et</w:t>
      </w:r>
      <w:r>
        <w:t xml:space="preserve"> </w:t>
      </w:r>
      <w:r>
        <w:rPr>
          <w:bCs/>
          <w:b/>
        </w:rPr>
        <w:t xml:space="preserve">24</w:t>
      </w:r>
      <w:r>
        <w:t xml:space="preserve"> </w:t>
      </w:r>
      <w:r>
        <w:t xml:space="preserve">entrées sur ClinicalTrials.gov ; l’une d’elles (promoteur « Hudson Biotech », mention « Mock Study » dans le titre) est manifestement une entrée d’exemple fictive et n’est pas comptée ici, de sorte qu’il reste</w:t>
      </w:r>
      <w:r>
        <w:t xml:space="preserve"> </w:t>
      </w:r>
      <w:r>
        <w:rPr>
          <w:bCs/>
          <w:b/>
        </w:rPr>
        <w:t xml:space="preserve">23</w:t>
      </w:r>
      <w:r>
        <w:t xml:space="preserve"> </w:t>
      </w:r>
      <w:r>
        <w:t xml:space="preserve">véritables études enregistrées. S’y ajoutent trois revues systématiques avec méta-analyses.</w:t>
      </w:r>
    </w:p>
    <w:bookmarkStart w:id="1283" w:name="les-études-dautorisation"/>
    <w:p>
      <w:pPr>
        <w:pStyle w:val="Heading4"/>
      </w:pPr>
      <w:r>
        <w:t xml:space="preserve">Les études d’autorisation</w:t>
      </w:r>
    </w:p>
    <w:p>
      <w:pPr>
        <w:pStyle w:val="FirstParagraph"/>
      </w:pPr>
      <w:r>
        <w:t xml:space="preserve">L’autorisation repose sur deux études de phase 3 de conception presque identique, menées chez des personnes vivant avec le VIH et présentant un excès de graisse abdominale. Dans les deux, les participants recevaient selon un rapport 2:1, chaque jour en injection sous-cutanée, de la tésamoréline ou un médicament factice (placebo) ; après 26 semaines suivait une phase de prolongation au cours de laquelle une partie du groupe tésamoréline poursuivait le traitement et une autre passait au placebo.</w:t>
      </w:r>
    </w:p>
    <w:p>
      <w:pPr>
        <w:pStyle w:val="BodyText"/>
      </w:pPr>
      <w:r>
        <w:t xml:space="preserve">Dans la première étude, portant sur 412 participants (86 % d’hommes), la graisse viscérale, mesurée par tomodensitométrie, a diminué de 15,2 % sous tésamoréline et augmenté de 5,0 % sous placebo. Les triglycérides (lipides sanguins) ont baissé de 50 mg/dl contre une hausse de 9 mg/dl. L’IGF-1 a augmenté de 81,0 %. Les valeurs de glycémie ne différaient pas significativement ; toutefois, davantage de participants du groupe tésamoréline ont arrêté en raison d’effets indésirables</w:t>
      </w:r>
      <w:r>
        <w:rPr>
          <w:rStyle w:val="FootnoteReference"/>
        </w:rPr>
        <w:footnoteReference w:id="1278"/>
      </w:r>
      <w:r>
        <w:t xml:space="preserve">. Sur 52 semaines, avec un traitement continu, la réduction de la graisse abdominale s’est maintenue à environ −18 % ; après l’arrêt, la graisse est revenue</w:t>
      </w:r>
      <w:r>
        <w:rPr>
          <w:rStyle w:val="FootnoteReference"/>
        </w:rPr>
        <w:footnoteReference w:id="1279"/>
      </w:r>
      <w:r>
        <w:t xml:space="preserve">.</w:t>
      </w:r>
    </w:p>
    <w:p>
      <w:pPr>
        <w:pStyle w:val="BodyText"/>
      </w:pPr>
      <w:r>
        <w:t xml:space="preserve">La deuxième étude, portant sur 404 participants, l’a confirmé : −10,9 % de graisse viscérale sous tésamoréline contre −0,6 % sous placebo après six mois, aucune modification de la graisse sous-cutanée des bras, des jambes et de l’abdomen, et une perte rapide de l’effet après passage au placebo</w:t>
      </w:r>
      <w:r>
        <w:rPr>
          <w:rStyle w:val="FootnoteReference"/>
        </w:rPr>
        <w:footnoteReference w:id="1280"/>
      </w:r>
      <w:r>
        <w:t xml:space="preserve">.</w:t>
      </w:r>
    </w:p>
    <w:p>
      <w:pPr>
        <w:pStyle w:val="BodyText"/>
      </w:pPr>
      <w:r>
        <w:t xml:space="preserve">L’analyse commune des deux études, portant sur 806 personnes, a montré après 26 semaines un effet du traitement de −15,4 % sur la graisse viscérale, des améliorations des triglycérides et du rapport cholestérol total/HDL ainsi que de la satisfaction quant à l’apparence du ventre. Les auteurs n’ont pas constaté de différences cliniquement significatives de la glycémie</w:t>
      </w:r>
      <w:r>
        <w:rPr>
          <w:rStyle w:val="FootnoteReference"/>
        </w:rPr>
        <w:footnoteReference w:id="1281"/>
      </w:r>
      <w:r>
        <w:t xml:space="preserve">. Tout le monde n’en bénéficie pas de la même façon : une analyse ultérieure a défini à l’avance une diminution de la graisse abdominale d’au moins 8 % comme « réponse ». Chez ces répondeurs, les triglycérides ont baissé nettement plus, et la glycémie et l’HbA1c sont restées largement stables ; chez les non-répondeurs, la glycémie à jeun et l’HbA1c ont légèrement augmenté (analyse a posteriori)</w:t>
      </w:r>
      <w:r>
        <w:rPr>
          <w:rStyle w:val="FootnoteReference"/>
        </w:rPr>
        <w:footnoteReference w:id="1282"/>
      </w:r>
      <w:r>
        <w:t xml:space="preserve">.</w:t>
      </w:r>
    </w:p>
    <w:bookmarkEnd w:id="1283"/>
    <w:bookmarkStart w:id="1286" w:name="graisse-hépatique"/>
    <w:p>
      <w:pPr>
        <w:pStyle w:val="Heading4"/>
      </w:pPr>
      <w:r>
        <w:t xml:space="preserve">Graisse hépatique</w:t>
      </w:r>
    </w:p>
    <w:p>
      <w:pPr>
        <w:pStyle w:val="FirstParagraph"/>
      </w:pPr>
      <w:r>
        <w:t xml:space="preserve">L’effet sur la stéatose hépatique est particulièrement intéressant. Dans une étude plus petite portant sur 50 personnes vivant avec le VIH, la graisse hépatique a diminué en plus de la graisse abdominale ; la glycémie à jeun a augmenté temporairement après deux semaines, et après six mois il n’y avait plus de différence significative</w:t>
      </w:r>
      <w:r>
        <w:rPr>
          <w:rStyle w:val="FootnoteReference"/>
        </w:rPr>
        <w:footnoteReference w:id="1284"/>
      </w:r>
      <w:r>
        <w:t xml:space="preserve">. Une étude randomisée en double aveugle qui a suivi a examiné de façon ciblée 61 personnes vivant avec le VIH et atteintes de stéatose hépatique non alcoolique pendant douze mois, avec biopsies hépatiques. La fraction de graisse hépatique a diminué de 4,1 points de pourcentage de plus en valeur absolue que sous placebo, soit 37 % en valeur relative ; 35 % du groupe tésamoréline, mais seulement 4 % du groupe placebo, se situaient à la fin sous le seuil de stéatose de 5 %</w:t>
      </w:r>
      <w:r>
        <w:rPr>
          <w:rStyle w:val="FootnoteReference"/>
        </w:rPr>
        <w:footnoteReference w:id="1285"/>
      </w:r>
      <w:r>
        <w:t xml:space="preserve">. On n’a pas étudié si cela prévient à long terme la cirrhose ou le cancer du foie.</w:t>
      </w:r>
    </w:p>
    <w:bookmarkEnd w:id="1286"/>
    <w:bookmarkStart w:id="1291" w:name="autres-applications"/>
    <w:p>
      <w:pPr>
        <w:pStyle w:val="Heading4"/>
      </w:pPr>
      <w:r>
        <w:t xml:space="preserve">Autres applications</w:t>
      </w:r>
    </w:p>
    <w:p>
      <w:pPr>
        <w:pStyle w:val="FirstParagraph"/>
      </w:pPr>
      <w:r>
        <w:t xml:space="preserve">En dehors du VIH, il n’existe que des études plus petites :</w:t>
      </w:r>
    </w:p>
    <w:p>
      <w:pPr>
        <w:numPr>
          <w:ilvl w:val="0"/>
          <w:numId w:val="1151"/>
        </w:numPr>
        <w:pStyle w:val="Compact"/>
      </w:pPr>
      <w:r>
        <w:t xml:space="preserve">Chez 60 personnes présentant une obésité abdominale et une sécrétion de GH diminuée (sans VIH), la tésamoréline a réduit sur douze mois la graisse viscérale, les triglycérides, la protéine C réactive et l’épaisseur de la paroi carotidienne, sans détériorer la glycémie</w:t>
      </w:r>
      <w:r>
        <w:rPr>
          <w:rStyle w:val="FootnoteReference"/>
        </w:rPr>
        <w:footnoteReference w:id="1287"/>
      </w:r>
      <w:r>
        <w:t xml:space="preserve">.</w:t>
      </w:r>
    </w:p>
    <w:p>
      <w:pPr>
        <w:numPr>
          <w:ilvl w:val="0"/>
          <w:numId w:val="1151"/>
        </w:numPr>
        <w:pStyle w:val="Compact"/>
      </w:pPr>
      <w:r>
        <w:t xml:space="preserve">Chez 53 personnes atteintes de diabète de type 2, ni la réponse insulinique ni l’HbA1c n’ont changé sur douze semaines par rapport au placebo</w:t>
      </w:r>
      <w:r>
        <w:rPr>
          <w:rStyle w:val="FootnoteReference"/>
        </w:rPr>
        <w:footnoteReference w:id="1288"/>
      </w:r>
      <w:r>
        <w:t xml:space="preserve">.</w:t>
      </w:r>
    </w:p>
    <w:p>
      <w:pPr>
        <w:numPr>
          <w:ilvl w:val="0"/>
          <w:numId w:val="1151"/>
        </w:numPr>
        <w:pStyle w:val="Compact"/>
      </w:pPr>
      <w:r>
        <w:t xml:space="preserve">Dans une étude portant sur 152 adultes âgés (55 à 87 ans), dont 66 présentant un trouble cognitif léger, un effet favorable sur l’évaluation globale des performances cognitives a été observé après 20 semaines, surtout sur les fonctions exécutives. Des effets indésirables – généralement légers – ont été rapportés par 68 % des participants sous tésamoréline contre 36 % sous placebo</w:t>
      </w:r>
      <w:r>
        <w:rPr>
          <w:rStyle w:val="FootnoteReference"/>
        </w:rPr>
        <w:footnoteReference w:id="1289"/>
      </w:r>
      <w:r>
        <w:t xml:space="preserve">. Une étude de confirmation fait défaut.</w:t>
      </w:r>
    </w:p>
    <w:p>
      <w:pPr>
        <w:numPr>
          <w:ilvl w:val="0"/>
          <w:numId w:val="1151"/>
        </w:numPr>
        <w:pStyle w:val="Compact"/>
      </w:pPr>
      <w:r>
        <w:t xml:space="preserve">Chez 73 personnes vivant avec le VIH, présentant une obésité abdominale et des troubles cognitifs, une étude de phase 2 en ouvert n’a montré aucune différence significative des performances cognitives par rapport au traitement standard</w:t>
      </w:r>
      <w:r>
        <w:rPr>
          <w:rStyle w:val="FootnoteReference"/>
        </w:rPr>
        <w:footnoteReference w:id="1290"/>
      </w:r>
      <w:r>
        <w:t xml:space="preserve">.</w:t>
      </w:r>
    </w:p>
    <w:bookmarkEnd w:id="1291"/>
    <w:bookmarkStart w:id="1294" w:name="méta-analyses"/>
    <w:p>
      <w:pPr>
        <w:pStyle w:val="Heading4"/>
      </w:pPr>
      <w:r>
        <w:t xml:space="preserve">Méta-analyses</w:t>
      </w:r>
    </w:p>
    <w:p>
      <w:pPr>
        <w:pStyle w:val="FirstParagraph"/>
      </w:pPr>
      <w:r>
        <w:t xml:space="preserve">Deux méta-analyses de 2026 synthétisent les études randomisées dans la lipodystrophie liée au VIH. L’une (quatre études, 909 personnes) a constaté une réduction de la graisse viscérale, du tour de taille de 1,61 cm et de la graisse du tronc, ainsi qu’une augmentation de la masse maigre de 1,42 kg ; le taux d’arrêt pour effets indésirables avait tendance à être plus élevé (rapport de risque 2,25, de justesse non significatif statistiquement)</w:t>
      </w:r>
      <w:r>
        <w:rPr>
          <w:rStyle w:val="FootnoteReference"/>
        </w:rPr>
        <w:footnoteReference w:id="1292"/>
      </w:r>
      <w:r>
        <w:t xml:space="preserve">. L’autre (cinq études) a confirmé la diminution de la graisse hépatique de 4,28 points de pourcentage et a cité les douleurs articulaires et musculaires, les paresthésies et les réactions cutanées au point d’injection comme effets indésirables typiques</w:t>
      </w:r>
      <w:r>
        <w:rPr>
          <w:rStyle w:val="FootnoteReference"/>
        </w:rPr>
        <w:footnoteReference w:id="1293"/>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Phase 3, étude 1 (Falutz 2007), PMID 18057338</w:t>
            </w:r>
          </w:p>
        </w:tc>
        <w:tc>
          <w:tcPr/>
          <w:p>
            <w:pPr>
              <w:pStyle w:val="Compact"/>
              <w:jc w:val="left"/>
            </w:pPr>
            <w:r>
              <w:t xml:space="preserve">412 personnes vivant avec le VIH et graisse abdominale, ECR contre placebo</w:t>
            </w:r>
          </w:p>
        </w:tc>
        <w:tc>
          <w:tcPr/>
          <w:p>
            <w:pPr>
              <w:pStyle w:val="Compact"/>
              <w:jc w:val="left"/>
            </w:pPr>
            <w:r>
              <w:t xml:space="preserve">26 semaines</w:t>
            </w:r>
          </w:p>
        </w:tc>
        <w:tc>
          <w:tcPr/>
          <w:p>
            <w:pPr>
              <w:pStyle w:val="Compact"/>
              <w:jc w:val="left"/>
            </w:pPr>
            <w:r>
              <w:t xml:space="preserve">graisse viscérale −15,2 % vs +5,0 %</w:t>
            </w:r>
          </w:p>
        </w:tc>
      </w:tr>
      <w:tr>
        <w:tc>
          <w:tcPr/>
          <w:p>
            <w:pPr>
              <w:pStyle w:val="Compact"/>
              <w:jc w:val="left"/>
            </w:pPr>
            <w:r>
              <w:t xml:space="preserve">Phase 3, étude 2 (Falutz 2010), PMID 20101189</w:t>
            </w:r>
          </w:p>
        </w:tc>
        <w:tc>
          <w:tcPr/>
          <w:p>
            <w:pPr>
              <w:pStyle w:val="Compact"/>
              <w:jc w:val="left"/>
            </w:pPr>
            <w:r>
              <w:t xml:space="preserve">404 personnes vivant avec le VIH, ECR avec phase de prolongation</w:t>
            </w:r>
          </w:p>
        </w:tc>
        <w:tc>
          <w:tcPr/>
          <w:p>
            <w:pPr>
              <w:pStyle w:val="Compact"/>
              <w:jc w:val="left"/>
            </w:pPr>
            <w:r>
              <w:t xml:space="preserve">12 mois</w:t>
            </w:r>
          </w:p>
        </w:tc>
        <w:tc>
          <w:tcPr/>
          <w:p>
            <w:pPr>
              <w:pStyle w:val="Compact"/>
              <w:jc w:val="left"/>
            </w:pPr>
            <w:r>
              <w:t xml:space="preserve">−10,9 % vs −0,6 % après 6 mois ; effet perdu après l’arrêt</w:t>
            </w:r>
          </w:p>
        </w:tc>
      </w:tr>
      <w:tr>
        <w:tc>
          <w:tcPr/>
          <w:p>
            <w:pPr>
              <w:pStyle w:val="Compact"/>
              <w:jc w:val="left"/>
            </w:pPr>
            <w:r>
              <w:t xml:space="preserve">Analyse poolée (Falutz 2010), PMID 20554713</w:t>
            </w:r>
          </w:p>
        </w:tc>
        <w:tc>
          <w:tcPr/>
          <w:p>
            <w:pPr>
              <w:pStyle w:val="Compact"/>
              <w:jc w:val="left"/>
            </w:pPr>
            <w:r>
              <w:t xml:space="preserve">806 personnes issues des deux études de phase 3</w:t>
            </w:r>
          </w:p>
        </w:tc>
        <w:tc>
          <w:tcPr/>
          <w:p>
            <w:pPr>
              <w:pStyle w:val="Compact"/>
              <w:jc w:val="left"/>
            </w:pPr>
            <w:r>
              <w:t xml:space="preserve">26–52 semaines</w:t>
            </w:r>
          </w:p>
        </w:tc>
        <w:tc>
          <w:tcPr/>
          <w:p>
            <w:pPr>
              <w:pStyle w:val="Compact"/>
              <w:jc w:val="left"/>
            </w:pPr>
            <w:r>
              <w:t xml:space="preserve">effet du traitement −15,4 % ; glycémie sans changement cliniquement pertinent</w:t>
            </w:r>
          </w:p>
        </w:tc>
      </w:tr>
      <w:tr>
        <w:tc>
          <w:tcPr/>
          <w:p>
            <w:pPr>
              <w:pStyle w:val="Compact"/>
              <w:jc w:val="left"/>
            </w:pPr>
            <w:r>
              <w:t xml:space="preserve">Stéatose hépatique et VIH (Stanley 2019), PMID 31611038</w:t>
            </w:r>
          </w:p>
        </w:tc>
        <w:tc>
          <w:tcPr/>
          <w:p>
            <w:pPr>
              <w:pStyle w:val="Compact"/>
              <w:jc w:val="left"/>
            </w:pPr>
            <w:r>
              <w:t xml:space="preserve">61 personnes vivant avec le VIH et stéatose, ECR</w:t>
            </w:r>
          </w:p>
        </w:tc>
        <w:tc>
          <w:tcPr/>
          <w:p>
            <w:pPr>
              <w:pStyle w:val="Compact"/>
              <w:jc w:val="left"/>
            </w:pPr>
            <w:r>
              <w:t xml:space="preserve">12 mois</w:t>
            </w:r>
          </w:p>
        </w:tc>
        <w:tc>
          <w:tcPr/>
          <w:p>
            <w:pPr>
              <w:pStyle w:val="Compact"/>
              <w:jc w:val="left"/>
            </w:pPr>
            <w:r>
              <w:t xml:space="preserve">fraction de graisse hépatique −4,1 points de pourcentage vs placebo</w:t>
            </w:r>
          </w:p>
        </w:tc>
      </w:tr>
      <w:tr>
        <w:tc>
          <w:tcPr/>
          <w:p>
            <w:pPr>
              <w:pStyle w:val="Compact"/>
              <w:jc w:val="left"/>
            </w:pPr>
            <w:r>
              <w:t xml:space="preserve">Sans VIH (Makimura 2012), PMID 23015655</w:t>
            </w:r>
          </w:p>
        </w:tc>
        <w:tc>
          <w:tcPr/>
          <w:p>
            <w:pPr>
              <w:pStyle w:val="Compact"/>
              <w:jc w:val="left"/>
            </w:pPr>
            <w:r>
              <w:t xml:space="preserve">60 adultes avec obésité abdominale, ECR</w:t>
            </w:r>
          </w:p>
        </w:tc>
        <w:tc>
          <w:tcPr/>
          <w:p>
            <w:pPr>
              <w:pStyle w:val="Compact"/>
              <w:jc w:val="left"/>
            </w:pPr>
            <w:r>
              <w:t xml:space="preserve">12 mois</w:t>
            </w:r>
          </w:p>
        </w:tc>
        <w:tc>
          <w:tcPr/>
          <w:p>
            <w:pPr>
              <w:pStyle w:val="Compact"/>
              <w:jc w:val="left"/>
            </w:pPr>
            <w:r>
              <w:t xml:space="preserve">graisse viscérale −35 cm² par rapport au placebo</w:t>
            </w:r>
          </w:p>
        </w:tc>
      </w:tr>
      <w:tr>
        <w:tc>
          <w:tcPr/>
          <w:p>
            <w:pPr>
              <w:pStyle w:val="Compact"/>
              <w:jc w:val="left"/>
            </w:pPr>
            <w:r>
              <w:t xml:space="preserve">Cognition chez le sujet âgé (Baker 2012), PMID 22869065</w:t>
            </w:r>
          </w:p>
        </w:tc>
        <w:tc>
          <w:tcPr/>
          <w:p>
            <w:pPr>
              <w:pStyle w:val="Compact"/>
              <w:jc w:val="left"/>
            </w:pPr>
            <w:r>
              <w:t xml:space="preserve">152 personnes âgées, dont 66 avec trouble cognitif léger, ECR</w:t>
            </w:r>
          </w:p>
        </w:tc>
        <w:tc>
          <w:tcPr/>
          <w:p>
            <w:pPr>
              <w:pStyle w:val="Compact"/>
              <w:jc w:val="left"/>
            </w:pPr>
            <w:r>
              <w:t xml:space="preserve">20 semaines</w:t>
            </w:r>
          </w:p>
        </w:tc>
        <w:tc>
          <w:tcPr/>
          <w:p>
            <w:pPr>
              <w:pStyle w:val="Compact"/>
              <w:jc w:val="left"/>
            </w:pPr>
            <w:r>
              <w:t xml:space="preserve">effet favorable sur les performances cognitives ; plus d’effets indésirables</w:t>
            </w:r>
          </w:p>
        </w:tc>
      </w:tr>
      <w:tr>
        <w:tc>
          <w:tcPr/>
          <w:p>
            <w:pPr>
              <w:pStyle w:val="Compact"/>
              <w:jc w:val="left"/>
            </w:pPr>
            <w:r>
              <w:t xml:space="preserve">Méta-analyse (Ditta 2026), PMID 42538058</w:t>
            </w:r>
          </w:p>
        </w:tc>
        <w:tc>
          <w:tcPr/>
          <w:p>
            <w:pPr>
              <w:pStyle w:val="Compact"/>
              <w:jc w:val="left"/>
            </w:pPr>
            <w:r>
              <w:t xml:space="preserve">4 ECR, 909 personnes vivant avec le VIH</w:t>
            </w:r>
          </w:p>
        </w:tc>
        <w:tc>
          <w:tcPr/>
          <w:p>
            <w:pPr>
              <w:pStyle w:val="Compact"/>
              <w:jc w:val="left"/>
            </w:pPr>
            <w:r>
              <w:t xml:space="preserve">–</w:t>
            </w:r>
          </w:p>
        </w:tc>
        <w:tc>
          <w:tcPr/>
          <w:p>
            <w:pPr>
              <w:pStyle w:val="Compact"/>
              <w:jc w:val="left"/>
            </w:pPr>
            <w:r>
              <w:t xml:space="preserve">moins de graisse viscérale, +1,42 kg de masse maigre</w:t>
            </w:r>
          </w:p>
        </w:tc>
      </w:tr>
    </w:tbl>
    <w:bookmarkEnd w:id="1294"/>
    <w:bookmarkEnd w:id="1295"/>
    <w:bookmarkStart w:id="1299" w:name="études-animales-et-de-laboratoire-24"/>
    <w:p>
      <w:pPr>
        <w:pStyle w:val="Heading3"/>
      </w:pPr>
      <w:r>
        <w:t xml:space="preserve">Études animales et de laboratoire</w:t>
      </w:r>
    </w:p>
    <w:p>
      <w:pPr>
        <w:pStyle w:val="FirstParagraph"/>
      </w:pPr>
      <w:r>
        <w:t xml:space="preserve">Pour la tésamoréline elle-même, il existe relativement peu de recherche animale propre ; son développement s’est appuyé sur la GHRH endogène, bien étudiée. Une revue examine si une stimulation de l’axe de l’hormone de croissance pourrait favoriser la régénération des nerfs lésés et s’appuie pour cela principalement sur des études animales et mécanistiques</w:t>
      </w:r>
      <w:r>
        <w:rPr>
          <w:rStyle w:val="FootnoteReference"/>
        </w:rPr>
        <w:footnoteReference w:id="1296"/>
      </w:r>
      <w:r>
        <w:t xml:space="preserve">. Une petite étude de phase 2 sur ce sujet chez l’humain est enregistrée</w:t>
      </w:r>
      <w:r>
        <w:rPr>
          <w:rStyle w:val="FootnoteReference"/>
        </w:rPr>
        <w:footnoteReference w:id="1297"/>
      </w:r>
      <w:r>
        <w:t xml:space="preserve">.</w:t>
      </w:r>
    </w:p>
    <w:p>
      <w:pPr>
        <w:pStyle w:val="BodyText"/>
      </w:pPr>
      <w:r>
        <w:t xml:space="preserve">Une analyse tissulaire des biopsies hépatiques de l’étude sur la stéatose a montré que, sous tésamoréline, des groupes de gènes liés à la production d’énergie dans les mitochondries étaient plus actifs, et des groupes de gènes liés à l’inflammation, au remodelage tissulaire et à la division cellulaire moins actifs que sous placebo</w:t>
      </w:r>
      <w:r>
        <w:rPr>
          <w:rStyle w:val="FootnoteReference"/>
        </w:rPr>
        <w:footnoteReference w:id="1298"/>
      </w:r>
      <w:r>
        <w:t xml:space="preserve">. Ce sont des résultats issus d’échantillons de tissus humains, mais pas des critères cliniques.</w:t>
      </w:r>
    </w:p>
    <w:bookmarkEnd w:id="1299"/>
    <w:bookmarkStart w:id="1308" w:name="risques-et-effets-indésirables-24"/>
    <w:p>
      <w:pPr>
        <w:pStyle w:val="Heading3"/>
      </w:pPr>
      <w:r>
        <w:t xml:space="preserve">Risques et effets indésirables</w:t>
      </w:r>
    </w:p>
    <w:p>
      <w:pPr>
        <w:pStyle w:val="FirstParagraph"/>
      </w:pPr>
      <w:r>
        <w:rPr>
          <w:bCs/>
          <w:b/>
        </w:rPr>
        <w:t xml:space="preserve">Établi par les études :</w:t>
      </w:r>
    </w:p>
    <w:p>
      <w:pPr>
        <w:numPr>
          <w:ilvl w:val="0"/>
          <w:numId w:val="1152"/>
        </w:numPr>
        <w:pStyle w:val="Compact"/>
      </w:pPr>
      <w:r>
        <w:t xml:space="preserve">Réactions au point d’injection (rougeur, démangeaisons) – plus fréquentes que sous placebo dans l’étude sur la stéatose, mais pas graves</w:t>
      </w:r>
      <w:r>
        <w:rPr>
          <w:rStyle w:val="FootnoteReference"/>
        </w:rPr>
        <w:footnoteReference w:id="1300"/>
      </w:r>
      <w:r>
        <w:t xml:space="preserve">.</w:t>
      </w:r>
    </w:p>
    <w:p>
      <w:pPr>
        <w:numPr>
          <w:ilvl w:val="0"/>
          <w:numId w:val="1152"/>
        </w:numPr>
        <w:pStyle w:val="Compact"/>
      </w:pPr>
      <w:r>
        <w:t xml:space="preserve">Effets typiques de l’hormone de croissance tels que douleurs articulaires et musculaires ainsi que paresthésies</w:t>
      </w:r>
      <w:r>
        <w:rPr>
          <w:rStyle w:val="FootnoteReference"/>
        </w:rPr>
        <w:footnoteReference w:id="1301"/>
      </w:r>
      <w:r>
        <w:t xml:space="preserve">.</w:t>
      </w:r>
    </w:p>
    <w:p>
      <w:pPr>
        <w:numPr>
          <w:ilvl w:val="0"/>
          <w:numId w:val="1152"/>
        </w:numPr>
        <w:pStyle w:val="Compact"/>
      </w:pPr>
      <w:r>
        <w:t xml:space="preserve">Glycémie : dans les grandes études, pas de détérioration cliniquement pertinente en moyenne, mais une hausse temporaire de la glycémie à jeun au cours des premières semaines</w:t>
      </w:r>
      <w:r>
        <w:rPr>
          <w:rStyle w:val="FootnoteReference"/>
        </w:rPr>
        <w:footnoteReference w:id="1302"/>
      </w:r>
      <w:r>
        <w:t xml:space="preserve"> </w:t>
      </w:r>
      <w:r>
        <w:t xml:space="preserve">et une légère hausse chez les personnes dont la graisse abdominale n’a pas répondu</w:t>
      </w:r>
      <w:r>
        <w:rPr>
          <w:rStyle w:val="FootnoteReference"/>
        </w:rPr>
        <w:footnoteReference w:id="1303"/>
      </w:r>
      <w:r>
        <w:t xml:space="preserve">. Les personnes diabétiques devraient faire l’objet d’une surveillance médicale.</w:t>
      </w:r>
    </w:p>
    <w:p>
      <w:pPr>
        <w:numPr>
          <w:ilvl w:val="0"/>
          <w:numId w:val="1152"/>
        </w:numPr>
        <w:pStyle w:val="Compact"/>
      </w:pPr>
      <w:r>
        <w:t xml:space="preserve">Davantage d’arrêts de traitement pour effets indésirables que sous placebo</w:t>
      </w:r>
      <w:r>
        <w:rPr>
          <w:rStyle w:val="FootnoteReference"/>
        </w:rPr>
        <w:footnoteReference w:id="1304"/>
      </w:r>
      <w:r>
        <w:t xml:space="preserve">.</w:t>
      </w:r>
    </w:p>
    <w:p>
      <w:pPr>
        <w:numPr>
          <w:ilvl w:val="0"/>
          <w:numId w:val="1152"/>
        </w:numPr>
        <w:pStyle w:val="Compact"/>
      </w:pPr>
      <w:r>
        <w:t xml:space="preserve">L’effet n’est pas durable : après l’arrêt, la graisse abdominale revient</w:t>
      </w:r>
      <w:r>
        <w:rPr>
          <w:rStyle w:val="FootnoteReference"/>
        </w:rPr>
        <w:footnoteReference w:id="1305"/>
      </w:r>
      <w:r>
        <w:t xml:space="preserve">.</w:t>
      </w:r>
    </w:p>
    <w:p>
      <w:pPr>
        <w:pStyle w:val="FirstParagraph"/>
      </w:pPr>
      <w:r>
        <w:rPr>
          <w:bCs/>
          <w:b/>
        </w:rPr>
        <w:t xml:space="preserve">Incertain ou théorique :</w:t>
      </w:r>
      <w:r>
        <w:t xml:space="preserve"> </w:t>
      </w:r>
      <w:r>
        <w:t xml:space="preserve">la tésamoréline augmente nettement l’IGF-1 – de 81 % dans la première étude de phase 3. Dans les études observationnelles, des taux élevés d’IGF-1 sont associés à un risque légèrement plus élevé de certains cancers (détails dans l’introduction de ce groupe et dans la partie IV). Les études sur la tésamoréline elles-mêmes ne permettent pas de déduire un risque accru de cancer, mais elles étaient trop courtes pour cela. Une étude observationnelle à long terme du fabricant portant sur 391 participants</w:t>
      </w:r>
      <w:r>
        <w:rPr>
          <w:rStyle w:val="FootnoteReference"/>
        </w:rPr>
        <w:footnoteReference w:id="1306"/>
      </w:r>
      <w:r>
        <w:t xml:space="preserve"> </w:t>
      </w:r>
      <w:r>
        <w:t xml:space="preserve">et une étude sur la rétinopathie diabétique</w:t>
      </w:r>
      <w:r>
        <w:rPr>
          <w:rStyle w:val="FootnoteReference"/>
        </w:rPr>
        <w:footnoteReference w:id="1307"/>
      </w:r>
      <w:r>
        <w:t xml:space="preserve"> </w:t>
      </w:r>
      <w:r>
        <w:t xml:space="preserve">ont été arrêtées prématurément ; je n’ai pas trouvé de résultats publiés à leur sujet dans PubMed. Selon le résumé des caractéristiques du produit, la tésamoréline ne doit pas être utilisée en cas de cancer actif ; les détails sont réglés par le résumé des caractéristiques du produit, et l’utilisation relève d’un encadrement médical.</w:t>
      </w:r>
    </w:p>
    <w:bookmarkEnd w:id="1308"/>
    <w:bookmarkStart w:id="1310" w:name="statut-juridique-24"/>
    <w:p>
      <w:pPr>
        <w:pStyle w:val="Heading3"/>
      </w:pPr>
      <w:r>
        <w:t xml:space="preserve">Statut juridique</w:t>
      </w:r>
    </w:p>
    <w:p>
      <w:pPr>
        <w:pStyle w:val="FirstParagraph"/>
      </w:pPr>
      <w:r>
        <w:rPr>
          <w:iCs/>
          <w:i/>
        </w:rPr>
        <w:t xml:space="preserve">État 2026, à vérifier.</w:t>
      </w:r>
    </w:p>
    <w:p>
      <w:pPr>
        <w:numPr>
          <w:ilvl w:val="0"/>
          <w:numId w:val="1153"/>
        </w:numPr>
        <w:pStyle w:val="Compact"/>
      </w:pPr>
      <w:r>
        <w:rPr>
          <w:bCs/>
          <w:b/>
        </w:rPr>
        <w:t xml:space="preserve">UE :</w:t>
      </w:r>
      <w:r>
        <w:t xml:space="preserve"> </w:t>
      </w:r>
      <w:r>
        <w:t xml:space="preserve">non autorisée. La tésamoréline n’est commercialisée comme médicament dans aucun État de l’UE.</w:t>
      </w:r>
    </w:p>
    <w:p>
      <w:pPr>
        <w:numPr>
          <w:ilvl w:val="0"/>
          <w:numId w:val="1153"/>
        </w:numPr>
        <w:pStyle w:val="Compact"/>
      </w:pPr>
      <w:r>
        <w:rPr>
          <w:bCs/>
          <w:b/>
        </w:rPr>
        <w:t xml:space="preserve">Allemagne et Autriche :</w:t>
      </w:r>
      <w:r>
        <w:t xml:space="preserve"> </w:t>
      </w:r>
      <w:r>
        <w:t xml:space="preserve">aucune autorisation. Un approvisionnement ne serait envisageable, le cas échéant, que par une importation individuelle, sous responsabilité médicale, d’un médicament autorisé à l’étranger ; la remise de produits du marché gris destinés à un usage humain est illicite.</w:t>
      </w:r>
    </w:p>
    <w:p>
      <w:pPr>
        <w:numPr>
          <w:ilvl w:val="0"/>
          <w:numId w:val="1153"/>
        </w:numPr>
        <w:pStyle w:val="Compact"/>
      </w:pPr>
      <w:r>
        <w:rPr>
          <w:bCs/>
          <w:b/>
        </w:rPr>
        <w:t xml:space="preserve">États-Unis :</w:t>
      </w:r>
      <w:r>
        <w:t xml:space="preserve"> </w:t>
      </w:r>
      <w:r>
        <w:t xml:space="preserve">autorisée sous le nom d’Egrifta (sur ordonnance), exclusivement pour la réduction de l’excès de graisse abdominale dans la lipodystrophie associée au VIH. Toute autre utilisation – par exemple « pour maigrir » ou « contre le vieillissement » – est hors AMM (off-label).</w:t>
      </w:r>
    </w:p>
    <w:p>
      <w:pPr>
        <w:numPr>
          <w:ilvl w:val="0"/>
          <w:numId w:val="1153"/>
        </w:numPr>
        <w:pStyle w:val="Compact"/>
      </w:pPr>
      <w:r>
        <w:rPr>
          <w:bCs/>
          <w:b/>
        </w:rPr>
        <w:t xml:space="preserve">AMA (WADA) :</w:t>
      </w:r>
      <w:r>
        <w:t xml:space="preserve"> </w:t>
      </w:r>
      <w:r>
        <w:t xml:space="preserve">interdite (S2), en compétition et hors compétition. Les laboratoires antidopage ont mis au point des méthodes de détection de la tésamoréline et d’autres analogues de la GHRH dans l’urine</w:t>
      </w:r>
      <w:r>
        <w:rPr>
          <w:rStyle w:val="FootnoteReference"/>
        </w:rPr>
        <w:footnoteReference w:id="1309"/>
      </w:r>
      <w:r>
        <w:t xml:space="preserve">.</w:t>
      </w:r>
    </w:p>
    <w:bookmarkEnd w:id="1310"/>
    <w:bookmarkStart w:id="1311" w:name="études-en-cours-et-perspectives-24"/>
    <w:p>
      <w:pPr>
        <w:pStyle w:val="Heading3"/>
      </w:pPr>
      <w:r>
        <w:t xml:space="preserve">Études en cours et perspectives</w:t>
      </w:r>
    </w:p>
    <w:p>
      <w:pPr>
        <w:pStyle w:val="FirstParagraph"/>
      </w:pPr>
      <w:r>
        <w:t xml:space="preserve">En octobre 2026, ClinicalTrials.gov recense notamment les études ouvertes suivantes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Plan</w:t>
            </w:r>
          </w:p>
        </w:tc>
        <w:tc>
          <w:tcPr/>
          <w:p>
            <w:pPr>
              <w:pStyle w:val="Compact"/>
              <w:jc w:val="left"/>
            </w:pPr>
            <w:r>
              <w:t xml:space="preserve">Statut</w:t>
            </w:r>
          </w:p>
        </w:tc>
        <w:tc>
          <w:tcPr/>
          <w:p>
            <w:pPr>
              <w:pStyle w:val="Compact"/>
              <w:jc w:val="left"/>
            </w:pPr>
            <w:r>
              <w:t xml:space="preserve">Thème</w:t>
            </w:r>
          </w:p>
        </w:tc>
      </w:tr>
      <w:tr>
        <w:tc>
          <w:tcPr/>
          <w:p>
            <w:pPr>
              <w:pStyle w:val="Compact"/>
              <w:jc w:val="left"/>
            </w:pPr>
            <w:r>
              <w:t xml:space="preserve">NCT06554717</w:t>
            </w:r>
          </w:p>
        </w:tc>
        <w:tc>
          <w:tcPr/>
          <w:p>
            <w:pPr>
              <w:pStyle w:val="Compact"/>
              <w:jc w:val="left"/>
            </w:pPr>
            <w:r>
              <w:t xml:space="preserve">Phase 2, 100 personnes</w:t>
            </w:r>
          </w:p>
        </w:tc>
        <w:tc>
          <w:tcPr/>
          <w:p>
            <w:pPr>
              <w:pStyle w:val="Compact"/>
              <w:jc w:val="left"/>
            </w:pPr>
            <w:r>
              <w:t xml:space="preserve">en recrutement (début 2025)</w:t>
            </w:r>
          </w:p>
        </w:tc>
        <w:tc>
          <w:tcPr/>
          <w:p>
            <w:pPr>
              <w:pStyle w:val="Compact"/>
              <w:jc w:val="left"/>
            </w:pPr>
            <w:r>
              <w:t xml:space="preserve">tésamoréline en complément de l’entraînement dans le VIH – capacité physique</w:t>
            </w:r>
          </w:p>
        </w:tc>
      </w:tr>
      <w:tr>
        <w:tc>
          <w:tcPr/>
          <w:p>
            <w:pPr>
              <w:pStyle w:val="Compact"/>
              <w:jc w:val="left"/>
            </w:pPr>
            <w:r>
              <w:t xml:space="preserve">NCT03150511</w:t>
            </w:r>
          </w:p>
        </w:tc>
        <w:tc>
          <w:tcPr/>
          <w:p>
            <w:pPr>
              <w:pStyle w:val="Compact"/>
              <w:jc w:val="left"/>
            </w:pPr>
            <w:r>
              <w:t xml:space="preserve">Phase 2, 36 personnes</w:t>
            </w:r>
          </w:p>
        </w:tc>
        <w:tc>
          <w:tcPr/>
          <w:p>
            <w:pPr>
              <w:pStyle w:val="Compact"/>
              <w:jc w:val="left"/>
            </w:pPr>
            <w:r>
              <w:t xml:space="preserve">en recrutement (depuis 2018)</w:t>
            </w:r>
          </w:p>
        </w:tc>
        <w:tc>
          <w:tcPr/>
          <w:p>
            <w:pPr>
              <w:pStyle w:val="Compact"/>
              <w:jc w:val="left"/>
            </w:pPr>
            <w:r>
              <w:t xml:space="preserve">récupération après lésion des nerfs périphériques</w:t>
            </w:r>
          </w:p>
        </w:tc>
      </w:tr>
    </w:tbl>
    <w:p>
      <w:pPr>
        <w:pStyle w:val="BodyText"/>
      </w:pPr>
      <w:r>
        <w:t xml:space="preserve">Ce qui est</w:t>
      </w:r>
      <w:r>
        <w:t xml:space="preserve"> </w:t>
      </w:r>
      <w:r>
        <w:rPr>
          <w:iCs/>
          <w:i/>
        </w:rPr>
        <w:t xml:space="preserve">établi</w:t>
      </w:r>
      <w:r>
        <w:t xml:space="preserve">, c’est donc seulement que la recherche se poursuit dans de petites études de phase 2.</w:t>
      </w:r>
      <w:r>
        <w:t xml:space="preserve"> </w:t>
      </w:r>
      <w:r>
        <w:rPr>
          <w:iCs/>
          <w:i/>
        </w:rPr>
        <w:t xml:space="preserve">Appréciation de l’auteur :</w:t>
      </w:r>
      <w:r>
        <w:t xml:space="preserve"> </w:t>
      </w:r>
      <w:r>
        <w:t xml:space="preserve">la stéatose hépatique en dehors du VIH serait le nouveau domaine d’application le plus évident, mais d’autres substances actives y sont désormais en concurrence avec des programmes d’études nettement plus vastes. Une autorisation dans l’UE n’est pas en vue dans un avenir prévisible.</w:t>
      </w:r>
    </w:p>
    <w:bookmarkEnd w:id="1311"/>
    <w:bookmarkStart w:id="1312" w:name="conclusion-24"/>
    <w:p>
      <w:pPr>
        <w:pStyle w:val="Heading3"/>
      </w:pPr>
      <w:r>
        <w:t xml:space="preserve">Conclusion</w:t>
      </w:r>
    </w:p>
    <w:p>
      <w:pPr>
        <w:pStyle w:val="FirstParagraph"/>
      </w:pPr>
      <w:r>
        <w:t xml:space="preserve">La tésamoréline est le peptide le mieux étudié de l’axe de l’hormone de croissance : deux grandes études de phase 3 montrent qu’elle réduit d’environ 15 à 18 % la graisse abdominale viscérale chez les personnes vivant avec le VIH et qu’elle diminue aussi la graisse hépatique. L’effet ne dure qu’aussi longtemps que le traitement, et tout le monde ne répond pas. Pour les personnes en bonne santé, les sportives et sportifs ou comme produit « anti-âge », il n’existe pas de données solides. La sécurité à long terme, notamment au regard de l’IGF-1 élevé, n’est pas définitivement établie.</w:t>
      </w:r>
    </w:p>
    <w:bookmarkEnd w:id="1312"/>
    <w:bookmarkEnd w:id="1313"/>
    <w:bookmarkStart w:id="1338" w:name="cjc-1295"/>
    <w:p>
      <w:pPr>
        <w:pStyle w:val="Heading2"/>
      </w:pPr>
      <w:r>
        <w:t xml:space="preserve">CJC-1295</w:t>
      </w:r>
    </w:p>
    <w:p>
      <w:pPr>
        <w:pStyle w:val="FirstParagraph"/>
      </w:pPr>
      <w:r>
        <w:t xml:space="preserve">Sous le nom de CJC-1295, deux substances différentes sont vendues sur Internet – et c’est le point le plus important de ce chapitre. Le CJC-1295 d’origine, de la société ConjuChem, est une hormone de libération de l’hormone de croissance dotée d’une « ancre » chimique qui se fixe dans le sang à la protéine albumine et prolonge l’effet à environ une semaine. Les revendeurs du marché gris proposent en outre du « CJC-1295 sans DAC », qui s’appelle le plus souvent dans la littérature spécialisée « GRF (1-29) modifié ». Pour le premier, il existe deux petites études chez des personnes en bonne santé ; pour le second, pas une seule.</w:t>
      </w:r>
    </w:p>
    <w:bookmarkStart w:id="1315" w:name="fiche-signalétique-25"/>
    <w:p>
      <w:pPr>
        <w:pStyle w:val="Heading3"/>
      </w:pPr>
      <w:r>
        <w:t xml:space="preserve">Fiche signalétique</w:t>
      </w:r>
    </w:p>
    <w:p>
      <w:pPr>
        <w:numPr>
          <w:ilvl w:val="0"/>
          <w:numId w:val="1154"/>
        </w:numPr>
        <w:pStyle w:val="Compact"/>
      </w:pPr>
      <w:r>
        <w:rPr>
          <w:bCs/>
          <w:b/>
        </w:rPr>
        <w:t xml:space="preserve">Nature et structure :</w:t>
      </w:r>
      <w:r>
        <w:t xml:space="preserve"> </w:t>
      </w:r>
      <w:r>
        <w:t xml:space="preserve">analogue synthétique de l’hormone de libération de l’hormone de croissance, construit sur ses 29 premiers acides aminés avec quatre éléments remplacés qui rendent la dégradation plus difficile.</w:t>
      </w:r>
    </w:p>
    <w:p>
      <w:pPr>
        <w:numPr>
          <w:ilvl w:val="1"/>
          <w:numId w:val="1155"/>
        </w:numPr>
        <w:pStyle w:val="Compact"/>
      </w:pPr>
      <w:r>
        <w:rPr>
          <w:iCs/>
          <w:i/>
        </w:rPr>
        <w:t xml:space="preserve">CJC-1295 avec DAC</w:t>
      </w:r>
      <w:r>
        <w:t xml:space="preserve"> </w:t>
      </w:r>
      <w:r>
        <w:t xml:space="preserve">(Drug Affinity Complex) : en plus, une ancre réactive en bout de chaîne, qui se lie solidement à l’albumine après l’injection</w:t>
      </w:r>
      <w:r>
        <w:rPr>
          <w:rStyle w:val="FootnoteReference"/>
        </w:rPr>
        <w:footnoteReference w:id="1314"/>
      </w:r>
      <w:r>
        <w:t xml:space="preserve">.</w:t>
      </w:r>
    </w:p>
    <w:p>
      <w:pPr>
        <w:numPr>
          <w:ilvl w:val="1"/>
          <w:numId w:val="1155"/>
        </w:numPr>
        <w:pStyle w:val="Compact"/>
      </w:pPr>
      <w:r>
        <w:rPr>
          <w:iCs/>
          <w:i/>
        </w:rPr>
        <w:t xml:space="preserve">CJC-1295 sans DAC</w:t>
      </w:r>
      <w:r>
        <w:t xml:space="preserve"> </w:t>
      </w:r>
      <w:r>
        <w:t xml:space="preserve">(« Mod GRF 1-29 ») : la même chaîne sans ancre ; courte durée d’action.</w:t>
      </w:r>
    </w:p>
    <w:p>
      <w:pPr>
        <w:numPr>
          <w:ilvl w:val="0"/>
          <w:numId w:val="1154"/>
        </w:numPr>
        <w:pStyle w:val="Compact"/>
      </w:pPr>
      <w:r>
        <w:rPr>
          <w:bCs/>
          <w:b/>
        </w:rPr>
        <w:t xml:space="preserve">Origine :</w:t>
      </w:r>
      <w:r>
        <w:t xml:space="preserve"> </w:t>
      </w:r>
      <w:r>
        <w:t xml:space="preserve">développé par ConjuChem (Canada) dans les années 2000 ; le développement clinique n’a pas été poursuivi.</w:t>
      </w:r>
    </w:p>
    <w:p>
      <w:pPr>
        <w:numPr>
          <w:ilvl w:val="0"/>
          <w:numId w:val="1154"/>
        </w:numPr>
        <w:pStyle w:val="Compact"/>
      </w:pPr>
      <w:r>
        <w:rPr>
          <w:bCs/>
          <w:b/>
        </w:rPr>
        <w:t xml:space="preserve">Principe d’action :</w:t>
      </w:r>
      <w:r>
        <w:t xml:space="preserve"> </w:t>
      </w:r>
      <w:r>
        <w:t xml:space="preserve">liaison au récepteur de la GHRH de l’hypophyse ; augmentation de l’hormone de croissance et de l’IGF-1.</w:t>
      </w:r>
    </w:p>
    <w:p>
      <w:pPr>
        <w:numPr>
          <w:ilvl w:val="0"/>
          <w:numId w:val="1154"/>
        </w:numPr>
        <w:pStyle w:val="Compact"/>
      </w:pPr>
      <w:r>
        <w:rPr>
          <w:bCs/>
          <w:b/>
        </w:rPr>
        <w:t xml:space="preserve">Autorisation UE :</w:t>
      </w:r>
      <w:r>
        <w:t xml:space="preserve"> </w:t>
      </w:r>
      <w:r>
        <w:t xml:space="preserve">non.</w:t>
      </w:r>
      <w:r>
        <w:t xml:space="preserve"> </w:t>
      </w:r>
      <w:r>
        <w:rPr>
          <w:bCs/>
          <w:b/>
        </w:rPr>
        <w:t xml:space="preserve">Autorisation États-Unis :</w:t>
      </w:r>
      <w:r>
        <w:t xml:space="preserve"> </w:t>
      </w:r>
      <w:r>
        <w:t xml:space="preserve">non.</w:t>
      </w:r>
    </w:p>
    <w:p>
      <w:pPr>
        <w:numPr>
          <w:ilvl w:val="0"/>
          <w:numId w:val="1154"/>
        </w:numPr>
        <w:pStyle w:val="Compact"/>
      </w:pPr>
      <w:r>
        <w:rPr>
          <w:bCs/>
          <w:b/>
        </w:rPr>
        <w:t xml:space="preserve">AMA (WADA) :</w:t>
      </w:r>
      <w:r>
        <w:t xml:space="preserve"> </w:t>
      </w:r>
      <w:r>
        <w:t xml:space="preserve">interdit, classe S2 – le CJC-1295 est expressément nommé en tant qu’analogue de la GHRH.</w:t>
      </w:r>
    </w:p>
    <w:p>
      <w:pPr>
        <w:numPr>
          <w:ilvl w:val="0"/>
          <w:numId w:val="1154"/>
        </w:numPr>
        <w:pStyle w:val="Compact"/>
      </w:pPr>
      <w:r>
        <w:rPr>
          <w:bCs/>
          <w:b/>
        </w:rPr>
        <w:t xml:space="preserve">Niveau de preuve : C</w:t>
      </w:r>
      <w:r>
        <w:t xml:space="preserve"> </w:t>
      </w:r>
      <w:r>
        <w:t xml:space="preserve">– deux petites études de phase 1 chez des personnes en bonne santé (avec DAC) ; aucune étude sur un bénéfice clinique ; aucune étude chez l’humain pour la variante sans DAC.</w:t>
      </w:r>
    </w:p>
    <w:bookmarkEnd w:id="1315"/>
    <w:bookmarkStart w:id="1317" w:name="mode-daction-supposé-25"/>
    <w:p>
      <w:pPr>
        <w:pStyle w:val="Heading3"/>
      </w:pPr>
      <w:r>
        <w:t xml:space="preserve">Mode d’action supposé</w:t>
      </w:r>
    </w:p>
    <w:p>
      <w:pPr>
        <w:pStyle w:val="FirstParagraph"/>
      </w:pPr>
      <w:r>
        <w:t xml:space="preserve">La GHRH naturelle est éliminée du sang en quelques minutes par l’enzyme dipeptidyl-peptidase-4 et par les reins. L’ancre DAC devait résoudre ce problème : après l’injection, elle réagit avec un groupement soufré libre de l’albumine. Le peptide « chevauche » alors l’albumine, dont la durée de vie se compte en semaines, et est libéré lentement. Chez le rat, le CJC-1295 restait ainsi détectable dans le sang pendant plus de 72 heures</w:t>
      </w:r>
      <w:r>
        <w:rPr>
          <w:rStyle w:val="FootnoteReference"/>
        </w:rPr>
        <w:footnoteReference w:id="1316"/>
      </w:r>
      <w:r>
        <w:t xml:space="preserve">.</w:t>
      </w:r>
    </w:p>
    <w:p>
      <w:pPr>
        <w:pStyle w:val="BodyText"/>
      </w:pPr>
      <w:r>
        <w:t xml:space="preserve">Le CJC-1295 avec DAC se distingue ainsi fondamentalement de tous les autres sécrétagogues de GH : au lieu d’impulsions brèves, il produit une stimulation continue de l’hypophyse. Savoir si cela est physiologiquement favorable était l’une des questions ouvertes du développement. La variante sans DAC agit en revanche aussi brièvement que la sermoréline et est souvent proposée sur le marché gris en association avec des sécrétagogues de GH du groupe de la ghréline (par exemple l’ipamoréline) – une pratique pour laquelle il n’existe aucune étude.</w:t>
      </w:r>
    </w:p>
    <w:bookmarkEnd w:id="1317"/>
    <w:bookmarkStart w:id="1323" w:name="études-chez-lhumain-25"/>
    <w:p>
      <w:pPr>
        <w:pStyle w:val="Heading3"/>
      </w:pPr>
      <w:r>
        <w:t xml:space="preserve">Études chez l’humain</w:t>
      </w:r>
    </w:p>
    <w:p>
      <w:pPr>
        <w:pStyle w:val="FirstParagraph"/>
      </w:pPr>
      <w:r>
        <w:rPr>
          <w:bCs/>
          <w:b/>
        </w:rPr>
        <w:t xml:space="preserve">Ampleur des données (requête d’octobre 2026) :</w:t>
      </w:r>
      <w:r>
        <w:t xml:space="preserve"> </w:t>
      </w:r>
      <w:r>
        <w:t xml:space="preserve">la recherche automatisée de ce livre a trouvé</w:t>
      </w:r>
      <w:r>
        <w:t xml:space="preserve"> </w:t>
      </w:r>
      <w:r>
        <w:rPr>
          <w:bCs/>
          <w:b/>
        </w:rPr>
        <w:t xml:space="preserve">2</w:t>
      </w:r>
      <w:r>
        <w:t xml:space="preserve"> </w:t>
      </w:r>
      <w:r>
        <w:t xml:space="preserve">études chez l’humain dans PubMed (</w:t>
      </w:r>
      <w:r>
        <w:rPr>
          <w:rStyle w:val="VerbatimChar"/>
        </w:rPr>
        <w:t xml:space="preserve">humanstudien_alle</w:t>
      </w:r>
      <w:r>
        <w:t xml:space="preserve">) et</w:t>
      </w:r>
      <w:r>
        <w:t xml:space="preserve"> </w:t>
      </w:r>
      <w:r>
        <w:rPr>
          <w:bCs/>
          <w:b/>
        </w:rPr>
        <w:t xml:space="preserve">1</w:t>
      </w:r>
      <w:r>
        <w:t xml:space="preserve"> </w:t>
      </w:r>
      <w:r>
        <w:t xml:space="preserve">entrée sur ClinicalTrials.gov. Une recherche complémentaire ciblée a mis au jour en outre une analyse ultérieure d’échantillons sanguins issus de l’une des deux études. Tous les travaux concernent le CJC-1295</w:t>
      </w:r>
      <w:r>
        <w:t xml:space="preserve"> </w:t>
      </w:r>
      <w:r>
        <w:rPr>
          <w:iCs/>
          <w:i/>
        </w:rPr>
        <w:t xml:space="preserve">avec</w:t>
      </w:r>
      <w:r>
        <w:t xml:space="preserve"> </w:t>
      </w:r>
      <w:r>
        <w:t xml:space="preserve">DAC.</w:t>
      </w:r>
    </w:p>
    <w:p>
      <w:pPr>
        <w:pStyle w:val="BodyText"/>
      </w:pPr>
      <w:r>
        <w:rPr>
          <w:bCs/>
          <w:b/>
        </w:rPr>
        <w:t xml:space="preserve">Recherche de dose chez des personnes en bonne santé :</w:t>
      </w:r>
      <w:r>
        <w:t xml:space="preserve"> </w:t>
      </w:r>
      <w:r>
        <w:t xml:space="preserve">dans deux études randomisées, contrôlées contre placebo, en double aveugle et à doses croissantes, des adultes en bonne santé âgés de 21 à 61 ans ont reçu une injection unique ou deux à trois injections hebdomadaires ou bimensuelles. Après une seule injection, l’hormone de croissance a augmenté en moyenne d’un facteur 2 à 10 pendant six jours ou plus, l’IGF-1 d’un facteur 1,5 à 3 pendant 9 à 11 jours. La demi-vie était de 5,8 à 8,1 jours. Après plusieurs doses, l’IGF-1 est resté au-dessus de la valeur initiale jusqu’à 28 jours. Aucun effet indésirable grave n’a été rapporté</w:t>
      </w:r>
      <w:r>
        <w:rPr>
          <w:rStyle w:val="FootnoteReference"/>
        </w:rPr>
        <w:footnoteReference w:id="1318"/>
      </w:r>
      <w:r>
        <w:t xml:space="preserve">.</w:t>
      </w:r>
    </w:p>
    <w:p>
      <w:pPr>
        <w:pStyle w:val="BodyText"/>
      </w:pPr>
      <w:r>
        <w:rPr>
          <w:bCs/>
          <w:b/>
        </w:rPr>
        <w:t xml:space="preserve">Pulsatilité :</w:t>
      </w:r>
      <w:r>
        <w:t xml:space="preserve"> </w:t>
      </w:r>
      <w:r>
        <w:t xml:space="preserve">une deuxième étude a examiné chez des hommes en bonne santé âgés de 20 à 40 ans si le caractère naturellement pulsatile de la sécrétion de GH était préservé. Une semaine après l’injection, la fréquence et l’amplitude des pics de GH étaient inchangées, mais le niveau de base entre les pics était multiplié par 7,5 ; la GH moyenne a augmenté de 46 %, l’IGF-1 de 45 %</w:t>
      </w:r>
      <w:r>
        <w:rPr>
          <w:rStyle w:val="FootnoteReference"/>
        </w:rPr>
        <w:footnoteReference w:id="1319"/>
      </w:r>
      <w:r>
        <w:t xml:space="preserve">.</w:t>
      </w:r>
    </w:p>
    <w:p>
      <w:pPr>
        <w:pStyle w:val="BodyText"/>
      </w:pPr>
      <w:r>
        <w:rPr>
          <w:bCs/>
          <w:b/>
        </w:rPr>
        <w:t xml:space="preserve">Protéines sanguines :</w:t>
      </w:r>
      <w:r>
        <w:t xml:space="preserve"> </w:t>
      </w:r>
      <w:r>
        <w:t xml:space="preserve">une analyse d’échantillons de sérum de 11 jeunes hommes avant et une semaine après l’injection a recherché de nouveaux marqueurs de l’effet de l’hormone de croissance et a trouvé des modifications de certaines protéines sanguines</w:t>
      </w:r>
      <w:r>
        <w:rPr>
          <w:rStyle w:val="FootnoteReference"/>
        </w:rPr>
        <w:footnoteReference w:id="1320"/>
      </w:r>
      <w:r>
        <w:t xml:space="preserve">. Il s’agit de recherche fondamentale sans portée clinique.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Recherche de dose (Teichman 2006), PMID 16352683</w:t>
            </w:r>
          </w:p>
        </w:tc>
        <w:tc>
          <w:tcPr/>
          <w:p>
            <w:pPr>
              <w:pStyle w:val="Compact"/>
              <w:jc w:val="left"/>
            </w:pPr>
            <w:r>
              <w:t xml:space="preserve">adultes en bonne santé 21–61 ans, deux ECR contre placebo, doses croissantes</w:t>
            </w:r>
          </w:p>
        </w:tc>
        <w:tc>
          <w:tcPr/>
          <w:p>
            <w:pPr>
              <w:pStyle w:val="Compact"/>
              <w:jc w:val="left"/>
            </w:pPr>
            <w:r>
              <w:t xml:space="preserve">28 ou 49 jours</w:t>
            </w:r>
          </w:p>
        </w:tc>
        <w:tc>
          <w:tcPr/>
          <w:p>
            <w:pPr>
              <w:pStyle w:val="Compact"/>
              <w:jc w:val="left"/>
            </w:pPr>
            <w:r>
              <w:t xml:space="preserve">GH ×2 à ×10, IGF-1 ×1,5 à ×3 ; demi-vie 5,8–8,1 jours</w:t>
            </w:r>
          </w:p>
        </w:tc>
      </w:tr>
      <w:tr>
        <w:tc>
          <w:tcPr/>
          <w:p>
            <w:pPr>
              <w:pStyle w:val="Compact"/>
              <w:jc w:val="left"/>
            </w:pPr>
            <w:r>
              <w:t xml:space="preserve">Pulsatilité de la GH (Ionescu 2006), PMID 17018654</w:t>
            </w:r>
          </w:p>
        </w:tc>
        <w:tc>
          <w:tcPr/>
          <w:p>
            <w:pPr>
              <w:pStyle w:val="Compact"/>
              <w:jc w:val="left"/>
            </w:pPr>
            <w:r>
              <w:t xml:space="preserve">hommes en bonne santé 20–40 ans, comparaison avant-après</w:t>
            </w:r>
          </w:p>
        </w:tc>
        <w:tc>
          <w:tcPr/>
          <w:p>
            <w:pPr>
              <w:pStyle w:val="Compact"/>
              <w:jc w:val="left"/>
            </w:pPr>
            <w:r>
              <w:t xml:space="preserve">1 semaine après dose unique</w:t>
            </w:r>
          </w:p>
        </w:tc>
        <w:tc>
          <w:tcPr/>
          <w:p>
            <w:pPr>
              <w:pStyle w:val="Compact"/>
              <w:jc w:val="left"/>
            </w:pPr>
            <w:r>
              <w:t xml:space="preserve">pics préservés, GH de base ×7,5, IGF-1 +45 %</w:t>
            </w:r>
          </w:p>
        </w:tc>
      </w:tr>
      <w:tr>
        <w:tc>
          <w:tcPr/>
          <w:p>
            <w:pPr>
              <w:pStyle w:val="Compact"/>
              <w:jc w:val="left"/>
            </w:pPr>
            <w:r>
              <w:t xml:space="preserve">Graisse abdominale et VIH, NCT00267527</w:t>
            </w:r>
          </w:p>
        </w:tc>
        <w:tc>
          <w:tcPr/>
          <w:p>
            <w:pPr>
              <w:pStyle w:val="Compact"/>
              <w:jc w:val="left"/>
            </w:pPr>
            <w:r>
              <w:t xml:space="preserve">120 personnes prévues, phase 2, ECR</w:t>
            </w:r>
          </w:p>
        </w:tc>
        <w:tc>
          <w:tcPr/>
          <w:p>
            <w:pPr>
              <w:pStyle w:val="Compact"/>
              <w:jc w:val="left"/>
            </w:pPr>
            <w:r>
              <w:t xml:space="preserve">12 semaines prévues</w:t>
            </w:r>
          </w:p>
        </w:tc>
        <w:tc>
          <w:tcPr/>
          <w:p>
            <w:pPr>
              <w:pStyle w:val="Compact"/>
              <w:jc w:val="left"/>
            </w:pPr>
            <w:r>
              <w:t xml:space="preserve">interrompue en 2006 ; aucun résultat publié</w:t>
            </w:r>
          </w:p>
        </w:tc>
      </w:tr>
    </w:tbl>
    <w:bookmarkStart w:id="1322" w:name="X9d4e0d88824d35e39709ddc629db5cfa1c1f5b7"/>
    <w:p>
      <w:pPr>
        <w:pStyle w:val="Heading4"/>
      </w:pPr>
      <w:r>
        <w:t xml:space="preserve">L’étude de phase 2 interrompue et le décès rapporté</w:t>
      </w:r>
    </w:p>
    <w:p>
      <w:pPr>
        <w:pStyle w:val="FirstParagraph"/>
      </w:pPr>
      <w:r>
        <w:t xml:space="preserve">Fin 2005, ConjuChem a lancé une étude de phase 2 randomisée, contrôlée contre placebo, avec deux doses de CJC-1295 chez des personnes vivant avec le VIH et présentant un excès de graisse abdominale – c’est-à-dire dans le même domaine d’application où la tésamoréline a été autorisée plus tard</w:t>
      </w:r>
      <w:r>
        <w:rPr>
          <w:rStyle w:val="FootnoteReference"/>
        </w:rPr>
        <w:footnoteReference w:id="1321"/>
      </w:r>
      <w:r>
        <w:t xml:space="preserve">. L’entrée du registre indique le statut « interrompue » (dernière mise à jour en octobre 2006), mais aucun motif d’interruption ni aucun résultat.</w:t>
      </w:r>
    </w:p>
    <w:p>
      <w:pPr>
        <w:pStyle w:val="BodyText"/>
      </w:pPr>
      <w:r>
        <w:t xml:space="preserve">Dans des forums en ligne et certaines synthèses, on lit que l’étude aurait été arrêtée après le décès d’un participant.</w:t>
      </w:r>
      <w:r>
        <w:t xml:space="preserve"> </w:t>
      </w:r>
      <w:r>
        <w:rPr>
          <w:bCs/>
          <w:b/>
        </w:rPr>
        <w:t xml:space="preserve">Ce décès n’est pas étayé par les sources vérifiées pour ce livre :</w:t>
      </w:r>
      <w:r>
        <w:t xml:space="preserve"> </w:t>
      </w:r>
      <w:r>
        <w:t xml:space="preserve">ni l’entrée du registre ni une publication PubMed ne le documentent. On ne peut donc ni confirmer qu’il a eu lieu, ni évaluer s’il était lié à la substance. Ce qui est établi, c’est seulement que l’étude s’est terminée prématurément et que le CJC-1295 n’a plus été développé ensuite.</w:t>
      </w:r>
    </w:p>
    <w:bookmarkEnd w:id="1322"/>
    <w:bookmarkEnd w:id="1323"/>
    <w:bookmarkStart w:id="1326" w:name="études-animales-et-de-laboratoire-25"/>
    <w:p>
      <w:pPr>
        <w:pStyle w:val="Heading3"/>
      </w:pPr>
      <w:r>
        <w:t xml:space="preserve">Études animales et de laboratoire</w:t>
      </w:r>
    </w:p>
    <w:p>
      <w:pPr>
        <w:numPr>
          <w:ilvl w:val="0"/>
          <w:numId w:val="1156"/>
        </w:numPr>
        <w:pStyle w:val="Compact"/>
      </w:pPr>
      <w:r>
        <w:rPr>
          <w:bCs/>
          <w:b/>
        </w:rPr>
        <w:t xml:space="preserve">Rats :</w:t>
      </w:r>
      <w:r>
        <w:t xml:space="preserve"> </w:t>
      </w:r>
      <w:r>
        <w:t xml:space="preserve">parmi trois variantes d’ancre à l’albumine testées, le CJC-1295 a libéré le plus d’hormone de croissance – environ quatre fois plus sur deux heures que le GRF(1-29) non modifié – et est resté plus de 72 heures dans le sang</w:t>
      </w:r>
      <w:r>
        <w:rPr>
          <w:rStyle w:val="FootnoteReference"/>
        </w:rPr>
        <w:footnoteReference w:id="1324"/>
      </w:r>
      <w:r>
        <w:t xml:space="preserve">.</w:t>
      </w:r>
    </w:p>
    <w:p>
      <w:pPr>
        <w:numPr>
          <w:ilvl w:val="0"/>
          <w:numId w:val="1156"/>
        </w:numPr>
        <w:pStyle w:val="Compact"/>
      </w:pPr>
      <w:r>
        <w:rPr>
          <w:bCs/>
          <w:b/>
        </w:rPr>
        <w:t xml:space="preserve">Souris :</w:t>
      </w:r>
      <w:r>
        <w:t xml:space="preserve"> </w:t>
      </w:r>
      <w:r>
        <w:t xml:space="preserve">chez des souris dépourvues de GHRH propre, l’administration quotidienne a normalisé le poids et la taille ; l’administration toutes les 48 ou 72 heures n’y suffisait pas complètement. Dans l’hypophyse, le nombre de cellules productrices de GH a augmenté</w:t>
      </w:r>
      <w:r>
        <w:rPr>
          <w:rStyle w:val="FootnoteReference"/>
        </w:rPr>
        <w:footnoteReference w:id="1325"/>
      </w:r>
      <w:r>
        <w:t xml:space="preserve">. Une multiplication des cellules hypophysaires est souhaitable lorsqu’il s’agit de compenser un déficit – chez les personnes en bonne santé, sa signification à long terme est inconnue.</w:t>
      </w:r>
    </w:p>
    <w:bookmarkEnd w:id="1326"/>
    <w:bookmarkStart w:id="1331" w:name="risques-et-effets-indésirables-25"/>
    <w:p>
      <w:pPr>
        <w:pStyle w:val="Heading3"/>
      </w:pPr>
      <w:r>
        <w:t xml:space="preserve">Risques et effets indésirables</w:t>
      </w:r>
    </w:p>
    <w:p>
      <w:pPr>
        <w:pStyle w:val="FirstParagraph"/>
      </w:pPr>
      <w:r>
        <w:rPr>
          <w:bCs/>
          <w:b/>
        </w:rPr>
        <w:t xml:space="preserve">Établi par les études de phase 1 :</w:t>
      </w:r>
      <w:r>
        <w:t xml:space="preserve"> </w:t>
      </w:r>
      <w:r>
        <w:t xml:space="preserve">pas d’effets indésirables graves chez un petit nombre de personnes en bonne santé traitées brièvement ; la tolérance a été décrite comme relativement bonne, en particulier aux doses les plus faibles</w:t>
      </w:r>
      <w:r>
        <w:rPr>
          <w:rStyle w:val="FootnoteReference"/>
        </w:rPr>
        <w:footnoteReference w:id="1327"/>
      </w:r>
      <w:r>
        <w:t xml:space="preserve">. Cette base de données est trop restreinte pour détecter des risques rares ou à long terme.</w:t>
      </w:r>
    </w:p>
    <w:p>
      <w:pPr>
        <w:pStyle w:val="BodyText"/>
      </w:pPr>
      <w:r>
        <w:rPr>
          <w:bCs/>
          <w:b/>
        </w:rPr>
        <w:t xml:space="preserve">Plausible, mais non étudié :</w:t>
      </w:r>
      <w:r>
        <w:t xml:space="preserve"> </w:t>
      </w:r>
      <w:r>
        <w:t xml:space="preserve">la variante DAC maintient l’hormone de croissance et l’IGF-1 durablement élevés pendant plusieurs jours. Les conséquences typiques de taux élevés de GH sont la rétention d’eau, les douleurs articulaires, des troubles de type canal carpien et une moindre sensibilité à l’insuline. On n’a pas étudié pour le CJC-1295 si un IGF-1 durablement élevé augmente à long terme le risque de cancer ; pour l’état général des données, voir l’introduction de ce groupe et la partie IV.</w:t>
      </w:r>
    </w:p>
    <w:p>
      <w:pPr>
        <w:pStyle w:val="BodyText"/>
      </w:pPr>
      <w:r>
        <w:rPr>
          <w:bCs/>
          <w:b/>
        </w:rPr>
        <w:t xml:space="preserve">Marché gris :</w:t>
      </w:r>
      <w:r>
        <w:t xml:space="preserve"> </w:t>
      </w:r>
      <w:r>
        <w:t xml:space="preserve">dès 2009, un laboratoire norvégien a analysé, à la demande de la police et des douanes, une préparation inconnue et y a trouvé un peptide de 29 acides aminés correspondant à la séquence vendue comme CJC-1295</w:t>
      </w:r>
      <w:r>
        <w:rPr>
          <w:rStyle w:val="FootnoteReference"/>
        </w:rPr>
        <w:footnoteReference w:id="1328"/>
      </w:r>
      <w:r>
        <w:t xml:space="preserve">. Des échantillons des douanes danoises contenaient du « GRF 1-29 modifié » et des mimétiques de la ghréline comportant un acide aminé glycine supplémentaire non déclaré</w:t>
      </w:r>
      <w:r>
        <w:rPr>
          <w:rStyle w:val="FootnoteReference"/>
        </w:rPr>
        <w:footnoteReference w:id="1329"/>
      </w:r>
      <w:r>
        <w:t xml:space="preserve">. Les acheteuses et acheteurs ne peuvent donc pas savoir s’ils reçoivent la variante avec ou sans DAC, une molécule modifiée ou tout autre chose. Une analyse de forums de musculation montre que des femmes aussi utilisent le CJC-1295 pour perdre du poids, pour la peau ou le sommeil, en se fondant sur des témoignages plutôt que sur des études</w:t>
      </w:r>
      <w:r>
        <w:rPr>
          <w:rStyle w:val="FootnoteReference"/>
        </w:rPr>
        <w:footnoteReference w:id="1330"/>
      </w:r>
      <w:r>
        <w:t xml:space="preserve">.</w:t>
      </w:r>
    </w:p>
    <w:bookmarkEnd w:id="1331"/>
    <w:bookmarkStart w:id="1335" w:name="statut-juridique-25"/>
    <w:p>
      <w:pPr>
        <w:pStyle w:val="Heading3"/>
      </w:pPr>
      <w:r>
        <w:t xml:space="preserve">Statut juridique</w:t>
      </w:r>
    </w:p>
    <w:p>
      <w:pPr>
        <w:pStyle w:val="FirstParagraph"/>
      </w:pPr>
      <w:r>
        <w:rPr>
          <w:iCs/>
          <w:i/>
        </w:rPr>
        <w:t xml:space="preserve">État 2026, à vérifier.</w:t>
      </w:r>
    </w:p>
    <w:p>
      <w:pPr>
        <w:numPr>
          <w:ilvl w:val="0"/>
          <w:numId w:val="1157"/>
        </w:numPr>
        <w:pStyle w:val="Compact"/>
      </w:pPr>
      <w:r>
        <w:rPr>
          <w:bCs/>
          <w:b/>
        </w:rPr>
        <w:t xml:space="preserve">UE, Allemagne, Autriche :</w:t>
      </w:r>
      <w:r>
        <w:t xml:space="preserve"> </w:t>
      </w:r>
      <w:r>
        <w:t xml:space="preserve">aucune autorisation. Le CJC-1295 est une substance médicamenteuse non autorisée ; sa remise et son commerce en vue d’un usage humain sont illicites au regard des lois sur le médicament, même lorsque les produits sont déclarés comme « Research Peptide ».</w:t>
      </w:r>
    </w:p>
    <w:p>
      <w:pPr>
        <w:numPr>
          <w:ilvl w:val="0"/>
          <w:numId w:val="1157"/>
        </w:numPr>
        <w:pStyle w:val="Compact"/>
      </w:pPr>
      <w:r>
        <w:rPr>
          <w:bCs/>
          <w:b/>
        </w:rPr>
        <w:t xml:space="preserve">États-Unis :</w:t>
      </w:r>
      <w:r>
        <w:t xml:space="preserve"> </w:t>
      </w:r>
      <w:r>
        <w:t xml:space="preserve">aucune autorisation. La FDA a classé le CJC-1295 – comme plusieurs autres peptides de ce livre – parmi les substances de base pour les pharmacies de préparation magistrale présentant des problèmes de sécurité (catégorie 2). Ces classements ont depuis fait l’objet de débats controversés au sein du comité consultatif compétent et dans les milieux spécialisés</w:t>
      </w:r>
      <w:r>
        <w:rPr>
          <w:rStyle w:val="FootnoteReference"/>
        </w:rPr>
        <w:footnoteReference w:id="1332"/>
      </w:r>
      <w:r>
        <w:t xml:space="preserve"> </w:t>
      </w:r>
      <w:r>
        <w:t xml:space="preserve">; des changements sont possibles.</w:t>
      </w:r>
    </w:p>
    <w:p>
      <w:pPr>
        <w:numPr>
          <w:ilvl w:val="0"/>
          <w:numId w:val="1157"/>
        </w:numPr>
        <w:pStyle w:val="Compact"/>
      </w:pPr>
      <w:r>
        <w:rPr>
          <w:bCs/>
          <w:b/>
        </w:rPr>
        <w:t xml:space="preserve">AMA (WADA) :</w:t>
      </w:r>
      <w:r>
        <w:t xml:space="preserve"> </w:t>
      </w:r>
      <w:r>
        <w:t xml:space="preserve">interdit (S2). Des méthodes de détection du CJC-1295 avec et sans DAC dans l’urine ont été décrites</w:t>
      </w:r>
      <w:r>
        <w:rPr>
          <w:rStyle w:val="FootnoteReference"/>
        </w:rPr>
        <w:footnoteReference w:id="1333"/>
      </w:r>
      <w:r>
        <w:t xml:space="preserve"> </w:t>
      </w:r>
      <w:r>
        <w:t xml:space="preserve">; il est également recherché dans les sports équestres</w:t>
      </w:r>
      <w:r>
        <w:rPr>
          <w:rStyle w:val="FootnoteReference"/>
        </w:rPr>
        <w:footnoteReference w:id="1334"/>
      </w:r>
      <w:r>
        <w:t xml:space="preserve">.</w:t>
      </w:r>
    </w:p>
    <w:bookmarkEnd w:id="1335"/>
    <w:bookmarkStart w:id="1336" w:name="études-en-cours-et-perspectives-25"/>
    <w:p>
      <w:pPr>
        <w:pStyle w:val="Heading3"/>
      </w:pPr>
      <w:r>
        <w:t xml:space="preserve">Études en cours et perspectives</w:t>
      </w:r>
    </w:p>
    <w:p>
      <w:pPr>
        <w:pStyle w:val="FirstParagraph"/>
      </w:pPr>
      <w:r>
        <w:t xml:space="preserve">En octobre 2026, ClinicalTrials.gov ne recense aucune entrée sur le CJC-1295 en dehors de l’étude de phase 2 interrompue en 2006.</w:t>
      </w:r>
      <w:r>
        <w:t xml:space="preserve"> </w:t>
      </w:r>
      <w:r>
        <w:rPr>
          <w:iCs/>
          <w:i/>
        </w:rPr>
        <w:t xml:space="preserve">Appréciation de l’auteur :</w:t>
      </w:r>
      <w:r>
        <w:t xml:space="preserve"> </w:t>
      </w:r>
      <w:r>
        <w:t xml:space="preserve">aucun développement clinique ultérieur n’est en vue. Le principe du « peptide avec ancre à l’albumine pour un effet prolongé » perdure en revanche dans d’autres substances actives, par exemple dans les préparations d’hormone de croissance à action prolongée et les médicaments GLP-1.</w:t>
      </w:r>
    </w:p>
    <w:bookmarkEnd w:id="1336"/>
    <w:bookmarkStart w:id="1337" w:name="conclusion-25"/>
    <w:p>
      <w:pPr>
        <w:pStyle w:val="Heading3"/>
      </w:pPr>
      <w:r>
        <w:t xml:space="preserve">Conclusion</w:t>
      </w:r>
    </w:p>
    <w:p>
      <w:pPr>
        <w:pStyle w:val="FirstParagraph"/>
      </w:pPr>
      <w:r>
        <w:t xml:space="preserve">Le CJC-1295 avec DAC augmente chez les personnes en bonne santé l’hormone de croissance et l’IGF-1 pendant une à deux semaines après une seule injection – rien de plus n’a été étudié chez l’humain. La seule étude chez des patients a été interrompue en 2006 sans motif publié ; un décès souvent allégué n’est documenté ni dans le registre ni dans la littérature spécialisée. Pour la variante sans DAC, la plus vendue sur Internet, il n’existe pas une seule étude chez l’humain, et les analyses de laboratoire montrent que le contenu des produits du marché gris est incertain.</w:t>
      </w:r>
    </w:p>
    <w:bookmarkEnd w:id="1337"/>
    <w:bookmarkEnd w:id="1338"/>
    <w:bookmarkStart w:id="1361" w:name="ipamoréline"/>
    <w:p>
      <w:pPr>
        <w:pStyle w:val="Heading2"/>
      </w:pPr>
      <w:r>
        <w:t xml:space="preserve">Ipamoréline</w:t>
      </w:r>
    </w:p>
    <w:p>
      <w:pPr>
        <w:pStyle w:val="FirstParagraph"/>
      </w:pPr>
      <w:r>
        <w:t xml:space="preserve">Dans les milieux du fitness et de l’anti-âge, l’ipamoréline passe pour le sécrétagogue « propre » de l’hormone de croissance : elle libérerait de l’hormone de croissance de manière ciblée, sans stimuler les hormones du stress ni l’appétit. Cette propriété provient d’expérimentations animales des années 1990. Chez l’humain, l’ipamoréline a effectivement fait l’objet d’essais cliniques – non pas pour le développement musculaire ou le rajeunissement, mais pour tout autre chose : la paralysie intestinale après une chirurgie abdominale. Elle n’y a apporté aucun bénéfice démontrable.</w:t>
      </w:r>
    </w:p>
    <w:bookmarkStart w:id="1340" w:name="fiche-signalétique-26"/>
    <w:p>
      <w:pPr>
        <w:pStyle w:val="Heading3"/>
      </w:pPr>
      <w:r>
        <w:t xml:space="preserve">Fiche signalétique</w:t>
      </w:r>
    </w:p>
    <w:p>
      <w:pPr>
        <w:numPr>
          <w:ilvl w:val="0"/>
          <w:numId w:val="1158"/>
        </w:numPr>
        <w:pStyle w:val="Compact"/>
      </w:pPr>
      <w:r>
        <w:rPr>
          <w:bCs/>
          <w:b/>
        </w:rPr>
        <w:t xml:space="preserve">Nature et structure :</w:t>
      </w:r>
      <w:r>
        <w:t xml:space="preserve"> </w:t>
      </w:r>
      <w:r>
        <w:t xml:space="preserve">pentapeptide de synthèse (5 acides aminés, en partie non naturels : Aib-His-D-2-Nal-D-Phe-Lys-NH2)</w:t>
      </w:r>
      <w:r>
        <w:rPr>
          <w:rStyle w:val="FootnoteReference"/>
        </w:rPr>
        <w:footnoteReference w:id="1339"/>
      </w:r>
      <w:r>
        <w:t xml:space="preserve">.</w:t>
      </w:r>
    </w:p>
    <w:p>
      <w:pPr>
        <w:numPr>
          <w:ilvl w:val="0"/>
          <w:numId w:val="1158"/>
        </w:numPr>
        <w:pStyle w:val="Compact"/>
      </w:pPr>
      <w:r>
        <w:rPr>
          <w:bCs/>
          <w:b/>
        </w:rPr>
        <w:t xml:space="preserve">Origine :</w:t>
      </w:r>
      <w:r>
        <w:t xml:space="preserve"> </w:t>
      </w:r>
      <w:r>
        <w:t xml:space="preserve">développée par Novo Nordisk (Danemark) à partir de la famille des peptides libérant l’hormone de croissance (GHRP) ; développée ensuite par Helsinn pour le domaine gastro-intestinal.</w:t>
      </w:r>
    </w:p>
    <w:p>
      <w:pPr>
        <w:numPr>
          <w:ilvl w:val="0"/>
          <w:numId w:val="1158"/>
        </w:numPr>
        <w:pStyle w:val="Compact"/>
      </w:pPr>
      <w:r>
        <w:rPr>
          <w:bCs/>
          <w:b/>
        </w:rPr>
        <w:t xml:space="preserve">Principe d’action :</w:t>
      </w:r>
      <w:r>
        <w:t xml:space="preserve"> </w:t>
      </w:r>
      <w:r>
        <w:t xml:space="preserve">se lie au récepteur de la ghréline (GHS-R1a) dans l’hypophyse et l’hypothalamus ainsi que dans le tube digestif ; déclenche un bref pic d’hormone de croissance et devrait stimuler la motricité intestinale.</w:t>
      </w:r>
    </w:p>
    <w:p>
      <w:pPr>
        <w:numPr>
          <w:ilvl w:val="0"/>
          <w:numId w:val="1158"/>
        </w:numPr>
        <w:pStyle w:val="Compact"/>
      </w:pPr>
      <w:r>
        <w:rPr>
          <w:bCs/>
          <w:b/>
        </w:rPr>
        <w:t xml:space="preserve">Autorisation UE :</w:t>
      </w:r>
      <w:r>
        <w:t xml:space="preserve"> </w:t>
      </w:r>
      <w:r>
        <w:t xml:space="preserve">non.</w:t>
      </w:r>
      <w:r>
        <w:t xml:space="preserve"> </w:t>
      </w:r>
      <w:r>
        <w:rPr>
          <w:bCs/>
          <w:b/>
        </w:rPr>
        <w:t xml:space="preserve">Autorisation États-Unis :</w:t>
      </w:r>
      <w:r>
        <w:t xml:space="preserve"> </w:t>
      </w:r>
      <w:r>
        <w:t xml:space="preserve">non.</w:t>
      </w:r>
    </w:p>
    <w:p>
      <w:pPr>
        <w:numPr>
          <w:ilvl w:val="0"/>
          <w:numId w:val="1158"/>
        </w:numPr>
        <w:pStyle w:val="Compact"/>
      </w:pPr>
      <w:r>
        <w:rPr>
          <w:bCs/>
          <w:b/>
        </w:rPr>
        <w:t xml:space="preserve">AMA (WADA) :</w:t>
      </w:r>
      <w:r>
        <w:t xml:space="preserve"> </w:t>
      </w:r>
      <w:r>
        <w:t xml:space="preserve">interdite, classe S2 (sécrétagogues de l’hormone de croissance ; l’ipamoréline est expressément nommée).</w:t>
      </w:r>
    </w:p>
    <w:p>
      <w:pPr>
        <w:numPr>
          <w:ilvl w:val="0"/>
          <w:numId w:val="1158"/>
        </w:numPr>
        <w:pStyle w:val="Compact"/>
      </w:pPr>
      <w:r>
        <w:rPr>
          <w:bCs/>
          <w:b/>
        </w:rPr>
        <w:t xml:space="preserve">Niveau de preuve : B</w:t>
      </w:r>
      <w:r>
        <w:t xml:space="preserve"> </w:t>
      </w:r>
      <w:r>
        <w:t xml:space="preserve">– une étude randomisée de phase 2 portant sur 117 personnes (sans preuve d’efficacité) et une petite étude pharmacologique chez des personnes en bonne santé ; une deuxième étude de phase 2 est terminée, mais non publiée.</w:t>
      </w:r>
    </w:p>
    <w:bookmarkEnd w:id="1340"/>
    <w:bookmarkStart w:id="1343" w:name="mode-daction-supposé-26"/>
    <w:p>
      <w:pPr>
        <w:pStyle w:val="Heading3"/>
      </w:pPr>
      <w:r>
        <w:t xml:space="preserve">Mode d’action supposé</w:t>
      </w:r>
    </w:p>
    <w:p>
      <w:pPr>
        <w:pStyle w:val="FirstParagraph"/>
      </w:pPr>
      <w:r>
        <w:t xml:space="preserve">Le récepteur de la ghréline est le deuxième grand levier de la sécrétion d’hormone de croissance, à côté du récepteur de la GHRH. Sa clé naturelle est la ghréline, une hormone de l’estomac découverte en 1999</w:t>
      </w:r>
      <w:r>
        <w:rPr>
          <w:rStyle w:val="FootnoteReference"/>
        </w:rPr>
        <w:footnoteReference w:id="1341"/>
      </w:r>
      <w:r>
        <w:t xml:space="preserve">. La ghréline augmente non seulement l’hormone de croissance, mais aussi la faim, et elle stimule les mouvements de l’estomac et de l’intestin.</w:t>
      </w:r>
    </w:p>
    <w:p>
      <w:pPr>
        <w:pStyle w:val="BodyText"/>
      </w:pPr>
      <w:r>
        <w:t xml:space="preserve">Les sécrétagogues de synthèse plus anciens, comme le GHRP-6 ou le GHRP-2, libèrent en plus de l’hormone de croissance des hormones du système du stress (ACTH et cortisol) ainsi que de la prolactine. L’ipamoréline a été développée spécifiquement pour que cet effet secondaire soit absent : chez le porc, elle libérait l’hormone de croissance de façon aussi puissante que le GHRP-6, tandis que l’ACTH et le cortisol n’augmentaient pas plus que sous GHRH, même à des doses plus de 200 fois supérieures</w:t>
      </w:r>
      <w:r>
        <w:rPr>
          <w:rStyle w:val="FootnoteReference"/>
        </w:rPr>
        <w:footnoteReference w:id="1342"/>
      </w:r>
      <w:r>
        <w:t xml:space="preserve">. On n’a pas étudié systématiquement si cette sélectivité vaut dans la même mesure chez l’humain.</w:t>
      </w:r>
    </w:p>
    <w:p>
      <w:pPr>
        <w:pStyle w:val="BodyText"/>
      </w:pPr>
      <w:r>
        <w:t xml:space="preserve">Sur le plan clinique, c’est surtout l’effet intestinal qui intéressait : après une chirurgie abdominale, l’activité intestinale s’arrête souvent pendant plusieurs jours (iléus postopératoire), ce qui prolonge le séjour à l’hôpital. Un mimétique de la ghréline administrable par voie intraveineuse semblait une solution élégante.</w:t>
      </w:r>
    </w:p>
    <w:bookmarkEnd w:id="1343"/>
    <w:bookmarkStart w:id="1348" w:name="études-chez-lhumain-26"/>
    <w:p>
      <w:pPr>
        <w:pStyle w:val="Heading3"/>
      </w:pPr>
      <w:r>
        <w:t xml:space="preserve">Études chez l’humain</w:t>
      </w:r>
    </w:p>
    <w:p>
      <w:pPr>
        <w:pStyle w:val="FirstParagraph"/>
      </w:pPr>
      <w:r>
        <w:rPr>
          <w:bCs/>
          <w:b/>
        </w:rPr>
        <w:t xml:space="preserve">Ampleur des données (requête d’octobre 2026) :</w:t>
      </w:r>
      <w:r>
        <w:t xml:space="preserve"> </w:t>
      </w:r>
      <w:r>
        <w:t xml:space="preserve">la recherche automatisée de ce livre a trouvé</w:t>
      </w:r>
      <w:r>
        <w:t xml:space="preserve"> </w:t>
      </w:r>
      <w:r>
        <w:rPr>
          <w:bCs/>
          <w:b/>
        </w:rPr>
        <w:t xml:space="preserve">2</w:t>
      </w:r>
      <w:r>
        <w:t xml:space="preserve"> </w:t>
      </w:r>
      <w:r>
        <w:t xml:space="preserve">études chez l’humain dans PubMed (</w:t>
      </w:r>
      <w:r>
        <w:rPr>
          <w:rStyle w:val="VerbatimChar"/>
        </w:rPr>
        <w:t xml:space="preserve">humanstudien_alle</w:t>
      </w:r>
      <w:r>
        <w:t xml:space="preserve">) et</w:t>
      </w:r>
      <w:r>
        <w:t xml:space="preserve"> </w:t>
      </w:r>
      <w:r>
        <w:rPr>
          <w:bCs/>
          <w:b/>
        </w:rPr>
        <w:t xml:space="preserve">3</w:t>
      </w:r>
      <w:r>
        <w:t xml:space="preserve"> </w:t>
      </w:r>
      <w:r>
        <w:t xml:space="preserve">entrées sur ClinicalTrials.gov. L’une de ces entrées</w:t>
      </w:r>
      <w:r>
        <w:rPr>
          <w:rStyle w:val="FootnoteReference"/>
        </w:rPr>
        <w:footnoteReference w:id="1344"/>
      </w:r>
      <w:r>
        <w:t xml:space="preserve"> </w:t>
      </w:r>
      <w:r>
        <w:t xml:space="preserve">concerne une étude observationnelle sur les psychédéliques chez des vétérans et n’étudie pas l’ipamoréline comme médicament expérimental ; celle-ci n’y est citée que comme l’un des composants d’une « supplémentation physiologique » (à côté de la testostérone, de l’huile de poisson et de vitamines). Sur le plan clinique, ce sont donc deux études sur l’iléus postopératoire qui sont pertinentes.</w:t>
      </w:r>
    </w:p>
    <w:p>
      <w:pPr>
        <w:pStyle w:val="BodyText"/>
      </w:pPr>
      <w:r>
        <w:rPr>
          <w:bCs/>
          <w:b/>
        </w:rPr>
        <w:t xml:space="preserve">Pharmacologie chez des personnes en bonne santé :</w:t>
      </w:r>
      <w:r>
        <w:t xml:space="preserve"> </w:t>
      </w:r>
      <w:r>
        <w:t xml:space="preserve">dans une étude à doses croissantes, huit hommes en bonne santé par palier de dose ont reçu chacun une perfusion de 15 minutes. L’ipamoréline avait une courte demi-vie d’environ 2 heures et déclenchait à toutes les doses un pic unique de GH, qui atteignait son maximum au bout d’environ 40 minutes puis retombait rapidement</w:t>
      </w:r>
      <w:r>
        <w:rPr>
          <w:rStyle w:val="FootnoteReference"/>
        </w:rPr>
        <w:footnoteReference w:id="1345"/>
      </w:r>
      <w:r>
        <w:t xml:space="preserve">.</w:t>
      </w:r>
    </w:p>
    <w:p>
      <w:pPr>
        <w:pStyle w:val="BodyText"/>
      </w:pPr>
      <w:r>
        <w:rPr>
          <w:bCs/>
          <w:b/>
        </w:rPr>
        <w:t xml:space="preserve">Iléus postopératoire, première étude de phase 2 :</w:t>
      </w:r>
      <w:r>
        <w:t xml:space="preserve"> </w:t>
      </w:r>
      <w:r>
        <w:t xml:space="preserve">dans une étude multicentrique, en double aveugle, contrôlée contre placebo, 117 adultes ont reçu, après une résection de l’intestin grêle ou du côlon, de l’ipamoréline ou un placebo en perfusion deux fois par jour pendant sept jours au maximum. Le délai moyen jusqu’au premier repas solide toléré était de 25,3 heures sous ipamoréline et de 32,6 heures sous placebo – une différence statistiquement non significative (p = 0,15). Les autres critères d’efficacité ne différaient pas non plus. Des effets indésirables sont survenus chez 87,5 % des participants sous ipamoréline et 94,8 % sous placebo, ce qui n’est pas inhabituel après une chirurgie abdominale lourde</w:t>
      </w:r>
      <w:r>
        <w:rPr>
          <w:rStyle w:val="FootnoteReference"/>
        </w:rPr>
        <w:footnoteReference w:id="1346"/>
      </w:r>
      <w:r>
        <w:t xml:space="preserve">.</w:t>
      </w:r>
    </w:p>
    <w:p>
      <w:pPr>
        <w:pStyle w:val="BodyText"/>
      </w:pPr>
      <w:r>
        <w:rPr>
          <w:bCs/>
          <w:b/>
        </w:rPr>
        <w:t xml:space="preserve">Deuxième étude de phase 2 :</w:t>
      </w:r>
      <w:r>
        <w:t xml:space="preserve"> </w:t>
      </w:r>
      <w:r>
        <w:t xml:space="preserve">une étude de suivi plus vaste, portant sur 320 participants et consacrée à la récupération de la fonction gastro-intestinale, s’est achevée en 2014</w:t>
      </w:r>
      <w:r>
        <w:rPr>
          <w:rStyle w:val="FootnoteReference"/>
        </w:rPr>
        <w:footnoteReference w:id="1347"/>
      </w:r>
      <w:r>
        <w:t xml:space="preserve">. Je n’ai pas trouvé de publication des résultats dans PubMed, et l’entrée du registre ne contient pas de résultats. Le développement n’a pas été poursuivi ensuite.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Pharmacologie (Gobburu 1999), PMID 10496658</w:t>
            </w:r>
          </w:p>
        </w:tc>
        <w:tc>
          <w:tcPr/>
          <w:p>
            <w:pPr>
              <w:pStyle w:val="Compact"/>
              <w:jc w:val="left"/>
            </w:pPr>
            <w:r>
              <w:t xml:space="preserve">hommes en bonne santé, 5 paliers de dose de 8 personnes</w:t>
            </w:r>
          </w:p>
        </w:tc>
        <w:tc>
          <w:tcPr/>
          <w:p>
            <w:pPr>
              <w:pStyle w:val="Compact"/>
              <w:jc w:val="left"/>
            </w:pPr>
            <w:r>
              <w:t xml:space="preserve">perfusion unique</w:t>
            </w:r>
          </w:p>
        </w:tc>
        <w:tc>
          <w:tcPr/>
          <w:p>
            <w:pPr>
              <w:pStyle w:val="Compact"/>
              <w:jc w:val="left"/>
            </w:pPr>
            <w:r>
              <w:t xml:space="preserve">demi-vie env. 2 h ; un pic de GH par administration</w:t>
            </w:r>
          </w:p>
        </w:tc>
      </w:tr>
      <w:tr>
        <w:tc>
          <w:tcPr/>
          <w:p>
            <w:pPr>
              <w:pStyle w:val="Compact"/>
              <w:jc w:val="left"/>
            </w:pPr>
            <w:r>
              <w:t xml:space="preserve">Étude iléus 1 (Beck 2014), PMID 25331030</w:t>
            </w:r>
          </w:p>
        </w:tc>
        <w:tc>
          <w:tcPr/>
          <w:p>
            <w:pPr>
              <w:pStyle w:val="Compact"/>
              <w:jc w:val="left"/>
            </w:pPr>
            <w:r>
              <w:t xml:space="preserve">117 adultes après résection intestinale, ECR contre placebo</w:t>
            </w:r>
          </w:p>
        </w:tc>
        <w:tc>
          <w:tcPr/>
          <w:p>
            <w:pPr>
              <w:pStyle w:val="Compact"/>
              <w:jc w:val="left"/>
            </w:pPr>
            <w:r>
              <w:t xml:space="preserve">jusqu’à 7 jours</w:t>
            </w:r>
          </w:p>
        </w:tc>
        <w:tc>
          <w:tcPr/>
          <w:p>
            <w:pPr>
              <w:pStyle w:val="Compact"/>
              <w:jc w:val="left"/>
            </w:pPr>
            <w:r>
              <w:t xml:space="preserve">25,3 vs 32,6 h jusqu’au premier repas, non significatif</w:t>
            </w:r>
          </w:p>
        </w:tc>
      </w:tr>
      <w:tr>
        <w:tc>
          <w:tcPr/>
          <w:p>
            <w:pPr>
              <w:pStyle w:val="Compact"/>
              <w:jc w:val="left"/>
            </w:pPr>
            <w:r>
              <w:t xml:space="preserve">Étude iléus 2, NCT01280344</w:t>
            </w:r>
          </w:p>
        </w:tc>
        <w:tc>
          <w:tcPr/>
          <w:p>
            <w:pPr>
              <w:pStyle w:val="Compact"/>
              <w:jc w:val="left"/>
            </w:pPr>
            <w:r>
              <w:t xml:space="preserve">320 adultes, phase 2 contre placebo</w:t>
            </w:r>
          </w:p>
        </w:tc>
        <w:tc>
          <w:tcPr/>
          <w:p>
            <w:pPr>
              <w:pStyle w:val="Compact"/>
              <w:jc w:val="left"/>
            </w:pPr>
            <w:r>
              <w:t xml:space="preserve">–</w:t>
            </w:r>
          </w:p>
        </w:tc>
        <w:tc>
          <w:tcPr/>
          <w:p>
            <w:pPr>
              <w:pStyle w:val="Compact"/>
              <w:jc w:val="left"/>
            </w:pPr>
            <w:r>
              <w:t xml:space="preserve">terminée en 2014, résultats non publiés</w:t>
            </w:r>
          </w:p>
        </w:tc>
      </w:tr>
    </w:tbl>
    <w:p>
      <w:pPr>
        <w:pStyle w:val="BodyText"/>
      </w:pPr>
      <w:r>
        <w:t xml:space="preserve">Il n’existe</w:t>
      </w:r>
      <w:r>
        <w:t xml:space="preserve"> </w:t>
      </w:r>
      <w:r>
        <w:rPr>
          <w:bCs/>
          <w:b/>
        </w:rPr>
        <w:t xml:space="preserve">aucune</w:t>
      </w:r>
      <w:r>
        <w:t xml:space="preserve"> </w:t>
      </w:r>
      <w:r>
        <w:t xml:space="preserve">étude publiée ayant examiné l’ipamoréline chez des adultes en bonne santé, des sportives et sportifs ou des personnes âgées quant à la masse musculaire, la perte de graisse, le sommeil, la peau ou les performances.</w:t>
      </w:r>
    </w:p>
    <w:bookmarkEnd w:id="1348"/>
    <w:bookmarkStart w:id="1352" w:name="études-animales-et-de-laboratoire-26"/>
    <w:p>
      <w:pPr>
        <w:pStyle w:val="Heading3"/>
      </w:pPr>
      <w:r>
        <w:t xml:space="preserve">Études animales et de laboratoire</w:t>
      </w:r>
    </w:p>
    <w:p>
      <w:pPr>
        <w:numPr>
          <w:ilvl w:val="0"/>
          <w:numId w:val="1159"/>
        </w:numPr>
        <w:pStyle w:val="Compact"/>
      </w:pPr>
      <w:r>
        <w:rPr>
          <w:bCs/>
          <w:b/>
        </w:rPr>
        <w:t xml:space="preserve">Intestin (rats) :</w:t>
      </w:r>
      <w:r>
        <w:t xml:space="preserve"> </w:t>
      </w:r>
      <w:r>
        <w:t xml:space="preserve">chez des rats présentant une paralysie intestinale provoquée chirurgicalement, une dose unique d’ipamoréline a raccourci le délai jusqu’à la première selle ; des administrations répétées ont augmenté la quantité de selles, la prise alimentaire et la prise de poids</w:t>
      </w:r>
      <w:r>
        <w:rPr>
          <w:rStyle w:val="FootnoteReference"/>
        </w:rPr>
        <w:footnoteReference w:id="1349"/>
      </w:r>
      <w:r>
        <w:t xml:space="preserve">. Ces résultats ont servi de base aux études sur l’iléus chez l’humain – qui n’ont pas confirmé l’effet.</w:t>
      </w:r>
    </w:p>
    <w:p>
      <w:pPr>
        <w:numPr>
          <w:ilvl w:val="0"/>
          <w:numId w:val="1159"/>
        </w:numPr>
        <w:pStyle w:val="Compact"/>
      </w:pPr>
      <w:r>
        <w:rPr>
          <w:bCs/>
          <w:b/>
        </w:rPr>
        <w:t xml:space="preserve">Os (rats) :</w:t>
      </w:r>
      <w:r>
        <w:t xml:space="preserve"> </w:t>
      </w:r>
      <w:r>
        <w:t xml:space="preserve">chez des rates adultes, l’ipamoréline a augmenté sur 15 jours, de façon dose-dépendante, la croissance osseuse en longueur et la prise de poids, sans augmenter l’IGF-1 de manière mesurable</w:t>
      </w:r>
      <w:r>
        <w:rPr>
          <w:rStyle w:val="FootnoteReference"/>
        </w:rPr>
        <w:footnoteReference w:id="1350"/>
      </w:r>
      <w:r>
        <w:t xml:space="preserve">.</w:t>
      </w:r>
    </w:p>
    <w:p>
      <w:pPr>
        <w:numPr>
          <w:ilvl w:val="0"/>
          <w:numId w:val="1159"/>
        </w:numPr>
        <w:pStyle w:val="Compact"/>
      </w:pPr>
      <w:r>
        <w:rPr>
          <w:bCs/>
          <w:b/>
        </w:rPr>
        <w:t xml:space="preserve">Sélectivité (porcs, cellules de rat) :</w:t>
      </w:r>
      <w:r>
        <w:t xml:space="preserve"> </w:t>
      </w:r>
      <w:r>
        <w:t xml:space="preserve">voir plus haut</w:t>
      </w:r>
      <w:r>
        <w:rPr>
          <w:rStyle w:val="FootnoteReference"/>
        </w:rPr>
        <w:footnoteReference w:id="1351"/>
      </w:r>
      <w:r>
        <w:t xml:space="preserve">.</w:t>
      </w:r>
    </w:p>
    <w:bookmarkEnd w:id="1352"/>
    <w:bookmarkStart w:id="1355" w:name="risques-et-effets-indésirables-26"/>
    <w:p>
      <w:pPr>
        <w:pStyle w:val="Heading3"/>
      </w:pPr>
      <w:r>
        <w:t xml:space="preserve">Risques et effets indésirables</w:t>
      </w:r>
    </w:p>
    <w:p>
      <w:pPr>
        <w:pStyle w:val="FirstParagraph"/>
      </w:pPr>
      <w:r>
        <w:rPr>
          <w:bCs/>
          <w:b/>
        </w:rPr>
        <w:t xml:space="preserve">Établi :</w:t>
      </w:r>
      <w:r>
        <w:t xml:space="preserve"> </w:t>
      </w:r>
      <w:r>
        <w:t xml:space="preserve">dans l’étude sur l’iléus, l’ipamoréline a été décrite comme bien tolérée sur une durée allant jusqu’à sept jours, sans accumulation d’effets indésirables par rapport au placebo</w:t>
      </w:r>
      <w:r>
        <w:rPr>
          <w:rStyle w:val="FootnoteReference"/>
        </w:rPr>
        <w:footnoteReference w:id="1353"/>
      </w:r>
      <w:r>
        <w:t xml:space="preserve">. Il s’agit d’une utilisation courte à l’hôpital, par voie intraveineuse.</w:t>
      </w:r>
    </w:p>
    <w:p>
      <w:pPr>
        <w:pStyle w:val="BodyText"/>
      </w:pPr>
      <w:r>
        <w:rPr>
          <w:bCs/>
          <w:b/>
        </w:rPr>
        <w:t xml:space="preserve">Inconnu :</w:t>
      </w:r>
      <w:r>
        <w:t xml:space="preserve"> </w:t>
      </w:r>
      <w:r>
        <w:t xml:space="preserve">il n’existe pas de données sur une utilisation répétée sur des semaines ou des mois, telle qu’elle est décrite sur Internet. En théorie, on peut s’attendre aux effets de taux élevés de GH (rétention d’eau, troubles articulaires, moindre sensibilité à l’insuline) ainsi que, via le récepteur de la ghréline, à une augmentation de l’appétit. Sur la question d’un risque de cancer lié à un IGF-1 durablement élevé, voir l’introduction de ce groupe et la partie IV.</w:t>
      </w:r>
    </w:p>
    <w:p>
      <w:pPr>
        <w:pStyle w:val="BodyText"/>
      </w:pPr>
      <w:r>
        <w:rPr>
          <w:bCs/>
          <w:b/>
        </w:rPr>
        <w:t xml:space="preserve">Marché gris :</w:t>
      </w:r>
      <w:r>
        <w:t xml:space="preserve"> </w:t>
      </w:r>
      <w:r>
        <w:t xml:space="preserve">des analyses de laboratoire de produits saisis ont trouvé de la « Gly-ipamoréline », c’est-à-dire de l’ipamoréline avec un acide aminé supplémentaire non déclaré au début – probablement pour contourner les contrôles antidopage</w:t>
      </w:r>
      <w:r>
        <w:rPr>
          <w:rStyle w:val="FootnoteReference"/>
        </w:rPr>
        <w:footnoteReference w:id="1354"/>
      </w:r>
      <w:r>
        <w:t xml:space="preserve">. On ignore comment de telles modifications se comportent dans l’organisme.</w:t>
      </w:r>
    </w:p>
    <w:bookmarkEnd w:id="1355"/>
    <w:bookmarkStart w:id="1358" w:name="statut-juridique-26"/>
    <w:p>
      <w:pPr>
        <w:pStyle w:val="Heading3"/>
      </w:pPr>
      <w:r>
        <w:t xml:space="preserve">Statut juridique</w:t>
      </w:r>
    </w:p>
    <w:p>
      <w:pPr>
        <w:pStyle w:val="FirstParagraph"/>
      </w:pPr>
      <w:r>
        <w:rPr>
          <w:iCs/>
          <w:i/>
        </w:rPr>
        <w:t xml:space="preserve">État 2026, à vérifier.</w:t>
      </w:r>
    </w:p>
    <w:p>
      <w:pPr>
        <w:numPr>
          <w:ilvl w:val="0"/>
          <w:numId w:val="1160"/>
        </w:numPr>
        <w:pStyle w:val="Compact"/>
      </w:pPr>
      <w:r>
        <w:rPr>
          <w:bCs/>
          <w:b/>
        </w:rPr>
        <w:t xml:space="preserve">UE, Allemagne, Autriche :</w:t>
      </w:r>
      <w:r>
        <w:t xml:space="preserve"> </w:t>
      </w:r>
      <w:r>
        <w:t xml:space="preserve">aucune autorisation ; remise en vue d’un usage humain illicite.</w:t>
      </w:r>
    </w:p>
    <w:p>
      <w:pPr>
        <w:numPr>
          <w:ilvl w:val="0"/>
          <w:numId w:val="1160"/>
        </w:numPr>
        <w:pStyle w:val="Compact"/>
      </w:pPr>
      <w:r>
        <w:rPr>
          <w:bCs/>
          <w:b/>
        </w:rPr>
        <w:t xml:space="preserve">États-Unis :</w:t>
      </w:r>
      <w:r>
        <w:t xml:space="preserve"> </w:t>
      </w:r>
      <w:r>
        <w:t xml:space="preserve">aucune autorisation. La FDA a classé l’ipamoréline parmi les substances de base pour les pharmacies de préparation magistrale présentant des problèmes de sécurité (catégorie 2) ; le classement des peptides fait depuis l’objet de débats controversés</w:t>
      </w:r>
      <w:r>
        <w:rPr>
          <w:rStyle w:val="FootnoteReference"/>
        </w:rPr>
        <w:footnoteReference w:id="1356"/>
      </w:r>
      <w:r>
        <w:t xml:space="preserve">.</w:t>
      </w:r>
    </w:p>
    <w:p>
      <w:pPr>
        <w:numPr>
          <w:ilvl w:val="0"/>
          <w:numId w:val="1160"/>
        </w:numPr>
        <w:pStyle w:val="Compact"/>
      </w:pPr>
      <w:r>
        <w:rPr>
          <w:bCs/>
          <w:b/>
        </w:rPr>
        <w:t xml:space="preserve">AMA (WADA) :</w:t>
      </w:r>
      <w:r>
        <w:t xml:space="preserve"> </w:t>
      </w:r>
      <w:r>
        <w:t xml:space="preserve">interdite (S2), en compétition et hors compétition. L’ipamoréline et ses produits de dégradation sont détectables dans l’urine, y compris après utilisation en spray nasal</w:t>
      </w:r>
      <w:r>
        <w:rPr>
          <w:rStyle w:val="FootnoteReference"/>
        </w:rPr>
        <w:footnoteReference w:id="1357"/>
      </w:r>
      <w:r>
        <w:t xml:space="preserve">.</w:t>
      </w:r>
    </w:p>
    <w:bookmarkEnd w:id="1358"/>
    <w:bookmarkStart w:id="1359" w:name="études-en-cours-et-perspectives-26"/>
    <w:p>
      <w:pPr>
        <w:pStyle w:val="Heading3"/>
      </w:pPr>
      <w:r>
        <w:t xml:space="preserve">Études en cours et perspectives</w:t>
      </w:r>
    </w:p>
    <w:p>
      <w:pPr>
        <w:pStyle w:val="FirstParagraph"/>
      </w:pPr>
      <w:r>
        <w:t xml:space="preserve">En octobre 2026, ClinicalTrials.gov ne recense aucune étude en cours examinant l’ipamoréline comme médicament expérimental.</w:t>
      </w:r>
      <w:r>
        <w:t xml:space="preserve"> </w:t>
      </w:r>
      <w:r>
        <w:rPr>
          <w:iCs/>
          <w:i/>
        </w:rPr>
        <w:t xml:space="preserve">Appréciation de l’auteur :</w:t>
      </w:r>
      <w:r>
        <w:t xml:space="preserve"> </w:t>
      </w:r>
      <w:r>
        <w:t xml:space="preserve">après le résultat négatif dans l’iléus postopératoire, il manque une entreprise pour poursuivre le développement de la substance. De nouvelles données sont surtout à attendre de rapports de cas concernant des utilisations du marché gris.</w:t>
      </w:r>
    </w:p>
    <w:bookmarkEnd w:id="1359"/>
    <w:bookmarkStart w:id="1360" w:name="conclusion-26"/>
    <w:p>
      <w:pPr>
        <w:pStyle w:val="Heading3"/>
      </w:pPr>
      <w:r>
        <w:t xml:space="preserve">Conclusion</w:t>
      </w:r>
    </w:p>
    <w:p>
      <w:pPr>
        <w:pStyle w:val="FirstParagraph"/>
      </w:pPr>
      <w:r>
        <w:t xml:space="preserve">L’ipamoréline est un agoniste du récepteur de la ghréline développé de manière ciblée, qui libère chez l’animal de l’hormone de croissance sans sécrétion notable d’hormones du stress. La seule étude d’efficacité publiée chez l’humain – 117 patientes et patients après une chirurgie intestinale – n’a trouvé aucun bénéfice significatif ; une étude de suivi plus vaste est restée non publiée. Pour les utilisations vantées sur Internet (développement musculaire, perte de graisse, sommeil, anti-âge), il n’existe aucune étude chez l’humain, et il est démontré que les produits du marché gris contiennent aussi des molécules modifiées.</w:t>
      </w:r>
    </w:p>
    <w:bookmarkEnd w:id="1360"/>
    <w:bookmarkEnd w:id="1361"/>
    <w:bookmarkStart w:id="1394" w:name="ghrp-2-pralmoréline"/>
    <w:p>
      <w:pPr>
        <w:pStyle w:val="Heading2"/>
      </w:pPr>
      <w:r>
        <w:t xml:space="preserve">GHRP-2 (pralmoréline)</w:t>
      </w:r>
    </w:p>
    <w:p>
      <w:pPr>
        <w:pStyle w:val="FirstParagraph"/>
      </w:pPr>
      <w:r>
        <w:t xml:space="preserve">Le GHRP-2 est un petit peptide artificiel de six acides aminés qui stimule l’hypophyse à sécréter de l’hormone de croissance plus fortement que presque tout autre stimulus connu. Cette puissance en a fait au Japon un médicament autorisé – non pas comme traitement, mais comme substance de test : une seule injection permet de vérifier si un adulte présente un déficit en hormone de croissance. Sur le marché gris, le même peptide est vendu comme « peptide pour les muscles et anti-âge ». Il n’existe aucune preuve en ce sens.</w:t>
      </w:r>
    </w:p>
    <w:bookmarkStart w:id="1364" w:name="fiche-signalétique-27"/>
    <w:p>
      <w:pPr>
        <w:pStyle w:val="Heading3"/>
      </w:pPr>
      <w:r>
        <w:t xml:space="preserve">Fiche signalétique</w:t>
      </w:r>
    </w:p>
    <w:p>
      <w:pPr>
        <w:numPr>
          <w:ilvl w:val="0"/>
          <w:numId w:val="1161"/>
        </w:numPr>
        <w:pStyle w:val="Compact"/>
      </w:pPr>
      <w:r>
        <w:rPr>
          <w:bCs/>
          <w:b/>
        </w:rPr>
        <w:t xml:space="preserve">Nature et structure :</w:t>
      </w:r>
      <w:r>
        <w:t xml:space="preserve"> </w:t>
      </w:r>
      <w:r>
        <w:t xml:space="preserve">hexapeptide de synthèse (D-Ala-D-2-Nal-Ala-Trp-D-Phe-Lys-NH2) comportant plusieurs acides aminés non naturels ; noms de développement KP-102 et GPA-748, dénomination commune internationale pralmoréline</w:t>
      </w:r>
      <w:r>
        <w:rPr>
          <w:rStyle w:val="FootnoteReference"/>
        </w:rPr>
        <w:footnoteReference w:id="1362"/>
      </w:r>
      <w:r>
        <w:t xml:space="preserve">.</w:t>
      </w:r>
    </w:p>
    <w:p>
      <w:pPr>
        <w:numPr>
          <w:ilvl w:val="0"/>
          <w:numId w:val="1161"/>
        </w:numPr>
        <w:pStyle w:val="Compact"/>
      </w:pPr>
      <w:r>
        <w:rPr>
          <w:bCs/>
          <w:b/>
        </w:rPr>
        <w:t xml:space="preserve">Origine :</w:t>
      </w:r>
      <w:r>
        <w:t xml:space="preserve"> </w:t>
      </w:r>
      <w:r>
        <w:t xml:space="preserve">développé dans les années 1990 à partir de la série des peptides libérant la GH fondée par Cyril Bowers (Tulane University, États-Unis) ; droits détenus par Kaken (Japon)</w:t>
      </w:r>
      <w:r>
        <w:rPr>
          <w:rStyle w:val="FootnoteReference"/>
        </w:rPr>
        <w:footnoteReference w:id="1363"/>
      </w:r>
      <w:r>
        <w:t xml:space="preserve">.</w:t>
      </w:r>
    </w:p>
    <w:p>
      <w:pPr>
        <w:numPr>
          <w:ilvl w:val="0"/>
          <w:numId w:val="1161"/>
        </w:numPr>
        <w:pStyle w:val="Compact"/>
      </w:pPr>
      <w:r>
        <w:rPr>
          <w:bCs/>
          <w:b/>
        </w:rPr>
        <w:t xml:space="preserve">Principe d’action :</w:t>
      </w:r>
      <w:r>
        <w:t xml:space="preserve"> </w:t>
      </w:r>
      <w:r>
        <w:t xml:space="preserve">agoniste du récepteur de la ghréline (GHS-R1a) dans l’hypophyse et l’hypothalamus ; libère de l’hormone de croissance et, dans une moindre mesure, de l’ACTH, du cortisol et de la prolactine ; augmente l’appétit.</w:t>
      </w:r>
    </w:p>
    <w:p>
      <w:pPr>
        <w:numPr>
          <w:ilvl w:val="0"/>
          <w:numId w:val="1161"/>
        </w:numPr>
        <w:pStyle w:val="Compact"/>
      </w:pPr>
      <w:r>
        <w:rPr>
          <w:bCs/>
          <w:b/>
        </w:rPr>
        <w:t xml:space="preserve">Autorisation UE :</w:t>
      </w:r>
      <w:r>
        <w:t xml:space="preserve"> </w:t>
      </w:r>
      <w:r>
        <w:t xml:space="preserve">non.</w:t>
      </w:r>
      <w:r>
        <w:t xml:space="preserve"> </w:t>
      </w:r>
      <w:r>
        <w:rPr>
          <w:bCs/>
          <w:b/>
        </w:rPr>
        <w:t xml:space="preserve">Autorisation États-Unis :</w:t>
      </w:r>
      <w:r>
        <w:t xml:space="preserve"> </w:t>
      </w:r>
      <w:r>
        <w:t xml:space="preserve">non.</w:t>
      </w:r>
      <w:r>
        <w:t xml:space="preserve"> </w:t>
      </w:r>
      <w:r>
        <w:rPr>
          <w:bCs/>
          <w:b/>
        </w:rPr>
        <w:t xml:space="preserve">Japon :</w:t>
      </w:r>
      <w:r>
        <w:t xml:space="preserve"> </w:t>
      </w:r>
      <w:r>
        <w:t xml:space="preserve">autorisé comme produit diagnostique de la fonction hypophysaire.</w:t>
      </w:r>
    </w:p>
    <w:p>
      <w:pPr>
        <w:numPr>
          <w:ilvl w:val="0"/>
          <w:numId w:val="1161"/>
        </w:numPr>
        <w:pStyle w:val="Compact"/>
      </w:pPr>
      <w:r>
        <w:rPr>
          <w:bCs/>
          <w:b/>
        </w:rPr>
        <w:t xml:space="preserve">AMA (WADA) :</w:t>
      </w:r>
      <w:r>
        <w:t xml:space="preserve"> </w:t>
      </w:r>
      <w:r>
        <w:t xml:space="preserve">interdit, classe S2 – le GHRP-2 (pralmoréline) est expressément nommé en tant que peptide libérant l’hormone de croissance.</w:t>
      </w:r>
    </w:p>
    <w:p>
      <w:pPr>
        <w:numPr>
          <w:ilvl w:val="0"/>
          <w:numId w:val="1161"/>
        </w:numPr>
        <w:pStyle w:val="Compact"/>
      </w:pPr>
      <w:r>
        <w:rPr>
          <w:bCs/>
          <w:b/>
        </w:rPr>
        <w:t xml:space="preserve">Niveau de preuve : B</w:t>
      </w:r>
      <w:r>
        <w:t xml:space="preserve"> </w:t>
      </w:r>
      <w:r>
        <w:t xml:space="preserve">– de nombreuses petites études randomisées sur la physiologie hormonale et une étude de validation comme produit diagnostique ; aucune étude randomisée sur un bénéfice thérapeutique.</w:t>
      </w:r>
    </w:p>
    <w:bookmarkEnd w:id="1364"/>
    <w:bookmarkStart w:id="1367" w:name="mode-daction-supposé-27"/>
    <w:p>
      <w:pPr>
        <w:pStyle w:val="Heading3"/>
      </w:pPr>
      <w:r>
        <w:t xml:space="preserve">Mode d’action supposé</w:t>
      </w:r>
    </w:p>
    <w:p>
      <w:pPr>
        <w:pStyle w:val="FirstParagraph"/>
      </w:pPr>
      <w:r>
        <w:t xml:space="preserve">Le GHRP-2 imite la ghréline, l’hormone de la faim produite par l’estomac, qui pilote aussi la sécrétion d’hormone de croissance</w:t>
      </w:r>
      <w:r>
        <w:rPr>
          <w:rStyle w:val="FootnoteReference"/>
        </w:rPr>
        <w:footnoteReference w:id="1365"/>
      </w:r>
      <w:r>
        <w:t xml:space="preserve">. Historiquement, ce fut l’inverse : les GHRP de synthèse sont venus en premier, leur récepteur a été trouvé, et ce n’est qu’ensuite qu’on a découvert la ghréline comme sa clé naturelle.</w:t>
      </w:r>
    </w:p>
    <w:p>
      <w:pPr>
        <w:pStyle w:val="BodyText"/>
      </w:pPr>
      <w:r>
        <w:t xml:space="preserve">Le GHRP-2 agit à deux niveaux : directement sur l’hypophyse et indirectement via l’hypothalamus, où il atténue le frein qu’est la somatostatine et soutient la GHRH endogène. Pour un effet complet, il a donc besoin d’un hypothalamus intact : chez des rats dépourvus d’hypophyse, il n’agissait pas du tout ; chez des rats dont la connexion entre hypothalamus et hypophyse était détruite, son effet était atténué</w:t>
      </w:r>
      <w:r>
        <w:rPr>
          <w:rStyle w:val="FootnoteReference"/>
        </w:rPr>
        <w:footnoteReference w:id="1366"/>
      </w:r>
      <w:r>
        <w:t xml:space="preserve">. Lorsqu’on administre ensemble GHRP-2 et GHRH, la sécrétion est nettement supérieure à la somme des effets individuels.</w:t>
      </w:r>
    </w:p>
    <w:bookmarkEnd w:id="1367"/>
    <w:bookmarkStart w:id="1381" w:name="études-chez-lhumain-27"/>
    <w:p>
      <w:pPr>
        <w:pStyle w:val="Heading3"/>
      </w:pPr>
      <w:r>
        <w:t xml:space="preserve">Études chez l’humain</w:t>
      </w:r>
    </w:p>
    <w:p>
      <w:pPr>
        <w:pStyle w:val="FirstParagraph"/>
      </w:pPr>
      <w:r>
        <w:rPr>
          <w:bCs/>
          <w:b/>
        </w:rPr>
        <w:t xml:space="preserve">Ampleur des données (requête d’octobre 2026) :</w:t>
      </w:r>
      <w:r>
        <w:t xml:space="preserve"> </w:t>
      </w:r>
      <w:r>
        <w:t xml:space="preserve">la recherche automatisée de ce livre a trouvé</w:t>
      </w:r>
      <w:r>
        <w:t xml:space="preserve"> </w:t>
      </w:r>
      <w:r>
        <w:rPr>
          <w:bCs/>
          <w:b/>
        </w:rPr>
        <w:t xml:space="preserve">55</w:t>
      </w:r>
      <w:r>
        <w:t xml:space="preserve"> </w:t>
      </w:r>
      <w:r>
        <w:t xml:space="preserve">études chez l’humain dans PubMed (</w:t>
      </w:r>
      <w:r>
        <w:rPr>
          <w:rStyle w:val="VerbatimChar"/>
        </w:rPr>
        <w:t xml:space="preserve">humanstudien_alle</w:t>
      </w:r>
      <w:r>
        <w:t xml:space="preserve">) et</w:t>
      </w:r>
      <w:r>
        <w:t xml:space="preserve"> </w:t>
      </w:r>
      <w:r>
        <w:rPr>
          <w:bCs/>
          <w:b/>
        </w:rPr>
        <w:t xml:space="preserve">aucune</w:t>
      </w:r>
      <w:r>
        <w:t xml:space="preserve"> </w:t>
      </w:r>
      <w:r>
        <w:t xml:space="preserve">entrée sur ClinicalTrials.gov. Ce nombre élevé est trompeur : la plupart des travaux (notamment d’un groupe de recherche de la Mayo Clinic) utilisent le GHRP-2 comme outil pour étudier la régulation de la sécrétion d’hormone de croissance chez les femmes et les hommes, sous hormones sexuelles ou avec l’âge. Ils ne disent rien d’un bénéfice pour la santé.</w:t>
      </w:r>
    </w:p>
    <w:bookmarkStart w:id="1372" w:name="X6716bf6440a0a23026c85f1d2caddbbd12efce5"/>
    <w:p>
      <w:pPr>
        <w:pStyle w:val="Heading4"/>
      </w:pPr>
      <w:r>
        <w:t xml:space="preserve">Diagnostic du déficit en hormone de croissance</w:t>
      </w:r>
    </w:p>
    <w:p>
      <w:pPr>
        <w:pStyle w:val="FirstParagraph"/>
      </w:pPr>
      <w:r>
        <w:t xml:space="preserve">L’application la plus importante est le test au GHRP-2. Dans une étude de validation, 77 personnes en bonne santé et 58 patientes et patients atteints d’un déficit sévère avéré en hormone de croissance ont reçu une dose unique par voie intraveineuse. Le pic de GH était en moyenne de 84,6 µg/l chez les personnes en bonne santé et de 1,36 µg/l chez les personnes concernées. Le test était bien reproductible et peu influencé par l’âge et le surpoids ; un seuil de 15 µg/l correspondait au seuil usuel du test d’hypoglycémie insulinique</w:t>
      </w:r>
      <w:r>
        <w:rPr>
          <w:rStyle w:val="FootnoteReference"/>
        </w:rPr>
        <w:footnoteReference w:id="1368"/>
      </w:r>
      <w:r>
        <w:t xml:space="preserve">. Dans une comparaison chez 71 personnes atteintes de tumeurs hypophysaires, le test au GHRP-2 a atteint, par rapport au test à l’insuline, une sensibilité de 81,3 % et une spécificité de 94,5 %</w:t>
      </w:r>
      <w:r>
        <w:rPr>
          <w:rStyle w:val="FootnoteReference"/>
        </w:rPr>
        <w:footnoteReference w:id="1369"/>
      </w:r>
      <w:r>
        <w:t xml:space="preserve">.</w:t>
      </w:r>
    </w:p>
    <w:p>
      <w:pPr>
        <w:pStyle w:val="BodyText"/>
      </w:pPr>
      <w:r>
        <w:t xml:space="preserve">Comme le GHRP-2 libère aussi de l’ACTH, on a vérifié si le test détectait en plus une insuffisance de l’axe surrénalien. Les résultats sont mitigés : dans une étude portant sur 47 personnes, il a atteint une sensibilité de 89,7 %</w:t>
      </w:r>
      <w:r>
        <w:rPr>
          <w:rStyle w:val="FootnoteReference"/>
        </w:rPr>
        <w:footnoteReference w:id="1370"/>
      </w:r>
      <w:r>
        <w:t xml:space="preserve"> </w:t>
      </w:r>
      <w:r>
        <w:t xml:space="preserve">; dans une analyse plus vaste de 254 personnes, il n’était globalement pas assez fiable (sensibilité 64 %, spécificité 79 %), et n’a obtenu de bons résultats que chez les hommes sans tumeur hormonalement active</w:t>
      </w:r>
      <w:r>
        <w:rPr>
          <w:rStyle w:val="FootnoteReference"/>
        </w:rPr>
        <w:footnoteReference w:id="1371"/>
      </w:r>
      <w:r>
        <w:t xml:space="preserve">.</w:t>
      </w:r>
    </w:p>
    <w:bookmarkEnd w:id="1372"/>
    <w:bookmarkStart w:id="1377" w:name="essais-thérapeutiques-chez-lenfant"/>
    <w:p>
      <w:pPr>
        <w:pStyle w:val="Heading4"/>
      </w:pPr>
      <w:r>
        <w:t xml:space="preserve">Essais thérapeutiques chez l’enfant</w:t>
      </w:r>
    </w:p>
    <w:p>
      <w:pPr>
        <w:pStyle w:val="FirstParagraph"/>
      </w:pPr>
      <w:r>
        <w:t xml:space="preserve">Dans les années 1990, le GHRP-2 a été testé comme traitement chez des enfants de petite taille. Chez six enfants présentant un déficit en hormone de croissance, la sécrétion nocturne de GH a augmenté de façon dose-dépendante, mais pas l’IGF-1 ; la vitesse de croissance était plus élevée pendant le traitement</w:t>
      </w:r>
      <w:r>
        <w:rPr>
          <w:rStyle w:val="FootnoteReference"/>
        </w:rPr>
        <w:footnoteReference w:id="1373"/>
      </w:r>
      <w:r>
        <w:t xml:space="preserve">. En spray nasal, le GHRP-2 a fait passer chez 15 enfants la vitesse de croissance de 3,7 à 6,1 cm par an, là encore sans augmentation de l’IGF-1</w:t>
      </w:r>
      <w:r>
        <w:rPr>
          <w:rStyle w:val="FootnoteReference"/>
        </w:rPr>
        <w:footnoteReference w:id="1374"/>
      </w:r>
      <w:r>
        <w:t xml:space="preserve">. Sur dix enfants ayant reçu du GHRP-2 en comprimés pendant douze mois, sept ont signalé un appétit nettement accru au cours des premiers mois</w:t>
      </w:r>
      <w:r>
        <w:rPr>
          <w:rStyle w:val="FootnoteReference"/>
        </w:rPr>
        <w:footnoteReference w:id="1375"/>
      </w:r>
      <w:r>
        <w:t xml:space="preserve">. Le développement en tant que traitement a été abandonné aux États-Unis</w:t>
      </w:r>
      <w:r>
        <w:rPr>
          <w:rStyle w:val="FootnoteReference"/>
        </w:rPr>
        <w:footnoteReference w:id="1376"/>
      </w:r>
      <w:r>
        <w:t xml:space="preserve">.</w:t>
      </w:r>
    </w:p>
    <w:bookmarkEnd w:id="1377"/>
    <w:bookmarkStart w:id="1380" w:name="appétit-et-médecine-intensive"/>
    <w:p>
      <w:pPr>
        <w:pStyle w:val="Heading4"/>
      </w:pPr>
      <w:r>
        <w:t xml:space="preserve">Appétit et médecine intensive</w:t>
      </w:r>
    </w:p>
    <w:p>
      <w:pPr>
        <w:pStyle w:val="FirstParagraph"/>
      </w:pPr>
      <w:r>
        <w:t xml:space="preserve">Chez 19 adultes minces et en surpoids, une perfusion de GHRP-2 a augmenté de façon dose-dépendante la quantité de nourriture librement choisie de 10,2 % et de 33,5 % respectivement par rapport au placebo</w:t>
      </w:r>
      <w:r>
        <w:rPr>
          <w:rStyle w:val="FootnoteReference"/>
        </w:rPr>
        <w:footnoteReference w:id="1378"/>
      </w:r>
      <w:r>
        <w:t xml:space="preserve">. Chez 14 patientes et patients hospitalisés de longue durée en soins intensifs, une perfusion de cinq jours de GHRP-2 associé à l’hormone de libération de la thyréostimuline TRH a réactivé l’axe GH et l’axe thyroïdien supprimés et a déplacé les marqueurs métaboliques vers l’anabolisme</w:t>
      </w:r>
      <w:r>
        <w:rPr>
          <w:rStyle w:val="FootnoteReference"/>
        </w:rPr>
        <w:footnoteReference w:id="1379"/>
      </w:r>
      <w:r>
        <w:t xml:space="preserve">. On n’a jamais vérifié dans une étude sur critères cliniques si cela modifie les chances de survie.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Diagnostic (Chihara 2007), PMID 17609397</w:t>
            </w:r>
          </w:p>
        </w:tc>
        <w:tc>
          <w:tcPr/>
          <w:p>
            <w:pPr>
              <w:pStyle w:val="Compact"/>
              <w:jc w:val="left"/>
            </w:pPr>
            <w:r>
              <w:t xml:space="preserve">77 personnes en bonne santé, 58 avec déficit en GH, validation contrôlée</w:t>
            </w:r>
          </w:p>
        </w:tc>
        <w:tc>
          <w:tcPr/>
          <w:p>
            <w:pPr>
              <w:pStyle w:val="Compact"/>
              <w:jc w:val="left"/>
            </w:pPr>
            <w:r>
              <w:t xml:space="preserve">test unique</w:t>
            </w:r>
          </w:p>
        </w:tc>
        <w:tc>
          <w:tcPr/>
          <w:p>
            <w:pPr>
              <w:pStyle w:val="Compact"/>
              <w:jc w:val="left"/>
            </w:pPr>
            <w:r>
              <w:t xml:space="preserve">pic de GH 84,6 vs 1,36 µg/l ; seuil 15 µg/l</w:t>
            </w:r>
          </w:p>
        </w:tc>
      </w:tr>
      <w:tr>
        <w:tc>
          <w:tcPr/>
          <w:p>
            <w:pPr>
              <w:pStyle w:val="Compact"/>
              <w:jc w:val="left"/>
            </w:pPr>
            <w:r>
              <w:t xml:space="preserve">Diagnostic (Kinoshita 2013), PMID 23079545</w:t>
            </w:r>
          </w:p>
        </w:tc>
        <w:tc>
          <w:tcPr/>
          <w:p>
            <w:pPr>
              <w:pStyle w:val="Compact"/>
              <w:jc w:val="left"/>
            </w:pPr>
            <w:r>
              <w:t xml:space="preserve">71 personnes avec tumeurs hypophysaires, comparaison avec le test à l’insuline</w:t>
            </w:r>
          </w:p>
        </w:tc>
        <w:tc>
          <w:tcPr/>
          <w:p>
            <w:pPr>
              <w:pStyle w:val="Compact"/>
              <w:jc w:val="left"/>
            </w:pPr>
            <w:r>
              <w:t xml:space="preserve">test unique</w:t>
            </w:r>
          </w:p>
        </w:tc>
        <w:tc>
          <w:tcPr/>
          <w:p>
            <w:pPr>
              <w:pStyle w:val="Compact"/>
              <w:jc w:val="left"/>
            </w:pPr>
            <w:r>
              <w:t xml:space="preserve">sensibilité 81,3 %, spécificité 94,5 %</w:t>
            </w:r>
          </w:p>
        </w:tc>
      </w:tr>
      <w:tr>
        <w:tc>
          <w:tcPr/>
          <w:p>
            <w:pPr>
              <w:pStyle w:val="Compact"/>
              <w:jc w:val="left"/>
            </w:pPr>
            <w:r>
              <w:t xml:space="preserve">Enfants, spray nasal (Pihoker 1997), PMID 9390009</w:t>
            </w:r>
          </w:p>
        </w:tc>
        <w:tc>
          <w:tcPr/>
          <w:p>
            <w:pPr>
              <w:pStyle w:val="Compact"/>
              <w:jc w:val="left"/>
            </w:pPr>
            <w:r>
              <w:t xml:space="preserve">15 enfants de petite taille, sans groupe témoin</w:t>
            </w:r>
          </w:p>
        </w:tc>
        <w:tc>
          <w:tcPr/>
          <w:p>
            <w:pPr>
              <w:pStyle w:val="Compact"/>
              <w:jc w:val="left"/>
            </w:pPr>
            <w:r>
              <w:t xml:space="preserve">6–24 mois</w:t>
            </w:r>
          </w:p>
        </w:tc>
        <w:tc>
          <w:tcPr/>
          <w:p>
            <w:pPr>
              <w:pStyle w:val="Compact"/>
              <w:jc w:val="left"/>
            </w:pPr>
            <w:r>
              <w:t xml:space="preserve">croissance 3,7 → 6,1 cm/an</w:t>
            </w:r>
          </w:p>
        </w:tc>
      </w:tr>
      <w:tr>
        <w:tc>
          <w:tcPr/>
          <w:p>
            <w:pPr>
              <w:pStyle w:val="Compact"/>
              <w:jc w:val="left"/>
            </w:pPr>
            <w:r>
              <w:t xml:space="preserve">Appétit (Laferrère 2006), PMID 16861611</w:t>
            </w:r>
          </w:p>
        </w:tc>
        <w:tc>
          <w:tcPr/>
          <w:p>
            <w:pPr>
              <w:pStyle w:val="Compact"/>
              <w:jc w:val="left"/>
            </w:pPr>
            <w:r>
              <w:t xml:space="preserve">19 adultes, ECR en plan croisé contre placebo</w:t>
            </w:r>
          </w:p>
        </w:tc>
        <w:tc>
          <w:tcPr/>
          <w:p>
            <w:pPr>
              <w:pStyle w:val="Compact"/>
              <w:jc w:val="left"/>
            </w:pPr>
            <w:r>
              <w:t xml:space="preserve">3 perfusions uniques</w:t>
            </w:r>
          </w:p>
        </w:tc>
        <w:tc>
          <w:tcPr/>
          <w:p>
            <w:pPr>
              <w:pStyle w:val="Compact"/>
              <w:jc w:val="left"/>
            </w:pPr>
            <w:r>
              <w:t xml:space="preserve">quantité de nourriture +10,2 % et +33,5 %</w:t>
            </w:r>
          </w:p>
        </w:tc>
      </w:tr>
      <w:tr>
        <w:tc>
          <w:tcPr/>
          <w:p>
            <w:pPr>
              <w:pStyle w:val="Compact"/>
              <w:jc w:val="left"/>
            </w:pPr>
            <w:r>
              <w:t xml:space="preserve">Médecine intensive (Van den Berghe 1999), PMID 10199772</w:t>
            </w:r>
          </w:p>
        </w:tc>
        <w:tc>
          <w:tcPr/>
          <w:p>
            <w:pPr>
              <w:pStyle w:val="Compact"/>
              <w:jc w:val="left"/>
            </w:pPr>
            <w:r>
              <w:t xml:space="preserve">14 patients en soins intensifs de longue durée, plan croisé randomisé</w:t>
            </w:r>
          </w:p>
        </w:tc>
        <w:tc>
          <w:tcPr/>
          <w:p>
            <w:pPr>
              <w:pStyle w:val="Compact"/>
              <w:jc w:val="left"/>
            </w:pPr>
            <w:r>
              <w:t xml:space="preserve">5 jours</w:t>
            </w:r>
          </w:p>
        </w:tc>
        <w:tc>
          <w:tcPr/>
          <w:p>
            <w:pPr>
              <w:pStyle w:val="Compact"/>
              <w:jc w:val="left"/>
            </w:pPr>
            <w:r>
              <w:t xml:space="preserve">axe GH et axe thyroïdien réactivés</w:t>
            </w:r>
          </w:p>
        </w:tc>
      </w:tr>
    </w:tbl>
    <w:bookmarkEnd w:id="1380"/>
    <w:bookmarkEnd w:id="1381"/>
    <w:bookmarkStart w:id="1384" w:name="études-animales-et-de-laboratoire-27"/>
    <w:p>
      <w:pPr>
        <w:pStyle w:val="Heading3"/>
      </w:pPr>
      <w:r>
        <w:t xml:space="preserve">Études animales et de laboratoire</w:t>
      </w:r>
    </w:p>
    <w:p>
      <w:pPr>
        <w:pStyle w:val="FirstParagraph"/>
      </w:pPr>
      <w:r>
        <w:t xml:space="preserve">Chez des rats éveillés, le GHRP-2 a libéré plus d’hormone de croissance que la GHRH et agissait aussi chez des chiens chez lesquels la GHRH échouait ; chez le rat, il augmentait l’ACTH et la corticostérone, mais pas la prolactine, et accélérait la croissance sur trois semaines</w:t>
      </w:r>
      <w:r>
        <w:rPr>
          <w:rStyle w:val="FootnoteReference"/>
        </w:rPr>
        <w:footnoteReference w:id="1382"/>
      </w:r>
      <w:r>
        <w:t xml:space="preserve">. Chez le porc, le GHRP-2 était particulièrement puissant dans une étude comparative, mais, contrairement à l’ipamoréline, libérait aussi de l’ACTH et du cortisol</w:t>
      </w:r>
      <w:r>
        <w:rPr>
          <w:rStyle w:val="FootnoteReference"/>
        </w:rPr>
        <w:footnoteReference w:id="1383"/>
      </w:r>
      <w:r>
        <w:t xml:space="preserve">.</w:t>
      </w:r>
    </w:p>
    <w:bookmarkEnd w:id="1384"/>
    <w:bookmarkStart w:id="1389" w:name="risques-et-effets-indésirables-27"/>
    <w:p>
      <w:pPr>
        <w:pStyle w:val="Heading3"/>
      </w:pPr>
      <w:r>
        <w:t xml:space="preserve">Risques et effets indésirables</w:t>
      </w:r>
    </w:p>
    <w:p>
      <w:pPr>
        <w:pStyle w:val="FirstParagraph"/>
      </w:pPr>
      <w:r>
        <w:rPr>
          <w:bCs/>
          <w:b/>
        </w:rPr>
        <w:t xml:space="preserve">Établi :</w:t>
      </w:r>
      <w:r>
        <w:t xml:space="preserve"> </w:t>
      </w:r>
      <w:r>
        <w:t xml:space="preserve">dans les études, le GHRP-2 a été bien toléré à court terme. Sont décrits à plusieurs reprises une augmentation de l’appétit</w:t>
      </w:r>
      <w:r>
        <w:rPr>
          <w:rStyle w:val="FootnoteReference"/>
        </w:rPr>
        <w:footnoteReference w:id="1385"/>
      </w:r>
      <w:r>
        <w:t xml:space="preserve"> </w:t>
      </w:r>
      <w:r>
        <w:t xml:space="preserve">ainsi que la libération d’ACTH et de cortisol</w:t>
      </w:r>
      <w:r>
        <w:rPr>
          <w:rStyle w:val="FootnoteReference"/>
        </w:rPr>
        <w:footnoteReference w:id="1386"/>
      </w:r>
      <w:r>
        <w:t xml:space="preserve">. Une revue des sécrétagogues de GH mentionne en outre une possible hausse de la glycémie due à une moindre sensibilité à l’insuline et réclame des données à long terme sur le cancer et la mortalité</w:t>
      </w:r>
      <w:r>
        <w:rPr>
          <w:rStyle w:val="FootnoteReference"/>
        </w:rPr>
        <w:footnoteReference w:id="1387"/>
      </w:r>
      <w:r>
        <w:t xml:space="preserve">.</w:t>
      </w:r>
    </w:p>
    <w:p>
      <w:pPr>
        <w:pStyle w:val="BodyText"/>
      </w:pPr>
      <w:r>
        <w:rPr>
          <w:bCs/>
          <w:b/>
        </w:rPr>
        <w:t xml:space="preserve">Inconnu :</w:t>
      </w:r>
      <w:r>
        <w:t xml:space="preserve"> </w:t>
      </w:r>
      <w:r>
        <w:t xml:space="preserve">il n’existe pas de données sur une utilisation sur des mois ou des années chez l’adulte. Sur la question de savoir si une hormone de croissance/un IGF-1 durablement élevés augmentent le risque de cancer, voir l’introduction de ce groupe et la partie IV.</w:t>
      </w:r>
    </w:p>
    <w:p>
      <w:pPr>
        <w:pStyle w:val="BodyText"/>
      </w:pPr>
      <w:r>
        <w:rPr>
          <w:bCs/>
          <w:b/>
        </w:rPr>
        <w:t xml:space="preserve">Marché gris :</w:t>
      </w:r>
      <w:r>
        <w:t xml:space="preserve"> </w:t>
      </w:r>
      <w:r>
        <w:t xml:space="preserve">dans des produits saisis, on a trouvé du « Gly-GHRP-2 », c’est-à-dire du GHRP-2 avec un acide aminé supplémentaire non déclaré</w:t>
      </w:r>
      <w:r>
        <w:rPr>
          <w:rStyle w:val="FootnoteReference"/>
        </w:rPr>
        <w:footnoteReference w:id="1388"/>
      </w:r>
      <w:r>
        <w:t xml:space="preserve">.</w:t>
      </w:r>
    </w:p>
    <w:bookmarkEnd w:id="1389"/>
    <w:bookmarkStart w:id="1391" w:name="statut-juridique-27"/>
    <w:p>
      <w:pPr>
        <w:pStyle w:val="Heading3"/>
      </w:pPr>
      <w:r>
        <w:t xml:space="preserve">Statut juridique</w:t>
      </w:r>
    </w:p>
    <w:p>
      <w:pPr>
        <w:pStyle w:val="FirstParagraph"/>
      </w:pPr>
      <w:r>
        <w:rPr>
          <w:iCs/>
          <w:i/>
        </w:rPr>
        <w:t xml:space="preserve">État 2026, à vérifier.</w:t>
      </w:r>
    </w:p>
    <w:p>
      <w:pPr>
        <w:numPr>
          <w:ilvl w:val="0"/>
          <w:numId w:val="1162"/>
        </w:numPr>
        <w:pStyle w:val="Compact"/>
      </w:pPr>
      <w:r>
        <w:rPr>
          <w:bCs/>
          <w:b/>
        </w:rPr>
        <w:t xml:space="preserve">Japon :</w:t>
      </w:r>
      <w:r>
        <w:t xml:space="preserve"> </w:t>
      </w:r>
      <w:r>
        <w:t xml:space="preserve">autorisé comme produit diagnostique ; utilisation exclusivement dans le cadre de tests fonctionnels médicaux.</w:t>
      </w:r>
    </w:p>
    <w:p>
      <w:pPr>
        <w:numPr>
          <w:ilvl w:val="0"/>
          <w:numId w:val="1162"/>
        </w:numPr>
        <w:pStyle w:val="Compact"/>
      </w:pPr>
      <w:r>
        <w:rPr>
          <w:bCs/>
          <w:b/>
        </w:rPr>
        <w:t xml:space="preserve">UE, Allemagne, Autriche :</w:t>
      </w:r>
      <w:r>
        <w:t xml:space="preserve"> </w:t>
      </w:r>
      <w:r>
        <w:t xml:space="preserve">aucune autorisation ; remise en vue d’un usage humain illicite.</w:t>
      </w:r>
    </w:p>
    <w:p>
      <w:pPr>
        <w:numPr>
          <w:ilvl w:val="0"/>
          <w:numId w:val="1162"/>
        </w:numPr>
        <w:pStyle w:val="Compact"/>
      </w:pPr>
      <w:r>
        <w:rPr>
          <w:bCs/>
          <w:b/>
        </w:rPr>
        <w:t xml:space="preserve">États-Unis :</w:t>
      </w:r>
      <w:r>
        <w:t xml:space="preserve"> </w:t>
      </w:r>
      <w:r>
        <w:t xml:space="preserve">aucune autorisation.</w:t>
      </w:r>
    </w:p>
    <w:p>
      <w:pPr>
        <w:numPr>
          <w:ilvl w:val="0"/>
          <w:numId w:val="1162"/>
        </w:numPr>
        <w:pStyle w:val="Compact"/>
      </w:pPr>
      <w:r>
        <w:rPr>
          <w:bCs/>
          <w:b/>
        </w:rPr>
        <w:t xml:space="preserve">AMA (WADA) :</w:t>
      </w:r>
      <w:r>
        <w:t xml:space="preserve"> </w:t>
      </w:r>
      <w:r>
        <w:t xml:space="preserve">interdit (S2). Après administration en spray nasal chez un volontaire, le GHRP-2 et ses produits de dégradation sont détectables dans l’urine jusqu’à 47 heures</w:t>
      </w:r>
      <w:r>
        <w:rPr>
          <w:rStyle w:val="FootnoteReference"/>
        </w:rPr>
        <w:footnoteReference w:id="1390"/>
      </w:r>
      <w:r>
        <w:t xml:space="preserve">.</w:t>
      </w:r>
    </w:p>
    <w:bookmarkEnd w:id="1391"/>
    <w:bookmarkStart w:id="1392" w:name="études-en-cours-et-perspectives-27"/>
    <w:p>
      <w:pPr>
        <w:pStyle w:val="Heading3"/>
      </w:pPr>
      <w:r>
        <w:t xml:space="preserve">Études en cours et perspectives</w:t>
      </w:r>
    </w:p>
    <w:p>
      <w:pPr>
        <w:pStyle w:val="FirstParagraph"/>
      </w:pPr>
      <w:r>
        <w:t xml:space="preserve">En octobre 2026, ClinicalTrials.gov ne recense aucune étude avec le GHRP-2 ou la pralmoréline.</w:t>
      </w:r>
      <w:r>
        <w:t xml:space="preserve"> </w:t>
      </w:r>
      <w:r>
        <w:rPr>
          <w:iCs/>
          <w:i/>
        </w:rPr>
        <w:t xml:space="preserve">Appréciation de l’auteur :</w:t>
      </w:r>
      <w:r>
        <w:t xml:space="preserve"> </w:t>
      </w:r>
      <w:r>
        <w:t xml:space="preserve">le GHRP-2 restera un outil de diagnostic au Japon et de recherche hormonale. Dans d’autres pays, il est en concurrence, comme substance de test, avec la macimoréline, disponible sous forme orale.</w:t>
      </w:r>
    </w:p>
    <w:bookmarkEnd w:id="1392"/>
    <w:bookmarkStart w:id="1393" w:name="conclusion-27"/>
    <w:p>
      <w:pPr>
        <w:pStyle w:val="Heading3"/>
      </w:pPr>
      <w:r>
        <w:t xml:space="preserve">Conclusion</w:t>
      </w:r>
    </w:p>
    <w:p>
      <w:pPr>
        <w:pStyle w:val="FirstParagraph"/>
      </w:pPr>
      <w:r>
        <w:t xml:space="preserve">Le GHRP-2 est l’un des plus puissants déclencheurs connus de la sécrétion d’hormone de croissance et il est établi au Japon comme produit diagnostique du déficit en hormone de croissance. Les essais thérapeutiques chez l’enfant n’ont montré que des effets modestes et n’ont pas été poursuivis. Pour le développement musculaire, la perte de graisse ou l’« anti-âge » chez les personnes en bonne santé, il n’existe aucune étude ; sont en revanche établis des effets secondaires tels que des fringales et une activation des hormones du stress.</w:t>
      </w:r>
    </w:p>
    <w:bookmarkEnd w:id="1393"/>
    <w:bookmarkEnd w:id="1394"/>
    <w:bookmarkStart w:id="1424" w:name="ghrp-6"/>
    <w:p>
      <w:pPr>
        <w:pStyle w:val="Heading2"/>
      </w:pPr>
      <w:r>
        <w:t xml:space="preserve">GHRP-6</w:t>
      </w:r>
    </w:p>
    <w:p>
      <w:pPr>
        <w:pStyle w:val="FirstParagraph"/>
      </w:pPr>
      <w:r>
        <w:t xml:space="preserve">Le GHRP-6 est l’ancêtre de tous les peptides libérant l’hormone de croissance. En 1984, l’endocrinologue américain Cyril Bowers décrivit un hexapeptide artificiel qui libère de manière ciblée l’hormone de croissance – 15 ans avant que l’on connaisse son pendant naturel, la ghréline. En recherche, le GHRP-6 est devenu l’outil standard pour tester l’axe de l’hormone de croissance. Dans les milieux de la musculation, il passe en revanche pour un stimulant de GH bon marché, avec la « fringale » comme effet secondaire. Il n’est jamais devenu un médicament.</w:t>
      </w:r>
    </w:p>
    <w:bookmarkStart w:id="1396" w:name="fiche-signalétique-28"/>
    <w:p>
      <w:pPr>
        <w:pStyle w:val="Heading3"/>
      </w:pPr>
      <w:r>
        <w:t xml:space="preserve">Fiche signalétique</w:t>
      </w:r>
    </w:p>
    <w:p>
      <w:pPr>
        <w:numPr>
          <w:ilvl w:val="0"/>
          <w:numId w:val="1163"/>
        </w:numPr>
        <w:pStyle w:val="Compact"/>
      </w:pPr>
      <w:r>
        <w:rPr>
          <w:bCs/>
          <w:b/>
        </w:rPr>
        <w:t xml:space="preserve">Nature et structure :</w:t>
      </w:r>
      <w:r>
        <w:t xml:space="preserve"> </w:t>
      </w:r>
      <w:r>
        <w:t xml:space="preserve">hexapeptide de synthèse His-D-Trp-Ala-Trp-D-Phe-Lys-NH2 comportant deux acides aminés D non naturels</w:t>
      </w:r>
      <w:r>
        <w:rPr>
          <w:rStyle w:val="FootnoteReference"/>
        </w:rPr>
        <w:footnoteReference w:id="1395"/>
      </w:r>
      <w:r>
        <w:t xml:space="preserve">.</w:t>
      </w:r>
    </w:p>
    <w:p>
      <w:pPr>
        <w:numPr>
          <w:ilvl w:val="0"/>
          <w:numId w:val="1163"/>
        </w:numPr>
        <w:pStyle w:val="Compact"/>
      </w:pPr>
      <w:r>
        <w:rPr>
          <w:bCs/>
          <w:b/>
        </w:rPr>
        <w:t xml:space="preserve">Origine :</w:t>
      </w:r>
      <w:r>
        <w:t xml:space="preserve"> </w:t>
      </w:r>
      <w:r>
        <w:t xml:space="preserve">Tulane University (États-Unis), début des années 1980.</w:t>
      </w:r>
    </w:p>
    <w:p>
      <w:pPr>
        <w:numPr>
          <w:ilvl w:val="0"/>
          <w:numId w:val="1163"/>
        </w:numPr>
        <w:pStyle w:val="Compact"/>
      </w:pPr>
      <w:r>
        <w:rPr>
          <w:bCs/>
          <w:b/>
        </w:rPr>
        <w:t xml:space="preserve">Principe d’action :</w:t>
      </w:r>
      <w:r>
        <w:t xml:space="preserve"> </w:t>
      </w:r>
      <w:r>
        <w:t xml:space="preserve">agoniste du récepteur de la ghréline (GHS-R1a) dans l’hypophyse et l’hypothalamus ; libère de l’hormone de croissance, ainsi que de l’ACTH, du cortisol et de la prolactine ; augmente l’appétit.</w:t>
      </w:r>
    </w:p>
    <w:p>
      <w:pPr>
        <w:numPr>
          <w:ilvl w:val="0"/>
          <w:numId w:val="1163"/>
        </w:numPr>
        <w:pStyle w:val="Compact"/>
      </w:pPr>
      <w:r>
        <w:rPr>
          <w:bCs/>
          <w:b/>
        </w:rPr>
        <w:t xml:space="preserve">Autorisation UE :</w:t>
      </w:r>
      <w:r>
        <w:t xml:space="preserve"> </w:t>
      </w:r>
      <w:r>
        <w:t xml:space="preserve">non.</w:t>
      </w:r>
      <w:r>
        <w:t xml:space="preserve"> </w:t>
      </w:r>
      <w:r>
        <w:rPr>
          <w:bCs/>
          <w:b/>
        </w:rPr>
        <w:t xml:space="preserve">Autorisation États-Unis :</w:t>
      </w:r>
      <w:r>
        <w:t xml:space="preserve"> </w:t>
      </w:r>
      <w:r>
        <w:t xml:space="preserve">non. Autorisé nulle part ailleurs non plus comme médicament (état 2026).</w:t>
      </w:r>
    </w:p>
    <w:p>
      <w:pPr>
        <w:numPr>
          <w:ilvl w:val="0"/>
          <w:numId w:val="1163"/>
        </w:numPr>
        <w:pStyle w:val="Compact"/>
      </w:pPr>
      <w:r>
        <w:rPr>
          <w:bCs/>
          <w:b/>
        </w:rPr>
        <w:t xml:space="preserve">AMA (WADA) :</w:t>
      </w:r>
      <w:r>
        <w:t xml:space="preserve"> </w:t>
      </w:r>
      <w:r>
        <w:t xml:space="preserve">interdit, classe S2 – le GHRP-6 est expressément nommé en tant que peptide libérant l’hormone de croissance.</w:t>
      </w:r>
    </w:p>
    <w:p>
      <w:pPr>
        <w:numPr>
          <w:ilvl w:val="0"/>
          <w:numId w:val="1163"/>
        </w:numPr>
        <w:pStyle w:val="Compact"/>
      </w:pPr>
      <w:r>
        <w:rPr>
          <w:bCs/>
          <w:b/>
        </w:rPr>
        <w:t xml:space="preserve">Niveau de preuve : C</w:t>
      </w:r>
      <w:r>
        <w:t xml:space="preserve"> </w:t>
      </w:r>
      <w:r>
        <w:t xml:space="preserve">– de nombreuses petites études sur la physiologie hormonale et le diagnostic, portant chacune sur 10 à 250 personnes, mais pas une seule étude contrôlée sur un bénéfice thérapeutique.</w:t>
      </w:r>
    </w:p>
    <w:bookmarkEnd w:id="1396"/>
    <w:bookmarkStart w:id="1399" w:name="mode-daction-supposé-28"/>
    <w:p>
      <w:pPr>
        <w:pStyle w:val="Heading3"/>
      </w:pPr>
      <w:r>
        <w:t xml:space="preserve">Mode d’action supposé</w:t>
      </w:r>
    </w:p>
    <w:p>
      <w:pPr>
        <w:pStyle w:val="FirstParagraph"/>
      </w:pPr>
      <w:r>
        <w:t xml:space="preserve">En 1984, Bowers et ses collègues ont montré que l’hexapeptide libérait en quelques minutes de l’hormone de croissance chez le rat, le singe, l’agneau et le veau, sans influencer d’autres hormones hypophysaires comme la LH, la FSH ou la TSH ; les rats qui le recevaient de façon répétée prenaient davantage de poids</w:t>
      </w:r>
      <w:r>
        <w:rPr>
          <w:rStyle w:val="FootnoteReference"/>
        </w:rPr>
        <w:footnoteReference w:id="1397"/>
      </w:r>
      <w:r>
        <w:t xml:space="preserve">. Il est apparu plus tard que le GHRP-6 agit sur le même récepteur que l’hormone gastrique ghréline</w:t>
      </w:r>
      <w:r>
        <w:rPr>
          <w:rStyle w:val="FootnoteReference"/>
        </w:rPr>
        <w:footnoteReference w:id="1398"/>
      </w:r>
      <w:r>
        <w:t xml:space="preserve">.</w:t>
      </w:r>
    </w:p>
    <w:p>
      <w:pPr>
        <w:pStyle w:val="BodyText"/>
      </w:pPr>
      <w:r>
        <w:t xml:space="preserve">Comme le GHRP-2, le GHRP-6 agit le plus fortement lorsque la GHRH endogène de l’hypothalamus intervient aussi. Si l’on combine les deux, la sécrétion d’hormone de croissance est supérieure à la somme des effets individuels. C’est précisément cette propriété qui a rendu le GHRP-6 intéressant comme produit diagnostique. Contrairement à l’ipamoréline, le GHRP-6 active aussi l’axe des hormones du stress (ACTH et cortisol).</w:t>
      </w:r>
    </w:p>
    <w:bookmarkEnd w:id="1399"/>
    <w:bookmarkStart w:id="1410" w:name="études-chez-lhumain-28"/>
    <w:p>
      <w:pPr>
        <w:pStyle w:val="Heading3"/>
      </w:pPr>
      <w:r>
        <w:t xml:space="preserve">Études chez l’humain</w:t>
      </w:r>
    </w:p>
    <w:p>
      <w:pPr>
        <w:pStyle w:val="FirstParagraph"/>
      </w:pPr>
      <w:r>
        <w:rPr>
          <w:bCs/>
          <w:b/>
        </w:rPr>
        <w:t xml:space="preserve">Ampleur des données (requête d’octobre 2026) :</w:t>
      </w:r>
      <w:r>
        <w:t xml:space="preserve"> </w:t>
      </w:r>
      <w:r>
        <w:t xml:space="preserve">la recherche automatisée de ce livre a trouvé</w:t>
      </w:r>
      <w:r>
        <w:t xml:space="preserve"> </w:t>
      </w:r>
      <w:r>
        <w:rPr>
          <w:bCs/>
          <w:b/>
        </w:rPr>
        <w:t xml:space="preserve">40</w:t>
      </w:r>
      <w:r>
        <w:t xml:space="preserve"> </w:t>
      </w:r>
      <w:r>
        <w:t xml:space="preserve">études chez l’humain dans PubMed (</w:t>
      </w:r>
      <w:r>
        <w:rPr>
          <w:rStyle w:val="VerbatimChar"/>
        </w:rPr>
        <w:t xml:space="preserve">humanstudien_alle</w:t>
      </w:r>
      <w:r>
        <w:t xml:space="preserve">) et</w:t>
      </w:r>
      <w:r>
        <w:t xml:space="preserve"> </w:t>
      </w:r>
      <w:r>
        <w:rPr>
          <w:bCs/>
          <w:b/>
        </w:rPr>
        <w:t xml:space="preserve">aucune</w:t>
      </w:r>
      <w:r>
        <w:t xml:space="preserve"> </w:t>
      </w:r>
      <w:r>
        <w:t xml:space="preserve">entrée sur ClinicalTrials.gov. Presque tous les travaux utilisent le GHRP-6 comme substance de test administrée une seule fois, afin d’étudier la régulation hormonale dans des maladies comme le syndrome de Cushing, l’hyperthyroïdie, le surpoids ou avec l’âge. Une étude de cette liste a été menée chez le chien.</w:t>
      </w:r>
    </w:p>
    <w:bookmarkStart w:id="1404" w:name="X1c4be7cf8de6d6b62d425824a51bedf12ef12de"/>
    <w:p>
      <w:pPr>
        <w:pStyle w:val="Heading4"/>
      </w:pPr>
      <w:r>
        <w:t xml:space="preserve">Diagnostic du déficit en hormone de croissance</w:t>
      </w:r>
    </w:p>
    <w:p>
      <w:pPr>
        <w:pStyle w:val="FirstParagraph"/>
      </w:pPr>
      <w:r>
        <w:t xml:space="preserve">L’étude la plus connue a paru en 2000 dans la revue Lancet : 125 adultes atteints de maladies de l’hypophyse et 125 personnes en bonne santé ont reçu GHRH plus GHRP-6 en test combiné. Le pic moyen de GH était de 59,2 µg/l chez les personnes en bonne santé et de 4,1 µg/l chez les personnes concernées ; un seuil de 15 µg/l séparait de manière fiable les deux groupes. Aucun effet indésirable n’est survenu, et l’âge, le sexe et la masse grasse n’influençaient pas le résultat</w:t>
      </w:r>
      <w:r>
        <w:rPr>
          <w:rStyle w:val="FootnoteReference"/>
        </w:rPr>
        <w:footnoteReference w:id="1400"/>
      </w:r>
      <w:r>
        <w:t xml:space="preserve">. Dans une étude plus petite portant sur 20 personnes, le test a correctement identifié tous les cas de déficit en hormone de croissance ; le seul effet indésirable observé était une sensation de chaleur (bouffée vasomotrice, flush)</w:t>
      </w:r>
      <w:r>
        <w:rPr>
          <w:rStyle w:val="FootnoteReference"/>
        </w:rPr>
        <w:footnoteReference w:id="1401"/>
      </w:r>
      <w:r>
        <w:t xml:space="preserve">. Chez 21 adultes chez lesquels un déficit avait été constaté auparavant par des tests classiques, environ 40 % ont tout de même nettement réagi à la combinaison</w:t>
      </w:r>
      <w:r>
        <w:rPr>
          <w:rStyle w:val="FootnoteReference"/>
        </w:rPr>
        <w:footnoteReference w:id="1402"/>
      </w:r>
      <w:r>
        <w:t xml:space="preserve"> </w:t>
      </w:r>
      <w:r>
        <w:t xml:space="preserve">– un indice que différents tests répondent à des questions différentes.</w:t>
      </w:r>
    </w:p>
    <w:p>
      <w:pPr>
        <w:pStyle w:val="BodyText"/>
      </w:pPr>
      <w:r>
        <w:t xml:space="preserve">Comme test d’une insuffisance de l’axe surrénalien, le GHRP-6 n’était en revanche que d’une utilité limitée : chez 49 patientes et patients, il a atteint, par rapport au test à l’insuline, une sensibilité de 71,0 % et une spécificité de 77,8 %</w:t>
      </w:r>
      <w:r>
        <w:rPr>
          <w:rStyle w:val="FootnoteReference"/>
        </w:rPr>
        <w:footnoteReference w:id="1403"/>
      </w:r>
      <w:r>
        <w:t xml:space="preserve">.</w:t>
      </w:r>
    </w:p>
    <w:bookmarkEnd w:id="1404"/>
    <w:bookmarkStart w:id="1409" w:name="pharmacologie-sommeil-âge"/>
    <w:p>
      <w:pPr>
        <w:pStyle w:val="Heading4"/>
      </w:pPr>
      <w:r>
        <w:t xml:space="preserve">Pharmacologie, sommeil, âge</w:t>
      </w:r>
    </w:p>
    <w:p>
      <w:pPr>
        <w:numPr>
          <w:ilvl w:val="0"/>
          <w:numId w:val="1164"/>
        </w:numPr>
        <w:pStyle w:val="Compact"/>
      </w:pPr>
      <w:r>
        <w:rPr>
          <w:bCs/>
          <w:b/>
        </w:rPr>
        <w:t xml:space="preserve">Pharmacocinétique :</w:t>
      </w:r>
      <w:r>
        <w:t xml:space="preserve"> </w:t>
      </w:r>
      <w:r>
        <w:t xml:space="preserve">chez neuf hommes en bonne santé, la demi-vie d’élimination après administration intraveineuse était en moyenne de 2,5 heures</w:t>
      </w:r>
      <w:r>
        <w:rPr>
          <w:rStyle w:val="FootnoteReference"/>
        </w:rPr>
        <w:footnoteReference w:id="1405"/>
      </w:r>
      <w:r>
        <w:t xml:space="preserve">.</w:t>
      </w:r>
    </w:p>
    <w:p>
      <w:pPr>
        <w:numPr>
          <w:ilvl w:val="0"/>
          <w:numId w:val="1164"/>
        </w:numPr>
        <w:pStyle w:val="Compact"/>
      </w:pPr>
      <w:r>
        <w:rPr>
          <w:bCs/>
          <w:b/>
        </w:rPr>
        <w:t xml:space="preserve">Sommeil :</w:t>
      </w:r>
      <w:r>
        <w:t xml:space="preserve"> </w:t>
      </w:r>
      <w:r>
        <w:t xml:space="preserve">chez des hommes en bonne santé, le GHRP-6 a augmenté la nuit l’hormone de croissance, l’ACTH et le cortisol et a prolongé le sommeil léger (stade 2), mais pas le sommeil profond</w:t>
      </w:r>
      <w:r>
        <w:rPr>
          <w:rStyle w:val="FootnoteReference"/>
        </w:rPr>
        <w:footnoteReference w:id="1406"/>
      </w:r>
      <w:r>
        <w:t xml:space="preserve">.</w:t>
      </w:r>
    </w:p>
    <w:p>
      <w:pPr>
        <w:numPr>
          <w:ilvl w:val="0"/>
          <w:numId w:val="1164"/>
        </w:numPr>
        <w:pStyle w:val="Compact"/>
      </w:pPr>
      <w:r>
        <w:rPr>
          <w:bCs/>
          <w:b/>
        </w:rPr>
        <w:t xml:space="preserve">Âge :</w:t>
      </w:r>
      <w:r>
        <w:t xml:space="preserve"> </w:t>
      </w:r>
      <w:r>
        <w:t xml:space="preserve">chez neuf adultes jeunes et neuf adultes âgés, l’hypophyse répondait plus faiblement à la GHRH avec l’âge, mais pas au GHRP-6</w:t>
      </w:r>
      <w:r>
        <w:rPr>
          <w:rStyle w:val="FootnoteReference"/>
        </w:rPr>
        <w:footnoteReference w:id="1407"/>
      </w:r>
      <w:r>
        <w:t xml:space="preserve">.</w:t>
      </w:r>
    </w:p>
    <w:p>
      <w:pPr>
        <w:numPr>
          <w:ilvl w:val="0"/>
          <w:numId w:val="1164"/>
        </w:numPr>
        <w:pStyle w:val="Compact"/>
      </w:pPr>
      <w:r>
        <w:rPr>
          <w:bCs/>
          <w:b/>
        </w:rPr>
        <w:t xml:space="preserve">Enfants :</w:t>
      </w:r>
      <w:r>
        <w:t xml:space="preserve"> </w:t>
      </w:r>
      <w:r>
        <w:t xml:space="preserve">en comprimé, le GHRP-6 a déclenché chez des enfants de petite taille sans déficit hormonal une hausse de GH semblable à celle observée après une injection de GHRH</w:t>
      </w:r>
      <w:r>
        <w:rPr>
          <w:rStyle w:val="FootnoteReference"/>
        </w:rPr>
        <w:footnoteReference w:id="1408"/>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Diagnostic (Popovic 2000), PMID 11030292</w:t>
            </w:r>
          </w:p>
        </w:tc>
        <w:tc>
          <w:tcPr/>
          <w:p>
            <w:pPr>
              <w:pStyle w:val="Compact"/>
              <w:jc w:val="left"/>
            </w:pPr>
            <w:r>
              <w:t xml:space="preserve">125 personnes concernées, 125 en bonne santé ; étude comparative multicentrique</w:t>
            </w:r>
          </w:p>
        </w:tc>
        <w:tc>
          <w:tcPr/>
          <w:p>
            <w:pPr>
              <w:pStyle w:val="Compact"/>
              <w:jc w:val="left"/>
            </w:pPr>
            <w:r>
              <w:t xml:space="preserve">test unique</w:t>
            </w:r>
          </w:p>
        </w:tc>
        <w:tc>
          <w:tcPr/>
          <w:p>
            <w:pPr>
              <w:pStyle w:val="Compact"/>
              <w:jc w:val="left"/>
            </w:pPr>
            <w:r>
              <w:t xml:space="preserve">pic de GH 59,2 vs 4,1 µg/l ; seuil 15 µg/l</w:t>
            </w:r>
          </w:p>
        </w:tc>
      </w:tr>
      <w:tr>
        <w:tc>
          <w:tcPr/>
          <w:p>
            <w:pPr>
              <w:pStyle w:val="Compact"/>
              <w:jc w:val="left"/>
            </w:pPr>
            <w:r>
              <w:t xml:space="preserve">Diagnostic (Petersenn 2002), PMID 11980622</w:t>
            </w:r>
          </w:p>
        </w:tc>
        <w:tc>
          <w:tcPr/>
          <w:p>
            <w:pPr>
              <w:pStyle w:val="Compact"/>
              <w:jc w:val="left"/>
            </w:pPr>
            <w:r>
              <w:t xml:space="preserve">20 personnes, comparaison avec le test à l’insuline</w:t>
            </w:r>
          </w:p>
        </w:tc>
        <w:tc>
          <w:tcPr/>
          <w:p>
            <w:pPr>
              <w:pStyle w:val="Compact"/>
              <w:jc w:val="left"/>
            </w:pPr>
            <w:r>
              <w:t xml:space="preserve">tests uniques</w:t>
            </w:r>
          </w:p>
        </w:tc>
        <w:tc>
          <w:tcPr/>
          <w:p>
            <w:pPr>
              <w:pStyle w:val="Compact"/>
              <w:jc w:val="left"/>
            </w:pPr>
            <w:r>
              <w:t xml:space="preserve">tous les cas de déficit en GH identifiés</w:t>
            </w:r>
          </w:p>
        </w:tc>
      </w:tr>
      <w:tr>
        <w:tc>
          <w:tcPr/>
          <w:p>
            <w:pPr>
              <w:pStyle w:val="Compact"/>
              <w:jc w:val="left"/>
            </w:pPr>
            <w:r>
              <w:t xml:space="preserve">Test surrénalien (Alaioubi 2010), PMID 19946832</w:t>
            </w:r>
          </w:p>
        </w:tc>
        <w:tc>
          <w:tcPr/>
          <w:p>
            <w:pPr>
              <w:pStyle w:val="Compact"/>
              <w:jc w:val="left"/>
            </w:pPr>
            <w:r>
              <w:t xml:space="preserve">49 personnes concernées, 20 en bonne santé</w:t>
            </w:r>
          </w:p>
        </w:tc>
        <w:tc>
          <w:tcPr/>
          <w:p>
            <w:pPr>
              <w:pStyle w:val="Compact"/>
              <w:jc w:val="left"/>
            </w:pPr>
            <w:r>
              <w:t xml:space="preserve">test unique</w:t>
            </w:r>
          </w:p>
        </w:tc>
        <w:tc>
          <w:tcPr/>
          <w:p>
            <w:pPr>
              <w:pStyle w:val="Compact"/>
              <w:jc w:val="left"/>
            </w:pPr>
            <w:r>
              <w:t xml:space="preserve">sensibilité 71,0 %, spécificité 77,8 %</w:t>
            </w:r>
          </w:p>
        </w:tc>
      </w:tr>
      <w:tr>
        <w:tc>
          <w:tcPr/>
          <w:p>
            <w:pPr>
              <w:pStyle w:val="Compact"/>
              <w:jc w:val="left"/>
            </w:pPr>
            <w:r>
              <w:t xml:space="preserve">Pharmacocinétique (Cabrales 2013), PMID 23099431</w:t>
            </w:r>
          </w:p>
        </w:tc>
        <w:tc>
          <w:tcPr/>
          <w:p>
            <w:pPr>
              <w:pStyle w:val="Compact"/>
              <w:jc w:val="left"/>
            </w:pPr>
            <w:r>
              <w:t xml:space="preserve">9 hommes en bonne santé, phase 1</w:t>
            </w:r>
          </w:p>
        </w:tc>
        <w:tc>
          <w:tcPr/>
          <w:p>
            <w:pPr>
              <w:pStyle w:val="Compact"/>
              <w:jc w:val="left"/>
            </w:pPr>
            <w:r>
              <w:t xml:space="preserve">doses uniques</w:t>
            </w:r>
          </w:p>
        </w:tc>
        <w:tc>
          <w:tcPr/>
          <w:p>
            <w:pPr>
              <w:pStyle w:val="Compact"/>
              <w:jc w:val="left"/>
            </w:pPr>
            <w:r>
              <w:t xml:space="preserve">demi-vie 2,5 h</w:t>
            </w:r>
          </w:p>
        </w:tc>
      </w:tr>
      <w:tr>
        <w:tc>
          <w:tcPr/>
          <w:p>
            <w:pPr>
              <w:pStyle w:val="Compact"/>
              <w:jc w:val="left"/>
            </w:pPr>
            <w:r>
              <w:t xml:space="preserve">Sommeil (Frieboes 1995), PMID 7617137</w:t>
            </w:r>
          </w:p>
        </w:tc>
        <w:tc>
          <w:tcPr/>
          <w:p>
            <w:pPr>
              <w:pStyle w:val="Compact"/>
              <w:jc w:val="left"/>
            </w:pPr>
            <w:r>
              <w:t xml:space="preserve">hommes en bonne santé, comparaison avec placebo</w:t>
            </w:r>
          </w:p>
        </w:tc>
        <w:tc>
          <w:tcPr/>
          <w:p>
            <w:pPr>
              <w:pStyle w:val="Compact"/>
              <w:jc w:val="left"/>
            </w:pPr>
            <w:r>
              <w:t xml:space="preserve">1 nuit</w:t>
            </w:r>
          </w:p>
        </w:tc>
        <w:tc>
          <w:tcPr/>
          <w:p>
            <w:pPr>
              <w:pStyle w:val="Compact"/>
              <w:jc w:val="left"/>
            </w:pPr>
            <w:r>
              <w:t xml:space="preserve">GH, ACTH, cortisol ↑ ; sommeil profond inchangé</w:t>
            </w:r>
          </w:p>
        </w:tc>
      </w:tr>
    </w:tbl>
    <w:bookmarkEnd w:id="1409"/>
    <w:bookmarkEnd w:id="1410"/>
    <w:bookmarkStart w:id="1414" w:name="études-animales-et-de-laboratoire-28"/>
    <w:p>
      <w:pPr>
        <w:pStyle w:val="Heading3"/>
      </w:pPr>
      <w:r>
        <w:t xml:space="preserve">Études animales et de laboratoire</w:t>
      </w:r>
    </w:p>
    <w:p>
      <w:pPr>
        <w:pStyle w:val="FirstParagraph"/>
      </w:pPr>
      <w:r>
        <w:t xml:space="preserve">Une grande partie de la recherche récente concerne la protection des organes :</w:t>
      </w:r>
    </w:p>
    <w:p>
      <w:pPr>
        <w:numPr>
          <w:ilvl w:val="0"/>
          <w:numId w:val="1165"/>
        </w:numPr>
        <w:pStyle w:val="Compact"/>
      </w:pPr>
      <w:r>
        <w:rPr>
          <w:bCs/>
          <w:b/>
        </w:rPr>
        <w:t xml:space="preserve">Cœur (rats) :</w:t>
      </w:r>
      <w:r>
        <w:t xml:space="preserve"> </w:t>
      </w:r>
      <w:r>
        <w:t xml:space="preserve">chez des rats recevant la doxorubicine, un anticancéreux toxique pour le cœur, l’administration simultanée de GHRP-6 a empêché la dilatation des ventricules et préservé la fonction de pompe</w:t>
      </w:r>
      <w:r>
        <w:rPr>
          <w:rStyle w:val="FootnoteReference"/>
        </w:rPr>
        <w:footnoteReference w:id="1411"/>
      </w:r>
      <w:r>
        <w:t xml:space="preserve">.</w:t>
      </w:r>
    </w:p>
    <w:p>
      <w:pPr>
        <w:numPr>
          <w:ilvl w:val="0"/>
          <w:numId w:val="1165"/>
        </w:numPr>
        <w:pStyle w:val="Compact"/>
      </w:pPr>
      <w:r>
        <w:rPr>
          <w:bCs/>
          <w:b/>
        </w:rPr>
        <w:t xml:space="preserve">Défaillance multiviscérale (rats, cultures cellulaires) :</w:t>
      </w:r>
      <w:r>
        <w:t xml:space="preserve"> </w:t>
      </w:r>
      <w:r>
        <w:t xml:space="preserve">après une interruption temporaire de la circulation hépatique, le GHRP-6 a réduit les lésions du foie et de l’intestin ; dans des cultures cellulaires, il a accéléré la migration des cellules intestinales</w:t>
      </w:r>
      <w:r>
        <w:rPr>
          <w:rStyle w:val="FootnoteReference"/>
        </w:rPr>
        <w:footnoteReference w:id="1412"/>
      </w:r>
      <w:r>
        <w:t xml:space="preserve">.</w:t>
      </w:r>
    </w:p>
    <w:p>
      <w:pPr>
        <w:numPr>
          <w:ilvl w:val="0"/>
          <w:numId w:val="1165"/>
        </w:numPr>
        <w:pStyle w:val="Compact"/>
      </w:pPr>
      <w:r>
        <w:rPr>
          <w:bCs/>
          <w:b/>
        </w:rPr>
        <w:t xml:space="preserve">Système nerveux (rats, souris) :</w:t>
      </w:r>
      <w:r>
        <w:t xml:space="preserve"> </w:t>
      </w:r>
      <w:r>
        <w:t xml:space="preserve">dans un modèle animal de sclérose en plaques, seule l’association du GHRP-6 avec le facteur de croissance EGF a amélioré l’évolution de la maladie, pas le GHRP-6 seul</w:t>
      </w:r>
      <w:r>
        <w:rPr>
          <w:rStyle w:val="FootnoteReference"/>
        </w:rPr>
        <w:footnoteReference w:id="1413"/>
      </w:r>
      <w:r>
        <w:t xml:space="preserve">.</w:t>
      </w:r>
    </w:p>
    <w:p>
      <w:pPr>
        <w:pStyle w:val="FirstParagraph"/>
      </w:pPr>
      <w:r>
        <w:t xml:space="preserve">Aucune de ces approches n’a jusqu’ici débouché sur une étude contrôlée publiée chez l’humain.</w:t>
      </w:r>
    </w:p>
    <w:bookmarkEnd w:id="1414"/>
    <w:bookmarkStart w:id="1419" w:name="risques-et-effets-indésirables-28"/>
    <w:p>
      <w:pPr>
        <w:pStyle w:val="Heading3"/>
      </w:pPr>
      <w:r>
        <w:t xml:space="preserve">Risques et effets indésirables</w:t>
      </w:r>
    </w:p>
    <w:p>
      <w:pPr>
        <w:pStyle w:val="FirstParagraph"/>
      </w:pPr>
      <w:r>
        <w:rPr>
          <w:bCs/>
          <w:b/>
        </w:rPr>
        <w:t xml:space="preserve">Établi par les études de courte durée :</w:t>
      </w:r>
      <w:r>
        <w:t xml:space="preserve"> </w:t>
      </w:r>
      <w:r>
        <w:t xml:space="preserve">sensation de chaleur (flush)</w:t>
      </w:r>
      <w:r>
        <w:rPr>
          <w:rStyle w:val="FootnoteReference"/>
        </w:rPr>
        <w:footnoteReference w:id="1415"/>
      </w:r>
      <w:r>
        <w:t xml:space="preserve"> </w:t>
      </w:r>
      <w:r>
        <w:t xml:space="preserve">; hausse de l’ACTH, du cortisol et de la prolactine</w:t>
      </w:r>
      <w:r>
        <w:rPr>
          <w:rStyle w:val="FootnoteReference"/>
        </w:rPr>
        <w:footnoteReference w:id="1416"/>
      </w:r>
      <w:r>
        <w:t xml:space="preserve"> </w:t>
      </w:r>
      <w:r>
        <w:t xml:space="preserve">; faim, effet connu de la ghréline. Dans les études diagnostiques à dose unique, aucun autre effet indésirable pertinent n’est survenu.</w:t>
      </w:r>
    </w:p>
    <w:p>
      <w:pPr>
        <w:pStyle w:val="BodyText"/>
      </w:pPr>
      <w:r>
        <w:rPr>
          <w:bCs/>
          <w:b/>
        </w:rPr>
        <w:t xml:space="preserve">Inconnu :</w:t>
      </w:r>
      <w:r>
        <w:t xml:space="preserve"> </w:t>
      </w:r>
      <w:r>
        <w:t xml:space="preserve">il n’existe aucune étude chez l’humain sur une utilisation répétée pendant des semaines ou des mois. En cas d’utilisation prolongée, les conséquences connues de taux élevés d’hormone de croissance et d’une stimulation répétée du cortisol sont envisageables, par exemple une dégradation de la régulation glycémique. Un rapport de cas décrit un culturiste qui a utilisé pendant des décennies de l’hormone de croissance et des sécrétagogues – dont une association de sermoréline et de GHRP-6 – et qui a développé un volumineux ostéophyte sur la colonne cervicale ; un lien de causalité n’est pas prouvé</w:t>
      </w:r>
      <w:r>
        <w:rPr>
          <w:rStyle w:val="FootnoteReference"/>
        </w:rPr>
        <w:footnoteReference w:id="1417"/>
      </w:r>
      <w:r>
        <w:t xml:space="preserve">. Sur la question du cancer, voir l’introduction de ce groupe et la partie IV.</w:t>
      </w:r>
    </w:p>
    <w:p>
      <w:pPr>
        <w:pStyle w:val="BodyText"/>
      </w:pPr>
      <w:r>
        <w:rPr>
          <w:bCs/>
          <w:b/>
        </w:rPr>
        <w:t xml:space="preserve">Marché gris :</w:t>
      </w:r>
      <w:r>
        <w:t xml:space="preserve"> </w:t>
      </w:r>
      <w:r>
        <w:t xml:space="preserve">dans des produits saisis, on a mis en évidence du « Gly-GHRP-6 », une variante non déclarée comportant un acide aminé supplémentaire</w:t>
      </w:r>
      <w:r>
        <w:rPr>
          <w:rStyle w:val="FootnoteReference"/>
        </w:rPr>
        <w:footnoteReference w:id="1418"/>
      </w:r>
      <w:r>
        <w:t xml:space="preserve">.</w:t>
      </w:r>
    </w:p>
    <w:bookmarkEnd w:id="1419"/>
    <w:bookmarkStart w:id="1421" w:name="statut-juridique-28"/>
    <w:p>
      <w:pPr>
        <w:pStyle w:val="Heading3"/>
      </w:pPr>
      <w:r>
        <w:t xml:space="preserve">Statut juridique</w:t>
      </w:r>
    </w:p>
    <w:p>
      <w:pPr>
        <w:pStyle w:val="FirstParagraph"/>
      </w:pPr>
      <w:r>
        <w:rPr>
          <w:iCs/>
          <w:i/>
        </w:rPr>
        <w:t xml:space="preserve">État 2026, à vérifier.</w:t>
      </w:r>
    </w:p>
    <w:p>
      <w:pPr>
        <w:numPr>
          <w:ilvl w:val="0"/>
          <w:numId w:val="1166"/>
        </w:numPr>
        <w:pStyle w:val="Compact"/>
      </w:pPr>
      <w:r>
        <w:rPr>
          <w:bCs/>
          <w:b/>
        </w:rPr>
        <w:t xml:space="preserve">UE, Allemagne, Autriche, États-Unis :</w:t>
      </w:r>
      <w:r>
        <w:t xml:space="preserve"> </w:t>
      </w:r>
      <w:r>
        <w:t xml:space="preserve">aucune autorisation comme médicament ; la remise en vue d’un usage humain est illicite. En recherche, le GHRP-6 est utilisé dans le cadre d’études autorisées.</w:t>
      </w:r>
    </w:p>
    <w:p>
      <w:pPr>
        <w:numPr>
          <w:ilvl w:val="0"/>
          <w:numId w:val="1166"/>
        </w:numPr>
        <w:pStyle w:val="Compact"/>
      </w:pPr>
      <w:r>
        <w:rPr>
          <w:bCs/>
          <w:b/>
        </w:rPr>
        <w:t xml:space="preserve">AMA (WADA) :</w:t>
      </w:r>
      <w:r>
        <w:t xml:space="preserve"> </w:t>
      </w:r>
      <w:r>
        <w:t xml:space="preserve">interdit (S2). Le GHRP-6 est en grande partie éliminé sous forme inchangée dans l’urine et restait détectable 23 heures après administration en spray nasal chez un volontaire</w:t>
      </w:r>
      <w:r>
        <w:rPr>
          <w:rStyle w:val="FootnoteReference"/>
        </w:rPr>
        <w:footnoteReference w:id="1420"/>
      </w:r>
      <w:r>
        <w:t xml:space="preserve">.</w:t>
      </w:r>
    </w:p>
    <w:bookmarkEnd w:id="1421"/>
    <w:bookmarkStart w:id="1422" w:name="études-en-cours-et-perspectives-28"/>
    <w:p>
      <w:pPr>
        <w:pStyle w:val="Heading3"/>
      </w:pPr>
      <w:r>
        <w:t xml:space="preserve">Études en cours et perspectives</w:t>
      </w:r>
    </w:p>
    <w:p>
      <w:pPr>
        <w:pStyle w:val="FirstParagraph"/>
      </w:pPr>
      <w:r>
        <w:t xml:space="preserve">En octobre 2026, ClinicalTrials.gov ne recense aucune étude avec le GHRP-6.</w:t>
      </w:r>
      <w:r>
        <w:t xml:space="preserve"> </w:t>
      </w:r>
      <w:r>
        <w:rPr>
          <w:iCs/>
          <w:i/>
        </w:rPr>
        <w:t xml:space="preserve">Appréciation de l’auteur :</w:t>
      </w:r>
      <w:r>
        <w:t xml:space="preserve"> </w:t>
      </w:r>
      <w:r>
        <w:t xml:space="preserve">les travaux chez l’animal sur la protection des organes sont la seule piste de développement visible ; on ignore si des études chez l’humain en découleront. Pour le diagnostic, le GHRP-6 a été largement remplacé par d’autres tests.</w:t>
      </w:r>
    </w:p>
    <w:bookmarkEnd w:id="1422"/>
    <w:bookmarkStart w:id="1423" w:name="conclusion-28"/>
    <w:p>
      <w:pPr>
        <w:pStyle w:val="Heading3"/>
      </w:pPr>
      <w:r>
        <w:t xml:space="preserve">Conclusion</w:t>
      </w:r>
    </w:p>
    <w:p>
      <w:pPr>
        <w:pStyle w:val="FirstParagraph"/>
      </w:pPr>
      <w:r>
        <w:t xml:space="preserve">Le GHRP-6 a été le premier peptide artificiel à libérer de manière ciblée l’hormone de croissance et a contribué de façon décisive à la découverte du système de la ghréline. Chez l’humain, il n’a presque été étudié que comme substance de test administrée une seule fois, notamment dans une grande étude du Lancet sur le diagnostic du déficit en hormone de croissance. Il n’existe aucun bénéfice thérapeutique démontré, et les données font totalement défaut sur l’utilisation répétée telle qu’elle est vantée sur le marché gris.</w:t>
      </w:r>
    </w:p>
    <w:bookmarkEnd w:id="1423"/>
    <w:bookmarkEnd w:id="1424"/>
    <w:bookmarkStart w:id="1457" w:name="hexaréline"/>
    <w:p>
      <w:pPr>
        <w:pStyle w:val="Heading2"/>
      </w:pPr>
      <w:r>
        <w:t xml:space="preserve">Hexaréline</w:t>
      </w:r>
    </w:p>
    <w:p>
      <w:pPr>
        <w:pStyle w:val="FirstParagraph"/>
      </w:pPr>
      <w:r>
        <w:t xml:space="preserve">L’hexaréline est une proche parente du GHRP-6 – et l’un des sécrétagogues artificiels de l’hormone de croissance les plus puissants qui soient. Dans les années 1990, elle a été étudiée intensivement chez l’humain, surtout en Italie. Un élément inattendu est alors apparu : l’hexaréline semble agir directement sur le cœur, indépendamment de l’hormone de croissance. Aucune autorisation n’a pourtant suivi. L’une des raisons tenait à une faiblesse typique de cette classe de substances : en cas d’usage prolongé, l’effet s’atténue.</w:t>
      </w:r>
    </w:p>
    <w:bookmarkStart w:id="1427" w:name="fiche-signalétique-29"/>
    <w:p>
      <w:pPr>
        <w:pStyle w:val="Heading3"/>
      </w:pPr>
      <w:r>
        <w:t xml:space="preserve">Fiche signalétique</w:t>
      </w:r>
    </w:p>
    <w:p>
      <w:pPr>
        <w:numPr>
          <w:ilvl w:val="0"/>
          <w:numId w:val="1167"/>
        </w:numPr>
        <w:pStyle w:val="Compact"/>
      </w:pPr>
      <w:r>
        <w:rPr>
          <w:bCs/>
          <w:b/>
        </w:rPr>
        <w:t xml:space="preserve">Nature et structure :</w:t>
      </w:r>
      <w:r>
        <w:t xml:space="preserve"> </w:t>
      </w:r>
      <w:r>
        <w:t xml:space="preserve">hexapeptide de synthèse His-D-2-méthyl-Trp-Ala-Trp-D-Phe-Lys-NH2 ; il se distingue du GHRP-6 par un groupement méthyle supplémentaire sur le deuxième élément</w:t>
      </w:r>
      <w:r>
        <w:rPr>
          <w:rStyle w:val="FootnoteReference"/>
        </w:rPr>
        <w:footnoteReference w:id="1425"/>
      </w:r>
      <w:r>
        <w:t xml:space="preserve">.</w:t>
      </w:r>
    </w:p>
    <w:p>
      <w:pPr>
        <w:numPr>
          <w:ilvl w:val="0"/>
          <w:numId w:val="1167"/>
        </w:numPr>
        <w:pStyle w:val="Compact"/>
      </w:pPr>
      <w:r>
        <w:rPr>
          <w:bCs/>
          <w:b/>
        </w:rPr>
        <w:t xml:space="preserve">Origine :</w:t>
      </w:r>
      <w:r>
        <w:t xml:space="preserve"> </w:t>
      </w:r>
      <w:r>
        <w:t xml:space="preserve">développée au début des années 1990 comme variante du GHRP-6 ; une grande partie de la recherche clinique provient de centres universitaires italiens.</w:t>
      </w:r>
    </w:p>
    <w:p>
      <w:pPr>
        <w:numPr>
          <w:ilvl w:val="0"/>
          <w:numId w:val="1167"/>
        </w:numPr>
        <w:pStyle w:val="Compact"/>
      </w:pPr>
      <w:r>
        <w:rPr>
          <w:bCs/>
          <w:b/>
        </w:rPr>
        <w:t xml:space="preserve">Principe d’action :</w:t>
      </w:r>
      <w:r>
        <w:t xml:space="preserve"> </w:t>
      </w:r>
      <w:r>
        <w:t xml:space="preserve">agoniste du récepteur de la ghréline (GHS-R1a) ; libère de l’hormone de croissance, de l’ACTH, du cortisol et de la prolactine. En outre, l’hexaréline se lie au récepteur CD36 du tissu cardiaque, par lequel on suppose des effets cardiaques indépendants de la GH</w:t>
      </w:r>
      <w:r>
        <w:rPr>
          <w:rStyle w:val="FootnoteReference"/>
        </w:rPr>
        <w:footnoteReference w:id="1426"/>
      </w:r>
      <w:r>
        <w:t xml:space="preserve">.</w:t>
      </w:r>
    </w:p>
    <w:p>
      <w:pPr>
        <w:numPr>
          <w:ilvl w:val="0"/>
          <w:numId w:val="1167"/>
        </w:numPr>
        <w:pStyle w:val="Compact"/>
      </w:pPr>
      <w:r>
        <w:rPr>
          <w:bCs/>
          <w:b/>
        </w:rPr>
        <w:t xml:space="preserve">Autorisation UE :</w:t>
      </w:r>
      <w:r>
        <w:t xml:space="preserve"> </w:t>
      </w:r>
      <w:r>
        <w:t xml:space="preserve">non.</w:t>
      </w:r>
      <w:r>
        <w:t xml:space="preserve"> </w:t>
      </w:r>
      <w:r>
        <w:rPr>
          <w:bCs/>
          <w:b/>
        </w:rPr>
        <w:t xml:space="preserve">Autorisation États-Unis :</w:t>
      </w:r>
      <w:r>
        <w:t xml:space="preserve"> </w:t>
      </w:r>
      <w:r>
        <w:t xml:space="preserve">non.</w:t>
      </w:r>
    </w:p>
    <w:p>
      <w:pPr>
        <w:numPr>
          <w:ilvl w:val="0"/>
          <w:numId w:val="1167"/>
        </w:numPr>
        <w:pStyle w:val="Compact"/>
      </w:pPr>
      <w:r>
        <w:rPr>
          <w:bCs/>
          <w:b/>
        </w:rPr>
        <w:t xml:space="preserve">AMA (WADA) :</w:t>
      </w:r>
      <w:r>
        <w:t xml:space="preserve"> </w:t>
      </w:r>
      <w:r>
        <w:t xml:space="preserve">interdite, classe S2 – l’hexaréline est expressément nommée en tant que peptide libérant l’hormone de croissance.</w:t>
      </w:r>
    </w:p>
    <w:p>
      <w:pPr>
        <w:numPr>
          <w:ilvl w:val="0"/>
          <w:numId w:val="1167"/>
        </w:numPr>
        <w:pStyle w:val="Compact"/>
      </w:pPr>
      <w:r>
        <w:rPr>
          <w:bCs/>
          <w:b/>
        </w:rPr>
        <w:t xml:space="preserve">Niveau de preuve : C</w:t>
      </w:r>
      <w:r>
        <w:t xml:space="preserve"> </w:t>
      </w:r>
      <w:r>
        <w:t xml:space="preserve">– de nombreuses petites études, dont beaucoup randomisées, mais presque exclusivement avec des administrations uniques et des paramètres hormonaux ou de physiologie circulatoire ; aucune étude sur un critère clinique.</w:t>
      </w:r>
    </w:p>
    <w:bookmarkEnd w:id="1427"/>
    <w:bookmarkStart w:id="1429" w:name="mode-daction-supposé-29"/>
    <w:p>
      <w:pPr>
        <w:pStyle w:val="Heading3"/>
      </w:pPr>
      <w:r>
        <w:t xml:space="preserve">Mode d’action supposé</w:t>
      </w:r>
    </w:p>
    <w:p>
      <w:pPr>
        <w:pStyle w:val="FirstParagraph"/>
      </w:pPr>
      <w:r>
        <w:t xml:space="preserve">Comme le GHRP-6 et le GHRP-2, l’hexaréline imite l’hormone gastrique ghréline et déclenche ainsi la sécrétion d’hormone de croissance. Son effet dépend d’une connexion intacte entre l’hypothalamus et l’hypophyse : chez des enfants et des adultes dont cette connexion était interrompue anatomiquement, la réponse en GH était absente ou fortement atténuée, alors qu’elle était vigoureuse en cas de déficit idiopathique</w:t>
      </w:r>
      <w:r>
        <w:rPr>
          <w:rStyle w:val="FootnoteReference"/>
        </w:rPr>
        <w:footnoteReference w:id="1428"/>
      </w:r>
      <w:r>
        <w:t xml:space="preserve">.</w:t>
      </w:r>
    </w:p>
    <w:p>
      <w:pPr>
        <w:pStyle w:val="BodyText"/>
      </w:pPr>
      <w:r>
        <w:t xml:space="preserve">La deuxième idée, distincte, concerne le cœur. Les récepteurs de la ghréline et la molécule de capture CD36 sont également présents dans le muscle cardiaque. L’hexaréline pourrait donc augmenter directement la force de pompage du cœur – une approche possible dans l’insuffisance cardiaque, indépendamment de l’hormone de croissance.</w:t>
      </w:r>
    </w:p>
    <w:bookmarkEnd w:id="1429"/>
    <w:bookmarkStart w:id="1443" w:name="études-chez-lhumain-29"/>
    <w:p>
      <w:pPr>
        <w:pStyle w:val="Heading3"/>
      </w:pPr>
      <w:r>
        <w:t xml:space="preserve">Études chez l’humain</w:t>
      </w:r>
    </w:p>
    <w:p>
      <w:pPr>
        <w:pStyle w:val="FirstParagraph"/>
      </w:pPr>
      <w:r>
        <w:rPr>
          <w:bCs/>
          <w:b/>
        </w:rPr>
        <w:t xml:space="preserve">Ampleur des données (requête d’octobre 2026) :</w:t>
      </w:r>
      <w:r>
        <w:t xml:space="preserve"> </w:t>
      </w:r>
      <w:r>
        <w:t xml:space="preserve">la recherche automatisée de ce livre a trouvé</w:t>
      </w:r>
      <w:r>
        <w:t xml:space="preserve"> </w:t>
      </w:r>
      <w:r>
        <w:rPr>
          <w:bCs/>
          <w:b/>
        </w:rPr>
        <w:t xml:space="preserve">58</w:t>
      </w:r>
      <w:r>
        <w:t xml:space="preserve"> </w:t>
      </w:r>
      <w:r>
        <w:t xml:space="preserve">études chez l’humain dans PubMed (</w:t>
      </w:r>
      <w:r>
        <w:rPr>
          <w:rStyle w:val="VerbatimChar"/>
        </w:rPr>
        <w:t xml:space="preserve">humanstudien_alle</w:t>
      </w:r>
      <w:r>
        <w:t xml:space="preserve">) et</w:t>
      </w:r>
      <w:r>
        <w:t xml:space="preserve"> </w:t>
      </w:r>
      <w:r>
        <w:rPr>
          <w:bCs/>
          <w:b/>
        </w:rPr>
        <w:t xml:space="preserve">aucune</w:t>
      </w:r>
      <w:r>
        <w:t xml:space="preserve"> </w:t>
      </w:r>
      <w:r>
        <w:t xml:space="preserve">entrée sur ClinicalTrials.gov. La plupart des études datent de 1994 à 2004 et examinent, avec des administrations uniques, comment la réponse hormonale dépend de l’âge, du sexe, de l’alimentation, de médicaments ou de maladies. Quelques entrées de la liste portent principalement sur la ghréline ou le GHRP-6 et n’utilisent l’hexaréline qu’à titre de comparaison.</w:t>
      </w:r>
    </w:p>
    <w:bookmarkStart w:id="1433" w:name="effet-hormonal-et-dose"/>
    <w:p>
      <w:pPr>
        <w:pStyle w:val="Heading4"/>
      </w:pPr>
      <w:r>
        <w:t xml:space="preserve">Effet hormonal et dose</w:t>
      </w:r>
    </w:p>
    <w:p>
      <w:pPr>
        <w:pStyle w:val="FirstParagraph"/>
      </w:pPr>
      <w:r>
        <w:t xml:space="preserve">Dans une étude en double aveugle contrôlée contre placebo portant sur douze hommes en bonne santé, l’hormone de croissance a augmenté de façon dose-dépendante après administration intraveineuse, avec un pic au bout d’environ 30 minutes et un retour à la valeur initiale en quatre heures</w:t>
      </w:r>
      <w:r>
        <w:rPr>
          <w:rStyle w:val="FootnoteReference"/>
        </w:rPr>
        <w:footnoteReference w:id="1430"/>
      </w:r>
      <w:r>
        <w:t xml:space="preserve">. L’hexaréline libérait aussi la prolactine et le cortisol de façon dose-dépendante ; associée à la GHRH, une faible dose d’hexaréline suffisait pour une sécrétion massive de GH sans hausse du cortisol</w:t>
      </w:r>
      <w:r>
        <w:rPr>
          <w:rStyle w:val="FootnoteReference"/>
        </w:rPr>
        <w:footnoteReference w:id="1431"/>
      </w:r>
      <w:r>
        <w:t xml:space="preserve">. L’activation de l’axe des hormones du stress passe manifestement par l’hypothalamus ; dans une étude portant sur 15 jeunes hommes, l’hexaréline augmentait aussi l’appétit à court terme</w:t>
      </w:r>
      <w:r>
        <w:rPr>
          <w:rStyle w:val="FootnoteReference"/>
        </w:rPr>
        <w:footnoteReference w:id="1432"/>
      </w:r>
      <w:r>
        <w:t xml:space="preserve">.</w:t>
      </w:r>
    </w:p>
    <w:bookmarkEnd w:id="1433"/>
    <w:bookmarkStart w:id="1438" w:name="administration-prolongée-leffet-satténue"/>
    <w:p>
      <w:pPr>
        <w:pStyle w:val="Heading4"/>
      </w:pPr>
      <w:r>
        <w:t xml:space="preserve">Administration prolongée : l’effet s’atténue</w:t>
      </w:r>
    </w:p>
    <w:p>
      <w:pPr>
        <w:pStyle w:val="FirstParagraph"/>
      </w:pPr>
      <w:r>
        <w:t xml:space="preserve">Ce qui est décisif pour un traitement, c’est de savoir si l’effet persiste en cas d’administrations répétées. Chez des adultes qui se sont injecté de l’hexaréline par voie sous-cutanée deux fois par jour pendant 16 semaines, la réponse en GH a nettement diminué et ne s’est rétablie que quatre semaines après l’arrêt. L’IGF-1, la masse grasse, la masse musculaire et la densité osseuse n’ont pas changé significativement</w:t>
      </w:r>
      <w:r>
        <w:rPr>
          <w:rStyle w:val="FootnoteReference"/>
        </w:rPr>
        <w:footnoteReference w:id="1434"/>
      </w:r>
      <w:r>
        <w:t xml:space="preserve">. La réponse du cortisol s’est elle aussi temporairement atténuée dans la même étude</w:t>
      </w:r>
      <w:r>
        <w:rPr>
          <w:rStyle w:val="FootnoteReference"/>
        </w:rPr>
        <w:footnoteReference w:id="1435"/>
      </w:r>
      <w:r>
        <w:t xml:space="preserve">.</w:t>
      </w:r>
    </w:p>
    <w:p>
      <w:pPr>
        <w:pStyle w:val="BodyText"/>
      </w:pPr>
      <w:r>
        <w:t xml:space="preserve">Chez des enfants de petite taille, le tableau était un peu plus favorable : sous spray nasal, la vitesse de croissance de huit enfants est passée de 5,3 à 8,3 cm par an, et l’IGF-1 a augmenté</w:t>
      </w:r>
      <w:r>
        <w:rPr>
          <w:rStyle w:val="FootnoteReference"/>
        </w:rPr>
        <w:footnoteReference w:id="1436"/>
      </w:r>
      <w:r>
        <w:t xml:space="preserve">. Une étude de suivi portant sur sept enfants a montré que la réponse en GH de l’hypophyse était déjà réduite environ de moitié au bout de sept jours, mais que la croissance plus rapide se maintenait néanmoins</w:t>
      </w:r>
      <w:r>
        <w:rPr>
          <w:rStyle w:val="FootnoteReference"/>
        </w:rPr>
        <w:footnoteReference w:id="1437"/>
      </w:r>
      <w:r>
        <w:t xml:space="preserve">.</w:t>
      </w:r>
    </w:p>
    <w:bookmarkEnd w:id="1438"/>
    <w:bookmarkStart w:id="1442" w:name="effets-cardiaques"/>
    <w:p>
      <w:pPr>
        <w:pStyle w:val="Heading4"/>
      </w:pPr>
      <w:r>
        <w:t xml:space="preserve">Effets cardiaques</w:t>
      </w:r>
    </w:p>
    <w:p>
      <w:pPr>
        <w:pStyle w:val="FirstParagraph"/>
      </w:pPr>
      <w:r>
        <w:t xml:space="preserve">Plusieurs petites études d’un groupe de travail italien ont examiné le cœur :</w:t>
      </w:r>
    </w:p>
    <w:p>
      <w:pPr>
        <w:numPr>
          <w:ilvl w:val="0"/>
          <w:numId w:val="1168"/>
        </w:numPr>
        <w:pStyle w:val="Compact"/>
      </w:pPr>
      <w:r>
        <w:t xml:space="preserve">Chez sept hommes présentant un déficit en hormone de croissance et neuf témoins en bonne santé, la fraction d’éjection ventriculaire gauche (la part du sang que le ventricule gauche éjecte à chaque battement) a augmenté dans les deux groupes après une administration unique d’hexaréline, bien que les personnes concernées ne sécrètent presque pas d’hormone de croissance. Les auteurs en concluent à un effet indépendant de la GH</w:t>
      </w:r>
      <w:r>
        <w:rPr>
          <w:rStyle w:val="FootnoteReference"/>
        </w:rPr>
        <w:footnoteReference w:id="1439"/>
      </w:r>
      <w:r>
        <w:t xml:space="preserve">.</w:t>
      </w:r>
    </w:p>
    <w:p>
      <w:pPr>
        <w:numPr>
          <w:ilvl w:val="0"/>
          <w:numId w:val="1168"/>
        </w:numPr>
        <w:pStyle w:val="Compact"/>
      </w:pPr>
      <w:r>
        <w:t xml:space="preserve">Chez des patientes et patients atteints d’une cardiomyopathie dilatée sévère, cet effet était en revanche absent</w:t>
      </w:r>
      <w:r>
        <w:rPr>
          <w:rStyle w:val="FootnoteReference"/>
        </w:rPr>
        <w:footnoteReference w:id="1440"/>
      </w:r>
      <w:r>
        <w:t xml:space="preserve">.</w:t>
      </w:r>
    </w:p>
    <w:p>
      <w:pPr>
        <w:numPr>
          <w:ilvl w:val="0"/>
          <w:numId w:val="1168"/>
        </w:numPr>
        <w:pStyle w:val="Compact"/>
      </w:pPr>
      <w:r>
        <w:t xml:space="preserve">Chez 24 hommes atteints de maladie coronarienne, pendant un pontage, l’hexaréline a augmenté la fraction d’éjection et le débit cardiaque pendant jusqu’à 90 minutes, alors que la GHRH, l’hormone de croissance et le placebo n’avaient aucun effet</w:t>
      </w:r>
      <w:r>
        <w:rPr>
          <w:rStyle w:val="FootnoteReference"/>
        </w:rPr>
        <w:footnoteReference w:id="1441"/>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Recherche de dose (Imbimbo 1994), PMID 7957536</w:t>
            </w:r>
          </w:p>
        </w:tc>
        <w:tc>
          <w:tcPr/>
          <w:p>
            <w:pPr>
              <w:pStyle w:val="Compact"/>
              <w:jc w:val="left"/>
            </w:pPr>
            <w:r>
              <w:t xml:space="preserve">12 hommes en bonne santé, double aveugle, placebo, doses croissantes</w:t>
            </w:r>
          </w:p>
        </w:tc>
        <w:tc>
          <w:tcPr/>
          <w:p>
            <w:pPr>
              <w:pStyle w:val="Compact"/>
              <w:jc w:val="left"/>
            </w:pPr>
            <w:r>
              <w:t xml:space="preserve">administrations uniques</w:t>
            </w:r>
          </w:p>
        </w:tc>
        <w:tc>
          <w:tcPr/>
          <w:p>
            <w:pPr>
              <w:pStyle w:val="Compact"/>
              <w:jc w:val="left"/>
            </w:pPr>
            <w:r>
              <w:t xml:space="preserve">pic de GH après env. 30 min, dose-dépendant</w:t>
            </w:r>
          </w:p>
        </w:tc>
      </w:tr>
      <w:tr>
        <w:tc>
          <w:tcPr/>
          <w:p>
            <w:pPr>
              <w:pStyle w:val="Compact"/>
              <w:jc w:val="left"/>
            </w:pPr>
            <w:r>
              <w:t xml:space="preserve">Administration prolongée (Rahim 1998), PMID 9589671</w:t>
            </w:r>
          </w:p>
        </w:tc>
        <w:tc>
          <w:tcPr/>
          <w:p>
            <w:pPr>
              <w:pStyle w:val="Compact"/>
              <w:jc w:val="left"/>
            </w:pPr>
            <w:r>
              <w:t xml:space="preserve">adultes, sans groupe témoin</w:t>
            </w:r>
          </w:p>
        </w:tc>
        <w:tc>
          <w:tcPr/>
          <w:p>
            <w:pPr>
              <w:pStyle w:val="Compact"/>
              <w:jc w:val="left"/>
            </w:pPr>
            <w:r>
              <w:t xml:space="preserve">16 semaines</w:t>
            </w:r>
          </w:p>
        </w:tc>
        <w:tc>
          <w:tcPr/>
          <w:p>
            <w:pPr>
              <w:pStyle w:val="Compact"/>
              <w:jc w:val="left"/>
            </w:pPr>
            <w:r>
              <w:t xml:space="preserve">réponse en GH atténuée ; IGF-1 et composition corporelle inchangés</w:t>
            </w:r>
          </w:p>
        </w:tc>
      </w:tr>
      <w:tr>
        <w:tc>
          <w:tcPr/>
          <w:p>
            <w:pPr>
              <w:pStyle w:val="Compact"/>
              <w:jc w:val="left"/>
            </w:pPr>
            <w:r>
              <w:t xml:space="preserve">Enfants, spray nasal (Laron 1995), PMID 8548949</w:t>
            </w:r>
          </w:p>
        </w:tc>
        <w:tc>
          <w:tcPr/>
          <w:p>
            <w:pPr>
              <w:pStyle w:val="Compact"/>
              <w:jc w:val="left"/>
            </w:pPr>
            <w:r>
              <w:t xml:space="preserve">8 enfants de petite taille, sans groupe témoin</w:t>
            </w:r>
          </w:p>
        </w:tc>
        <w:tc>
          <w:tcPr/>
          <w:p>
            <w:pPr>
              <w:pStyle w:val="Compact"/>
              <w:jc w:val="left"/>
            </w:pPr>
            <w:r>
              <w:t xml:space="preserve">jusqu’à 8 mois</w:t>
            </w:r>
          </w:p>
        </w:tc>
        <w:tc>
          <w:tcPr/>
          <w:p>
            <w:pPr>
              <w:pStyle w:val="Compact"/>
              <w:jc w:val="left"/>
            </w:pPr>
            <w:r>
              <w:t xml:space="preserve">croissance 5,3 → 8,3 cm/an</w:t>
            </w:r>
          </w:p>
        </w:tc>
      </w:tr>
      <w:tr>
        <w:tc>
          <w:tcPr/>
          <w:p>
            <w:pPr>
              <w:pStyle w:val="Compact"/>
              <w:jc w:val="left"/>
            </w:pPr>
            <w:r>
              <w:t xml:space="preserve">Cœur, déficit en GH (Bisi 1999), PMID 10528131</w:t>
            </w:r>
          </w:p>
        </w:tc>
        <w:tc>
          <w:tcPr/>
          <w:p>
            <w:pPr>
              <w:pStyle w:val="Compact"/>
              <w:jc w:val="left"/>
            </w:pPr>
            <w:r>
              <w:t xml:space="preserve">7 hommes avec déficit en GH, 9 personnes en bonne santé</w:t>
            </w:r>
          </w:p>
        </w:tc>
        <w:tc>
          <w:tcPr/>
          <w:p>
            <w:pPr>
              <w:pStyle w:val="Compact"/>
              <w:jc w:val="left"/>
            </w:pPr>
            <w:r>
              <w:t xml:space="preserve">administration unique</w:t>
            </w:r>
          </w:p>
        </w:tc>
        <w:tc>
          <w:tcPr/>
          <w:p>
            <w:pPr>
              <w:pStyle w:val="Compact"/>
              <w:jc w:val="left"/>
            </w:pPr>
            <w:r>
              <w:t xml:space="preserve">fraction d’éjection 50 → 57 % et 63 → 70 %</w:t>
            </w:r>
          </w:p>
        </w:tc>
      </w:tr>
      <w:tr>
        <w:tc>
          <w:tcPr/>
          <w:p>
            <w:pPr>
              <w:pStyle w:val="Compact"/>
              <w:jc w:val="left"/>
            </w:pPr>
            <w:r>
              <w:t xml:space="preserve">Cœur, pontage (Broglio 2002), PMID 12144941</w:t>
            </w:r>
          </w:p>
        </w:tc>
        <w:tc>
          <w:tcPr/>
          <w:p>
            <w:pPr>
              <w:pStyle w:val="Compact"/>
              <w:jc w:val="left"/>
            </w:pPr>
            <w:r>
              <w:t xml:space="preserve">24 hommes avec maladie coronarienne, comparaison avec GHRH, GH, placebo</w:t>
            </w:r>
          </w:p>
        </w:tc>
        <w:tc>
          <w:tcPr/>
          <w:p>
            <w:pPr>
              <w:pStyle w:val="Compact"/>
              <w:jc w:val="left"/>
            </w:pPr>
            <w:r>
              <w:t xml:space="preserve">administration unique</w:t>
            </w:r>
          </w:p>
        </w:tc>
        <w:tc>
          <w:tcPr/>
          <w:p>
            <w:pPr>
              <w:pStyle w:val="Compact"/>
              <w:jc w:val="left"/>
            </w:pPr>
            <w:r>
              <w:t xml:space="preserve">fraction d’éjection et débit cardiaque ↑</w:t>
            </w:r>
          </w:p>
        </w:tc>
      </w:tr>
    </w:tbl>
    <w:bookmarkEnd w:id="1442"/>
    <w:bookmarkEnd w:id="1443"/>
    <w:bookmarkStart w:id="1447" w:name="études-animales-et-de-laboratoire-29"/>
    <w:p>
      <w:pPr>
        <w:pStyle w:val="Heading3"/>
      </w:pPr>
      <w:r>
        <w:t xml:space="preserve">Études animales et de laboratoire</w:t>
      </w:r>
    </w:p>
    <w:p>
      <w:pPr>
        <w:numPr>
          <w:ilvl w:val="0"/>
          <w:numId w:val="1169"/>
        </w:numPr>
        <w:pStyle w:val="Compact"/>
      </w:pPr>
      <w:r>
        <w:rPr>
          <w:bCs/>
          <w:b/>
        </w:rPr>
        <w:t xml:space="preserve">Infarctus du myocarde (rats, souris) :</w:t>
      </w:r>
      <w:r>
        <w:t xml:space="preserve"> </w:t>
      </w:r>
      <w:r>
        <w:t xml:space="preserve">chez des rats, quatre semaines après un infarctus provoqué artificiellement, l’hexaréline a amélioré sur deux semaines le volume d’éjection systolique et réduit la résistance vasculaire, de manière semblable à l’hormone de croissance</w:t>
      </w:r>
      <w:r>
        <w:rPr>
          <w:rStyle w:val="FootnoteReference"/>
        </w:rPr>
        <w:footnoteReference w:id="1444"/>
      </w:r>
      <w:r>
        <w:t xml:space="preserve">. Chez des souris après infarctus, elle a préservé la fonction de pompe et réduit la cicatrisation fibreuse du muscle cardiaque</w:t>
      </w:r>
      <w:r>
        <w:rPr>
          <w:rStyle w:val="FootnoteReference"/>
        </w:rPr>
        <w:footnoteReference w:id="1445"/>
      </w:r>
      <w:r>
        <w:t xml:space="preserve">.</w:t>
      </w:r>
    </w:p>
    <w:p>
      <w:pPr>
        <w:numPr>
          <w:ilvl w:val="0"/>
          <w:numId w:val="1169"/>
        </w:numPr>
        <w:pStyle w:val="Compact"/>
      </w:pPr>
      <w:r>
        <w:rPr>
          <w:bCs/>
          <w:b/>
        </w:rPr>
        <w:t xml:space="preserve">Mécanisme :</w:t>
      </w:r>
      <w:r>
        <w:t xml:space="preserve"> </w:t>
      </w:r>
      <w:r>
        <w:t xml:space="preserve">une revue décrit CD36 comme un récepteur cardiaque spécifique de l’hexaréline, censé médier les effets protecteurs</w:t>
      </w:r>
      <w:r>
        <w:rPr>
          <w:rStyle w:val="FootnoteReference"/>
        </w:rPr>
        <w:footnoteReference w:id="1446"/>
      </w:r>
      <w:r>
        <w:t xml:space="preserve">.</w:t>
      </w:r>
    </w:p>
    <w:bookmarkEnd w:id="1447"/>
    <w:bookmarkStart w:id="1452" w:name="risques-et-effets-indésirables-29"/>
    <w:p>
      <w:pPr>
        <w:pStyle w:val="Heading3"/>
      </w:pPr>
      <w:r>
        <w:t xml:space="preserve">Risques et effets indésirables</w:t>
      </w:r>
    </w:p>
    <w:p>
      <w:pPr>
        <w:pStyle w:val="FirstParagraph"/>
      </w:pPr>
      <w:r>
        <w:rPr>
          <w:bCs/>
          <w:b/>
        </w:rPr>
        <w:t xml:space="preserve">Établi :</w:t>
      </w:r>
      <w:r>
        <w:t xml:space="preserve"> </w:t>
      </w:r>
      <w:r>
        <w:t xml:space="preserve">hausse du cortisol, de l’ACTH et de la prolactine</w:t>
      </w:r>
      <w:r>
        <w:rPr>
          <w:rStyle w:val="FootnoteReference"/>
        </w:rPr>
        <w:footnoteReference w:id="1448"/>
      </w:r>
      <w:r>
        <w:t xml:space="preserve"> </w:t>
      </w:r>
      <w:r>
        <w:t xml:space="preserve">; appétit accru à court terme</w:t>
      </w:r>
      <w:r>
        <w:rPr>
          <w:rStyle w:val="FootnoteReference"/>
        </w:rPr>
        <w:footnoteReference w:id="1449"/>
      </w:r>
      <w:r>
        <w:t xml:space="preserve"> </w:t>
      </w:r>
      <w:r>
        <w:t xml:space="preserve">; atténuation de l’effet en cas d’administration prolongée</w:t>
      </w:r>
      <w:r>
        <w:rPr>
          <w:rStyle w:val="FootnoteReference"/>
        </w:rPr>
        <w:footnoteReference w:id="1450"/>
      </w:r>
      <w:r>
        <w:t xml:space="preserve">. Aucun effet indésirable grave n’a été rapporté dans les petites études ; chez les enfants, les auteurs n’ont constaté aucun effet indésirable</w:t>
      </w:r>
      <w:r>
        <w:rPr>
          <w:rStyle w:val="FootnoteReference"/>
        </w:rPr>
        <w:footnoteReference w:id="1451"/>
      </w:r>
      <w:r>
        <w:t xml:space="preserve">.</w:t>
      </w:r>
    </w:p>
    <w:p>
      <w:pPr>
        <w:pStyle w:val="BodyText"/>
      </w:pPr>
      <w:r>
        <w:rPr>
          <w:bCs/>
          <w:b/>
        </w:rPr>
        <w:t xml:space="preserve">Inconnu :</w:t>
      </w:r>
      <w:r>
        <w:t xml:space="preserve"> </w:t>
      </w:r>
      <w:r>
        <w:t xml:space="preserve">les données de sécurité à long terme manquent, en particulier pour le cœur. Qu’une substance augmente de manière aiguë la force de pompage ne dit rien sur le fait qu’elle soit bénéfique ou nocive à long terme dans l’insuffisance cardiaque – cela ne pourrait être éclairci que par des études à long terme dédiées, sur critères cliniques, qui n’existent pas. Sur la question d’un risque de cancer en cas d’hormone de croissance durablement élevée, voir l’introduction de ce groupe et la partie IV.</w:t>
      </w:r>
    </w:p>
    <w:bookmarkEnd w:id="1452"/>
    <w:bookmarkStart w:id="1454" w:name="statut-juridique-29"/>
    <w:p>
      <w:pPr>
        <w:pStyle w:val="Heading3"/>
      </w:pPr>
      <w:r>
        <w:t xml:space="preserve">Statut juridique</w:t>
      </w:r>
    </w:p>
    <w:p>
      <w:pPr>
        <w:pStyle w:val="FirstParagraph"/>
      </w:pPr>
      <w:r>
        <w:rPr>
          <w:iCs/>
          <w:i/>
        </w:rPr>
        <w:t xml:space="preserve">État 2026, à vérifier.</w:t>
      </w:r>
    </w:p>
    <w:p>
      <w:pPr>
        <w:numPr>
          <w:ilvl w:val="0"/>
          <w:numId w:val="1170"/>
        </w:numPr>
        <w:pStyle w:val="Compact"/>
      </w:pPr>
      <w:r>
        <w:rPr>
          <w:bCs/>
          <w:b/>
        </w:rPr>
        <w:t xml:space="preserve">UE, Allemagne, Autriche, États-Unis :</w:t>
      </w:r>
      <w:r>
        <w:t xml:space="preserve"> </w:t>
      </w:r>
      <w:r>
        <w:t xml:space="preserve">aucune autorisation comme médicament ; la remise en vue d’un usage humain est illicite.</w:t>
      </w:r>
    </w:p>
    <w:p>
      <w:pPr>
        <w:numPr>
          <w:ilvl w:val="0"/>
          <w:numId w:val="1170"/>
        </w:numPr>
        <w:pStyle w:val="Compact"/>
      </w:pPr>
      <w:r>
        <w:rPr>
          <w:bCs/>
          <w:b/>
        </w:rPr>
        <w:t xml:space="preserve">AMA (WADA) :</w:t>
      </w:r>
      <w:r>
        <w:t xml:space="preserve"> </w:t>
      </w:r>
      <w:r>
        <w:t xml:space="preserve">interdite (S2). L’hexaréline est fortement dégradée dans l’organisme ; des produits de dégradation restent détectables dans l’urine après la disparition de la substance mère</w:t>
      </w:r>
      <w:r>
        <w:rPr>
          <w:rStyle w:val="FootnoteReference"/>
        </w:rPr>
        <w:footnoteReference w:id="1453"/>
      </w:r>
      <w:r>
        <w:t xml:space="preserve">.</w:t>
      </w:r>
    </w:p>
    <w:bookmarkEnd w:id="1454"/>
    <w:bookmarkStart w:id="1455" w:name="études-en-cours-et-perspectives-29"/>
    <w:p>
      <w:pPr>
        <w:pStyle w:val="Heading3"/>
      </w:pPr>
      <w:r>
        <w:t xml:space="preserve">Études en cours et perspectives</w:t>
      </w:r>
    </w:p>
    <w:p>
      <w:pPr>
        <w:pStyle w:val="FirstParagraph"/>
      </w:pPr>
      <w:r>
        <w:t xml:space="preserve">En octobre 2026, ClinicalTrials.gov ne recense aucune étude avec l’hexaréline.</w:t>
      </w:r>
      <w:r>
        <w:t xml:space="preserve"> </w:t>
      </w:r>
      <w:r>
        <w:rPr>
          <w:iCs/>
          <w:i/>
        </w:rPr>
        <w:t xml:space="preserve">Appréciation de l’auteur :</w:t>
      </w:r>
      <w:r>
        <w:t xml:space="preserve"> </w:t>
      </w:r>
      <w:r>
        <w:t xml:space="preserve">la recherche cardiaque se poursuit, mais seulement sur modèle animal. Un développement clinique supposerait une entreprise qui détienne les droits et finance des études – aucune n’est visible actuellement.</w:t>
      </w:r>
    </w:p>
    <w:bookmarkEnd w:id="1455"/>
    <w:bookmarkStart w:id="1456" w:name="conclusion-29"/>
    <w:p>
      <w:pPr>
        <w:pStyle w:val="Heading3"/>
      </w:pPr>
      <w:r>
        <w:t xml:space="preserve">Conclusion</w:t>
      </w:r>
    </w:p>
    <w:p>
      <w:pPr>
        <w:pStyle w:val="FirstParagraph"/>
      </w:pPr>
      <w:r>
        <w:t xml:space="preserve">L’hexaréline libère fortement l’hormone de croissance chez l’humain, mais aussi les hormones du stress et la prolactine, et son effet s’atténue nettement en cas d’administration prolongée ; l’IGF-1 et la composition corporelle n’ont pas changé dans une étude de 16 semaines. Les petites études dans lesquelles une administration unique a augmenté la force de pompage du cœur, manifestement indépendamment de l’hormone de croissance, sont intéressantes. On ignore totalement s’il en découlera un jour un bénéfice pour les personnes atteintes de maladies cardiaques ; pour le développement musculaire ou le rajeunissement, il n’existe aucune preuve.</w:t>
      </w:r>
    </w:p>
    <w:bookmarkEnd w:id="1456"/>
    <w:bookmarkEnd w:id="1457"/>
    <w:bookmarkStart w:id="1489" w:name="macimoréline"/>
    <w:p>
      <w:pPr>
        <w:pStyle w:val="Heading2"/>
      </w:pPr>
      <w:r>
        <w:t xml:space="preserve">Macimoréline</w:t>
      </w:r>
    </w:p>
    <w:p>
      <w:pPr>
        <w:pStyle w:val="FirstParagraph"/>
      </w:pPr>
      <w:r>
        <w:t xml:space="preserve">La macimoréline est le membre le plus sobre de ce groupe – et c’est justement pour cela qu’elle constitue un bon contre-exemple aux peptides du marché gris. Elle n’est pas utilisée comme traitement, mais comme test : une personne boit une solution de macimoréline, puis on lui prélève du sang à plusieurs reprises. Si l’hormone de croissance n’augmente presque pas, cela plaide en faveur d’un déficit en hormone de croissance. C’est pour cet usage que la macimoréline est autorisée aux États-Unis et dans l’UE. Elle illustre comment un mimétique de la ghréline peut devenir un véritable médicament grâce à des études comparatives rigoureuses.</w:t>
      </w:r>
    </w:p>
    <w:bookmarkStart w:id="1459" w:name="fiche-signalétique-30"/>
    <w:p>
      <w:pPr>
        <w:pStyle w:val="Heading3"/>
      </w:pPr>
      <w:r>
        <w:t xml:space="preserve">Fiche signalétique</w:t>
      </w:r>
    </w:p>
    <w:p>
      <w:pPr>
        <w:numPr>
          <w:ilvl w:val="0"/>
          <w:numId w:val="1171"/>
        </w:numPr>
        <w:pStyle w:val="Compact"/>
      </w:pPr>
      <w:r>
        <w:rPr>
          <w:bCs/>
          <w:b/>
        </w:rPr>
        <w:t xml:space="preserve">Nature et structure :</w:t>
      </w:r>
      <w:r>
        <w:t xml:space="preserve"> </w:t>
      </w:r>
      <w:r>
        <w:t xml:space="preserve">petite molécule apparentée aux peptides (peptidomimétique), active après ingestion</w:t>
      </w:r>
      <w:r>
        <w:rPr>
          <w:rStyle w:val="FootnoteReference"/>
        </w:rPr>
        <w:footnoteReference w:id="1458"/>
      </w:r>
      <w:r>
        <w:t xml:space="preserve">. Dénominations antérieures : EP01572, ARD-07, AEZS-130.</w:t>
      </w:r>
    </w:p>
    <w:p>
      <w:pPr>
        <w:numPr>
          <w:ilvl w:val="0"/>
          <w:numId w:val="1171"/>
        </w:numPr>
        <w:pStyle w:val="Compact"/>
      </w:pPr>
      <w:r>
        <w:rPr>
          <w:bCs/>
          <w:b/>
        </w:rPr>
        <w:t xml:space="preserve">Origine :</w:t>
      </w:r>
      <w:r>
        <w:t xml:space="preserve"> </w:t>
      </w:r>
      <w:r>
        <w:t xml:space="preserve">développée à partir de la recherche sur les sécrétagogues de l’hormone de croissance actifs par voie orale ; autorisée à la demande d’Aeterna Zentaris.</w:t>
      </w:r>
    </w:p>
    <w:p>
      <w:pPr>
        <w:numPr>
          <w:ilvl w:val="0"/>
          <w:numId w:val="1171"/>
        </w:numPr>
        <w:pStyle w:val="Compact"/>
      </w:pPr>
      <w:r>
        <w:rPr>
          <w:bCs/>
          <w:b/>
        </w:rPr>
        <w:t xml:space="preserve">Principe d’action :</w:t>
      </w:r>
      <w:r>
        <w:t xml:space="preserve"> </w:t>
      </w:r>
      <w:r>
        <w:t xml:space="preserve">agoniste du récepteur de la ghréline (GHS-R1a) ; déclenche une sécrétion unique d’hormone de croissance dont l’ampleur reflète la capacité fonctionnelle de l’hypophyse.</w:t>
      </w:r>
    </w:p>
    <w:p>
      <w:pPr>
        <w:numPr>
          <w:ilvl w:val="0"/>
          <w:numId w:val="1171"/>
        </w:numPr>
        <w:pStyle w:val="Compact"/>
      </w:pPr>
      <w:r>
        <w:rPr>
          <w:bCs/>
          <w:b/>
        </w:rPr>
        <w:t xml:space="preserve">Autorisation États-Unis :</w:t>
      </w:r>
      <w:r>
        <w:t xml:space="preserve"> </w:t>
      </w:r>
      <w:r>
        <w:t xml:space="preserve">oui (Macrilen, depuis 2017) pour le diagnostic du déficit en hormone de croissance chez l’adulte.</w:t>
      </w:r>
      <w:r>
        <w:t xml:space="preserve"> </w:t>
      </w:r>
      <w:r>
        <w:rPr>
          <w:bCs/>
          <w:b/>
        </w:rPr>
        <w:t xml:space="preserve">Autorisation UE :</w:t>
      </w:r>
      <w:r>
        <w:t xml:space="preserve"> </w:t>
      </w:r>
      <w:r>
        <w:t xml:space="preserve">oui (autorisation centralisée en 2019) pour la même indication. Pour la disponibilité actuelle dans les différents pays, voir ci-dessous.</w:t>
      </w:r>
    </w:p>
    <w:p>
      <w:pPr>
        <w:numPr>
          <w:ilvl w:val="0"/>
          <w:numId w:val="1171"/>
        </w:numPr>
        <w:pStyle w:val="Compact"/>
      </w:pPr>
      <w:r>
        <w:rPr>
          <w:bCs/>
          <w:b/>
        </w:rPr>
        <w:t xml:space="preserve">AMA (WADA) :</w:t>
      </w:r>
      <w:r>
        <w:t xml:space="preserve"> </w:t>
      </w:r>
      <w:r>
        <w:t xml:space="preserve">interdite, classe S2 (sécrétagogues de l’hormone de croissance ; la macimoréline est expressément nommée).</w:t>
      </w:r>
    </w:p>
    <w:p>
      <w:pPr>
        <w:numPr>
          <w:ilvl w:val="0"/>
          <w:numId w:val="1171"/>
        </w:numPr>
        <w:pStyle w:val="Compact"/>
      </w:pPr>
      <w:r>
        <w:rPr>
          <w:bCs/>
          <w:b/>
        </w:rPr>
        <w:t xml:space="preserve">Niveau de preuve : A</w:t>
      </w:r>
      <w:r>
        <w:t xml:space="preserve"> </w:t>
      </w:r>
      <w:r>
        <w:t xml:space="preserve">– deux études de phase 3 sur la précision diagnostique, autorisation aux États-Unis et dans l’UE. Restriction : il s’agit d’un produit diagnostique, pas d’un traitement.</w:t>
      </w:r>
    </w:p>
    <w:bookmarkEnd w:id="1459"/>
    <w:bookmarkStart w:id="1460" w:name="mode-daction-supposé-30"/>
    <w:p>
      <w:pPr>
        <w:pStyle w:val="Heading3"/>
      </w:pPr>
      <w:r>
        <w:t xml:space="preserve">Mode d’action supposé</w:t>
      </w:r>
    </w:p>
    <w:p>
      <w:pPr>
        <w:pStyle w:val="FirstParagraph"/>
      </w:pPr>
      <w:r>
        <w:t xml:space="preserve">Le diagnostic d’un déficit en hormone de croissance chez l’adulte est difficile. Une valeur sanguine isolée ne suffit pas, car l’hormone de croissance est sécrétée par pics. Il faut un test de stimulation : on stimule l’hypophyse de façon ciblée et on mesure la quantité d’hormone de croissance qu’elle libère.</w:t>
      </w:r>
    </w:p>
    <w:p>
      <w:pPr>
        <w:pStyle w:val="BodyText"/>
      </w:pPr>
      <w:r>
        <w:t xml:space="preserve">Le test de référence est le test d’hypoglycémie insulinique (test de tolérance à l’insuline, ITT). On y abaisse volontairement et fortement la glycémie à l’aide d’insuline – c’est désagréable, cela nécessite une surveillance médicale et c’est contre-indiqué en cas de maladie cardiaque ou de crises convulsives. La macimoréline offre une alternative : elle active le récepteur de la ghréline, qui déclenche directement la sécrétion d’hormone de croissance, sans abaisser la glycémie. Comme elle est avalée, aucune perfusion n’est nécessaire.</w:t>
      </w:r>
    </w:p>
    <w:bookmarkEnd w:id="1460"/>
    <w:bookmarkStart w:id="1474" w:name="études-chez-lhumain-30"/>
    <w:p>
      <w:pPr>
        <w:pStyle w:val="Heading3"/>
      </w:pPr>
      <w:r>
        <w:t xml:space="preserve">Études chez l’humain</w:t>
      </w:r>
    </w:p>
    <w:p>
      <w:pPr>
        <w:pStyle w:val="FirstParagraph"/>
      </w:pPr>
      <w:r>
        <w:rPr>
          <w:bCs/>
          <w:b/>
        </w:rPr>
        <w:t xml:space="preserve">Ampleur des données (requête d’octobre 2026) :</w:t>
      </w:r>
      <w:r>
        <w:t xml:space="preserve"> </w:t>
      </w:r>
      <w:r>
        <w:t xml:space="preserve">la recherche automatisée de ce livre a trouvé</w:t>
      </w:r>
      <w:r>
        <w:t xml:space="preserve"> </w:t>
      </w:r>
      <w:r>
        <w:rPr>
          <w:bCs/>
          <w:b/>
        </w:rPr>
        <w:t xml:space="preserve">4</w:t>
      </w:r>
      <w:r>
        <w:t xml:space="preserve"> </w:t>
      </w:r>
      <w:r>
        <w:t xml:space="preserve">études chez l’humain dans PubMed (</w:t>
      </w:r>
      <w:r>
        <w:rPr>
          <w:rStyle w:val="VerbatimChar"/>
        </w:rPr>
        <w:t xml:space="preserve">humanstudien_alle</w:t>
      </w:r>
      <w:r>
        <w:t xml:space="preserve">) et</w:t>
      </w:r>
      <w:r>
        <w:t xml:space="preserve"> </w:t>
      </w:r>
      <w:r>
        <w:rPr>
          <w:bCs/>
          <w:b/>
        </w:rPr>
        <w:t xml:space="preserve">6</w:t>
      </w:r>
      <w:r>
        <w:t xml:space="preserve"> </w:t>
      </w:r>
      <w:r>
        <w:t xml:space="preserve">entrées sur ClinicalTrials.gov. Une recherche complémentaire ciblée a mis au jour d’autres études, dont la première étude de phase 3, une étude pédiatrique, plusieurs travaux chez des personnes en bonne santé et une analyse issue de la pratique.</w:t>
      </w:r>
    </w:p>
    <w:bookmarkStart w:id="1463" w:name="pharmacologie-précoce"/>
    <w:p>
      <w:pPr>
        <w:pStyle w:val="Heading4"/>
      </w:pPr>
      <w:r>
        <w:t xml:space="preserve">Pharmacologie précoce</w:t>
      </w:r>
    </w:p>
    <w:p>
      <w:pPr>
        <w:pStyle w:val="FirstParagraph"/>
      </w:pPr>
      <w:r>
        <w:t xml:space="preserve">Dès 2007, une étude portant sur 36 hommes en bonne santé a montré que la substance (alors EP01572) passait rapidement dans le sang après ingestion, de façon dose-dépendante, et libérait fortement l’hormone de croissance</w:t>
      </w:r>
      <w:r>
        <w:rPr>
          <w:rStyle w:val="FootnoteReference"/>
        </w:rPr>
        <w:footnoteReference w:id="1461"/>
      </w:r>
      <w:r>
        <w:t xml:space="preserve">. Dans une étude randomisée de phase 1 portant sur 28 personnes en bonne santé, la demi-vie était de 3,5 heures pour les deux doses les plus faibles ; le pic de GH survenait après 45 à 60 minutes. L’ACTH, le cortisol et la prolactine augmentaient temporairement</w:t>
      </w:r>
      <w:r>
        <w:rPr>
          <w:rStyle w:val="FootnoteReference"/>
        </w:rPr>
        <w:footnoteReference w:id="1462"/>
      </w:r>
      <w:r>
        <w:t xml:space="preserve">.</w:t>
      </w:r>
    </w:p>
    <w:bookmarkEnd w:id="1463"/>
    <w:bookmarkStart w:id="1467" w:name="les-études-dautorisation-1"/>
    <w:p>
      <w:pPr>
        <w:pStyle w:val="Heading4"/>
      </w:pPr>
      <w:r>
        <w:t xml:space="preserve">Les études d’autorisation</w:t>
      </w:r>
    </w:p>
    <w:p>
      <w:pPr>
        <w:pStyle w:val="FirstParagraph"/>
      </w:pPr>
      <w:r>
        <w:rPr>
          <w:bCs/>
          <w:b/>
        </w:rPr>
        <w:t xml:space="preserve">Première étude de phase 3 :</w:t>
      </w:r>
      <w:r>
        <w:t xml:space="preserve"> </w:t>
      </w:r>
      <w:r>
        <w:t xml:space="preserve">dans une étude multicentrique en ouvert, la macimoréline a été comparée au test combiné arginine plus GHRH, alors en usage. L’analyse a porté sur 50 adultes présentant un déficit en hormone de croissance et 48 personnes en bonne santé. Le pic de GH était en moyenne de 2,36 ng/ml chez les personnes concernées et de 17,71 ng/ml chez les personnes en bonne santé. Avec un seuil de 2,7 ng/ml, le test a atteint une sensibilité de 82 % et une spécificité de 92 %. Le seul effet indésirable grave lié au médicament rapporté était un allongement asymptomatique de l’intervalle QT à l’ECG. Pendant l’étude, la préparation de GHRH (sermoréline) a été retirée du marché aux États-Unis, si bien qu’une partie des participants n’a été testée qu’avec la macimoréline</w:t>
      </w:r>
      <w:r>
        <w:rPr>
          <w:rStyle w:val="FootnoteReference"/>
        </w:rPr>
        <w:footnoteReference w:id="1464"/>
      </w:r>
      <w:r>
        <w:t xml:space="preserve">.</w:t>
      </w:r>
    </w:p>
    <w:p>
      <w:pPr>
        <w:pStyle w:val="BodyText"/>
      </w:pPr>
      <w:r>
        <w:rPr>
          <w:bCs/>
          <w:b/>
        </w:rPr>
        <w:t xml:space="preserve">Deuxième étude de phase 3 (base de l’autorisation) :</w:t>
      </w:r>
      <w:r>
        <w:t xml:space="preserve"> </w:t>
      </w:r>
      <w:r>
        <w:t xml:space="preserve">dans une étude randomisée en plan croisé, des adultes présentant une probabilité élevée, intermédiaire et faible de déficit en hormone de croissance ainsi que des témoins en bonne santé ont reçu à la fois le test à la macimoréline et le test à l’insuline. 99 % des tests à la macimoréline, mais seulement 82 % des tests à l’insuline, étaient interprétables. Avec les seuils de 2,8 ng/ml (macimoréline) et 5,1 ng/ml (ITT), la sensibilité était de 87 % et la spécificité de 96 % ; en cas de répétition, le résultat était identique dans 97 % des cas. Aucun effet indésirable grave dû à la macimoréline n’est survenu. Un seuil unique de 5,1 ng/ml pour les deux tests a donné, dans une analyse a posteriori, une sensibilité de 92 % pour une spécificité de 96 %</w:t>
      </w:r>
      <w:r>
        <w:rPr>
          <w:rStyle w:val="FootnoteReference"/>
        </w:rPr>
        <w:footnoteReference w:id="1465"/>
      </w:r>
      <w:r>
        <w:t xml:space="preserve">. D’autres analyses ont montré que l’âge, le poids corporel et le sexe n’influençaient pas notablement la précision du test</w:t>
      </w:r>
      <w:r>
        <w:rPr>
          <w:rStyle w:val="FootnoteReference"/>
        </w:rPr>
        <w:footnoteReference w:id="1466"/>
      </w:r>
      <w:r>
        <w:t xml:space="preserve">.</w:t>
      </w:r>
    </w:p>
    <w:bookmarkEnd w:id="1467"/>
    <w:bookmarkStart w:id="1469" w:name="expérience-de-la-pratique"/>
    <w:p>
      <w:pPr>
        <w:pStyle w:val="Heading4"/>
      </w:pPr>
      <w:r>
        <w:t xml:space="preserve">Expérience de la pratique</w:t>
      </w:r>
    </w:p>
    <w:p>
      <w:pPr>
        <w:pStyle w:val="FirstParagraph"/>
      </w:pPr>
      <w:r>
        <w:t xml:space="preserve">Une analyse rétrospective de 37 patientes et patients d’une clinique a montré qu’avec le seuil autorisé aux États-Unis de 2,8 ng/ml, 40,5 % étaient classés comme présentant un déficit en hormone de croissance, contre 54,0 % avec 5,1 ng/ml. Les classements divergents concernaient surtout des personnes fortement en surpoids avec une faible probabilité pré-test</w:t>
      </w:r>
      <w:r>
        <w:rPr>
          <w:rStyle w:val="FootnoteReference"/>
        </w:rPr>
        <w:footnoteReference w:id="1468"/>
      </w:r>
      <w:r>
        <w:t xml:space="preserve">. Cela montre que le seuil n’est pas anodin et qu’une prudence s’impose dans l’interprétation en cas de surpoids important.</w:t>
      </w:r>
    </w:p>
    <w:bookmarkEnd w:id="1469"/>
    <w:bookmarkStart w:id="1473" w:name="enfants-et-autres-applications"/>
    <w:p>
      <w:pPr>
        <w:pStyle w:val="Heading4"/>
      </w:pPr>
      <w:r>
        <w:t xml:space="preserve">Enfants et autres applications</w:t>
      </w:r>
    </w:p>
    <w:p>
      <w:pPr>
        <w:numPr>
          <w:ilvl w:val="0"/>
          <w:numId w:val="1172"/>
        </w:numPr>
        <w:pStyle w:val="Compact"/>
      </w:pPr>
      <w:r>
        <w:rPr>
          <w:bCs/>
          <w:b/>
        </w:rPr>
        <w:t xml:space="preserve">Enfants :</w:t>
      </w:r>
      <w:r>
        <w:t xml:space="preserve"> </w:t>
      </w:r>
      <w:r>
        <w:t xml:space="preserve">une étude de recherche de dose en ouvert portant sur 24 enfants et adolescents suspectés de déficit en hormone de croissance n’a trouvé aucun effet indésirable imputable à la macimoréline</w:t>
      </w:r>
      <w:r>
        <w:rPr>
          <w:rStyle w:val="FootnoteReference"/>
        </w:rPr>
        <w:footnoteReference w:id="1470"/>
      </w:r>
      <w:r>
        <w:t xml:space="preserve">. L’étude de phase 3 DETECT qui a suivi, portant sur 101 enfants</w:t>
      </w:r>
      <w:r>
        <w:rPr>
          <w:rStyle w:val="FootnoteReference"/>
        </w:rPr>
        <w:footnoteReference w:id="1471"/>
      </w:r>
      <w:r>
        <w:t xml:space="preserve">, s’est achevée en juin 2024 ; aucun résultat n’est déposé dans le registre, et je n’ai pas trouvé de publication dans PubMed.</w:t>
      </w:r>
    </w:p>
    <w:p>
      <w:pPr>
        <w:numPr>
          <w:ilvl w:val="0"/>
          <w:numId w:val="1172"/>
        </w:numPr>
        <w:pStyle w:val="Compact"/>
      </w:pPr>
      <w:r>
        <w:rPr>
          <w:bCs/>
          <w:b/>
        </w:rPr>
        <w:t xml:space="preserve">Cachexie tumorale :</w:t>
      </w:r>
      <w:r>
        <w:t xml:space="preserve"> </w:t>
      </w:r>
      <w:r>
        <w:t xml:space="preserve">dans une étude pilote portant sur 15 patientes et patients atteints de cancer et présentant une perte de poids pathologique, la macimoréline a été bien tolérée sur une semaine ; le poids et la qualité de vie se sont améliorés numériquement, mais sans différence significative par rapport au placebo</w:t>
      </w:r>
      <w:r>
        <w:rPr>
          <w:rStyle w:val="FootnoteReference"/>
        </w:rPr>
        <w:footnoteReference w:id="1472"/>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Phase 3, étude 1 (Garcia 2013), PMID 23559086</w:t>
            </w:r>
          </w:p>
        </w:tc>
        <w:tc>
          <w:tcPr/>
          <w:p>
            <w:pPr>
              <w:pStyle w:val="Compact"/>
              <w:jc w:val="left"/>
            </w:pPr>
            <w:r>
              <w:t xml:space="preserve">50 adultes avec déficit en GH, 48 personnes en bonne santé ; comparaison avec arginine+GHRH</w:t>
            </w:r>
          </w:p>
        </w:tc>
        <w:tc>
          <w:tcPr/>
          <w:p>
            <w:pPr>
              <w:pStyle w:val="Compact"/>
              <w:jc w:val="left"/>
            </w:pPr>
            <w:r>
              <w:t xml:space="preserve">test unique</w:t>
            </w:r>
          </w:p>
        </w:tc>
        <w:tc>
          <w:tcPr/>
          <w:p>
            <w:pPr>
              <w:pStyle w:val="Compact"/>
              <w:jc w:val="left"/>
            </w:pPr>
            <w:r>
              <w:t xml:space="preserve">sensibilité 82 %, spécificité 92 %</w:t>
            </w:r>
          </w:p>
        </w:tc>
      </w:tr>
      <w:tr>
        <w:tc>
          <w:tcPr/>
          <w:p>
            <w:pPr>
              <w:pStyle w:val="Compact"/>
              <w:jc w:val="left"/>
            </w:pPr>
            <w:r>
              <w:t xml:space="preserve">Phase 3, étude 2 (Garcia 2018), PMID 29860473</w:t>
            </w:r>
          </w:p>
        </w:tc>
        <w:tc>
          <w:tcPr/>
          <w:p>
            <w:pPr>
              <w:pStyle w:val="Compact"/>
              <w:jc w:val="left"/>
            </w:pPr>
            <w:r>
              <w:t xml:space="preserve">adultes avec probabilité pré-test variable et personnes en bonne santé ; étude randomisée en plan croisé contre ITT</w:t>
            </w:r>
          </w:p>
        </w:tc>
        <w:tc>
          <w:tcPr/>
          <w:p>
            <w:pPr>
              <w:pStyle w:val="Compact"/>
              <w:jc w:val="left"/>
            </w:pPr>
            <w:r>
              <w:t xml:space="preserve">tests uniques</w:t>
            </w:r>
          </w:p>
        </w:tc>
        <w:tc>
          <w:tcPr/>
          <w:p>
            <w:pPr>
              <w:pStyle w:val="Compact"/>
              <w:jc w:val="left"/>
            </w:pPr>
            <w:r>
              <w:t xml:space="preserve">sensibilité 87 %, spécificité 96 % ; reproductibilité 97 %</w:t>
            </w:r>
          </w:p>
        </w:tc>
      </w:tr>
      <w:tr>
        <w:tc>
          <w:tcPr/>
          <w:p>
            <w:pPr>
              <w:pStyle w:val="Compact"/>
              <w:jc w:val="left"/>
            </w:pPr>
            <w:r>
              <w:t xml:space="preserve">Étude QT (Lissy 2021), PMID 32961034</w:t>
            </w:r>
          </w:p>
        </w:tc>
        <w:tc>
          <w:tcPr/>
          <w:p>
            <w:pPr>
              <w:pStyle w:val="Compact"/>
              <w:jc w:val="left"/>
            </w:pPr>
            <w:r>
              <w:t xml:space="preserve">60 personnes en bonne santé, randomisée, placebo et moxifloxacine</w:t>
            </w:r>
          </w:p>
        </w:tc>
        <w:tc>
          <w:tcPr/>
          <w:p>
            <w:pPr>
              <w:pStyle w:val="Compact"/>
              <w:jc w:val="left"/>
            </w:pPr>
            <w:r>
              <w:t xml:space="preserve">doses uniques</w:t>
            </w:r>
          </w:p>
        </w:tc>
        <w:tc>
          <w:tcPr/>
          <w:p>
            <w:pPr>
              <w:pStyle w:val="Compact"/>
              <w:jc w:val="left"/>
            </w:pPr>
            <w:r>
              <w:t xml:space="preserve">allongement du QT jusqu’à 9,61 ms à dose excessive</w:t>
            </w:r>
          </w:p>
        </w:tc>
      </w:tr>
      <w:tr>
        <w:tc>
          <w:tcPr/>
          <w:p>
            <w:pPr>
              <w:pStyle w:val="Compact"/>
              <w:jc w:val="left"/>
            </w:pPr>
            <w:r>
              <w:t xml:space="preserve">Données de pratique (Yadav 2026), PMID 41793495</w:t>
            </w:r>
          </w:p>
        </w:tc>
        <w:tc>
          <w:tcPr/>
          <w:p>
            <w:pPr>
              <w:pStyle w:val="Compact"/>
              <w:jc w:val="left"/>
            </w:pPr>
            <w:r>
              <w:t xml:space="preserve">37 personnes, rétrospective</w:t>
            </w:r>
          </w:p>
        </w:tc>
        <w:tc>
          <w:tcPr/>
          <w:p>
            <w:pPr>
              <w:pStyle w:val="Compact"/>
              <w:jc w:val="left"/>
            </w:pPr>
            <w:r>
              <w:t xml:space="preserve">test unique</w:t>
            </w:r>
          </w:p>
        </w:tc>
        <w:tc>
          <w:tcPr/>
          <w:p>
            <w:pPr>
              <w:pStyle w:val="Compact"/>
              <w:jc w:val="left"/>
            </w:pPr>
            <w:r>
              <w:t xml:space="preserve">le seuil influence le diagnostic, surtout en cas d’obésité</w:t>
            </w:r>
          </w:p>
        </w:tc>
      </w:tr>
      <w:tr>
        <w:tc>
          <w:tcPr/>
          <w:p>
            <w:pPr>
              <w:pStyle w:val="Compact"/>
              <w:jc w:val="left"/>
            </w:pPr>
            <w:r>
              <w:t xml:space="preserve">Cachexie (Herodes 2023), PMID 36860137</w:t>
            </w:r>
          </w:p>
        </w:tc>
        <w:tc>
          <w:tcPr/>
          <w:p>
            <w:pPr>
              <w:pStyle w:val="Compact"/>
              <w:jc w:val="left"/>
            </w:pPr>
            <w:r>
              <w:t xml:space="preserve">15 patients atteints de cancer, ECR pilote</w:t>
            </w:r>
          </w:p>
        </w:tc>
        <w:tc>
          <w:tcPr/>
          <w:p>
            <w:pPr>
              <w:pStyle w:val="Compact"/>
              <w:jc w:val="left"/>
            </w:pPr>
            <w:r>
              <w:t xml:space="preserve">1 semaine</w:t>
            </w:r>
          </w:p>
        </w:tc>
        <w:tc>
          <w:tcPr/>
          <w:p>
            <w:pPr>
              <w:pStyle w:val="Compact"/>
              <w:jc w:val="left"/>
            </w:pPr>
            <w:r>
              <w:t xml:space="preserve">bien tolérée, pas d’effet significatif</w:t>
            </w:r>
          </w:p>
        </w:tc>
      </w:tr>
    </w:tbl>
    <w:bookmarkEnd w:id="1473"/>
    <w:bookmarkEnd w:id="1474"/>
    <w:bookmarkStart w:id="1477" w:name="études-animales-et-de-laboratoire-30"/>
    <w:p>
      <w:pPr>
        <w:pStyle w:val="Heading3"/>
      </w:pPr>
      <w:r>
        <w:t xml:space="preserve">Études animales et de laboratoire</w:t>
      </w:r>
    </w:p>
    <w:p>
      <w:pPr>
        <w:pStyle w:val="FirstParagraph"/>
      </w:pPr>
      <w:r>
        <w:t xml:space="preserve">Chez des souris atteintes d’une épilepsie difficile à traiter, la macimoréline a réduit le nombre et la durée des crises pendant les deux semaines de traitement, mais n’a pas modifié l’évolution de la maladie</w:t>
      </w:r>
      <w:r>
        <w:rPr>
          <w:rStyle w:val="FootnoteReference"/>
        </w:rPr>
        <w:footnoteReference w:id="1475"/>
      </w:r>
      <w:r>
        <w:t xml:space="preserve">. Des études structurales montrent comment la macimoréline se lie au récepteur de la ghréline</w:t>
      </w:r>
      <w:r>
        <w:rPr>
          <w:rStyle w:val="FootnoteReference"/>
        </w:rPr>
        <w:footnoteReference w:id="1476"/>
      </w:r>
      <w:r>
        <w:t xml:space="preserve">. Ces travaux ne sont pas pertinents pour l’usage autorisé.</w:t>
      </w:r>
    </w:p>
    <w:bookmarkEnd w:id="1477"/>
    <w:bookmarkStart w:id="1482" w:name="risques-et-effets-indésirables-30"/>
    <w:p>
      <w:pPr>
        <w:pStyle w:val="Heading3"/>
      </w:pPr>
      <w:r>
        <w:t xml:space="preserve">Risques et effets indésirables</w:t>
      </w:r>
    </w:p>
    <w:p>
      <w:pPr>
        <w:pStyle w:val="FirstParagraph"/>
      </w:pPr>
      <w:r>
        <w:rPr>
          <w:bCs/>
          <w:b/>
        </w:rPr>
        <w:t xml:space="preserve">Établi :</w:t>
      </w:r>
      <w:r>
        <w:t xml:space="preserve"> </w:t>
      </w:r>
      <w:r>
        <w:t xml:space="preserve">la macimoréline n’est prise qu’une seule fois par test ; les effets indésirables sont donc limités. Dans l’étude d’autorisation, aucun effet indésirable grave dû à la macimoréline n’est survenu</w:t>
      </w:r>
      <w:r>
        <w:rPr>
          <w:rStyle w:val="FootnoteReference"/>
        </w:rPr>
        <w:footnoteReference w:id="1478"/>
      </w:r>
      <w:r>
        <w:t xml:space="preserve">. L’ACTH, le cortisol et la prolactine augmentent temporairement</w:t>
      </w:r>
      <w:r>
        <w:rPr>
          <w:rStyle w:val="FootnoteReference"/>
        </w:rPr>
        <w:footnoteReference w:id="1479"/>
      </w:r>
      <w:r>
        <w:t xml:space="preserve">.</w:t>
      </w:r>
    </w:p>
    <w:p>
      <w:pPr>
        <w:pStyle w:val="BodyText"/>
      </w:pPr>
      <w:r>
        <w:rPr>
          <w:bCs/>
          <w:b/>
        </w:rPr>
        <w:t xml:space="preserve">Allongement du QT :</w:t>
      </w:r>
      <w:r>
        <w:t xml:space="preserve"> </w:t>
      </w:r>
      <w:r>
        <w:t xml:space="preserve">dans une étude ECG approfondie portant sur 60 personnes en bonne santé, une dose unique volontairement excessive (suprathérapeutique) a allongé l’intervalle QT – une mesure de la repolarisation cardiaque – en moyenne jusqu’à 9,61 millisecondes ; la borne supérieure de l’intervalle de confiance dépassait le seuil réglementaire de 10 millisecondes</w:t>
      </w:r>
      <w:r>
        <w:rPr>
          <w:rStyle w:val="FootnoteReference"/>
        </w:rPr>
        <w:footnoteReference w:id="1480"/>
      </w:r>
      <w:r>
        <w:t xml:space="preserve">. La prudence est donc de mise chez les personnes prenant d’autres médicaments allongeant le QT. Les détails relatifs aux contre-indications et aux interactions sont réglés par le résumé des caractéristiques du produit ; le test est réalisé par un médecin.</w:t>
      </w:r>
    </w:p>
    <w:p>
      <w:pPr>
        <w:pStyle w:val="BodyText"/>
      </w:pPr>
      <w:r>
        <w:rPr>
          <w:bCs/>
          <w:b/>
        </w:rPr>
        <w:t xml:space="preserve">Erreurs de diagnostic :</w:t>
      </w:r>
      <w:r>
        <w:t xml:space="preserve"> </w:t>
      </w:r>
      <w:r>
        <w:t xml:space="preserve">comme tout test de stimulation, le test à la macimoréline peut fournir des résultats faussement positifs et faussement négatifs, en particulier en cas de surpoids important</w:t>
      </w:r>
      <w:r>
        <w:rPr>
          <w:rStyle w:val="FootnoteReference"/>
        </w:rPr>
        <w:footnoteReference w:id="1481"/>
      </w:r>
      <w:r>
        <w:t xml:space="preserve">.</w:t>
      </w:r>
    </w:p>
    <w:p>
      <w:pPr>
        <w:pStyle w:val="BodyText"/>
      </w:pPr>
      <w:r>
        <w:t xml:space="preserve">Un risque de cancer n’est pas à attendre avec une administration unique ; le débat sur un IGF-1 durablement élevé (voir l’introduction de ce groupe) ne concerne donc pas la macimoréline.</w:t>
      </w:r>
    </w:p>
    <w:bookmarkEnd w:id="1482"/>
    <w:bookmarkStart w:id="1484" w:name="statut-juridique-30"/>
    <w:p>
      <w:pPr>
        <w:pStyle w:val="Heading3"/>
      </w:pPr>
      <w:r>
        <w:t xml:space="preserve">Statut juridique</w:t>
      </w:r>
    </w:p>
    <w:p>
      <w:pPr>
        <w:pStyle w:val="FirstParagraph"/>
      </w:pPr>
      <w:r>
        <w:rPr>
          <w:iCs/>
          <w:i/>
        </w:rPr>
        <w:t xml:space="preserve">État 2026, à vérifier.</w:t>
      </w:r>
    </w:p>
    <w:p>
      <w:pPr>
        <w:numPr>
          <w:ilvl w:val="0"/>
          <w:numId w:val="1173"/>
        </w:numPr>
        <w:pStyle w:val="Compact"/>
      </w:pPr>
      <w:r>
        <w:rPr>
          <w:bCs/>
          <w:b/>
        </w:rPr>
        <w:t xml:space="preserve">UE :</w:t>
      </w:r>
      <w:r>
        <w:t xml:space="preserve"> </w:t>
      </w:r>
      <w:r>
        <w:t xml:space="preserve">autorisation centralisée pour le diagnostic du déficit en hormone de croissance chez l’adulte. La commercialisation effective de la préparation en Allemagne et en Autriche dépend des décisions de distribution du titulaire de l’autorisation et devrait être vérifiée.</w:t>
      </w:r>
    </w:p>
    <w:p>
      <w:pPr>
        <w:numPr>
          <w:ilvl w:val="0"/>
          <w:numId w:val="1173"/>
        </w:numPr>
        <w:pStyle w:val="Compact"/>
      </w:pPr>
      <w:r>
        <w:rPr>
          <w:bCs/>
          <w:b/>
        </w:rPr>
        <w:t xml:space="preserve">États-Unis :</w:t>
      </w:r>
      <w:r>
        <w:t xml:space="preserve"> </w:t>
      </w:r>
      <w:r>
        <w:t xml:space="preserve">autorisée (Macrilen) pour la même indication ; les droits de distribution ont changé de mains ces dernières années.</w:t>
      </w:r>
    </w:p>
    <w:p>
      <w:pPr>
        <w:numPr>
          <w:ilvl w:val="0"/>
          <w:numId w:val="1173"/>
        </w:numPr>
        <w:pStyle w:val="Compact"/>
      </w:pPr>
      <w:r>
        <w:rPr>
          <w:bCs/>
          <w:b/>
        </w:rPr>
        <w:t xml:space="preserve">Utilisation :</w:t>
      </w:r>
      <w:r>
        <w:t xml:space="preserve"> </w:t>
      </w:r>
      <w:r>
        <w:t xml:space="preserve">exclusivement comme test fonctionnel réalisé par un médecin conformément au résumé des caractéristiques du produit ; aucune autorisation thérapeutique.</w:t>
      </w:r>
    </w:p>
    <w:p>
      <w:pPr>
        <w:numPr>
          <w:ilvl w:val="0"/>
          <w:numId w:val="1173"/>
        </w:numPr>
        <w:pStyle w:val="Compact"/>
      </w:pPr>
      <w:r>
        <w:rPr>
          <w:bCs/>
          <w:b/>
        </w:rPr>
        <w:t xml:space="preserve">AMA (WADA) :</w:t>
      </w:r>
      <w:r>
        <w:t xml:space="preserve"> </w:t>
      </w:r>
      <w:r>
        <w:t xml:space="preserve">interdite (S2). Pour les contrôles antidopage, des produits de dégradation de la macimoréline et de mimétiques apparentés de la ghréline ont été caractérisés</w:t>
      </w:r>
      <w:r>
        <w:rPr>
          <w:rStyle w:val="FootnoteReference"/>
        </w:rPr>
        <w:footnoteReference w:id="1483"/>
      </w:r>
      <w:r>
        <w:t xml:space="preserve">.</w:t>
      </w:r>
    </w:p>
    <w:bookmarkEnd w:id="1484"/>
    <w:bookmarkStart w:id="1487" w:name="études-en-cours-et-perspectives-30"/>
    <w:p>
      <w:pPr>
        <w:pStyle w:val="Heading3"/>
      </w:pPr>
      <w:r>
        <w:t xml:space="preserve">Études en cours et perspectives</w:t>
      </w:r>
    </w:p>
    <w:p>
      <w:pPr>
        <w:pStyle w:val="FirstParagraph"/>
      </w:pPr>
      <w:r>
        <w:rPr>
          <w:iCs/>
          <w:i/>
        </w:rPr>
        <w:t xml:space="preserve">Établi :</w:t>
      </w:r>
      <w:r>
        <w:t xml:space="preserve"> </w:t>
      </w:r>
      <w:r>
        <w:t xml:space="preserve">l’étude pédiatrique DETECT</w:t>
      </w:r>
      <w:r>
        <w:rPr>
          <w:rStyle w:val="FootnoteReference"/>
        </w:rPr>
        <w:footnoteReference w:id="1485"/>
      </w:r>
      <w:r>
        <w:t xml:space="preserve"> </w:t>
      </w:r>
      <w:r>
        <w:t xml:space="preserve">est terminée ; les résultats sont attendus. Une autre étude a examiné comment la macimoréline influence l’hormone copeptine</w:t>
      </w:r>
      <w:r>
        <w:rPr>
          <w:rStyle w:val="FootnoteReference"/>
        </w:rPr>
        <w:footnoteReference w:id="1486"/>
      </w:r>
      <w:r>
        <w:t xml:space="preserve">.</w:t>
      </w:r>
      <w:r>
        <w:t xml:space="preserve"> </w:t>
      </w:r>
      <w:r>
        <w:rPr>
          <w:iCs/>
          <w:i/>
        </w:rPr>
        <w:t xml:space="preserve">Appréciation de l’auteur :</w:t>
      </w:r>
      <w:r>
        <w:t xml:space="preserve"> </w:t>
      </w:r>
      <w:r>
        <w:t xml:space="preserve">une extension de l’autorisation aux enfants serait la prochaine étape logique, mais dépend du résultat de l’étude DETECT. Une utilisation thérapeutique, par exemple dans la cachexie, n’est pas en vue au vu des données actuelles.</w:t>
      </w:r>
    </w:p>
    <w:bookmarkEnd w:id="1487"/>
    <w:bookmarkStart w:id="1488" w:name="conclusion-30"/>
    <w:p>
      <w:pPr>
        <w:pStyle w:val="Heading3"/>
      </w:pPr>
      <w:r>
        <w:t xml:space="preserve">Conclusion</w:t>
      </w:r>
    </w:p>
    <w:p>
      <w:pPr>
        <w:pStyle w:val="FirstParagraph"/>
      </w:pPr>
      <w:r>
        <w:t xml:space="preserve">La macimoréline est un produit diagnostique autorisé aux États-Unis et dans l’UE : un test bu une seule fois détecte un déficit en hormone de croissance chez l’adulte de manière presque aussi fiable que le pénible test à l’insuline, avec une sensibilité de 87 % et une spécificité de 96 % dans l’étude d’autorisation. Le principal effet indésirable connu est un léger allongement de l’intervalle QT à dose excessive. La macimoréline n’est ni conçue ni étudiée pour un traitement, le développement musculaire ou l’« anti-âge ».</w:t>
      </w:r>
    </w:p>
    <w:bookmarkEnd w:id="1488"/>
    <w:bookmarkEnd w:id="1489"/>
    <w:bookmarkStart w:id="1529" w:name="mécasermine-igf-1"/>
    <w:p>
      <w:pPr>
        <w:pStyle w:val="Heading2"/>
      </w:pPr>
      <w:r>
        <w:t xml:space="preserve">Mécasermine (IGF-1)</w:t>
      </w:r>
    </w:p>
    <w:p>
      <w:pPr>
        <w:pStyle w:val="FirstParagraph"/>
      </w:pPr>
      <w:r>
        <w:t xml:space="preserve">La mécasermine est de l’IGF-1 humain produit par génie génétique – c’est-à-dire le messager par lequel l’hormone de croissance exerce une grande partie de son effet. En tant que médicament (Increlex), elle est autorisée pour un groupe très rare d’enfants : des enfants dont l’organisme produit suffisamment d’hormone de croissance, mais n’y réagit pas et ne fabrique donc presque pas d’IGF-1. La mécasermine est ainsi un rare exemple de peptide autorisé dans ce groupe – et en même temps la substance pour laquelle la question de l’hypoglycémie et du risque de cancer lié à l’IGF-1 se pose le plus clairement.</w:t>
      </w:r>
    </w:p>
    <w:bookmarkStart w:id="1490" w:name="fiche-signalétique-31"/>
    <w:p>
      <w:pPr>
        <w:pStyle w:val="Heading3"/>
      </w:pPr>
      <w:r>
        <w:t xml:space="preserve">Fiche signalétique</w:t>
      </w:r>
    </w:p>
    <w:p>
      <w:pPr>
        <w:numPr>
          <w:ilvl w:val="0"/>
          <w:numId w:val="1174"/>
        </w:numPr>
        <w:pStyle w:val="Compact"/>
      </w:pPr>
      <w:r>
        <w:rPr>
          <w:bCs/>
          <w:b/>
        </w:rPr>
        <w:t xml:space="preserve">Nature et structure :</w:t>
      </w:r>
      <w:r>
        <w:t xml:space="preserve"> </w:t>
      </w:r>
      <w:r>
        <w:t xml:space="preserve">IGF-1 humain recombinant (produit par génie génétique dans des bactéries) de 70 acides aminés, identique à l’hormone endogène.</w:t>
      </w:r>
    </w:p>
    <w:p>
      <w:pPr>
        <w:numPr>
          <w:ilvl w:val="0"/>
          <w:numId w:val="1174"/>
        </w:numPr>
        <w:pStyle w:val="Compact"/>
      </w:pPr>
      <w:r>
        <w:rPr>
          <w:bCs/>
          <w:b/>
        </w:rPr>
        <w:t xml:space="preserve">Origine :</w:t>
      </w:r>
      <w:r>
        <w:t xml:space="preserve"> </w:t>
      </w:r>
      <w:r>
        <w:t xml:space="preserve">l’IGF-1 a été décrit dans les années 1970 sous le nom de « somatomédine » ; la mécasermine a été développée par Tercica et commercialisée par Ipsen, désormais par un autre titulaire de l’autorisation.</w:t>
      </w:r>
    </w:p>
    <w:p>
      <w:pPr>
        <w:numPr>
          <w:ilvl w:val="0"/>
          <w:numId w:val="1174"/>
        </w:numPr>
        <w:pStyle w:val="Compact"/>
      </w:pPr>
      <w:r>
        <w:rPr>
          <w:bCs/>
          <w:b/>
        </w:rPr>
        <w:t xml:space="preserve">Principe d’action :</w:t>
      </w:r>
      <w:r>
        <w:t xml:space="preserve"> </w:t>
      </w:r>
      <w:r>
        <w:t xml:space="preserve">se lie au récepteur de l’IGF-1 et remplace directement l’IGF-1 manquant ; favorise la croissance, a un effet anabolisant et – à dose plus élevée – fait baisser la glycémie de manière semblable à l’insuline.</w:t>
      </w:r>
    </w:p>
    <w:p>
      <w:pPr>
        <w:numPr>
          <w:ilvl w:val="0"/>
          <w:numId w:val="1174"/>
        </w:numPr>
        <w:pStyle w:val="Compact"/>
      </w:pPr>
      <w:r>
        <w:rPr>
          <w:bCs/>
          <w:b/>
        </w:rPr>
        <w:t xml:space="preserve">Autorisation UE :</w:t>
      </w:r>
      <w:r>
        <w:t xml:space="preserve"> </w:t>
      </w:r>
      <w:r>
        <w:t xml:space="preserve">oui (Increlex) pour le traitement au long cours des troubles de la croissance chez les enfants et adolescents présentant un déficit primaire sévère en IGF-1.</w:t>
      </w:r>
      <w:r>
        <w:t xml:space="preserve"> </w:t>
      </w:r>
      <w:r>
        <w:rPr>
          <w:bCs/>
          <w:b/>
        </w:rPr>
        <w:t xml:space="preserve">Autorisation États-Unis :</w:t>
      </w:r>
      <w:r>
        <w:t xml:space="preserve"> </w:t>
      </w:r>
      <w:r>
        <w:t xml:space="preserve">oui (Increlex), même indication.</w:t>
      </w:r>
    </w:p>
    <w:p>
      <w:pPr>
        <w:numPr>
          <w:ilvl w:val="0"/>
          <w:numId w:val="1174"/>
        </w:numPr>
        <w:pStyle w:val="Compact"/>
      </w:pPr>
      <w:r>
        <w:rPr>
          <w:bCs/>
          <w:b/>
        </w:rPr>
        <w:t xml:space="preserve">AMA (WADA) :</w:t>
      </w:r>
      <w:r>
        <w:t xml:space="preserve"> </w:t>
      </w:r>
      <w:r>
        <w:t xml:space="preserve">interdite, classe S2 (l’IGF-1 et ses analogues en tant que facteurs de croissance).</w:t>
      </w:r>
    </w:p>
    <w:p>
      <w:pPr>
        <w:numPr>
          <w:ilvl w:val="0"/>
          <w:numId w:val="1174"/>
        </w:numPr>
        <w:pStyle w:val="Compact"/>
      </w:pPr>
      <w:r>
        <w:rPr>
          <w:bCs/>
          <w:b/>
        </w:rPr>
        <w:t xml:space="preserve">Niveau de preuve : A</w:t>
      </w:r>
      <w:r>
        <w:t xml:space="preserve"> </w:t>
      </w:r>
      <w:r>
        <w:t xml:space="preserve">– autorisée dans l’UE et aux États-Unis. Restriction : en raison de la rareté de la maladie, l’autorisation repose sur des études ouvertes à long terme et des registres, et non sur de grandes études randomisées. Des études randomisées existent pour d’autres applications, par exemple la SLA (négative).</w:t>
      </w:r>
    </w:p>
    <w:bookmarkEnd w:id="1490"/>
    <w:bookmarkStart w:id="1492" w:name="mode-daction-supposé-31"/>
    <w:p>
      <w:pPr>
        <w:pStyle w:val="Heading3"/>
      </w:pPr>
      <w:r>
        <w:t xml:space="preserve">Mode d’action supposé</w:t>
      </w:r>
    </w:p>
    <w:p>
      <w:pPr>
        <w:pStyle w:val="FirstParagraph"/>
      </w:pPr>
      <w:r>
        <w:t xml:space="preserve">L’hormone de croissance issue de l’hypophyse agit surtout sur le foie, qui produit alors de l’IGF-1. L’IGF-1 fait ensuite croître les os en longueur et favorise la construction du muscle et d’autres tissus. Chez certains enfants, cette chaîne est interrompue : leur récepteur de l’hormone de croissance est non fonctionnel en raison d’une altération génétique, ou la transmission du signal est perturbée. L’exemple classique est le syndrome de Laron. Ces enfants ont beaucoup d’hormone de croissance mais presque pas d’IGF-1, et les injections d’hormone de croissance ne les aident pas. Sans traitement, ils n’atteignent souvent que 120 à 130 cm à l’âge adulte</w:t>
      </w:r>
      <w:r>
        <w:rPr>
          <w:rStyle w:val="FootnoteReference"/>
        </w:rPr>
        <w:footnoteReference w:id="1491"/>
      </w:r>
      <w:r>
        <w:t xml:space="preserve">.</w:t>
      </w:r>
    </w:p>
    <w:p>
      <w:pPr>
        <w:pStyle w:val="BodyText"/>
      </w:pPr>
      <w:r>
        <w:t xml:space="preserve">La mécasermine court-circuite l’étape défectueuse et fournit directement l’IGF-1. Comme l’IGF-1 ressemble à l’insuline, il peut faire baisser la glycémie – c’est l’effet indésirable le plus important.</w:t>
      </w:r>
    </w:p>
    <w:bookmarkEnd w:id="1492"/>
    <w:bookmarkStart w:id="1508" w:name="études-chez-lhumain-31"/>
    <w:p>
      <w:pPr>
        <w:pStyle w:val="Heading3"/>
      </w:pPr>
      <w:r>
        <w:t xml:space="preserve">Études chez l’humain</w:t>
      </w:r>
    </w:p>
    <w:p>
      <w:pPr>
        <w:pStyle w:val="FirstParagraph"/>
      </w:pPr>
      <w:r>
        <w:rPr>
          <w:bCs/>
          <w:b/>
        </w:rPr>
        <w:t xml:space="preserve">Ampleur des données (requête d’octobre 2026) :</w:t>
      </w:r>
      <w:r>
        <w:t xml:space="preserve"> </w:t>
      </w:r>
      <w:r>
        <w:t xml:space="preserve">la recherche automatisée de ce livre a trouvé</w:t>
      </w:r>
      <w:r>
        <w:t xml:space="preserve"> </w:t>
      </w:r>
      <w:r>
        <w:rPr>
          <w:bCs/>
          <w:b/>
        </w:rPr>
        <w:t xml:space="preserve">21</w:t>
      </w:r>
      <w:r>
        <w:t xml:space="preserve"> </w:t>
      </w:r>
      <w:r>
        <w:t xml:space="preserve">études chez l’humain dans PubMed (</w:t>
      </w:r>
      <w:r>
        <w:rPr>
          <w:rStyle w:val="VerbatimChar"/>
        </w:rPr>
        <w:t xml:space="preserve">humanstudien_alle</w:t>
      </w:r>
      <w:r>
        <w:t xml:space="preserve">) et</w:t>
      </w:r>
      <w:r>
        <w:t xml:space="preserve"> </w:t>
      </w:r>
      <w:r>
        <w:rPr>
          <w:bCs/>
          <w:b/>
        </w:rPr>
        <w:t xml:space="preserve">37</w:t>
      </w:r>
      <w:r>
        <w:t xml:space="preserve"> </w:t>
      </w:r>
      <w:r>
        <w:t xml:space="preserve">entrées sur ClinicalTrials.gov ; certaines de ces entrées concernent d’autres sujets et n’apparaissent qu’en raison du terme de recherche. S’y ajoutent trois revues systématiques. Une recherche complémentaire ciblée a mis au jour les principales études à long terme et analyses de registre portant sur l’indication autorisée.</w:t>
      </w:r>
    </w:p>
    <w:bookmarkStart w:id="1498" w:name="X73afc93c50356221baec47c3cd7910c02c24aa8"/>
    <w:p>
      <w:pPr>
        <w:pStyle w:val="Heading4"/>
      </w:pPr>
      <w:r>
        <w:t xml:space="preserve">Déficit primaire sévère en IGF-1 chez l’enfant</w:t>
      </w:r>
    </w:p>
    <w:p>
      <w:pPr>
        <w:pStyle w:val="FirstParagraph"/>
      </w:pPr>
      <w:r>
        <w:t xml:space="preserve">L’autorisation repose sur une étude principalement ouverte, menée sur une durée allant jusqu’à douze ans, auprès de 76 enfants présentant un déficit en IGF-1 dû à une résistance à l’hormone de croissance. La vitesse de croissance est passée en moyenne de 2,8 cm par an avant traitement à 8,0 cm la première année de traitement ; elle a diminué les années suivantes, mais est restée au-dessus de la valeur initiale jusqu’à huit ans. L’effet indésirable le plus fréquent était l’hypoglycémie (chez 49 % des enfants, mais déjà observée avant le début du traitement), suivie de modifications du tissu adipeux au point d’injection (32 %) et d’une hypertrophie des amygdales et des végétations (22 %)</w:t>
      </w:r>
      <w:r>
        <w:rPr>
          <w:rStyle w:val="FootnoteReference"/>
        </w:rPr>
        <w:footnoteReference w:id="1493"/>
      </w:r>
      <w:r>
        <w:t xml:space="preserve">.</w:t>
      </w:r>
    </w:p>
    <w:p>
      <w:pPr>
        <w:pStyle w:val="BodyText"/>
      </w:pPr>
      <w:r>
        <w:t xml:space="preserve">Depuis 2008, un registre européen, devenu mondial, recueille des données issues de la pratique</w:t>
      </w:r>
      <w:r>
        <w:rPr>
          <w:rStyle w:val="FootnoteReference"/>
        </w:rPr>
        <w:footnoteReference w:id="1494"/>
      </w:r>
      <w:r>
        <w:t xml:space="preserve">. Chez 138 enfants prépubères non traités auparavant, la taille s’est améliorée la première année ; les enfants atteints du syndrome de Laron ont répondu un peu mieux, et parmi les autres, 56 % étaient considérés comme répondeurs. 65,3 % des enfants ont présenté au moins un effet indésirable, le plus souvent une hypoglycémie</w:t>
      </w:r>
      <w:r>
        <w:rPr>
          <w:rStyle w:val="FootnoteReference"/>
        </w:rPr>
        <w:footnoteReference w:id="1495"/>
      </w:r>
      <w:r>
        <w:t xml:space="preserve">. 102 enfants et adolescents ayant déjà atteint leur taille quasi définitive ont gagné en moyenne 0,9 écart-type de taille, et 1,4 lorsque le traitement avait commencé avant la puberté. Près de la moitié de ces enfants traités tôt ont atteint une taille dans la norme, contre seulement 10,5 % en cas de syndrome de Laron</w:t>
      </w:r>
      <w:r>
        <w:rPr>
          <w:rStyle w:val="FootnoteReference"/>
        </w:rPr>
        <w:footnoteReference w:id="1496"/>
      </w:r>
      <w:r>
        <w:t xml:space="preserve">. Les hypoglycémies sévères étaient rares, avec 0,01 événement par patient et par année de traitement ; étaient surtout à risque les enfants atteints du syndrome de Laron ou ayant des antécédents d’hypoglycémie</w:t>
      </w:r>
      <w:r>
        <w:rPr>
          <w:rStyle w:val="FootnoteReference"/>
        </w:rPr>
        <w:footnoteReference w:id="1497"/>
      </w:r>
      <w:r>
        <w:t xml:space="preserve">.</w:t>
      </w:r>
    </w:p>
    <w:bookmarkEnd w:id="1498"/>
    <w:bookmarkStart w:id="1507" w:name="autres-applications-1"/>
    <w:p>
      <w:pPr>
        <w:pStyle w:val="Heading4"/>
      </w:pPr>
      <w:r>
        <w:t xml:space="preserve">Autres applications</w:t>
      </w:r>
    </w:p>
    <w:p>
      <w:pPr>
        <w:numPr>
          <w:ilvl w:val="0"/>
          <w:numId w:val="1175"/>
        </w:numPr>
        <w:pStyle w:val="Compact"/>
      </w:pPr>
      <w:r>
        <w:rPr>
          <w:bCs/>
          <w:b/>
        </w:rPr>
        <w:t xml:space="preserve">SLA :</w:t>
      </w:r>
      <w:r>
        <w:t xml:space="preserve"> </w:t>
      </w:r>
      <w:r>
        <w:t xml:space="preserve">dans une étude de phase 3 portant sur 330 personnes atteintes de sclérose latérale amyotrophique, l’IGF-1 n’a apporté sur deux ans aucune différence par rapport au placebo – ni sur la force musculaire ni sur la survie sans trachéotomie</w:t>
      </w:r>
      <w:r>
        <w:rPr>
          <w:rStyle w:val="FootnoteReference"/>
        </w:rPr>
        <w:footnoteReference w:id="1499"/>
      </w:r>
      <w:r>
        <w:t xml:space="preserve">.</w:t>
      </w:r>
    </w:p>
    <w:p>
      <w:pPr>
        <w:numPr>
          <w:ilvl w:val="0"/>
          <w:numId w:val="1175"/>
        </w:numPr>
        <w:pStyle w:val="Compact"/>
      </w:pPr>
      <w:r>
        <w:rPr>
          <w:bCs/>
          <w:b/>
        </w:rPr>
        <w:t xml:space="preserve">Dystrophie musculaire de Duchenne :</w:t>
      </w:r>
      <w:r>
        <w:t xml:space="preserve"> </w:t>
      </w:r>
      <w:r>
        <w:t xml:space="preserve">chez 17 garçons traités contre 21 témoins, les garçons ont grandi plus vite sur six mois (6,5 vs 3,3 cm par an), mais la distance de marche au test de 6 minutes n’a pas changé</w:t>
      </w:r>
      <w:r>
        <w:rPr>
          <w:rStyle w:val="FootnoteReference"/>
        </w:rPr>
        <w:footnoteReference w:id="1500"/>
      </w:r>
      <w:r>
        <w:t xml:space="preserve">.</w:t>
      </w:r>
    </w:p>
    <w:p>
      <w:pPr>
        <w:numPr>
          <w:ilvl w:val="0"/>
          <w:numId w:val="1175"/>
        </w:numPr>
        <w:pStyle w:val="Compact"/>
      </w:pPr>
      <w:r>
        <w:rPr>
          <w:bCs/>
          <w:b/>
        </w:rPr>
        <w:t xml:space="preserve">Syndrome de Rett :</w:t>
      </w:r>
      <w:r>
        <w:t xml:space="preserve"> </w:t>
      </w:r>
      <w:r>
        <w:t xml:space="preserve">une revue systématique décrit des indices de préservation des capacités sociales et cognitives, mais des résultats hétérogènes, et réclame des études plus vastes</w:t>
      </w:r>
      <w:r>
        <w:rPr>
          <w:rStyle w:val="FootnoteReference"/>
        </w:rPr>
        <w:footnoteReference w:id="1501"/>
      </w:r>
      <w:r>
        <w:t xml:space="preserve">.</w:t>
      </w:r>
    </w:p>
    <w:p>
      <w:pPr>
        <w:numPr>
          <w:ilvl w:val="0"/>
          <w:numId w:val="1175"/>
        </w:numPr>
        <w:pStyle w:val="Compact"/>
      </w:pPr>
      <w:r>
        <w:rPr>
          <w:bCs/>
          <w:b/>
        </w:rPr>
        <w:t xml:space="preserve">Prématurés :</w:t>
      </w:r>
      <w:r>
        <w:t xml:space="preserve"> </w:t>
      </w:r>
      <w:r>
        <w:t xml:space="preserve">l’IGF-1 associé à sa protéine de liaison IGFBP-3 n’a pas prévenu chez 121 grands prématurés la rétinopathie du prématuré, mais a réduit la dysplasie bronchopulmonaire sévère (21,3 % vs 44,9 %). Des événements graves mortels sont survenus chez 19,7 % des enfants traités et 11,7 % des enfants témoins</w:t>
      </w:r>
      <w:r>
        <w:rPr>
          <w:rStyle w:val="FootnoteReference"/>
        </w:rPr>
        <w:footnoteReference w:id="1502"/>
      </w:r>
      <w:r>
        <w:t xml:space="preserve">. Une étude de suivi sur le développement pulmonaire est en cours</w:t>
      </w:r>
      <w:r>
        <w:rPr>
          <w:rStyle w:val="FootnoteReference"/>
        </w:rPr>
        <w:footnoteReference w:id="1503"/>
      </w:r>
      <w:r>
        <w:t xml:space="preserve">.</w:t>
      </w:r>
    </w:p>
    <w:p>
      <w:pPr>
        <w:numPr>
          <w:ilvl w:val="0"/>
          <w:numId w:val="1175"/>
        </w:numPr>
        <w:pStyle w:val="Compact"/>
      </w:pPr>
      <w:r>
        <w:rPr>
          <w:bCs/>
          <w:b/>
        </w:rPr>
        <w:t xml:space="preserve">Anorexie :</w:t>
      </w:r>
      <w:r>
        <w:t xml:space="preserve"> </w:t>
      </w:r>
      <w:r>
        <w:t xml:space="preserve">chez 90 femmes atteintes d’anorexie mentale, un traitement de six mois par IGF-1, suivi d’un médicament osseux, a augmenté la densité osseuse de la colonne vertébrale davantage que le placebo</w:t>
      </w:r>
      <w:r>
        <w:rPr>
          <w:rStyle w:val="FootnoteReference"/>
        </w:rPr>
        <w:footnoteReference w:id="1504"/>
      </w:r>
      <w:r>
        <w:t xml:space="preserve">.</w:t>
      </w:r>
    </w:p>
    <w:p>
      <w:pPr>
        <w:numPr>
          <w:ilvl w:val="0"/>
          <w:numId w:val="1175"/>
        </w:numPr>
        <w:pStyle w:val="Compact"/>
      </w:pPr>
      <w:r>
        <w:rPr>
          <w:bCs/>
          <w:b/>
        </w:rPr>
        <w:t xml:space="preserve">Adultes atteints du syndrome de Laron :</w:t>
      </w:r>
      <w:r>
        <w:t xml:space="preserve"> </w:t>
      </w:r>
      <w:r>
        <w:t xml:space="preserve">chez dix adultes, huit semaines d’IGF-1 ont fait diminuer la proportion de graisse et augmenter la masse maigre</w:t>
      </w:r>
      <w:r>
        <w:rPr>
          <w:rStyle w:val="FootnoteReference"/>
        </w:rPr>
        <w:footnoteReference w:id="1505"/>
      </w:r>
      <w:r>
        <w:t xml:space="preserve">.</w:t>
      </w:r>
    </w:p>
    <w:p>
      <w:pPr>
        <w:numPr>
          <w:ilvl w:val="0"/>
          <w:numId w:val="1175"/>
        </w:numPr>
        <w:pStyle w:val="Compact"/>
      </w:pPr>
      <w:r>
        <w:rPr>
          <w:bCs/>
          <w:b/>
        </w:rPr>
        <w:t xml:space="preserve">Sportives et sportifs :</w:t>
      </w:r>
      <w:r>
        <w:t xml:space="preserve"> </w:t>
      </w:r>
      <w:r>
        <w:t xml:space="preserve">dans une étude randomisée en double aveugle portant sur 56 sportifs amateurs pendant 28 jours, l’IGF-1/IGFBP-3 a modifié les lipides sanguins et les taux d’insuline</w:t>
      </w:r>
      <w:r>
        <w:rPr>
          <w:rStyle w:val="FootnoteReference"/>
        </w:rPr>
        <w:footnoteReference w:id="1506"/>
      </w:r>
      <w:r>
        <w:t xml:space="preserve">. Cette étude ne fournit pas de données de performance.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Étude à long terme (Chernausek 2007), PMID 17192294</w:t>
            </w:r>
          </w:p>
        </w:tc>
        <w:tc>
          <w:tcPr/>
          <w:p>
            <w:pPr>
              <w:pStyle w:val="Compact"/>
              <w:jc w:val="left"/>
            </w:pPr>
            <w:r>
              <w:t xml:space="preserve">76 enfants avec résistance à la GH, principalement en ouvert</w:t>
            </w:r>
          </w:p>
        </w:tc>
        <w:tc>
          <w:tcPr/>
          <w:p>
            <w:pPr>
              <w:pStyle w:val="Compact"/>
              <w:jc w:val="left"/>
            </w:pPr>
            <w:r>
              <w:t xml:space="preserve">jusqu’à 12 ans</w:t>
            </w:r>
          </w:p>
        </w:tc>
        <w:tc>
          <w:tcPr/>
          <w:p>
            <w:pPr>
              <w:pStyle w:val="Compact"/>
              <w:jc w:val="left"/>
            </w:pPr>
            <w:r>
              <w:t xml:space="preserve">croissance 2,8 → 8,0 cm/an la 1re année ; hypoglycémie chez 49 %</w:t>
            </w:r>
          </w:p>
        </w:tc>
      </w:tr>
      <w:tr>
        <w:tc>
          <w:tcPr/>
          <w:p>
            <w:pPr>
              <w:pStyle w:val="Compact"/>
              <w:jc w:val="left"/>
            </w:pPr>
            <w:r>
              <w:t xml:space="preserve">Registre (Bang 2021), PMID 33434161</w:t>
            </w:r>
          </w:p>
        </w:tc>
        <w:tc>
          <w:tcPr/>
          <w:p>
            <w:pPr>
              <w:pStyle w:val="Compact"/>
              <w:jc w:val="left"/>
            </w:pPr>
            <w:r>
              <w:t xml:space="preserve">242 enfants, dont 138 prépubères non traités ; observationnel</w:t>
            </w:r>
          </w:p>
        </w:tc>
        <w:tc>
          <w:tcPr/>
          <w:p>
            <w:pPr>
              <w:pStyle w:val="Compact"/>
              <w:jc w:val="left"/>
            </w:pPr>
            <w:r>
              <w:t xml:space="preserve">jusqu’à 5 ans</w:t>
            </w:r>
          </w:p>
        </w:tc>
        <w:tc>
          <w:tcPr/>
          <w:p>
            <w:pPr>
              <w:pStyle w:val="Compact"/>
              <w:jc w:val="left"/>
            </w:pPr>
            <w:r>
              <w:t xml:space="preserve">gain de taille ; 65,3 % avec effets indésirables</w:t>
            </w:r>
          </w:p>
        </w:tc>
      </w:tr>
      <w:tr>
        <w:tc>
          <w:tcPr/>
          <w:p>
            <w:pPr>
              <w:pStyle w:val="Compact"/>
              <w:jc w:val="left"/>
            </w:pPr>
            <w:r>
              <w:t xml:space="preserve">Registre taille finale (Ramon-Krauel 2026), PMID 40626687</w:t>
            </w:r>
          </w:p>
        </w:tc>
        <w:tc>
          <w:tcPr/>
          <w:p>
            <w:pPr>
              <w:pStyle w:val="Compact"/>
              <w:jc w:val="left"/>
            </w:pPr>
            <w:r>
              <w:t xml:space="preserve">102 adolescents ayant presque atteint leur taille finale</w:t>
            </w:r>
          </w:p>
        </w:tc>
        <w:tc>
          <w:tcPr/>
          <w:p>
            <w:pPr>
              <w:pStyle w:val="Compact"/>
              <w:jc w:val="left"/>
            </w:pPr>
            <w:r>
              <w:t xml:space="preserve">médiane 3,9 ans</w:t>
            </w:r>
          </w:p>
        </w:tc>
        <w:tc>
          <w:tcPr/>
          <w:p>
            <w:pPr>
              <w:pStyle w:val="Compact"/>
              <w:jc w:val="left"/>
            </w:pPr>
            <w:r>
              <w:t xml:space="preserve">+0,9 ET (traités tôt +1,4 ET)</w:t>
            </w:r>
          </w:p>
        </w:tc>
      </w:tr>
      <w:tr>
        <w:tc>
          <w:tcPr/>
          <w:p>
            <w:pPr>
              <w:pStyle w:val="Compact"/>
              <w:jc w:val="left"/>
            </w:pPr>
            <w:r>
              <w:t xml:space="preserve">SLA (Sorenson 2008), PMID 19029516</w:t>
            </w:r>
          </w:p>
        </w:tc>
        <w:tc>
          <w:tcPr/>
          <w:p>
            <w:pPr>
              <w:pStyle w:val="Compact"/>
              <w:jc w:val="left"/>
            </w:pPr>
            <w:r>
              <w:t xml:space="preserve">330 personnes atteintes de SLA, ECR contre placebo</w:t>
            </w:r>
          </w:p>
        </w:tc>
        <w:tc>
          <w:tcPr/>
          <w:p>
            <w:pPr>
              <w:pStyle w:val="Compact"/>
              <w:jc w:val="left"/>
            </w:pPr>
            <w:r>
              <w:t xml:space="preserve">2 ans</w:t>
            </w:r>
          </w:p>
        </w:tc>
        <w:tc>
          <w:tcPr/>
          <w:p>
            <w:pPr>
              <w:pStyle w:val="Compact"/>
              <w:jc w:val="left"/>
            </w:pPr>
            <w:r>
              <w:t xml:space="preserve">aucun bénéfice</w:t>
            </w:r>
          </w:p>
        </w:tc>
      </w:tr>
      <w:tr>
        <w:tc>
          <w:tcPr/>
          <w:p>
            <w:pPr>
              <w:pStyle w:val="Compact"/>
              <w:jc w:val="left"/>
            </w:pPr>
            <w:r>
              <w:t xml:space="preserve">Prématurés (Ley 2019), PMID 30471715</w:t>
            </w:r>
          </w:p>
        </w:tc>
        <w:tc>
          <w:tcPr/>
          <w:p>
            <w:pPr>
              <w:pStyle w:val="Compact"/>
              <w:jc w:val="left"/>
            </w:pPr>
            <w:r>
              <w:t xml:space="preserve">121 grands prématurés, ECR contre traitement standard</w:t>
            </w:r>
          </w:p>
        </w:tc>
        <w:tc>
          <w:tcPr/>
          <w:p>
            <w:pPr>
              <w:pStyle w:val="Compact"/>
              <w:jc w:val="left"/>
            </w:pPr>
            <w:r>
              <w:t xml:space="preserve">jusqu’à la 40e semaine</w:t>
            </w:r>
          </w:p>
        </w:tc>
        <w:tc>
          <w:tcPr/>
          <w:p>
            <w:pPr>
              <w:pStyle w:val="Compact"/>
              <w:jc w:val="left"/>
            </w:pPr>
            <w:r>
              <w:t xml:space="preserve">aucun effet sur la rétine ; moins de DBP sévère</w:t>
            </w:r>
          </w:p>
        </w:tc>
      </w:tr>
    </w:tbl>
    <w:bookmarkEnd w:id="1507"/>
    <w:bookmarkEnd w:id="1508"/>
    <w:bookmarkStart w:id="1511" w:name="études-animales-et-de-laboratoire-31"/>
    <w:p>
      <w:pPr>
        <w:pStyle w:val="Heading3"/>
      </w:pPr>
      <w:r>
        <w:t xml:space="preserve">Études animales et de laboratoire</w:t>
      </w:r>
    </w:p>
    <w:p>
      <w:pPr>
        <w:pStyle w:val="FirstParagraph"/>
      </w:pPr>
      <w:r>
        <w:t xml:space="preserve">Les effets de l’IGF-1 sur la croissance, le muscle et le métabolisme ont été très largement étudiés chez l’animal et en culture cellulaire et constituent la base du traitement. Pour la question de la sécurité, des expériences cellulaires avec du sérum sanguin de personnes atteintes du syndrome de Laron sont importantes : des cellules traitées avec ce sérum pauvre en IGF-1 puis exposées à un stress oxydatif présentaient moins de cassures de l’ADN, et les cellules endommagées mouraient plus souvent</w:t>
      </w:r>
      <w:r>
        <w:rPr>
          <w:rStyle w:val="FootnoteReference"/>
        </w:rPr>
        <w:footnoteReference w:id="1509"/>
      </w:r>
      <w:r>
        <w:t xml:space="preserve">. Lorsqu’on ajoutait de l’IGF-1 au sérum, ces différences disparaissaient</w:t>
      </w:r>
      <w:r>
        <w:rPr>
          <w:rStyle w:val="FootnoteReference"/>
        </w:rPr>
        <w:footnoteReference w:id="1510"/>
      </w:r>
      <w:r>
        <w:t xml:space="preserve">. L’IGF-1 tend donc à maintenir en vie aussi les cellules endommagées – un mécanisme possible de risque de cancer.</w:t>
      </w:r>
    </w:p>
    <w:bookmarkEnd w:id="1511"/>
    <w:bookmarkStart w:id="1522" w:name="risques-et-effets-indésirables-31"/>
    <w:p>
      <w:pPr>
        <w:pStyle w:val="Heading3"/>
      </w:pPr>
      <w:r>
        <w:t xml:space="preserve">Risques et effets indésirables</w:t>
      </w:r>
    </w:p>
    <w:p>
      <w:pPr>
        <w:pStyle w:val="FirstParagraph"/>
      </w:pPr>
      <w:r>
        <w:rPr>
          <w:bCs/>
          <w:b/>
        </w:rPr>
        <w:t xml:space="preserve">Établi :</w:t>
      </w:r>
    </w:p>
    <w:p>
      <w:pPr>
        <w:numPr>
          <w:ilvl w:val="0"/>
          <w:numId w:val="1176"/>
        </w:numPr>
        <w:pStyle w:val="Compact"/>
      </w:pPr>
      <w:r>
        <w:rPr>
          <w:bCs/>
          <w:b/>
        </w:rPr>
        <w:t xml:space="preserve">Hypoglycémie</w:t>
      </w:r>
      <w:r>
        <w:t xml:space="preserve"> </w:t>
      </w:r>
      <w:r>
        <w:t xml:space="preserve">– l’effet indésirable le plus fréquent et le plus important, en particulier chez les jeunes enfants, en cas de syndrome de Laron et après des hypoglycémies antérieures</w:t>
      </w:r>
      <w:r>
        <w:rPr>
          <w:rStyle w:val="FootnoteReference"/>
        </w:rPr>
        <w:footnoteReference w:id="1512"/>
      </w:r>
      <w:r>
        <w:t xml:space="preserve">. Le résumé des caractéristiques du produit impose donc une administration étroitement liée aux repas ; il en règle lui-même les détails.</w:t>
      </w:r>
    </w:p>
    <w:p>
      <w:pPr>
        <w:numPr>
          <w:ilvl w:val="0"/>
          <w:numId w:val="1176"/>
        </w:numPr>
        <w:pStyle w:val="Compact"/>
      </w:pPr>
      <w:r>
        <w:rPr>
          <w:bCs/>
          <w:b/>
        </w:rPr>
        <w:t xml:space="preserve">Hypertrophie des amygdales et des végétations</w:t>
      </w:r>
      <w:r>
        <w:t xml:space="preserve"> </w:t>
      </w:r>
      <w:r>
        <w:t xml:space="preserve">(22 %) et modifications du tissu adipeux au point d’injection (32 %)</w:t>
      </w:r>
      <w:r>
        <w:rPr>
          <w:rStyle w:val="FootnoteReference"/>
        </w:rPr>
        <w:footnoteReference w:id="1513"/>
      </w:r>
      <w:r>
        <w:t xml:space="preserve">.</w:t>
      </w:r>
    </w:p>
    <w:p>
      <w:pPr>
        <w:numPr>
          <w:ilvl w:val="0"/>
          <w:numId w:val="1176"/>
        </w:numPr>
        <w:pStyle w:val="Compact"/>
      </w:pPr>
      <w:r>
        <w:t xml:space="preserve">Dans l’étude chez les prématurés, davantage d’événements graves mortels sont survenus en nombre sous IGF-1/IGFBP-3 que sous traitement standard</w:t>
      </w:r>
      <w:r>
        <w:rPr>
          <w:rStyle w:val="FootnoteReference"/>
        </w:rPr>
        <w:footnoteReference w:id="1514"/>
      </w:r>
      <w:r>
        <w:t xml:space="preserve"> </w:t>
      </w:r>
      <w:r>
        <w:t xml:space="preserve">; l’étude n’était pas conçue pour évaluer cette différence.</w:t>
      </w:r>
    </w:p>
    <w:p>
      <w:pPr>
        <w:pStyle w:val="FirstParagraph"/>
      </w:pPr>
      <w:r>
        <w:rPr>
          <w:bCs/>
          <w:b/>
        </w:rPr>
        <w:t xml:space="preserve">Risque de cancer – ce qui est établi et ce qui ne l’est pas :</w:t>
      </w:r>
    </w:p>
    <w:p>
      <w:pPr>
        <w:pStyle w:val="BodyText"/>
      </w:pPr>
      <w:r>
        <w:t xml:space="preserve">L’IGF-1 est un signal de croissance et de survie pour les cellules. La crainte qu’un surcroît d’IGF-1 augmente le risque de cancer est donc biologiquement plausible et étayée par plusieurs types de résultats :</w:t>
      </w:r>
    </w:p>
    <w:p>
      <w:pPr>
        <w:numPr>
          <w:ilvl w:val="0"/>
          <w:numId w:val="1177"/>
        </w:numPr>
        <w:pStyle w:val="Compact"/>
      </w:pPr>
      <w:r>
        <w:rPr>
          <w:iCs/>
          <w:i/>
        </w:rPr>
        <w:t xml:space="preserve">Études observationnelles :</w:t>
      </w:r>
      <w:r>
        <w:t xml:space="preserve"> </w:t>
      </w:r>
      <w:r>
        <w:t xml:space="preserve">les personnes ayant des taux sanguins d’IGF-1 plus élevés développent un peu plus souvent un cancer de la prostate et un cancer du sein avant la ménopause</w:t>
      </w:r>
      <w:r>
        <w:rPr>
          <w:rStyle w:val="FootnoteReference"/>
        </w:rPr>
        <w:footnoteReference w:id="1515"/>
      </w:r>
      <w:r>
        <w:t xml:space="preserve">. Dans la UK Biobank, chaque augmentation de 5 nmol/l était associée à un risque de cancer du sein supérieur de 11 %</w:t>
      </w:r>
      <w:r>
        <w:rPr>
          <w:rStyle w:val="FootnoteReference"/>
        </w:rPr>
        <w:footnoteReference w:id="1516"/>
      </w:r>
      <w:r>
        <w:t xml:space="preserve"> </w:t>
      </w:r>
      <w:r>
        <w:t xml:space="preserve">; des associations semblables apparaissent pour le cancer colorectal</w:t>
      </w:r>
      <w:r>
        <w:rPr>
          <w:rStyle w:val="FootnoteReference"/>
        </w:rPr>
        <w:footnoteReference w:id="1517"/>
      </w:r>
      <w:r>
        <w:t xml:space="preserve"> </w:t>
      </w:r>
      <w:r>
        <w:t xml:space="preserve">et le cancer de la prostate</w:t>
      </w:r>
      <w:r>
        <w:rPr>
          <w:rStyle w:val="FootnoteReference"/>
        </w:rPr>
        <w:footnoteReference w:id="1518"/>
      </w:r>
      <w:r>
        <w:t xml:space="preserve">.</w:t>
      </w:r>
    </w:p>
    <w:p>
      <w:pPr>
        <w:numPr>
          <w:ilvl w:val="0"/>
          <w:numId w:val="1177"/>
        </w:numPr>
        <w:pStyle w:val="Compact"/>
      </w:pPr>
      <w:r>
        <w:rPr>
          <w:iCs/>
          <w:i/>
        </w:rPr>
        <w:t xml:space="preserve">Analyses génétiques (randomisation mendélienne) :</w:t>
      </w:r>
      <w:r>
        <w:t xml:space="preserve"> </w:t>
      </w:r>
      <w:r>
        <w:t xml:space="preserve">les personnes ayant génétiquement des taux d’IGF-1 plus élevés développent elles aussi un peu plus souvent un cancer du sein et un cancer colorectal – un indice que l’association pourrait être causale</w:t>
      </w:r>
      <w:r>
        <w:rPr>
          <w:rStyle w:val="FootnoteReference"/>
        </w:rPr>
        <w:footnoteReference w:id="1519"/>
      </w:r>
      <w:r>
        <w:t xml:space="preserve">.</w:t>
      </w:r>
    </w:p>
    <w:p>
      <w:pPr>
        <w:numPr>
          <w:ilvl w:val="0"/>
          <w:numId w:val="1177"/>
        </w:numPr>
        <w:pStyle w:val="Compact"/>
      </w:pPr>
      <w:r>
        <w:rPr>
          <w:iCs/>
          <w:i/>
        </w:rPr>
        <w:t xml:space="preserve">Le contre-exemple :</w:t>
      </w:r>
      <w:r>
        <w:t xml:space="preserve"> </w:t>
      </w:r>
      <w:r>
        <w:t xml:space="preserve">dans un groupe équatorien atteint du syndrome de Laron, c’est-à-dire d’un déficit en IGF-1 à vie, un seul cancer, non mortel, est survenu sur 22 ans d’observation, contre 17 % chez les apparentés non atteints</w:t>
      </w:r>
      <w:r>
        <w:rPr>
          <w:rStyle w:val="FootnoteReference"/>
        </w:rPr>
        <w:footnoteReference w:id="1520"/>
      </w:r>
      <w:r>
        <w:t xml:space="preserve">.</w:t>
      </w:r>
    </w:p>
    <w:p>
      <w:pPr>
        <w:pStyle w:val="FirstParagraph"/>
      </w:pPr>
      <w:r>
        <w:t xml:space="preserve">L’ordre de grandeur est important : les hausses de risque mesurées en cas d’IGF-1 naturellement plus élevé sont modérées (selon la comparaison et le type de cancer, généralement entre environ 5 et 65 % en valeur relative). Chez les enfants pour lesquels la mécasermine est autorisée, on remplace une hormone manquante ; on n’élève pas un taux normal au-delà de la norme. Néanmoins, après la mise sur le marché, des cas de néoplasies bénignes et malignes ont été signalés chez des enfants traités ; le résumé des caractéristiques du produit dans l’UE et aux États-Unis a alors été complété par des mises en garde correspondantes, et la mécasermine ne doit pas être utilisée en cas de cancer actif ou suspecté (état 2026, détails dans le résumé des caractéristiques du produit en vigueur). Les signalements isolés ne permettent pas d’établir s’il existe un lien de causalité ; le registre à long terme</w:t>
      </w:r>
      <w:r>
        <w:rPr>
          <w:rStyle w:val="FootnoteReference"/>
        </w:rPr>
        <w:footnoteReference w:id="1521"/>
      </w:r>
      <w:r>
        <w:t xml:space="preserve"> </w:t>
      </w:r>
      <w:r>
        <w:t xml:space="preserve">doit fournir des données à ce sujet.</w:t>
      </w:r>
    </w:p>
    <w:p>
      <w:pPr>
        <w:pStyle w:val="BodyText"/>
      </w:pPr>
      <w:r>
        <w:t xml:space="preserve">Pour les adultes qui utilisent de l’IGF-1 sans déficit, pour améliorer leurs performances ou se « rajeunir », ces considérations sont à prendre beaucoup plus au sérieux : on élèverait ici durablement un taux normal – exactement la situation associée à un risque plus élevé dans les études observationnelles. Le sujet est traité en détail dans la partie IV.</w:t>
      </w:r>
    </w:p>
    <w:bookmarkEnd w:id="1522"/>
    <w:bookmarkStart w:id="1525" w:name="statut-juridique-31"/>
    <w:p>
      <w:pPr>
        <w:pStyle w:val="Heading3"/>
      </w:pPr>
      <w:r>
        <w:t xml:space="preserve">Statut juridique</w:t>
      </w:r>
    </w:p>
    <w:p>
      <w:pPr>
        <w:pStyle w:val="FirstParagraph"/>
      </w:pPr>
      <w:r>
        <w:rPr>
          <w:iCs/>
          <w:i/>
        </w:rPr>
        <w:t xml:space="preserve">État 2026, à vérifier.</w:t>
      </w:r>
    </w:p>
    <w:p>
      <w:pPr>
        <w:numPr>
          <w:ilvl w:val="0"/>
          <w:numId w:val="1178"/>
        </w:numPr>
        <w:pStyle w:val="Compact"/>
      </w:pPr>
      <w:r>
        <w:rPr>
          <w:bCs/>
          <w:b/>
        </w:rPr>
        <w:t xml:space="preserve">UE, Allemagne, Autriche :</w:t>
      </w:r>
      <w:r>
        <w:t xml:space="preserve"> </w:t>
      </w:r>
      <w:r>
        <w:t xml:space="preserve">autorisée (Increlex) exclusivement pour les enfants et adolescents présentant un déficit primaire sévère en IGF-1 ; sur ordonnance, traitement par des médecins expérimentés en endocrinologie pédiatrique conformément au résumé des caractéristiques du produit. L’autorisation de l’UE est liée à la collecte de données dans le registre à long terme</w:t>
      </w:r>
      <w:r>
        <w:rPr>
          <w:rStyle w:val="FootnoteReference"/>
        </w:rPr>
        <w:footnoteReference w:id="1523"/>
      </w:r>
      <w:r>
        <w:t xml:space="preserve">.</w:t>
      </w:r>
    </w:p>
    <w:p>
      <w:pPr>
        <w:numPr>
          <w:ilvl w:val="0"/>
          <w:numId w:val="1178"/>
        </w:numPr>
        <w:pStyle w:val="Compact"/>
      </w:pPr>
      <w:r>
        <w:rPr>
          <w:bCs/>
          <w:b/>
        </w:rPr>
        <w:t xml:space="preserve">États-Unis :</w:t>
      </w:r>
      <w:r>
        <w:t xml:space="preserve"> </w:t>
      </w:r>
      <w:r>
        <w:t xml:space="preserve">autorisée (Increlex) pour la même indication.</w:t>
      </w:r>
    </w:p>
    <w:p>
      <w:pPr>
        <w:numPr>
          <w:ilvl w:val="0"/>
          <w:numId w:val="1178"/>
        </w:numPr>
        <w:pStyle w:val="Compact"/>
      </w:pPr>
      <w:r>
        <w:rPr>
          <w:bCs/>
          <w:b/>
        </w:rPr>
        <w:t xml:space="preserve">Autres utilisations</w:t>
      </w:r>
      <w:r>
        <w:t xml:space="preserve"> </w:t>
      </w:r>
      <w:r>
        <w:t xml:space="preserve">(adultes, sport, anti-âge) : non autorisées.</w:t>
      </w:r>
    </w:p>
    <w:p>
      <w:pPr>
        <w:numPr>
          <w:ilvl w:val="0"/>
          <w:numId w:val="1178"/>
        </w:numPr>
        <w:pStyle w:val="Compact"/>
      </w:pPr>
      <w:r>
        <w:rPr>
          <w:bCs/>
          <w:b/>
        </w:rPr>
        <w:t xml:space="preserve">AMA (WADA) :</w:t>
      </w:r>
      <w:r>
        <w:t xml:space="preserve"> </w:t>
      </w:r>
      <w:r>
        <w:t xml:space="preserve">interdite (S2). Pour la détection de l’abus d’IGF-1, des méthodes fondées sur des marqueurs sont en cours de développement, à l’image du test de l’hormone de croissance</w:t>
      </w:r>
      <w:r>
        <w:rPr>
          <w:rStyle w:val="FootnoteReference"/>
        </w:rPr>
        <w:footnoteReference w:id="1524"/>
      </w:r>
      <w:r>
        <w:t xml:space="preserve">.</w:t>
      </w:r>
    </w:p>
    <w:bookmarkEnd w:id="1525"/>
    <w:bookmarkStart w:id="1527" w:name="études-en-cours-et-perspectives-31"/>
    <w:p>
      <w:pPr>
        <w:pStyle w:val="Heading3"/>
      </w:pPr>
      <w:r>
        <w:t xml:space="preserve">Études en cours et perspectives</w:t>
      </w:r>
    </w:p>
    <w:p>
      <w:pPr>
        <w:pStyle w:val="FirstParagraph"/>
      </w:pPr>
      <w:r>
        <w:rPr>
          <w:iCs/>
          <w:i/>
        </w:rPr>
        <w:t xml:space="preserve">Établi :</w:t>
      </w:r>
      <w:r>
        <w:t xml:space="preserve"> </w:t>
      </w:r>
      <w:r>
        <w:t xml:space="preserve">selon son entrée, le registre mondial Increlex</w:t>
      </w:r>
      <w:r>
        <w:rPr>
          <w:rStyle w:val="FootnoteReference"/>
        </w:rPr>
        <w:footnoteReference w:id="1526"/>
      </w:r>
      <w:r>
        <w:t xml:space="preserve"> </w:t>
      </w:r>
      <w:r>
        <w:t xml:space="preserve">court jusqu’à fin 2027. Une étude de phase 2 avec IGF-1/IGFBP-3 pour la prévention de la dysplasie bronchopulmonaire chez les grands prématurés (NCT03253263, 295 enfants) est active, mais ne recrute plus.</w:t>
      </w:r>
      <w:r>
        <w:t xml:space="preserve"> </w:t>
      </w:r>
      <w:r>
        <w:rPr>
          <w:iCs/>
          <w:i/>
        </w:rPr>
        <w:t xml:space="preserve">Appréciation de l’auteur :</w:t>
      </w:r>
      <w:r>
        <w:t xml:space="preserve"> </w:t>
      </w:r>
      <w:r>
        <w:t xml:space="preserve">de nouvelles autorisations pour les adultes ne sont pas en vue ; l’importance de la mécasermine restera limitée aux troubles rares de la croissance et, le cas échéant, à la médecine des prématurés.</w:t>
      </w:r>
    </w:p>
    <w:bookmarkEnd w:id="1527"/>
    <w:bookmarkStart w:id="1528" w:name="conclusion-31"/>
    <w:p>
      <w:pPr>
        <w:pStyle w:val="Heading3"/>
      </w:pPr>
      <w:r>
        <w:t xml:space="preserve">Conclusion</w:t>
      </w:r>
    </w:p>
    <w:p>
      <w:pPr>
        <w:pStyle w:val="FirstParagraph"/>
      </w:pPr>
      <w:r>
        <w:t xml:space="preserve">La mécasermine remplace l’IGF-1 manquant chez les enfants présentant un déficit primaire sévère en IGF-1 et améliore nettement leur croissance, surtout lorsque le traitement commence tôt. L’effet indésirable le plus fréquent est l’hypoglycémie ; après des signalements de néoplasies, les mises en garde ont été renforcées. Dans d’autres applications, par exemple la SLA, l’IGF-1 n’a apporté aucun bénéfice. Pour les personnes en bonne santé, une utilisation n’est ni démontrée ni défendable, car un IGF-1 durablement élevé est associé, dans de grandes études observationnelles et génétiques, à un risque de cancer légèrement plus élevé.</w:t>
      </w:r>
    </w:p>
    <w:bookmarkEnd w:id="1528"/>
    <w:bookmarkEnd w:id="1529"/>
    <w:bookmarkStart w:id="1559" w:name="igf-1-lr3"/>
    <w:p>
      <w:pPr>
        <w:pStyle w:val="Heading2"/>
      </w:pPr>
      <w:r>
        <w:t xml:space="preserve">IGF-1 LR3</w:t>
      </w:r>
    </w:p>
    <w:p>
      <w:pPr>
        <w:pStyle w:val="FirstParagraph"/>
      </w:pPr>
      <w:r>
        <w:t xml:space="preserve">L’IGF-1 LR3 (en toutes lettres « Long-R3-IGF-I ») n’est pas un médicament, mais un réactif de laboratoire. Il a été développé pour améliorer la croissance des cultures cellulaires en biotechnologie et il est utilisé dans des expérimentations animales. Le fait qu’il soit vendu sur Internet en flacons pour injection est un exemple type du marché des « Research Peptides » : une substance qui n’a jamais été destinée à l’humain, qui n’a jamais été testée chez l’humain et dont les propriétés amplifient précisément les risques qui inquiètent avec l’IGF-1 naturel.</w:t>
      </w:r>
    </w:p>
    <w:bookmarkStart w:id="1531" w:name="fiche-signalétique-32"/>
    <w:p>
      <w:pPr>
        <w:pStyle w:val="Heading3"/>
      </w:pPr>
      <w:r>
        <w:t xml:space="preserve">Fiche signalétique</w:t>
      </w:r>
    </w:p>
    <w:p>
      <w:pPr>
        <w:numPr>
          <w:ilvl w:val="0"/>
          <w:numId w:val="1179"/>
        </w:numPr>
        <w:pStyle w:val="Compact"/>
      </w:pPr>
      <w:r>
        <w:rPr>
          <w:bCs/>
          <w:b/>
        </w:rPr>
        <w:t xml:space="preserve">Nature et structure :</w:t>
      </w:r>
      <w:r>
        <w:t xml:space="preserve"> </w:t>
      </w:r>
      <w:r>
        <w:t xml:space="preserve">IGF-1 humain modifié : en position 3 se trouve l’acide aminé arginine (« R3 »), et une chaîne d’acides aminés supplémentaire a été ajoutée au début (« Long »). Ces deux modifications réduisent fortement la liaison aux protéines de liaison des IGF</w:t>
      </w:r>
      <w:r>
        <w:rPr>
          <w:rStyle w:val="FootnoteReference"/>
        </w:rPr>
        <w:footnoteReference w:id="1530"/>
      </w:r>
      <w:r>
        <w:t xml:space="preserve">.</w:t>
      </w:r>
    </w:p>
    <w:p>
      <w:pPr>
        <w:numPr>
          <w:ilvl w:val="0"/>
          <w:numId w:val="1179"/>
        </w:numPr>
        <w:pStyle w:val="Compact"/>
      </w:pPr>
      <w:r>
        <w:rPr>
          <w:bCs/>
          <w:b/>
        </w:rPr>
        <w:t xml:space="preserve">Origine :</w:t>
      </w:r>
      <w:r>
        <w:t xml:space="preserve"> </w:t>
      </w:r>
      <w:r>
        <w:t xml:space="preserve">décrit au début des années 1990 comme outil de recherche ; aujourd’hui disponible commercialement comme additif pour milieux de culture cellulaire.</w:t>
      </w:r>
    </w:p>
    <w:p>
      <w:pPr>
        <w:numPr>
          <w:ilvl w:val="0"/>
          <w:numId w:val="1179"/>
        </w:numPr>
        <w:pStyle w:val="Compact"/>
      </w:pPr>
      <w:r>
        <w:rPr>
          <w:bCs/>
          <w:b/>
        </w:rPr>
        <w:t xml:space="preserve">Principe d’action :</w:t>
      </w:r>
      <w:r>
        <w:t xml:space="preserve"> </w:t>
      </w:r>
      <w:r>
        <w:t xml:space="preserve">se lie comme l’IGF-1 au récepteur de l’IGF-1 ; comme il n’est presque pas capté par les protéines de liaison, il est présent dans le sang principalement sous forme libre et donc directement active.</w:t>
      </w:r>
    </w:p>
    <w:p>
      <w:pPr>
        <w:numPr>
          <w:ilvl w:val="0"/>
          <w:numId w:val="1179"/>
        </w:numPr>
        <w:pStyle w:val="Compact"/>
      </w:pPr>
      <w:r>
        <w:rPr>
          <w:bCs/>
          <w:b/>
        </w:rPr>
        <w:t xml:space="preserve">Autorisation UE :</w:t>
      </w:r>
      <w:r>
        <w:t xml:space="preserve"> </w:t>
      </w:r>
      <w:r>
        <w:t xml:space="preserve">non.</w:t>
      </w:r>
      <w:r>
        <w:t xml:space="preserve"> </w:t>
      </w:r>
      <w:r>
        <w:rPr>
          <w:bCs/>
          <w:b/>
        </w:rPr>
        <w:t xml:space="preserve">Autorisation États-Unis :</w:t>
      </w:r>
      <w:r>
        <w:t xml:space="preserve"> </w:t>
      </w:r>
      <w:r>
        <w:t xml:space="preserve">non. Autorisé nulle part comme médicament, et jamais demandé.</w:t>
      </w:r>
    </w:p>
    <w:p>
      <w:pPr>
        <w:numPr>
          <w:ilvl w:val="0"/>
          <w:numId w:val="1179"/>
        </w:numPr>
        <w:pStyle w:val="Compact"/>
      </w:pPr>
      <w:r>
        <w:rPr>
          <w:bCs/>
          <w:b/>
        </w:rPr>
        <w:t xml:space="preserve">AMA (WADA) :</w:t>
      </w:r>
      <w:r>
        <w:t xml:space="preserve"> </w:t>
      </w:r>
      <w:r>
        <w:t xml:space="preserve">interdit, classe S2 (analogues de l’IGF-1 en tant que facteurs de croissance).</w:t>
      </w:r>
    </w:p>
    <w:p>
      <w:pPr>
        <w:numPr>
          <w:ilvl w:val="0"/>
          <w:numId w:val="1179"/>
        </w:numPr>
        <w:pStyle w:val="Compact"/>
      </w:pPr>
      <w:r>
        <w:rPr>
          <w:bCs/>
          <w:b/>
        </w:rPr>
        <w:t xml:space="preserve">Niveau de preuve : D</w:t>
      </w:r>
      <w:r>
        <w:t xml:space="preserve"> </w:t>
      </w:r>
      <w:r>
        <w:t xml:space="preserve">– pas une seule étude chez l’humain ; uniquement des études animales et de laboratoire.</w:t>
      </w:r>
    </w:p>
    <w:bookmarkEnd w:id="1531"/>
    <w:bookmarkStart w:id="1535" w:name="mode-daction-supposé-32"/>
    <w:p>
      <w:pPr>
        <w:pStyle w:val="Heading3"/>
      </w:pPr>
      <w:r>
        <w:t xml:space="preserve">Mode d’action supposé</w:t>
      </w:r>
    </w:p>
    <w:p>
      <w:pPr>
        <w:pStyle w:val="FirstParagraph"/>
      </w:pPr>
      <w:r>
        <w:t xml:space="preserve">Dans le sang, presque tout l’IGF-1 est couplé à des protéines de liaison, surtout à l’IGFBP-3. Ces protéines agissent comme un tampon : elles prolongent la durée de vie de l’IGF-1, mais le tiennent aussi à distance des cellules et atténuent ainsi son effet. Dans des expériences cellulaires, l’IGFBP-3 inhibait l’activation du récepteur de l’IGF-1 par l’IGF-1 et aussi par le Long-R3-IGF-I, en captant ces messagers</w:t>
      </w:r>
      <w:r>
        <w:rPr>
          <w:rStyle w:val="FootnoteReference"/>
        </w:rPr>
        <w:footnoteReference w:id="1532"/>
      </w:r>
      <w:r>
        <w:t xml:space="preserve">.</w:t>
      </w:r>
    </w:p>
    <w:p>
      <w:pPr>
        <w:pStyle w:val="BodyText"/>
      </w:pPr>
      <w:r>
        <w:t xml:space="preserve">Le LR3 a été modifié de manière à échapper en grande partie à ce tampon. Chez le rat, il était présent dans le sang principalement sous forme de peptide libre et était éliminé du sang – chez les animaux non gestants – environ dix fois plus vite que l’IGF-1 ; il disparaît donc rapidement dans les tissus</w:t>
      </w:r>
      <w:r>
        <w:rPr>
          <w:rStyle w:val="FootnoteReference"/>
        </w:rPr>
        <w:footnoteReference w:id="1533"/>
      </w:r>
      <w:r>
        <w:t xml:space="preserve">. Chez des rats diabétiques, il était 2,5 à 3 fois plus efficace que l’IGF-1 pour restaurer la croissance</w:t>
      </w:r>
      <w:r>
        <w:rPr>
          <w:rStyle w:val="FootnoteReference"/>
        </w:rPr>
        <w:footnoteReference w:id="1534"/>
      </w:r>
      <w:r>
        <w:t xml:space="preserve">. Sur le marché gris, on en déduit l’attente que le LR3 développerait davantage les muscles chez l’humain que l’IGF-1 naturel. Il n’existe aucune preuve en ce sens.</w:t>
      </w:r>
    </w:p>
    <w:bookmarkEnd w:id="1535"/>
    <w:bookmarkStart w:id="1539" w:name="études-chez-lhumain-32"/>
    <w:p>
      <w:pPr>
        <w:pStyle w:val="Heading3"/>
      </w:pPr>
      <w:r>
        <w:t xml:space="preserve">Études chez l’humain</w:t>
      </w:r>
    </w:p>
    <w:p>
      <w:pPr>
        <w:pStyle w:val="FirstParagraph"/>
      </w:pPr>
      <w:r>
        <w:rPr>
          <w:bCs/>
          <w:b/>
        </w:rPr>
        <w:t xml:space="preserve">Ampleur des données (requête d’octobre 2026) :</w:t>
      </w:r>
      <w:r>
        <w:t xml:space="preserve"> </w:t>
      </w:r>
      <w:r>
        <w:t xml:space="preserve">la recherche automatisée de ce livre n’a trouvé</w:t>
      </w:r>
      <w:r>
        <w:t xml:space="preserve"> </w:t>
      </w:r>
      <w:r>
        <w:rPr>
          <w:bCs/>
          <w:b/>
        </w:rPr>
        <w:t xml:space="preserve">aucune</w:t>
      </w:r>
      <w:r>
        <w:t xml:space="preserve"> </w:t>
      </w:r>
      <w:r>
        <w:t xml:space="preserve">étude chez l’humain dans PubMed (</w:t>
      </w:r>
      <w:r>
        <w:rPr>
          <w:rStyle w:val="VerbatimChar"/>
        </w:rPr>
        <w:t xml:space="preserve">humanstudien_alle</w:t>
      </w:r>
      <w:r>
        <w:t xml:space="preserve"> </w:t>
      </w:r>
      <w:r>
        <w:t xml:space="preserve">: 0) et</w:t>
      </w:r>
      <w:r>
        <w:t xml:space="preserve"> </w:t>
      </w:r>
      <w:r>
        <w:rPr>
          <w:bCs/>
          <w:b/>
        </w:rPr>
        <w:t xml:space="preserve">aucune</w:t>
      </w:r>
      <w:r>
        <w:t xml:space="preserve"> </w:t>
      </w:r>
      <w:r>
        <w:t xml:space="preserve">entrée sur ClinicalTrials.gov. Une recherche complémentaire ciblée d’études pilotes, de rapports de cas d’intoxication ou d’effets indésirables n’a pas non plus mis au jour de publication dans laquelle des personnes auraient reçu de l’IGF-1 LR3.</w:t>
      </w:r>
    </w:p>
    <w:p>
      <w:pPr>
        <w:pStyle w:val="BodyText"/>
      </w:pPr>
      <w:r>
        <w:t xml:space="preserve">Seuls ont été trouvés :</w:t>
      </w:r>
    </w:p>
    <w:p>
      <w:pPr>
        <w:numPr>
          <w:ilvl w:val="0"/>
          <w:numId w:val="1180"/>
        </w:numPr>
        <w:pStyle w:val="Compact"/>
      </w:pPr>
      <w:r>
        <w:rPr>
          <w:bCs/>
          <w:b/>
        </w:rPr>
        <w:t xml:space="preserve">Analyses du marché gris :</w:t>
      </w:r>
      <w:r>
        <w:t xml:space="preserve"> </w:t>
      </w:r>
      <w:r>
        <w:t xml:space="preserve">un laboratoire antidopage a trouvé dans un flacon d’injection issu du marché noir du Long-R3-IGF-I portant un « His-Tag » – un appendice de six éléments histidine utilisé pour la purification lors de la production de protéines de laboratoire. Les auteurs supposent qu’il s’agissait d’un sous-produit de la recherche biochimique, et non d’une préparation fabriquée pour l’injection ; l’effet de cette variante chez l’humain est totalement inconnu</w:t>
      </w:r>
      <w:r>
        <w:rPr>
          <w:rStyle w:val="FootnoteReference"/>
        </w:rPr>
        <w:footnoteReference w:id="1536"/>
      </w:r>
      <w:r>
        <w:t xml:space="preserve">. Un autre groupe de recherche a trouvé dans des produits du marché noir de nombreux indices de formes peptidiques de qualité inférieure et oxydées</w:t>
      </w:r>
      <w:r>
        <w:rPr>
          <w:rStyle w:val="FootnoteReference"/>
        </w:rPr>
        <w:footnoteReference w:id="1537"/>
      </w:r>
      <w:r>
        <w:t xml:space="preserve">.</w:t>
      </w:r>
    </w:p>
    <w:p>
      <w:pPr>
        <w:numPr>
          <w:ilvl w:val="0"/>
          <w:numId w:val="1180"/>
        </w:numPr>
        <w:pStyle w:val="Compact"/>
      </w:pPr>
      <w:r>
        <w:rPr>
          <w:bCs/>
          <w:b/>
        </w:rPr>
        <w:t xml:space="preserve">Revues sur le dopage :</w:t>
      </w:r>
      <w:r>
        <w:t xml:space="preserve"> </w:t>
      </w:r>
      <w:r>
        <w:t xml:space="preserve">l’IGF-1 et ses analogues sont vantés sur Internet et disponibles sur le marché noir depuis des années</w:t>
      </w:r>
      <w:r>
        <w:rPr>
          <w:rStyle w:val="FootnoteReference"/>
        </w:rPr>
        <w:footnoteReference w:id="1538"/>
      </w:r>
      <w:r>
        <w:t xml:space="preserve">.</w:t>
      </w:r>
    </w:p>
    <w:bookmarkEnd w:id="1539"/>
    <w:bookmarkStart w:id="1547" w:name="études-animales-et-de-laboratoire-32"/>
    <w:p>
      <w:pPr>
        <w:pStyle w:val="Heading3"/>
      </w:pPr>
      <w:r>
        <w:t xml:space="preserve">Études animales et de laboratoire</w:t>
      </w:r>
    </w:p>
    <w:p>
      <w:pPr>
        <w:pStyle w:val="FirstParagraph"/>
      </w:pPr>
      <w:r>
        <w:t xml:space="preserve">Presque toute la recherche sur le LR3 provient de la biologie des animaux d’élevage et du développement :</w:t>
      </w:r>
    </w:p>
    <w:p>
      <w:pPr>
        <w:numPr>
          <w:ilvl w:val="0"/>
          <w:numId w:val="1181"/>
        </w:numPr>
        <w:pStyle w:val="Compact"/>
      </w:pPr>
      <w:r>
        <w:rPr>
          <w:bCs/>
          <w:b/>
        </w:rPr>
        <w:t xml:space="preserve">Rats :</w:t>
      </w:r>
      <w:r>
        <w:t xml:space="preserve"> </w:t>
      </w:r>
      <w:r>
        <w:t xml:space="preserve">distribution rapide dans les tissus, principalement sous forme de peptide libre</w:t>
      </w:r>
      <w:r>
        <w:rPr>
          <w:rStyle w:val="FootnoteReference"/>
        </w:rPr>
        <w:footnoteReference w:id="1540"/>
      </w:r>
      <w:r>
        <w:t xml:space="preserve"> </w:t>
      </w:r>
      <w:r>
        <w:t xml:space="preserve">; effet de croissance plus fort que l’IGF-1 chez des rats diabétiques, sans réduire l’excrétion urinaire de glucose</w:t>
      </w:r>
      <w:r>
        <w:rPr>
          <w:rStyle w:val="FootnoteReference"/>
        </w:rPr>
        <w:footnoteReference w:id="1541"/>
      </w:r>
      <w:r>
        <w:t xml:space="preserve">.</w:t>
      </w:r>
    </w:p>
    <w:p>
      <w:pPr>
        <w:numPr>
          <w:ilvl w:val="0"/>
          <w:numId w:val="1181"/>
        </w:numPr>
        <w:pStyle w:val="Compact"/>
      </w:pPr>
      <w:r>
        <w:rPr>
          <w:bCs/>
          <w:b/>
        </w:rPr>
        <w:t xml:space="preserve">Porcs :</w:t>
      </w:r>
      <w:r>
        <w:t xml:space="preserve"> </w:t>
      </w:r>
      <w:r>
        <w:t xml:space="preserve">une perfusion de quatre jours a</w:t>
      </w:r>
      <w:r>
        <w:t xml:space="preserve"> </w:t>
      </w:r>
      <w:r>
        <w:rPr>
          <w:bCs/>
          <w:b/>
        </w:rPr>
        <w:t xml:space="preserve">réduit</w:t>
      </w:r>
      <w:r>
        <w:t xml:space="preserve"> </w:t>
      </w:r>
      <w:r>
        <w:t xml:space="preserve">chez des porcs d’engraissement la prise de poids et la prise alimentaire et a supprimé les taux endogènes d’hormone de croissance, d’IGF-1, d’IGFBP-3 et d’insuline</w:t>
      </w:r>
      <w:r>
        <w:rPr>
          <w:rStyle w:val="FootnoteReference"/>
        </w:rPr>
        <w:footnoteReference w:id="1542"/>
      </w:r>
      <w:r>
        <w:t xml:space="preserve">.</w:t>
      </w:r>
    </w:p>
    <w:p>
      <w:pPr>
        <w:numPr>
          <w:ilvl w:val="0"/>
          <w:numId w:val="1181"/>
        </w:numPr>
        <w:pStyle w:val="Compact"/>
      </w:pPr>
      <w:r>
        <w:rPr>
          <w:bCs/>
          <w:b/>
        </w:rPr>
        <w:t xml:space="preserve">Cobayes :</w:t>
      </w:r>
      <w:r>
        <w:t xml:space="preserve"> </w:t>
      </w:r>
      <w:r>
        <w:t xml:space="preserve">des organes comme l’intestin, les reins, la rate et les surrénales sont devenus plus lourds, mais la croissance corporelle globale n’a pas augmenté</w:t>
      </w:r>
      <w:r>
        <w:rPr>
          <w:rStyle w:val="FootnoteReference"/>
        </w:rPr>
        <w:footnoteReference w:id="1543"/>
      </w:r>
      <w:r>
        <w:t xml:space="preserve">.</w:t>
      </w:r>
    </w:p>
    <w:p>
      <w:pPr>
        <w:numPr>
          <w:ilvl w:val="0"/>
          <w:numId w:val="1181"/>
        </w:numPr>
        <w:pStyle w:val="Compact"/>
      </w:pPr>
      <w:r>
        <w:rPr>
          <w:bCs/>
          <w:b/>
        </w:rPr>
        <w:t xml:space="preserve">Fœtus de mouton :</w:t>
      </w:r>
      <w:r>
        <w:t xml:space="preserve"> </w:t>
      </w:r>
      <w:r>
        <w:t xml:space="preserve">chez des fœtus à croissance normale, le LR3 a réduit la sécrétion d’insuline ; une brève perfusion a diminué de 66 % les taux d’insuline lors d’une charge en glucose</w:t>
      </w:r>
      <w:r>
        <w:rPr>
          <w:rStyle w:val="FootnoteReference"/>
        </w:rPr>
        <w:footnoteReference w:id="1544"/>
      </w:r>
      <w:r>
        <w:t xml:space="preserve">. Chez des fœtus à croissance retardée, un traitement d’une semaine n’a pas amélioré la croissance</w:t>
      </w:r>
      <w:r>
        <w:rPr>
          <w:rStyle w:val="FootnoteReference"/>
        </w:rPr>
        <w:footnoteReference w:id="1545"/>
      </w:r>
      <w:r>
        <w:t xml:space="preserve">.</w:t>
      </w:r>
    </w:p>
    <w:p>
      <w:pPr>
        <w:numPr>
          <w:ilvl w:val="0"/>
          <w:numId w:val="1181"/>
        </w:numPr>
        <w:pStyle w:val="Compact"/>
      </w:pPr>
      <w:r>
        <w:rPr>
          <w:bCs/>
          <w:b/>
        </w:rPr>
        <w:t xml:space="preserve">Souris :</w:t>
      </w:r>
      <w:r>
        <w:t xml:space="preserve"> </w:t>
      </w:r>
      <w:r>
        <w:t xml:space="preserve">dans un modèle de la maladie d’Alzheimer, le LR3 en spray nasal a modifié les dépôts amyloïdes, mais n’a pas empêché la perte de mémoire</w:t>
      </w:r>
      <w:r>
        <w:rPr>
          <w:rStyle w:val="FootnoteReference"/>
        </w:rPr>
        <w:footnoteReference w:id="1546"/>
      </w:r>
      <w:r>
        <w:t xml:space="preserve">.</w:t>
      </w:r>
    </w:p>
    <w:p>
      <w:pPr>
        <w:pStyle w:val="FirstParagraph"/>
      </w:pPr>
      <w:r>
        <w:t xml:space="preserve">Les données animales sont contradictoires : selon l’espèce, le LR3 favorisait la croissance, était sans effet, voire inhibait la croissance. Une transposition à l’humain n’est pas possible.</w:t>
      </w:r>
    </w:p>
    <w:bookmarkEnd w:id="1547"/>
    <w:bookmarkStart w:id="1554" w:name="risques-et-effets-indésirables-32"/>
    <w:p>
      <w:pPr>
        <w:pStyle w:val="Heading3"/>
      </w:pPr>
      <w:r>
        <w:t xml:space="preserve">Risques et effets indésirables</w:t>
      </w:r>
    </w:p>
    <w:p>
      <w:pPr>
        <w:pStyle w:val="FirstParagraph"/>
      </w:pPr>
      <w:r>
        <w:t xml:space="preserve">Comme il n’existe pas d’études chez l’humain, les risques ne peuvent être déduits que de la biologie et de l’expérience avec l’IGF-1 naturel (mécasermine). Ces déductions sont</w:t>
      </w:r>
      <w:r>
        <w:t xml:space="preserve"> </w:t>
      </w:r>
      <w:r>
        <w:rPr>
          <w:bCs/>
          <w:b/>
        </w:rPr>
        <w:t xml:space="preserve">théoriques</w:t>
      </w:r>
      <w:r>
        <w:t xml:space="preserve">, mais bien fondées :</w:t>
      </w:r>
    </w:p>
    <w:p>
      <w:pPr>
        <w:numPr>
          <w:ilvl w:val="0"/>
          <w:numId w:val="1182"/>
        </w:numPr>
        <w:pStyle w:val="Compact"/>
      </w:pPr>
      <w:r>
        <w:rPr>
          <w:bCs/>
          <w:b/>
        </w:rPr>
        <w:t xml:space="preserve">Hypoglycémie :</w:t>
      </w:r>
      <w:r>
        <w:t xml:space="preserve"> </w:t>
      </w:r>
      <w:r>
        <w:t xml:space="preserve">à dose plus élevée, l’IGF-1 agit de manière semblable à l’insuline. Avec la mécasermine autorisée, l’hypoglycémie est l’effet indésirable le plus fréquent, bien que le tampon des protéines de liaison y soit largement préservé</w:t>
      </w:r>
      <w:r>
        <w:rPr>
          <w:rStyle w:val="FootnoteReference"/>
        </w:rPr>
        <w:footnoteReference w:id="1548"/>
      </w:r>
      <w:r>
        <w:t xml:space="preserve">. Un analogue qui échappe délibérément à ce tampon pourrait agir plus fortement et de façon moins prévisible. Cela n’a pas été mesuré chez l’humain. Dans les expérimentations animales, les taux d’insuline ont parfois baissé</w:t>
      </w:r>
      <w:r>
        <w:rPr>
          <w:rStyle w:val="FootnoteReference"/>
        </w:rPr>
        <w:footnoteReference w:id="1549"/>
      </w:r>
      <w:r>
        <w:t xml:space="preserve">, ce qui pourrait modifier davantage encore la régulation de la glycémie.</w:t>
      </w:r>
    </w:p>
    <w:p>
      <w:pPr>
        <w:numPr>
          <w:ilvl w:val="0"/>
          <w:numId w:val="1182"/>
        </w:numPr>
        <w:pStyle w:val="Compact"/>
      </w:pPr>
      <w:r>
        <w:rPr>
          <w:bCs/>
          <w:b/>
        </w:rPr>
        <w:t xml:space="preserve">Croissance des organes et des tissus :</w:t>
      </w:r>
      <w:r>
        <w:t xml:space="preserve"> </w:t>
      </w:r>
      <w:r>
        <w:t xml:space="preserve">chez le cobaye, des organes internes ont grossi</w:t>
      </w:r>
      <w:r>
        <w:rPr>
          <w:rStyle w:val="FootnoteReference"/>
        </w:rPr>
        <w:footnoteReference w:id="1550"/>
      </w:r>
      <w:r>
        <w:t xml:space="preserve">. On ignore si quelque chose de semblable se produit chez l’humain.</w:t>
      </w:r>
    </w:p>
    <w:p>
      <w:pPr>
        <w:numPr>
          <w:ilvl w:val="0"/>
          <w:numId w:val="1182"/>
        </w:numPr>
        <w:pStyle w:val="Compact"/>
      </w:pPr>
      <w:r>
        <w:rPr>
          <w:bCs/>
          <w:b/>
        </w:rPr>
        <w:t xml:space="preserve">Théorie du cancer :</w:t>
      </w:r>
      <w:r>
        <w:t xml:space="preserve"> </w:t>
      </w:r>
      <w:r>
        <w:t xml:space="preserve">l’IGF-1 favorise la division et la survie cellulaires. Des taux d’IGF-1 plus élevés sont associés, dans de grandes études observationnelles et génétiques, à un risque légèrement plus élevé de cancer du sein et de la prostate</w:t>
      </w:r>
      <w:r>
        <w:rPr>
          <w:rStyle w:val="FootnoteReference"/>
        </w:rPr>
        <w:footnoteReference w:id="1551"/>
      </w:r>
      <w:r>
        <w:t xml:space="preserve">, et les personnes atteintes d’un déficit congénital en IGF-1 développent remarquablement rarement un cancer</w:t>
      </w:r>
      <w:r>
        <w:rPr>
          <w:rStyle w:val="FootnoteReference"/>
        </w:rPr>
        <w:footnoteReference w:id="1552"/>
      </w:r>
      <w:r>
        <w:t xml:space="preserve">. Un analogue qui agit plus fortement et sans tampon sur le récepteur de l’IGF-1 renforce précisément cette voie de signalisation. On n’a pas étudié si cela augmente de façon mesurable le risque de cancer chez l’humain – et on ne le fera pas, faute d’études. La crainte repose sur la plausibilité, non sur des rapports de cas.</w:t>
      </w:r>
    </w:p>
    <w:p>
      <w:pPr>
        <w:numPr>
          <w:ilvl w:val="0"/>
          <w:numId w:val="1182"/>
        </w:numPr>
        <w:pStyle w:val="Compact"/>
      </w:pPr>
      <w:r>
        <w:rPr>
          <w:bCs/>
          <w:b/>
        </w:rPr>
        <w:t xml:space="preserve">Qualité des produits :</w:t>
      </w:r>
      <w:r>
        <w:t xml:space="preserve"> </w:t>
      </w:r>
      <w:r>
        <w:t xml:space="preserve">les préparations du marché noir analysées contenaient des variantes de laboratoire avec appendice de purification et des peptides oxydés</w:t>
      </w:r>
      <w:r>
        <w:rPr>
          <w:rStyle w:val="FootnoteReference"/>
        </w:rPr>
        <w:footnoteReference w:id="1553"/>
      </w:r>
      <w:r>
        <w:t xml:space="preserve">. S’y ajoutent les risques généraux des injections non stériles. Les réactifs de culture cellulaire ne sont soumis à aucun contrôle pharmaceutique.</w:t>
      </w:r>
    </w:p>
    <w:bookmarkEnd w:id="1554"/>
    <w:bookmarkStart w:id="1556" w:name="statut-juridique-32"/>
    <w:p>
      <w:pPr>
        <w:pStyle w:val="Heading3"/>
      </w:pPr>
      <w:r>
        <w:t xml:space="preserve">Statut juridique</w:t>
      </w:r>
    </w:p>
    <w:p>
      <w:pPr>
        <w:pStyle w:val="FirstParagraph"/>
      </w:pPr>
      <w:r>
        <w:rPr>
          <w:iCs/>
          <w:i/>
        </w:rPr>
        <w:t xml:space="preserve">État 2026, à vérifier.</w:t>
      </w:r>
    </w:p>
    <w:p>
      <w:pPr>
        <w:numPr>
          <w:ilvl w:val="0"/>
          <w:numId w:val="1183"/>
        </w:numPr>
        <w:pStyle w:val="Compact"/>
      </w:pPr>
      <w:r>
        <w:rPr>
          <w:bCs/>
          <w:b/>
        </w:rPr>
        <w:t xml:space="preserve">UE, Allemagne, Autriche :</w:t>
      </w:r>
      <w:r>
        <w:t xml:space="preserve"> </w:t>
      </w:r>
      <w:r>
        <w:t xml:space="preserve">pas un médicament, aucune autorisation, ni même demandée. En tant que réactif de laboratoire, il peut être vendu pour la recherche ; la remise en vue d’un usage humain est illicite au regard des lois sur le médicament.</w:t>
      </w:r>
    </w:p>
    <w:p>
      <w:pPr>
        <w:numPr>
          <w:ilvl w:val="0"/>
          <w:numId w:val="1183"/>
        </w:numPr>
        <w:pStyle w:val="Compact"/>
      </w:pPr>
      <w:r>
        <w:rPr>
          <w:bCs/>
          <w:b/>
        </w:rPr>
        <w:t xml:space="preserve">États-Unis :</w:t>
      </w:r>
      <w:r>
        <w:t xml:space="preserve"> </w:t>
      </w:r>
      <w:r>
        <w:t xml:space="preserve">aucune autorisation ; distribution uniquement comme produit chimique de recherche.</w:t>
      </w:r>
    </w:p>
    <w:p>
      <w:pPr>
        <w:numPr>
          <w:ilvl w:val="0"/>
          <w:numId w:val="1183"/>
        </w:numPr>
        <w:pStyle w:val="Compact"/>
      </w:pPr>
      <w:r>
        <w:rPr>
          <w:bCs/>
          <w:b/>
        </w:rPr>
        <w:t xml:space="preserve">AMA (WADA) :</w:t>
      </w:r>
      <w:r>
        <w:t xml:space="preserve"> </w:t>
      </w:r>
      <w:r>
        <w:t xml:space="preserve">interdit (S2). Une méthode de détection du LR3 et d’analogues apparentés de l’IGF-1 dans le sang a été mise au point ; chez le rat, le LR3 inchangé disparaissait dès environ 4 heures, et les produits de dégradation étaient détectables jusqu’à 16 heures</w:t>
      </w:r>
      <w:r>
        <w:rPr>
          <w:rStyle w:val="FootnoteReference"/>
        </w:rPr>
        <w:footnoteReference w:id="1555"/>
      </w:r>
      <w:r>
        <w:t xml:space="preserve">.</w:t>
      </w:r>
    </w:p>
    <w:bookmarkEnd w:id="1556"/>
    <w:bookmarkStart w:id="1557" w:name="études-en-cours-et-perspectives-32"/>
    <w:p>
      <w:pPr>
        <w:pStyle w:val="Heading3"/>
      </w:pPr>
      <w:r>
        <w:t xml:space="preserve">Études en cours et perspectives</w:t>
      </w:r>
    </w:p>
    <w:p>
      <w:pPr>
        <w:pStyle w:val="FirstParagraph"/>
      </w:pPr>
      <w:r>
        <w:t xml:space="preserve">En octobre 2026, ClinicalTrials.gov ne recense aucune étude avec l’IGF-1 LR3.</w:t>
      </w:r>
      <w:r>
        <w:t xml:space="preserve"> </w:t>
      </w:r>
      <w:r>
        <w:rPr>
          <w:iCs/>
          <w:i/>
        </w:rPr>
        <w:t xml:space="preserve">Appréciation de l’auteur :</w:t>
      </w:r>
      <w:r>
        <w:t xml:space="preserve"> </w:t>
      </w:r>
      <w:r>
        <w:t xml:space="preserve">un développement en tant que médicament n’est pas à attendre. Le LR3 reste un outil pour la culture cellulaire et la recherche animale.</w:t>
      </w:r>
    </w:p>
    <w:bookmarkEnd w:id="1557"/>
    <w:bookmarkStart w:id="1558" w:name="conclusion-32"/>
    <w:p>
      <w:pPr>
        <w:pStyle w:val="Heading3"/>
      </w:pPr>
      <w:r>
        <w:t xml:space="preserve">Conclusion</w:t>
      </w:r>
    </w:p>
    <w:p>
      <w:pPr>
        <w:pStyle w:val="FirstParagraph"/>
      </w:pPr>
      <w:r>
        <w:t xml:space="preserve">L’IGF-1 LR3 est un réactif de laboratoire qui n’a jamais été étudié chez l’humain. Dans les expérimentations animales, il a, selon l’espèce, favorisé la croissance, été sans effet, voire inhibé la croissance. Sa propriété particulière – l’absence de liaison aux protéines de liaison qui jouent le rôle de tampon – laisse attendre un risque plus élevé d’hypoglycémie et une signalisation de croissance renforcée. Il est démontré que des produits du marché noir contenaient des variantes de laboratoire qui n’ont jamais été destinées à l’injection.</w:t>
      </w:r>
    </w:p>
    <w:bookmarkEnd w:id="1558"/>
    <w:bookmarkEnd w:id="1559"/>
    <w:bookmarkStart w:id="1601" w:name="ibutamorène-mk-677"/>
    <w:p>
      <w:pPr>
        <w:pStyle w:val="Heading2"/>
      </w:pPr>
      <w:r>
        <w:t xml:space="preserve">Ibutamorène (MK-677)</w:t>
      </w:r>
    </w:p>
    <w:p>
      <w:pPr>
        <w:pStyle w:val="FirstParagraph"/>
      </w:pPr>
      <w:r>
        <w:rPr>
          <w:iCs/>
          <w:i/>
        </w:rPr>
        <w:t xml:space="preserve">Chapitre de comparaison :</w:t>
      </w:r>
      <w:r>
        <w:t xml:space="preserve"> </w:t>
      </w:r>
      <w:r>
        <w:t xml:space="preserve">l’ibutamorène n’est pas un peptide. C’est une petite molécule de synthèse qui s’avale sous forme de comprimé ou de liquide – et c’est précisément pour cela qu’elle figure dans ce livre : à titre de comparaison. Elle agit sur le même récepteur que l’ipamoréline, le GHRP-2 ou l’hexaréline, à savoir le récepteur de la ghréline, et élève l’hormone de croissance et l’IGF-1 pendant des mois. L’ibutamorène a été testé dans les années 1990 et 2000 par le laboratoire pharmaceutique Merck dans plusieurs études randomisées assez vastes. Ces études montrent assez précisément ce qu’apporte une stimulation durable de l’axe de l’hormone de croissance chez les personnes âgées – et où se situent les risques. Sur le marché gris, l’ibutamorène est aujourd’hui le plus souvent vendu comme « complément de type SARM ».</w:t>
      </w:r>
    </w:p>
    <w:bookmarkStart w:id="1561" w:name="fiche-signalétique-33"/>
    <w:p>
      <w:pPr>
        <w:pStyle w:val="Heading3"/>
      </w:pPr>
      <w:r>
        <w:t xml:space="preserve">Fiche signalétique</w:t>
      </w:r>
    </w:p>
    <w:p>
      <w:pPr>
        <w:numPr>
          <w:ilvl w:val="0"/>
          <w:numId w:val="1184"/>
        </w:numPr>
        <w:pStyle w:val="Compact"/>
      </w:pPr>
      <w:r>
        <w:rPr>
          <w:bCs/>
          <w:b/>
        </w:rPr>
        <w:t xml:space="preserve">Nature et structure :</w:t>
      </w:r>
      <w:r>
        <w:t xml:space="preserve"> </w:t>
      </w:r>
      <w:r>
        <w:t xml:space="preserve">petite molécule de synthèse, pas un peptide (« non-peptide agonist » ; Liu 2021, PMID 34737341) ; active par voie orale. Noms de développement MK-677 ou MK-0677, aujourd’hui en développement sous le nom de LUM-201</w:t>
      </w:r>
      <w:r>
        <w:rPr>
          <w:rStyle w:val="FootnoteReference"/>
        </w:rPr>
        <w:footnoteReference w:id="1560"/>
      </w:r>
      <w:r>
        <w:t xml:space="preserve">.</w:t>
      </w:r>
    </w:p>
    <w:p>
      <w:pPr>
        <w:numPr>
          <w:ilvl w:val="0"/>
          <w:numId w:val="1184"/>
        </w:numPr>
        <w:pStyle w:val="Compact"/>
      </w:pPr>
      <w:r>
        <w:rPr>
          <w:bCs/>
          <w:b/>
        </w:rPr>
        <w:t xml:space="preserve">Origine :</w:t>
      </w:r>
      <w:r>
        <w:t xml:space="preserve"> </w:t>
      </w:r>
      <w:r>
        <w:t xml:space="preserve">développé par Merck (États-Unis) dans les années 1990 comme « peptidomimétique » des peptides libérant l’hormone de croissance.</w:t>
      </w:r>
    </w:p>
    <w:p>
      <w:pPr>
        <w:numPr>
          <w:ilvl w:val="0"/>
          <w:numId w:val="1184"/>
        </w:numPr>
        <w:pStyle w:val="Compact"/>
      </w:pPr>
      <w:r>
        <w:rPr>
          <w:bCs/>
          <w:b/>
        </w:rPr>
        <w:t xml:space="preserve">Principe d’action :</w:t>
      </w:r>
      <w:r>
        <w:t xml:space="preserve"> </w:t>
      </w:r>
      <w:r>
        <w:t xml:space="preserve">agoniste du récepteur de la ghréline (GHS-R1a) ; amplifie les pics de GH existants et élève durablement l’IGF-1 ; augmente l’appétit.</w:t>
      </w:r>
    </w:p>
    <w:p>
      <w:pPr>
        <w:numPr>
          <w:ilvl w:val="0"/>
          <w:numId w:val="1184"/>
        </w:numPr>
        <w:pStyle w:val="Compact"/>
      </w:pPr>
      <w:r>
        <w:rPr>
          <w:bCs/>
          <w:b/>
        </w:rPr>
        <w:t xml:space="preserve">Autorisation UE :</w:t>
      </w:r>
      <w:r>
        <w:t xml:space="preserve"> </w:t>
      </w:r>
      <w:r>
        <w:t xml:space="preserve">non.</w:t>
      </w:r>
      <w:r>
        <w:t xml:space="preserve"> </w:t>
      </w:r>
      <w:r>
        <w:rPr>
          <w:bCs/>
          <w:b/>
        </w:rPr>
        <w:t xml:space="preserve">Autorisation États-Unis :</w:t>
      </w:r>
      <w:r>
        <w:t xml:space="preserve"> </w:t>
      </w:r>
      <w:r>
        <w:t xml:space="preserve">non.</w:t>
      </w:r>
    </w:p>
    <w:p>
      <w:pPr>
        <w:numPr>
          <w:ilvl w:val="0"/>
          <w:numId w:val="1184"/>
        </w:numPr>
        <w:pStyle w:val="Compact"/>
      </w:pPr>
      <w:r>
        <w:rPr>
          <w:bCs/>
          <w:b/>
        </w:rPr>
        <w:t xml:space="preserve">AMA (WADA) :</w:t>
      </w:r>
      <w:r>
        <w:t xml:space="preserve"> </w:t>
      </w:r>
      <w:r>
        <w:t xml:space="preserve">interdit, classe S2 (sécrétagogues de l’hormone de croissance ; l’ibutamorène est expressément nommé).</w:t>
      </w:r>
    </w:p>
    <w:p>
      <w:pPr>
        <w:numPr>
          <w:ilvl w:val="0"/>
          <w:numId w:val="1184"/>
        </w:numPr>
        <w:pStyle w:val="Compact"/>
      </w:pPr>
      <w:r>
        <w:rPr>
          <w:bCs/>
          <w:b/>
        </w:rPr>
        <w:t xml:space="preserve">Niveau de preuve : B</w:t>
      </w:r>
      <w:r>
        <w:t xml:space="preserve"> </w:t>
      </w:r>
      <w:r>
        <w:t xml:space="preserve">– plusieurs études randomisées contrôlées contre placebo portant sur jusqu’à 563 participants, mais aucune autorisation et aucune étude avec un résultat clinique principal positif.</w:t>
      </w:r>
    </w:p>
    <w:bookmarkEnd w:id="1561"/>
    <w:bookmarkStart w:id="1563" w:name="mode-daction-supposé-33"/>
    <w:p>
      <w:pPr>
        <w:pStyle w:val="Heading3"/>
      </w:pPr>
      <w:r>
        <w:t xml:space="preserve">Mode d’action supposé</w:t>
      </w:r>
    </w:p>
    <w:p>
      <w:pPr>
        <w:pStyle w:val="FirstParagraph"/>
      </w:pPr>
      <w:r>
        <w:t xml:space="preserve">L’ibutamorène imite la ghréline. Contrairement aux peptides du groupe, il n’est pas détruit dans l’estomac et agit assez longtemps pour amplifier, avec une prise quotidienne, la sécrétion d’hormone de croissance 24 heures sur 24. Chez des personnes âgées en bonne santé, il a presque doublé dans une étude la concentration moyenne sur 24 heures de l’hormone de croissance ; le nombre de pics de GH est resté le même, leur amplitude a augmenté. Après quatre semaines, l’IGF-1 atteignait des valeurs comparables à celles de jeunes adultes</w:t>
      </w:r>
      <w:r>
        <w:rPr>
          <w:rStyle w:val="FootnoteReference"/>
        </w:rPr>
        <w:footnoteReference w:id="1562"/>
      </w:r>
      <w:r>
        <w:t xml:space="preserve">.</w:t>
      </w:r>
    </w:p>
    <w:p>
      <w:pPr>
        <w:pStyle w:val="BodyText"/>
      </w:pPr>
      <w:r>
        <w:t xml:space="preserve">L’espoir de Merck était de compenser ainsi le déclin de l’axe de l’hormone de croissance avec l’âge, appelé « somatopause » : fonte musculaire (sarcopénie), fragilité, perte osseuse et récupération lente après des blessures.</w:t>
      </w:r>
    </w:p>
    <w:bookmarkEnd w:id="1563"/>
    <w:bookmarkStart w:id="1578" w:name="études-chez-lhumain-33"/>
    <w:p>
      <w:pPr>
        <w:pStyle w:val="Heading3"/>
      </w:pPr>
      <w:r>
        <w:t xml:space="preserve">Études chez l’humain</w:t>
      </w:r>
    </w:p>
    <w:p>
      <w:pPr>
        <w:pStyle w:val="FirstParagraph"/>
      </w:pPr>
      <w:r>
        <w:rPr>
          <w:bCs/>
          <w:b/>
        </w:rPr>
        <w:t xml:space="preserve">Ampleur des données (requête d’octobre 2026) :</w:t>
      </w:r>
      <w:r>
        <w:t xml:space="preserve"> </w:t>
      </w:r>
      <w:r>
        <w:t xml:space="preserve">la recherche automatisée de ce livre a trouvé</w:t>
      </w:r>
      <w:r>
        <w:t xml:space="preserve"> </w:t>
      </w:r>
      <w:r>
        <w:rPr>
          <w:bCs/>
          <w:b/>
        </w:rPr>
        <w:t xml:space="preserve">19</w:t>
      </w:r>
      <w:r>
        <w:t xml:space="preserve"> </w:t>
      </w:r>
      <w:r>
        <w:t xml:space="preserve">études chez l’humain dans PubMed (</w:t>
      </w:r>
      <w:r>
        <w:rPr>
          <w:rStyle w:val="VerbatimChar"/>
        </w:rPr>
        <w:t xml:space="preserve">humanstudien_alle</w:t>
      </w:r>
      <w:r>
        <w:t xml:space="preserve">) et</w:t>
      </w:r>
      <w:r>
        <w:t xml:space="preserve"> </w:t>
      </w:r>
      <w:r>
        <w:rPr>
          <w:bCs/>
          <w:b/>
        </w:rPr>
        <w:t xml:space="preserve">8</w:t>
      </w:r>
      <w:r>
        <w:t xml:space="preserve"> </w:t>
      </w:r>
      <w:r>
        <w:t xml:space="preserve">entrées sur ClinicalTrials.gov.</w:t>
      </w:r>
    </w:p>
    <w:bookmarkStart w:id="1565" w:name="adultes-âgés-en-bonne-santé"/>
    <w:p>
      <w:pPr>
        <w:pStyle w:val="Heading4"/>
      </w:pPr>
      <w:r>
        <w:t xml:space="preserve">Adultes âgés en bonne santé</w:t>
      </w:r>
    </w:p>
    <w:p>
      <w:pPr>
        <w:pStyle w:val="FirstParagraph"/>
      </w:pPr>
      <w:r>
        <w:t xml:space="preserve">L’étude la plus importante a duré deux ans : 65 femmes et hommes en bonne santé âgés de 60 à 81 ans ont reçu chaque jour de l’ibutamorène ou un placebo. L’hormone de croissance et l’IGF-1 ont augmenté jusqu’à des valeurs de jeunes adultes. La masse maigre a augmenté de 1,1 kg sous ibutamorène et diminué de 0,5 kg sous placebo. La graisse abdominale n’a pas changé, le poids corporel a augmenté de 2,7 kg (placebo : 0,8 kg), et la graisse des bras et des jambes a augmenté davantage. L’augmentation de la masse maigre ne s’est</w:t>
      </w:r>
      <w:r>
        <w:t xml:space="preserve"> </w:t>
      </w:r>
      <w:r>
        <w:rPr>
          <w:bCs/>
          <w:b/>
        </w:rPr>
        <w:t xml:space="preserve">pas</w:t>
      </w:r>
      <w:r>
        <w:t xml:space="preserve"> </w:t>
      </w:r>
      <w:r>
        <w:t xml:space="preserve">traduite par plus de force ni par une meilleure fonction ; les auteurs reconnaissent que l’étude était trop petite pour cela. La glycémie à jeun a augmenté en moyenne de 0,3 mmol/l (5 mg/dl), et la sensibilité à l’insuline a diminué. Les effets indésirables les plus fréquents étaient une augmentation initiale de l’appétit, de légers œdèmes des jambes et des douleurs musculaires</w:t>
      </w:r>
      <w:r>
        <w:rPr>
          <w:rStyle w:val="FootnoteReference"/>
        </w:rPr>
        <w:footnoteReference w:id="1564"/>
      </w:r>
      <w:r>
        <w:t xml:space="preserve">.</w:t>
      </w:r>
    </w:p>
    <w:bookmarkEnd w:id="1565"/>
    <w:bookmarkStart w:id="1568" w:name="fracture-de-la-hanche"/>
    <w:p>
      <w:pPr>
        <w:pStyle w:val="Heading4"/>
      </w:pPr>
      <w:r>
        <w:t xml:space="preserve">Fracture de la hanche</w:t>
      </w:r>
    </w:p>
    <w:p>
      <w:pPr>
        <w:pStyle w:val="FirstParagraph"/>
      </w:pPr>
      <w:r>
        <w:t xml:space="preserve">Deux études ont vérifié si l’ibutamorène aide les personnes âgées à se remettre sur pied après une fracture de la hanche :</w:t>
      </w:r>
    </w:p>
    <w:p>
      <w:pPr>
        <w:numPr>
          <w:ilvl w:val="0"/>
          <w:numId w:val="1185"/>
        </w:numPr>
        <w:pStyle w:val="Compact"/>
      </w:pPr>
      <w:r>
        <w:t xml:space="preserve">Dans la première étude, portant sur 161 patientes et patients de 13 centres, l’IGF-1 a augmenté de 84 % (placebo : 17 %). Les tests fonctionnels ont montré en partie des tendances favorables, mais aucune différence statistiquement significative</w:t>
      </w:r>
      <w:r>
        <w:rPr>
          <w:rStyle w:val="FootnoteReference"/>
        </w:rPr>
        <w:footnoteReference w:id="1566"/>
      </w:r>
      <w:r>
        <w:t xml:space="preserve">.</w:t>
      </w:r>
    </w:p>
    <w:p>
      <w:pPr>
        <w:numPr>
          <w:ilvl w:val="0"/>
          <w:numId w:val="1185"/>
        </w:numPr>
        <w:pStyle w:val="Compact"/>
      </w:pPr>
      <w:r>
        <w:t xml:space="preserve">La deuxième étude, portant sur 123 patientes et patients, a été</w:t>
      </w:r>
      <w:r>
        <w:t xml:space="preserve"> </w:t>
      </w:r>
      <w:r>
        <w:rPr>
          <w:bCs/>
          <w:b/>
        </w:rPr>
        <w:t xml:space="preserve">interrompue prématurément parce qu’une insuffisance cardiaque est survenue chez un nombre limité de personnes traitées</w:t>
      </w:r>
      <w:r>
        <w:t xml:space="preserve">. La vitesse de marche s’était légèrement améliorée, la plupart des autres mesures fonctionnelles non ; les auteurs ont jugé le profil de sécurité défavorable dans ce groupe de patients</w:t>
      </w:r>
      <w:r>
        <w:rPr>
          <w:rStyle w:val="FootnoteReference"/>
        </w:rPr>
        <w:footnoteReference w:id="1567"/>
      </w:r>
      <w:r>
        <w:t xml:space="preserve">.</w:t>
      </w:r>
    </w:p>
    <w:p>
      <w:pPr>
        <w:pStyle w:val="FirstParagraph"/>
      </w:pPr>
      <w:r>
        <w:t xml:space="preserve">Une autre entrée de Merck sur la sarcopénie après fracture de la hanche (NCT00128115, 83 personnes) est indiquée comme interrompue, sans mention de motifs ni de résultats.</w:t>
      </w:r>
    </w:p>
    <w:bookmarkEnd w:id="1568"/>
    <w:bookmarkStart w:id="1570" w:name="maladie-dalzheimer"/>
    <w:p>
      <w:pPr>
        <w:pStyle w:val="Heading4"/>
      </w:pPr>
      <w:r>
        <w:t xml:space="preserve">Maladie d’Alzheimer</w:t>
      </w:r>
    </w:p>
    <w:p>
      <w:pPr>
        <w:pStyle w:val="FirstParagraph"/>
      </w:pPr>
      <w:r>
        <w:t xml:space="preserve">Dans une grande étude, 563 personnes atteintes d’une démence d’Alzheimer légère à modérée ont reçu pendant un an de l’ibutamorène ou un placebo. L’IGF-1 a augmenté de 60,1 % après six semaines et de 72,9 % après douze mois. Sur aucune des quatre échelles de performance cognitive, d’autonomie au quotidien et d’impression globale, l’évolution ne différait du placebo</w:t>
      </w:r>
      <w:r>
        <w:rPr>
          <w:rStyle w:val="FootnoteReference"/>
        </w:rPr>
        <w:footnoteReference w:id="1569"/>
      </w:r>
      <w:r>
        <w:t xml:space="preserve">.</w:t>
      </w:r>
    </w:p>
    <w:bookmarkEnd w:id="1570"/>
    <w:bookmarkStart w:id="1577" w:name="autres-études-1"/>
    <w:p>
      <w:pPr>
        <w:pStyle w:val="Heading4"/>
      </w:pPr>
      <w:r>
        <w:t xml:space="preserve">Autres études</w:t>
      </w:r>
    </w:p>
    <w:p>
      <w:pPr>
        <w:numPr>
          <w:ilvl w:val="0"/>
          <w:numId w:val="1186"/>
        </w:numPr>
        <w:pStyle w:val="Compact"/>
      </w:pPr>
      <w:r>
        <w:rPr>
          <w:bCs/>
          <w:b/>
        </w:rPr>
        <w:t xml:space="preserve">Hommes en surpoids :</w:t>
      </w:r>
      <w:r>
        <w:t xml:space="preserve"> </w:t>
      </w:r>
      <w:r>
        <w:t xml:space="preserve">chez 24 hommes, la masse maigre a augmenté sur huit semaines, la graisse totale et abdominale n’a pas changé ; lors de l’épreuve de charge en glucose, la régulation de la glycémie s’est détériorée</w:t>
      </w:r>
      <w:r>
        <w:rPr>
          <w:rStyle w:val="FootnoteReference"/>
        </w:rPr>
        <w:footnoteReference w:id="1571"/>
      </w:r>
      <w:r>
        <w:t xml:space="preserve">.</w:t>
      </w:r>
    </w:p>
    <w:p>
      <w:pPr>
        <w:numPr>
          <w:ilvl w:val="0"/>
          <w:numId w:val="1186"/>
        </w:numPr>
        <w:pStyle w:val="Compact"/>
      </w:pPr>
      <w:r>
        <w:rPr>
          <w:bCs/>
          <w:b/>
        </w:rPr>
        <w:t xml:space="preserve">Ostéoporose :</w:t>
      </w:r>
      <w:r>
        <w:t xml:space="preserve"> </w:t>
      </w:r>
      <w:r>
        <w:t xml:space="preserve">chez 292 femmes ménopausées, l’ibutamorène associé au médicament osseux alendronate n’a augmenté la densité osseuse davantage que l’alendronate seul qu’au col du fémur, pas à la colonne vertébrale ni à la hanche totale</w:t>
      </w:r>
      <w:r>
        <w:rPr>
          <w:rStyle w:val="FootnoteReference"/>
        </w:rPr>
        <w:footnoteReference w:id="1572"/>
      </w:r>
      <w:r>
        <w:t xml:space="preserve">.</w:t>
      </w:r>
    </w:p>
    <w:p>
      <w:pPr>
        <w:numPr>
          <w:ilvl w:val="0"/>
          <w:numId w:val="1186"/>
        </w:numPr>
        <w:pStyle w:val="Compact"/>
      </w:pPr>
      <w:r>
        <w:rPr>
          <w:bCs/>
          <w:b/>
        </w:rPr>
        <w:t xml:space="preserve">Sommeil :</w:t>
      </w:r>
      <w:r>
        <w:t xml:space="preserve"> </w:t>
      </w:r>
      <w:r>
        <w:t xml:space="preserve">dans de petites études portant sur huit personnes jeunes et six personnes âgées, le sommeil profond et le sommeil paradoxal se sont respectivement allongés</w:t>
      </w:r>
      <w:r>
        <w:rPr>
          <w:rStyle w:val="FootnoteReference"/>
        </w:rPr>
        <w:footnoteReference w:id="1573"/>
      </w:r>
      <w:r>
        <w:t xml:space="preserve">.</w:t>
      </w:r>
    </w:p>
    <w:p>
      <w:pPr>
        <w:numPr>
          <w:ilvl w:val="0"/>
          <w:numId w:val="1186"/>
        </w:numPr>
        <w:pStyle w:val="Compact"/>
      </w:pPr>
      <w:r>
        <w:rPr>
          <w:bCs/>
          <w:b/>
        </w:rPr>
        <w:t xml:space="preserve">Dialyse :</w:t>
      </w:r>
      <w:r>
        <w:t xml:space="preserve"> </w:t>
      </w:r>
      <w:r>
        <w:t xml:space="preserve">chez 22 patientes et patients dialysés, l’IGF-1 a augmenté de 65 % de plus que sous placebo, sans effets indésirables graves</w:t>
      </w:r>
      <w:r>
        <w:rPr>
          <w:rStyle w:val="FootnoteReference"/>
        </w:rPr>
        <w:footnoteReference w:id="1574"/>
      </w:r>
      <w:r>
        <w:t xml:space="preserve">.</w:t>
      </w:r>
    </w:p>
    <w:p>
      <w:pPr>
        <w:numPr>
          <w:ilvl w:val="0"/>
          <w:numId w:val="1186"/>
        </w:numPr>
        <w:pStyle w:val="Compact"/>
      </w:pPr>
      <w:r>
        <w:rPr>
          <w:bCs/>
          <w:b/>
        </w:rPr>
        <w:t xml:space="preserve">Enfants présentant un déficit en hormone de croissance :</w:t>
      </w:r>
      <w:r>
        <w:t xml:space="preserve"> </w:t>
      </w:r>
      <w:r>
        <w:t xml:space="preserve">dès 2001, l’ibutamorène a augmenté l’hormone de croissance et l’IGF-1 chez 18 enfants</w:t>
      </w:r>
      <w:r>
        <w:rPr>
          <w:rStyle w:val="FootnoteReference"/>
        </w:rPr>
        <w:footnoteReference w:id="1575"/>
      </w:r>
      <w:r>
        <w:t xml:space="preserve">. Sous le nom de LUM-201, il a déclenché dans une étude portant sur 68 enfants des réponses en GH plus élevées que les tests de stimulation habituels</w:t>
      </w:r>
      <w:r>
        <w:rPr>
          <w:rStyle w:val="FootnoteReference"/>
        </w:rPr>
        <w:footnoteReference w:id="1576"/>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Personnes âgées en bonne santé (Nass 2008), PMID 18981485</w:t>
            </w:r>
          </w:p>
        </w:tc>
        <w:tc>
          <w:tcPr/>
          <w:p>
            <w:pPr>
              <w:pStyle w:val="Compact"/>
              <w:jc w:val="left"/>
            </w:pPr>
            <w:r>
              <w:t xml:space="preserve">65 personnes de 60–81 ans, ECR contre placebo</w:t>
            </w:r>
          </w:p>
        </w:tc>
        <w:tc>
          <w:tcPr/>
          <w:p>
            <w:pPr>
              <w:pStyle w:val="Compact"/>
              <w:jc w:val="left"/>
            </w:pPr>
            <w:r>
              <w:t xml:space="preserve">2 ans</w:t>
            </w:r>
          </w:p>
        </w:tc>
        <w:tc>
          <w:tcPr/>
          <w:p>
            <w:pPr>
              <w:pStyle w:val="Compact"/>
              <w:jc w:val="left"/>
            </w:pPr>
            <w:r>
              <w:t xml:space="preserve">masse maigre +1,1 vs −0,5 kg ; force et fonction inchangées ; glycémie à jeun ↑</w:t>
            </w:r>
          </w:p>
        </w:tc>
      </w:tr>
      <w:tr>
        <w:tc>
          <w:tcPr/>
          <w:p>
            <w:pPr>
              <w:pStyle w:val="Compact"/>
              <w:jc w:val="left"/>
            </w:pPr>
            <w:r>
              <w:t xml:space="preserve">Fracture de la hanche 1 (Bach 2004), PMID 15066065</w:t>
            </w:r>
          </w:p>
        </w:tc>
        <w:tc>
          <w:tcPr/>
          <w:p>
            <w:pPr>
              <w:pStyle w:val="Compact"/>
              <w:jc w:val="left"/>
            </w:pPr>
            <w:r>
              <w:t xml:space="preserve">161 personnes âgées après fracture de la hanche, ECR</w:t>
            </w:r>
          </w:p>
        </w:tc>
        <w:tc>
          <w:tcPr/>
          <w:p>
            <w:pPr>
              <w:pStyle w:val="Compact"/>
              <w:jc w:val="left"/>
            </w:pPr>
            <w:r>
              <w:t xml:space="preserve">6 mois</w:t>
            </w:r>
          </w:p>
        </w:tc>
        <w:tc>
          <w:tcPr/>
          <w:p>
            <w:pPr>
              <w:pStyle w:val="Compact"/>
              <w:jc w:val="left"/>
            </w:pPr>
            <w:r>
              <w:t xml:space="preserve">IGF-1 +84 % ; fonction pas significativement meilleure</w:t>
            </w:r>
          </w:p>
        </w:tc>
      </w:tr>
      <w:tr>
        <w:tc>
          <w:tcPr/>
          <w:p>
            <w:pPr>
              <w:pStyle w:val="Compact"/>
              <w:jc w:val="left"/>
            </w:pPr>
            <w:r>
              <w:t xml:space="preserve">Fracture de la hanche 2 (Adunsky 2011), PMID 21067829</w:t>
            </w:r>
          </w:p>
        </w:tc>
        <w:tc>
          <w:tcPr/>
          <w:p>
            <w:pPr>
              <w:pStyle w:val="Compact"/>
              <w:jc w:val="left"/>
            </w:pPr>
            <w:r>
              <w:t xml:space="preserve">123 personnes âgées après fracture de la hanche, ECR</w:t>
            </w:r>
          </w:p>
        </w:tc>
        <w:tc>
          <w:tcPr/>
          <w:p>
            <w:pPr>
              <w:pStyle w:val="Compact"/>
              <w:jc w:val="left"/>
            </w:pPr>
            <w:r>
              <w:t xml:space="preserve">24 semaines prévues</w:t>
            </w:r>
          </w:p>
        </w:tc>
        <w:tc>
          <w:tcPr/>
          <w:p>
            <w:pPr>
              <w:pStyle w:val="Compact"/>
              <w:jc w:val="left"/>
            </w:pPr>
            <w:r>
              <w:t xml:space="preserve">interruption en raison d’un signal d’insuffisance cardiaque</w:t>
            </w:r>
          </w:p>
        </w:tc>
      </w:tr>
      <w:tr>
        <w:tc>
          <w:tcPr/>
          <w:p>
            <w:pPr>
              <w:pStyle w:val="Compact"/>
              <w:jc w:val="left"/>
            </w:pPr>
            <w:r>
              <w:t xml:space="preserve">Alzheimer (Sevigny 2008), PMID 19015485</w:t>
            </w:r>
          </w:p>
        </w:tc>
        <w:tc>
          <w:tcPr/>
          <w:p>
            <w:pPr>
              <w:pStyle w:val="Compact"/>
              <w:jc w:val="left"/>
            </w:pPr>
            <w:r>
              <w:t xml:space="preserve">563 personnes atteintes d’Alzheimer, ECR</w:t>
            </w:r>
          </w:p>
        </w:tc>
        <w:tc>
          <w:tcPr/>
          <w:p>
            <w:pPr>
              <w:pStyle w:val="Compact"/>
              <w:jc w:val="left"/>
            </w:pPr>
            <w:r>
              <w:t xml:space="preserve">12 mois</w:t>
            </w:r>
          </w:p>
        </w:tc>
        <w:tc>
          <w:tcPr/>
          <w:p>
            <w:pPr>
              <w:pStyle w:val="Compact"/>
              <w:jc w:val="left"/>
            </w:pPr>
            <w:r>
              <w:t xml:space="preserve">IGF-1 +72,9 % ; aucun effet sur l’évolution de la maladie</w:t>
            </w:r>
          </w:p>
        </w:tc>
      </w:tr>
      <w:tr>
        <w:tc>
          <w:tcPr/>
          <w:p>
            <w:pPr>
              <w:pStyle w:val="Compact"/>
              <w:jc w:val="left"/>
            </w:pPr>
            <w:r>
              <w:t xml:space="preserve">Ostéoporose (Murphy 2001), PMID 11238495</w:t>
            </w:r>
          </w:p>
        </w:tc>
        <w:tc>
          <w:tcPr/>
          <w:p>
            <w:pPr>
              <w:pStyle w:val="Compact"/>
              <w:jc w:val="left"/>
            </w:pPr>
            <w:r>
              <w:t xml:space="preserve">292 femmes, ECR avec alendronate</w:t>
            </w:r>
          </w:p>
        </w:tc>
        <w:tc>
          <w:tcPr/>
          <w:p>
            <w:pPr>
              <w:pStyle w:val="Compact"/>
              <w:jc w:val="left"/>
            </w:pPr>
            <w:r>
              <w:t xml:space="preserve">12–18 mois</w:t>
            </w:r>
          </w:p>
        </w:tc>
        <w:tc>
          <w:tcPr/>
          <w:p>
            <w:pPr>
              <w:pStyle w:val="Compact"/>
              <w:jc w:val="left"/>
            </w:pPr>
            <w:r>
              <w:t xml:space="preserve">seule la densité osseuse du col du fémur un peu plus élevée</w:t>
            </w:r>
          </w:p>
        </w:tc>
      </w:tr>
    </w:tbl>
    <w:bookmarkEnd w:id="1577"/>
    <w:bookmarkEnd w:id="1578"/>
    <w:bookmarkStart w:id="1581" w:name="études-animales-et-de-laboratoire-33"/>
    <w:p>
      <w:pPr>
        <w:pStyle w:val="Heading3"/>
      </w:pPr>
      <w:r>
        <w:t xml:space="preserve">Études animales et de laboratoire</w:t>
      </w:r>
    </w:p>
    <w:p>
      <w:pPr>
        <w:pStyle w:val="FirstParagraph"/>
      </w:pPr>
      <w:r>
        <w:t xml:space="preserve">Chez des souris d’un modèle de la maladie d’Alzheimer, l’ibutamorène a réduit les dépôts amyloïdes et les pertes de neurones dans le cerveau</w:t>
      </w:r>
      <w:r>
        <w:rPr>
          <w:rStyle w:val="FootnoteReference"/>
        </w:rPr>
        <w:footnoteReference w:id="1579"/>
      </w:r>
      <w:r>
        <w:t xml:space="preserve"> </w:t>
      </w:r>
      <w:r>
        <w:t xml:space="preserve">– un résultat qui ne s’est pas traduit par un bénéfice clinique dans la grande étude sur Alzheimer chez l’humain. La structure du récepteur de la ghréline lié à l’ibutamorène a été élucidée en 2021</w:t>
      </w:r>
      <w:r>
        <w:rPr>
          <w:rStyle w:val="FootnoteReference"/>
        </w:rPr>
        <w:footnoteReference w:id="1580"/>
      </w:r>
      <w:r>
        <w:t xml:space="preserve">.</w:t>
      </w:r>
    </w:p>
    <w:bookmarkEnd w:id="1581"/>
    <w:bookmarkStart w:id="1592" w:name="risques-et-effets-indésirables-33"/>
    <w:p>
      <w:pPr>
        <w:pStyle w:val="Heading3"/>
      </w:pPr>
      <w:r>
        <w:t xml:space="preserve">Risques et effets indésirables</w:t>
      </w:r>
    </w:p>
    <w:p>
      <w:pPr>
        <w:pStyle w:val="FirstParagraph"/>
      </w:pPr>
      <w:r>
        <w:rPr>
          <w:bCs/>
          <w:b/>
        </w:rPr>
        <w:t xml:space="preserve">Établi par des études randomisées :</w:t>
      </w:r>
    </w:p>
    <w:p>
      <w:pPr>
        <w:numPr>
          <w:ilvl w:val="0"/>
          <w:numId w:val="1187"/>
        </w:numPr>
        <w:pStyle w:val="Compact"/>
      </w:pPr>
      <w:r>
        <w:rPr>
          <w:bCs/>
          <w:b/>
        </w:rPr>
        <w:t xml:space="preserve">Signal d’insuffisance cardiaque :</w:t>
      </w:r>
      <w:r>
        <w:t xml:space="preserve"> </w:t>
      </w:r>
      <w:r>
        <w:t xml:space="preserve">interruption d’une étude chez des personnes âgées après fracture de la hanche en raison de cas d’insuffisance cardiaque</w:t>
      </w:r>
      <w:r>
        <w:rPr>
          <w:rStyle w:val="FootnoteReference"/>
        </w:rPr>
        <w:footnoteReference w:id="1582"/>
      </w:r>
      <w:r>
        <w:t xml:space="preserve">. Le résumé ne précise pas le nombre de cas. La rétention d’eau fait partie des effets connus de taux élevés d’hormone de croissance et sollicite un cœur déjà fragilisé.</w:t>
      </w:r>
    </w:p>
    <w:p>
      <w:pPr>
        <w:numPr>
          <w:ilvl w:val="0"/>
          <w:numId w:val="1187"/>
        </w:numPr>
        <w:pStyle w:val="Compact"/>
      </w:pPr>
      <w:r>
        <w:rPr>
          <w:bCs/>
          <w:b/>
        </w:rPr>
        <w:t xml:space="preserve">Glycémie :</w:t>
      </w:r>
      <w:r>
        <w:t xml:space="preserve"> </w:t>
      </w:r>
      <w:r>
        <w:t xml:space="preserve">hausse de la glycémie à jeun et diminution de la sensibilité à l’insuline</w:t>
      </w:r>
      <w:r>
        <w:rPr>
          <w:rStyle w:val="FootnoteReference"/>
        </w:rPr>
        <w:footnoteReference w:id="1583"/>
      </w:r>
      <w:r>
        <w:t xml:space="preserve"> </w:t>
      </w:r>
      <w:r>
        <w:t xml:space="preserve">; détérioration de la tolérance au glucose chez des hommes en surpoids</w:t>
      </w:r>
      <w:r>
        <w:rPr>
          <w:rStyle w:val="FootnoteReference"/>
        </w:rPr>
        <w:footnoteReference w:id="1584"/>
      </w:r>
      <w:r>
        <w:t xml:space="preserve">.</w:t>
      </w:r>
    </w:p>
    <w:p>
      <w:pPr>
        <w:numPr>
          <w:ilvl w:val="0"/>
          <w:numId w:val="1187"/>
        </w:numPr>
        <w:pStyle w:val="Compact"/>
      </w:pPr>
      <w:r>
        <w:rPr>
          <w:bCs/>
          <w:b/>
        </w:rPr>
        <w:t xml:space="preserve">Prise de poids et appétit :</w:t>
      </w:r>
      <w:r>
        <w:t xml:space="preserve"> </w:t>
      </w:r>
      <w:r>
        <w:t xml:space="preserve">davantage de poids corporel, davantage de graisse aux bras et aux jambes, faim accrue</w:t>
      </w:r>
      <w:r>
        <w:rPr>
          <w:rStyle w:val="FootnoteReference"/>
        </w:rPr>
        <w:footnoteReference w:id="1585"/>
      </w:r>
      <w:r>
        <w:t xml:space="preserve">.</w:t>
      </w:r>
    </w:p>
    <w:p>
      <w:pPr>
        <w:numPr>
          <w:ilvl w:val="0"/>
          <w:numId w:val="1187"/>
        </w:numPr>
        <w:pStyle w:val="Compact"/>
      </w:pPr>
      <w:r>
        <w:rPr>
          <w:bCs/>
          <w:b/>
        </w:rPr>
        <w:t xml:space="preserve">Rétention d’eau et douleurs musculaires</w:t>
      </w:r>
      <w:r>
        <w:rPr>
          <w:rStyle w:val="FootnoteReference"/>
        </w:rPr>
        <w:footnoteReference w:id="1586"/>
      </w:r>
      <w:r>
        <w:t xml:space="preserve">.</w:t>
      </w:r>
    </w:p>
    <w:p>
      <w:pPr>
        <w:pStyle w:val="FirstParagraph"/>
      </w:pPr>
      <w:r>
        <w:rPr>
          <w:bCs/>
          <w:b/>
        </w:rPr>
        <w:t xml:space="preserve">Rapports de cas issus de l’usage du marché gris :</w:t>
      </w:r>
      <w:r>
        <w:t xml:space="preserve"> </w:t>
      </w:r>
      <w:r>
        <w:t xml:space="preserve">un homme au début de la trentaine a présenté, après deux mois de prise de MK-677, des enzymes hépatiques élevées, qui se sont normalisées après l’arrêt</w:t>
      </w:r>
      <w:r>
        <w:rPr>
          <w:rStyle w:val="FootnoteReference"/>
        </w:rPr>
        <w:footnoteReference w:id="1587"/>
      </w:r>
      <w:r>
        <w:t xml:space="preserve">. Un homme de 40 ans a développé une gynécomastie et un déficit en testostérone ; ses compléments de fitness contenaient, outre le MK-677, un SARM, du cardarine ainsi que des hormones non déclarées</w:t>
      </w:r>
      <w:r>
        <w:rPr>
          <w:rStyle w:val="FootnoteReference"/>
        </w:rPr>
        <w:footnoteReference w:id="1588"/>
      </w:r>
      <w:r>
        <w:t xml:space="preserve">.</w:t>
      </w:r>
    </w:p>
    <w:p>
      <w:pPr>
        <w:pStyle w:val="BodyText"/>
      </w:pPr>
      <w:r>
        <w:rPr>
          <w:bCs/>
          <w:b/>
        </w:rPr>
        <w:t xml:space="preserve">Cancer :</w:t>
      </w:r>
      <w:r>
        <w:t xml:space="preserve"> </w:t>
      </w:r>
      <w:r>
        <w:t xml:space="preserve">l’ibutamorène élève l’IGF-1 pendant des mois, voire des années, au niveau de jeunes adultes. Aucun signal de cancer n’a été rapporté dans les études, mais elles n’étaient ni assez vastes ni assez longues pour cela. Une revue des sécrétagogues de GH réclame expressément des données à long terme sur le cancer et la mortalité</w:t>
      </w:r>
      <w:r>
        <w:rPr>
          <w:rStyle w:val="FootnoteReference"/>
        </w:rPr>
        <w:footnoteReference w:id="1589"/>
      </w:r>
      <w:r>
        <w:t xml:space="preserve">. Pour l’état général des données, voir l’introduction de ce groupe et la partie IV.</w:t>
      </w:r>
    </w:p>
    <w:p>
      <w:pPr>
        <w:pStyle w:val="BodyText"/>
      </w:pPr>
      <w:r>
        <w:rPr>
          <w:bCs/>
          <w:b/>
        </w:rPr>
        <w:t xml:space="preserve">Qualité du marché gris :</w:t>
      </w:r>
      <w:r>
        <w:t xml:space="preserve"> </w:t>
      </w:r>
      <w:r>
        <w:t xml:space="preserve">dans une analyse américaine de 44 produits vendus sur Internet comme SARM, 39 % contenaient à la place ou en plus d’autres substances non autorisées, dont l’ibutamorène ; seuls 41 % contenaient la quantité indiquée de substance active</w:t>
      </w:r>
      <w:r>
        <w:rPr>
          <w:rStyle w:val="FootnoteReference"/>
        </w:rPr>
        <w:footnoteReference w:id="1590"/>
      </w:r>
      <w:r>
        <w:t xml:space="preserve">. Une surveillance européenne du marché portant sur 324 échantillons de 13 pays a trouvé l’ibutamorène comme substance la plus fréquente parmi les préparations de développement musculaire examinées ; 24 % des produits étaient présentés comme compléments alimentaires</w:t>
      </w:r>
      <w:r>
        <w:rPr>
          <w:rStyle w:val="FootnoteReference"/>
        </w:rPr>
        <w:footnoteReference w:id="1591"/>
      </w:r>
      <w:r>
        <w:t xml:space="preserve">.</w:t>
      </w:r>
    </w:p>
    <w:bookmarkEnd w:id="1592"/>
    <w:bookmarkStart w:id="1594" w:name="statut-juridique-33"/>
    <w:p>
      <w:pPr>
        <w:pStyle w:val="Heading3"/>
      </w:pPr>
      <w:r>
        <w:t xml:space="preserve">Statut juridique</w:t>
      </w:r>
    </w:p>
    <w:p>
      <w:pPr>
        <w:pStyle w:val="FirstParagraph"/>
      </w:pPr>
      <w:r>
        <w:rPr>
          <w:iCs/>
          <w:i/>
        </w:rPr>
        <w:t xml:space="preserve">État 2026, à vérifier.</w:t>
      </w:r>
    </w:p>
    <w:p>
      <w:pPr>
        <w:numPr>
          <w:ilvl w:val="0"/>
          <w:numId w:val="1188"/>
        </w:numPr>
        <w:pStyle w:val="Compact"/>
      </w:pPr>
      <w:r>
        <w:rPr>
          <w:bCs/>
          <w:b/>
        </w:rPr>
        <w:t xml:space="preserve">UE, Allemagne, Autriche :</w:t>
      </w:r>
      <w:r>
        <w:t xml:space="preserve"> </w:t>
      </w:r>
      <w:r>
        <w:t xml:space="preserve">aucune autorisation. L’ibutamorène est une substance médicamenteuse non autorisée ; il ne peut pas être commercialisé comme complément alimentaire. Quiconque le propose en vue d’un usage humain enfreint le droit du médicament.</w:t>
      </w:r>
    </w:p>
    <w:p>
      <w:pPr>
        <w:numPr>
          <w:ilvl w:val="0"/>
          <w:numId w:val="1188"/>
        </w:numPr>
        <w:pStyle w:val="Compact"/>
      </w:pPr>
      <w:r>
        <w:rPr>
          <w:bCs/>
          <w:b/>
        </w:rPr>
        <w:t xml:space="preserve">États-Unis :</w:t>
      </w:r>
      <w:r>
        <w:t xml:space="preserve"> </w:t>
      </w:r>
      <w:r>
        <w:t xml:space="preserve">aucune autorisation ; il est néanmoins vendu comme « Research Chemical » ou dans des compléments.</w:t>
      </w:r>
    </w:p>
    <w:p>
      <w:pPr>
        <w:numPr>
          <w:ilvl w:val="0"/>
          <w:numId w:val="1188"/>
        </w:numPr>
        <w:pStyle w:val="Compact"/>
      </w:pPr>
      <w:r>
        <w:rPr>
          <w:bCs/>
          <w:b/>
        </w:rPr>
        <w:t xml:space="preserve">AMA (WADA) :</w:t>
      </w:r>
      <w:r>
        <w:t xml:space="preserve"> </w:t>
      </w:r>
      <w:r>
        <w:t xml:space="preserve">interdit (S2). Il est également contrôlé dans les sports équestres, par exemple par analyse des poils</w:t>
      </w:r>
      <w:r>
        <w:rPr>
          <w:rStyle w:val="FootnoteReference"/>
        </w:rPr>
        <w:footnoteReference w:id="1593"/>
      </w:r>
      <w:r>
        <w:t xml:space="preserve">.</w:t>
      </w:r>
    </w:p>
    <w:bookmarkEnd w:id="1594"/>
    <w:bookmarkStart w:id="1599" w:name="études-en-cours-et-perspectives-33"/>
    <w:p>
      <w:pPr>
        <w:pStyle w:val="Heading3"/>
      </w:pPr>
      <w:r>
        <w:t xml:space="preserve">Études en cours et perspectives</w:t>
      </w:r>
    </w:p>
    <w:p>
      <w:pPr>
        <w:pStyle w:val="FirstParagraph"/>
      </w:pPr>
      <w:r>
        <w:rPr>
          <w:iCs/>
          <w:i/>
        </w:rPr>
        <w:t xml:space="preserve">Établi :</w:t>
      </w:r>
      <w:r>
        <w:t xml:space="preserve"> </w:t>
      </w:r>
      <w:r>
        <w:t xml:space="preserve">sous le nom de LUM-201, l’ibutamorène est développé sous forme de comprimé pour les enfants présentant un déficit en hormone de croissance. Une étude de phase 2 portant sur 104 enfants</w:t>
      </w:r>
      <w:r>
        <w:rPr>
          <w:rStyle w:val="FootnoteReference"/>
        </w:rPr>
        <w:footnoteReference w:id="1595"/>
      </w:r>
      <w:r>
        <w:t xml:space="preserve"> </w:t>
      </w:r>
      <w:r>
        <w:t xml:space="preserve">est terminée ; une étude de phase 3 prévoyant 150 enfants recrute depuis 2026</w:t>
      </w:r>
      <w:r>
        <w:rPr>
          <w:rStyle w:val="FootnoteReference"/>
        </w:rPr>
        <w:footnoteReference w:id="1596"/>
      </w:r>
      <w:r>
        <w:t xml:space="preserve">, et une étude de sécurité à long terme est prévue</w:t>
      </w:r>
      <w:r>
        <w:rPr>
          <w:rStyle w:val="FootnoteReference"/>
        </w:rPr>
        <w:footnoteReference w:id="1597"/>
      </w:r>
      <w:r>
        <w:t xml:space="preserve">. Une autre étude de phase 2 doit examiner à partir de 2027 le LUM-201 en complément du sémaglutide chez des personnes âgées obèses, afin de limiter la perte musculaire lors de l’amaigrissement</w:t>
      </w:r>
      <w:r>
        <w:rPr>
          <w:rStyle w:val="FootnoteReference"/>
        </w:rPr>
        <w:footnoteReference w:id="1598"/>
      </w:r>
      <w:r>
        <w:t xml:space="preserve">.</w:t>
      </w:r>
    </w:p>
    <w:p>
      <w:pPr>
        <w:pStyle w:val="BodyText"/>
      </w:pPr>
      <w:r>
        <w:rPr>
          <w:iCs/>
          <w:i/>
        </w:rPr>
        <w:t xml:space="preserve">Appréciation de l’auteur :</w:t>
      </w:r>
      <w:r>
        <w:t xml:space="preserve"> </w:t>
      </w:r>
      <w:r>
        <w:t xml:space="preserve">une autorisation pour les enfants n’est envisageable qu’après la fin de l’étude de phase 3, donc pas avant la fin des années 2020. Une autorisation pour les adultes âgés n’est pas en vue après le signal d’insuffisance cardiaque et l’absence d’amélioration fonctionnelle.</w:t>
      </w:r>
    </w:p>
    <w:bookmarkEnd w:id="1599"/>
    <w:bookmarkStart w:id="1600" w:name="conclusion-33"/>
    <w:p>
      <w:pPr>
        <w:pStyle w:val="Heading3"/>
      </w:pPr>
      <w:r>
        <w:t xml:space="preserve">Conclusion</w:t>
      </w:r>
    </w:p>
    <w:p>
      <w:pPr>
        <w:pStyle w:val="FirstParagraph"/>
      </w:pPr>
      <w:r>
        <w:t xml:space="preserve">L’ibutamorène est le produit actif par voie orale le plus minutieusement étudié qui stimule durablement l’axe de l’hormone de croissance. Les études montrent le schéma de base de tout le groupe : l’IGF-1 et la masse maigre augmentent, mais la force, la fonction et l’évolution des maladies – dans le vieillissement, la fracture de la hanche et la maladie d’Alzheimer – ne se sont pas améliorées. En revanche, la glycémie et le poids ont augmenté, et une étude chez des personnes âgées a été interrompue en raison d’insuffisances cardiaques. Les produits du marché gris contenant du « MK-677 » sont souvent mal étiquetés.</w:t>
      </w:r>
    </w:p>
    <w:bookmarkEnd w:id="1600"/>
    <w:bookmarkEnd w:id="1601"/>
    <w:bookmarkEnd w:id="1602"/>
    <w:bookmarkStart w:id="1957" w:name="partie-ii-d-cerveau-sommeil-et-longévité"/>
    <w:p>
      <w:pPr>
        <w:pStyle w:val="Heading1"/>
      </w:pPr>
      <w:r>
        <w:t xml:space="preserve">Partie II · D – Cerveau, sommeil et longévité</w:t>
      </w:r>
    </w:p>
    <w:p>
      <w:pPr>
        <w:pStyle w:val="FirstParagraph"/>
      </w:pPr>
      <w:r>
        <w:t xml:space="preserve">Peu de groupes de peptides sont présentés sur Internet de manière aussi prometteuse que celui-ci : des produits pour plus de concentration et de mémoire (« nootropiques »), pour un sommeil plus profond, pour des télomères plus longs et des « mitochondries plus jeunes ». Les douze substances de cette section ont en commun de cibler le cerveau, le vieillissement cellulaire ou le métabolisme énergétique – et le fossé entre les promesses et l’état des preuves y est particulièrement grand.</w:t>
      </w:r>
    </w:p>
    <w:bookmarkStart w:id="1603" w:name="ce-qui-relie-ces-peptides-1"/>
    <w:p>
      <w:pPr>
        <w:pStyle w:val="Heading3"/>
      </w:pPr>
      <w:r>
        <w:t xml:space="preserve">Ce qui relie ces peptides</w:t>
      </w:r>
    </w:p>
    <w:p>
      <w:pPr>
        <w:pStyle w:val="FirstParagraph"/>
      </w:pPr>
      <w:r>
        <w:t xml:space="preserve">Le groupe peut être divisé grossièrement en trois familles :</w:t>
      </w:r>
    </w:p>
    <w:p>
      <w:pPr>
        <w:numPr>
          <w:ilvl w:val="0"/>
          <w:numId w:val="1189"/>
        </w:numPr>
        <w:pStyle w:val="Compact"/>
      </w:pPr>
      <w:r>
        <w:rPr>
          <w:bCs/>
          <w:b/>
        </w:rPr>
        <w:t xml:space="preserve">Neuropeptides et « biorégulateurs » russes :</w:t>
      </w:r>
      <w:r>
        <w:t xml:space="preserve"> </w:t>
      </w:r>
      <w:r>
        <w:t xml:space="preserve">le Semax, le Selank, le DSIP, l’Epitalon et le Pinealon sont issus de la recherche soviétique et russe. La Cerebrolysin, un mélange de peptides issu de cerveau de porc, vient d’Autriche, mais est surtout utilisée en Europe de l’Est et en Asie.</w:t>
      </w:r>
    </w:p>
    <w:p>
      <w:pPr>
        <w:numPr>
          <w:ilvl w:val="0"/>
          <w:numId w:val="1189"/>
        </w:numPr>
        <w:pStyle w:val="Compact"/>
      </w:pPr>
      <w:r>
        <w:rPr>
          <w:bCs/>
          <w:b/>
        </w:rPr>
        <w:t xml:space="preserve">Peptides mitochondriaux :</w:t>
      </w:r>
      <w:r>
        <w:t xml:space="preserve"> </w:t>
      </w:r>
      <w:r>
        <w:t xml:space="preserve">le MOTS-c et l’humanine sont des molécules de signalisation endogènes codées dans le génome des mitochondries. Le SS-31 (élamipretide) est un peptide artificiel qui se lie de manière ciblée à la membrane mitochondriale.</w:t>
      </w:r>
    </w:p>
    <w:p>
      <w:pPr>
        <w:numPr>
          <w:ilvl w:val="0"/>
          <w:numId w:val="1189"/>
        </w:numPr>
        <w:pStyle w:val="Compact"/>
      </w:pPr>
      <w:r>
        <w:rPr>
          <w:bCs/>
          <w:b/>
        </w:rPr>
        <w:t xml:space="preserve">Molécules « anti-âge » expérimentales :</w:t>
      </w:r>
      <w:r>
        <w:t xml:space="preserve"> </w:t>
      </w:r>
      <w:r>
        <w:t xml:space="preserve">la Dihexa (un dérivé de l’angiotensine IV) et le FOXO4-DRI (un sénolytique censé éliminer les cellules vieillies) n’ont jamais été étudiés chez l’humain. Le glutathion, enfin, est un tripeptide endogène vendu comme complément alimentaire et en perfusion.</w:t>
      </w:r>
    </w:p>
    <w:bookmarkEnd w:id="1603"/>
    <w:bookmarkStart w:id="1604" w:name="X126753772e9520dfd58308913235e737e5b98e4"/>
    <w:p>
      <w:pPr>
        <w:pStyle w:val="Heading3"/>
      </w:pPr>
      <w:r>
        <w:t xml:space="preserve">La scène des nootropiques et de la longévité</w:t>
      </w:r>
    </w:p>
    <w:p>
      <w:pPr>
        <w:pStyle w:val="FirstParagraph"/>
      </w:pPr>
      <w:r>
        <w:t xml:space="preserve">Quiconque recherche ces substances sur Internet atterrit vite dans des forums, chez des influenceurs et dans des « cliniques de longévité ». Trois erreurs de raisonnement y sont typiques, et vous les rencontrerez sans cesse dans les chapitres suivants :</w:t>
      </w:r>
    </w:p>
    <w:p>
      <w:pPr>
        <w:numPr>
          <w:ilvl w:val="0"/>
          <w:numId w:val="1190"/>
        </w:numPr>
        <w:pStyle w:val="Compact"/>
      </w:pPr>
      <w:r>
        <w:rPr>
          <w:bCs/>
          <w:b/>
        </w:rPr>
        <w:t xml:space="preserve">De l’animal à l’humain :</w:t>
      </w:r>
      <w:r>
        <w:t xml:space="preserve"> </w:t>
      </w:r>
      <w:r>
        <w:t xml:space="preserve">qu’un peptide améliore la mémoire ou la durée de vie chez la souris dit peu de chose sur son efficacité chez l’humain. Dans la recherche sur l’AVC et la maladie d’Alzheimer, des centaines de substances efficaces chez l’animal ont échoué chez l’humain.</w:t>
      </w:r>
    </w:p>
    <w:p>
      <w:pPr>
        <w:numPr>
          <w:ilvl w:val="0"/>
          <w:numId w:val="1190"/>
        </w:numPr>
        <w:pStyle w:val="Compact"/>
      </w:pPr>
      <w:r>
        <w:rPr>
          <w:bCs/>
          <w:b/>
        </w:rPr>
        <w:t xml:space="preserve">Du taux sanguin à l’injection :</w:t>
      </w:r>
      <w:r>
        <w:t xml:space="preserve"> </w:t>
      </w:r>
      <w:r>
        <w:t xml:space="preserve">que les personnes ayant de faibles taux de MOTS-c ou d’humanine soient plus souvent malades ne prouve pas qu’un apport rende en bonne santé.</w:t>
      </w:r>
    </w:p>
    <w:p>
      <w:pPr>
        <w:numPr>
          <w:ilvl w:val="0"/>
          <w:numId w:val="1190"/>
        </w:numPr>
        <w:pStyle w:val="Compact"/>
      </w:pPr>
      <w:r>
        <w:rPr>
          <w:bCs/>
          <w:b/>
        </w:rPr>
        <w:t xml:space="preserve">Du mécanisme au bénéfice :</w:t>
      </w:r>
      <w:r>
        <w:t xml:space="preserve"> </w:t>
      </w:r>
      <w:r>
        <w:t xml:space="preserve">un mécanisme cohérent – « protège les mitochondries », « allonge les télomères » – n’est pas une efficacité. Le SS-31 en est le meilleur exemple : il a été testé dans plusieurs grandes études et a manqué les objectifs principaux dans l’infarctus du myocarde, l’insuffisance cardiaque et la myopathie mitochondriale.</w:t>
      </w:r>
    </w:p>
    <w:p>
      <w:pPr>
        <w:pStyle w:val="FirstParagraph"/>
      </w:pPr>
      <w:r>
        <w:t xml:space="preserve">S’y ajoute le fait que presque toutes ces substances sont vendues sur le marché gris comme « Research Peptides » – sans contrôle de qualité (voir la partie I et la partie IV).</w:t>
      </w:r>
    </w:p>
    <w:bookmarkEnd w:id="1604"/>
    <w:bookmarkStart w:id="1605" w:name="X8b1288ef80fd6ece01369e531aa61c11d910dc4"/>
    <w:p>
      <w:pPr>
        <w:pStyle w:val="Heading3"/>
      </w:pPr>
      <w:r>
        <w:t xml:space="preserve">La recherche russe sur les peptides et l’état de ses publications</w:t>
      </w:r>
    </w:p>
    <w:p>
      <w:pPr>
        <w:pStyle w:val="FirstParagraph"/>
      </w:pPr>
      <w:r>
        <w:t xml:space="preserve">Une grande partie de la littérature sur le Semax, le Selank, le DSIP, l’Epitalon et le Pinealon provient de quelques instituts de Moscou et de Saint-Pétersbourg. Ce n’est pas une raison pour rejeter en bloc cette recherche – mais c’est une raison d’être prudent :</w:t>
      </w:r>
    </w:p>
    <w:p>
      <w:pPr>
        <w:numPr>
          <w:ilvl w:val="0"/>
          <w:numId w:val="1191"/>
        </w:numPr>
        <w:pStyle w:val="Compact"/>
      </w:pPr>
      <w:r>
        <w:rPr>
          <w:bCs/>
          <w:b/>
        </w:rPr>
        <w:t xml:space="preserve">Autorisation sans normes internationales :</w:t>
      </w:r>
      <w:r>
        <w:t xml:space="preserve"> </w:t>
      </w:r>
      <w:r>
        <w:t xml:space="preserve">certains peptides sont enregistrés comme médicaments en Russie, sans que de grandes études en aveugle, enregistrées au préalable, telles que l’exigent l’UE ou les États-Unis, aient été publiées.</w:t>
      </w:r>
    </w:p>
    <w:p>
      <w:pPr>
        <w:numPr>
          <w:ilvl w:val="0"/>
          <w:numId w:val="1191"/>
        </w:numPr>
        <w:pStyle w:val="Compact"/>
      </w:pPr>
      <w:r>
        <w:rPr>
          <w:bCs/>
          <w:b/>
        </w:rPr>
        <w:t xml:space="preserve">Petites études non contrôlées :</w:t>
      </w:r>
      <w:r>
        <w:t xml:space="preserve"> </w:t>
      </w:r>
      <w:r>
        <w:t xml:space="preserve">de nombreux travaux cliniques n’ont pas de groupe placebo, pas de répartition aléatoire, ou ne donnent pas de chiffres dans le résumé.</w:t>
      </w:r>
    </w:p>
    <w:p>
      <w:pPr>
        <w:numPr>
          <w:ilvl w:val="0"/>
          <w:numId w:val="1191"/>
        </w:numPr>
        <w:pStyle w:val="Compact"/>
      </w:pPr>
      <w:r>
        <w:rPr>
          <w:bCs/>
          <w:b/>
        </w:rPr>
        <w:t xml:space="preserve">Langue et accès :</w:t>
      </w:r>
      <w:r>
        <w:t xml:space="preserve"> </w:t>
      </w:r>
      <w:r>
        <w:t xml:space="preserve">de nombreux travaux ne paraissent qu’en russe, souvent dans des revues où les groupes d’auteurs eux-mêmes publient fréquemment.</w:t>
      </w:r>
    </w:p>
    <w:p>
      <w:pPr>
        <w:numPr>
          <w:ilvl w:val="0"/>
          <w:numId w:val="1191"/>
        </w:numPr>
        <w:pStyle w:val="Compact"/>
      </w:pPr>
      <w:r>
        <w:rPr>
          <w:bCs/>
          <w:b/>
        </w:rPr>
        <w:t xml:space="preserve">Absence de réplication :</w:t>
      </w:r>
      <w:r>
        <w:t xml:space="preserve"> </w:t>
      </w:r>
      <w:r>
        <w:t xml:space="preserve">des groupes indépendants hors de Russie ont rarement vérifié les résultats – et lorsqu’ils l’ont fait, souvent avec un résultat décevant, comme pour le DSIP.</w:t>
      </w:r>
    </w:p>
    <w:p>
      <w:pPr>
        <w:numPr>
          <w:ilvl w:val="0"/>
          <w:numId w:val="1191"/>
        </w:numPr>
        <w:pStyle w:val="Compact"/>
      </w:pPr>
      <w:r>
        <w:rPr>
          <w:bCs/>
          <w:b/>
        </w:rPr>
        <w:t xml:space="preserve">Pas d’enregistrement :</w:t>
      </w:r>
      <w:r>
        <w:t xml:space="preserve"> </w:t>
      </w:r>
      <w:r>
        <w:t xml:space="preserve">pour le Semax, le Selank, le DSIP et le Pinealon, on ne trouve pas une seule étude sur ClinicalTrials.gov.</w:t>
      </w:r>
    </w:p>
    <w:bookmarkEnd w:id="1605"/>
    <w:bookmarkStart w:id="1606" w:name="vue-densemble-2"/>
    <w:p>
      <w:pPr>
        <w:pStyle w:val="Heading3"/>
      </w:pPr>
      <w:r>
        <w:t xml:space="preserve">Vue d’ensemble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Preuve</w:t>
            </w:r>
          </w:p>
        </w:tc>
        <w:tc>
          <w:tcPr/>
          <w:p>
            <w:pPr>
              <w:pStyle w:val="Compact"/>
              <w:jc w:val="left"/>
            </w:pPr>
            <w:r>
              <w:t xml:space="preserve">Autorisation</w:t>
            </w:r>
          </w:p>
        </w:tc>
        <w:tc>
          <w:tcPr/>
          <w:p>
            <w:pPr>
              <w:pStyle w:val="Compact"/>
              <w:jc w:val="left"/>
            </w:pPr>
            <w:r>
              <w:t xml:space="preserve">En bref</w:t>
            </w:r>
          </w:p>
        </w:tc>
      </w:tr>
      <w:tr>
        <w:tc>
          <w:tcPr/>
          <w:p>
            <w:pPr>
              <w:pStyle w:val="Compact"/>
              <w:jc w:val="left"/>
            </w:pPr>
            <w:r>
              <w:t xml:space="preserve">Semax</w:t>
            </w:r>
          </w:p>
        </w:tc>
        <w:tc>
          <w:tcPr/>
          <w:p>
            <w:pPr>
              <w:pStyle w:val="Compact"/>
              <w:jc w:val="left"/>
            </w:pPr>
            <w:r>
              <w:t xml:space="preserve">C</w:t>
            </w:r>
          </w:p>
        </w:tc>
        <w:tc>
          <w:tcPr/>
          <w:p>
            <w:pPr>
              <w:pStyle w:val="Compact"/>
              <w:jc w:val="left"/>
            </w:pPr>
            <w:r>
              <w:t xml:space="preserve">Russie uniquement</w:t>
            </w:r>
          </w:p>
        </w:tc>
        <w:tc>
          <w:tcPr/>
          <w:p>
            <w:pPr>
              <w:pStyle w:val="Compact"/>
              <w:jc w:val="left"/>
            </w:pPr>
            <w:r>
              <w:t xml:space="preserve">fragment d’ACTH ; petites études sur l’AVC</w:t>
            </w:r>
          </w:p>
        </w:tc>
      </w:tr>
      <w:tr>
        <w:tc>
          <w:tcPr/>
          <w:p>
            <w:pPr>
              <w:pStyle w:val="Compact"/>
              <w:jc w:val="left"/>
            </w:pPr>
            <w:r>
              <w:t xml:space="preserve">Selank</w:t>
            </w:r>
          </w:p>
        </w:tc>
        <w:tc>
          <w:tcPr/>
          <w:p>
            <w:pPr>
              <w:pStyle w:val="Compact"/>
              <w:jc w:val="left"/>
            </w:pPr>
            <w:r>
              <w:t xml:space="preserve">C</w:t>
            </w:r>
          </w:p>
        </w:tc>
        <w:tc>
          <w:tcPr/>
          <w:p>
            <w:pPr>
              <w:pStyle w:val="Compact"/>
              <w:jc w:val="left"/>
            </w:pPr>
            <w:r>
              <w:t xml:space="preserve">Russie uniquement</w:t>
            </w:r>
          </w:p>
        </w:tc>
        <w:tc>
          <w:tcPr/>
          <w:p>
            <w:pPr>
              <w:pStyle w:val="Compact"/>
              <w:jc w:val="left"/>
            </w:pPr>
            <w:r>
              <w:t xml:space="preserve">anxiolytique ; pas d’études contre placebo</w:t>
            </w:r>
          </w:p>
        </w:tc>
      </w:tr>
      <w:tr>
        <w:tc>
          <w:tcPr/>
          <w:p>
            <w:pPr>
              <w:pStyle w:val="Compact"/>
              <w:jc w:val="left"/>
            </w:pPr>
            <w:r>
              <w:t xml:space="preserve">Cerebrolysin</w:t>
            </w:r>
          </w:p>
        </w:tc>
        <w:tc>
          <w:tcPr/>
          <w:p>
            <w:pPr>
              <w:pStyle w:val="Compact"/>
              <w:jc w:val="left"/>
            </w:pPr>
            <w:r>
              <w:t xml:space="preserve">B</w:t>
            </w:r>
          </w:p>
        </w:tc>
        <w:tc>
          <w:tcPr/>
          <w:p>
            <w:pPr>
              <w:pStyle w:val="Compact"/>
              <w:jc w:val="left"/>
            </w:pPr>
            <w:r>
              <w:t xml:space="preserve">nationale, notamment Autriche</w:t>
            </w:r>
          </w:p>
        </w:tc>
        <w:tc>
          <w:tcPr/>
          <w:p>
            <w:pPr>
              <w:pStyle w:val="Compact"/>
              <w:jc w:val="left"/>
            </w:pPr>
            <w:r>
              <w:t xml:space="preserve">nombreux ECR, Cochrane réservée</w:t>
            </w:r>
          </w:p>
        </w:tc>
      </w:tr>
      <w:tr>
        <w:tc>
          <w:tcPr/>
          <w:p>
            <w:pPr>
              <w:pStyle w:val="Compact"/>
              <w:jc w:val="left"/>
            </w:pPr>
            <w:r>
              <w:t xml:space="preserve">Dihexa</w:t>
            </w:r>
          </w:p>
        </w:tc>
        <w:tc>
          <w:tcPr/>
          <w:p>
            <w:pPr>
              <w:pStyle w:val="Compact"/>
              <w:jc w:val="left"/>
            </w:pPr>
            <w:r>
              <w:t xml:space="preserve">D</w:t>
            </w:r>
          </w:p>
        </w:tc>
        <w:tc>
          <w:tcPr/>
          <w:p>
            <w:pPr>
              <w:pStyle w:val="Compact"/>
              <w:jc w:val="left"/>
            </w:pPr>
            <w:r>
              <w:t xml:space="preserve">non</w:t>
            </w:r>
          </w:p>
        </w:tc>
        <w:tc>
          <w:tcPr/>
          <w:p>
            <w:pPr>
              <w:pStyle w:val="Compact"/>
              <w:jc w:val="left"/>
            </w:pPr>
            <w:r>
              <w:t xml:space="preserve">données animales uniquement ; question du cancer ouverte</w:t>
            </w:r>
          </w:p>
        </w:tc>
      </w:tr>
      <w:tr>
        <w:tc>
          <w:tcPr/>
          <w:p>
            <w:pPr>
              <w:pStyle w:val="Compact"/>
              <w:jc w:val="left"/>
            </w:pPr>
            <w:r>
              <w:t xml:space="preserve">DSIP</w:t>
            </w:r>
          </w:p>
        </w:tc>
        <w:tc>
          <w:tcPr/>
          <w:p>
            <w:pPr>
              <w:pStyle w:val="Compact"/>
              <w:jc w:val="left"/>
            </w:pPr>
            <w:r>
              <w:t xml:space="preserve">C</w:t>
            </w:r>
          </w:p>
        </w:tc>
        <w:tc>
          <w:tcPr/>
          <w:p>
            <w:pPr>
              <w:pStyle w:val="Compact"/>
              <w:jc w:val="left"/>
            </w:pPr>
            <w:r>
              <w:t xml:space="preserve">non</w:t>
            </w:r>
          </w:p>
        </w:tc>
        <w:tc>
          <w:tcPr/>
          <w:p>
            <w:pPr>
              <w:pStyle w:val="Compact"/>
              <w:jc w:val="left"/>
            </w:pPr>
            <w:r>
              <w:t xml:space="preserve">« peptide du sommeil » sans bénéfice confirmé</w:t>
            </w:r>
          </w:p>
        </w:tc>
      </w:tr>
      <w:tr>
        <w:tc>
          <w:tcPr/>
          <w:p>
            <w:pPr>
              <w:pStyle w:val="Compact"/>
              <w:jc w:val="left"/>
            </w:pPr>
            <w:r>
              <w:t xml:space="preserve">Epitalon</w:t>
            </w:r>
          </w:p>
        </w:tc>
        <w:tc>
          <w:tcPr/>
          <w:p>
            <w:pPr>
              <w:pStyle w:val="Compact"/>
              <w:jc w:val="left"/>
            </w:pPr>
            <w:r>
              <w:t xml:space="preserve">C</w:t>
            </w:r>
          </w:p>
        </w:tc>
        <w:tc>
          <w:tcPr/>
          <w:p>
            <w:pPr>
              <w:pStyle w:val="Compact"/>
              <w:jc w:val="left"/>
            </w:pPr>
            <w:r>
              <w:t xml:space="preserve">non</w:t>
            </w:r>
          </w:p>
        </w:tc>
        <w:tc>
          <w:tcPr/>
          <w:p>
            <w:pPr>
              <w:pStyle w:val="Compact"/>
              <w:jc w:val="left"/>
            </w:pPr>
            <w:r>
              <w:t xml:space="preserve">promesse sur les télomères seulement en laboratoire</w:t>
            </w:r>
          </w:p>
        </w:tc>
      </w:tr>
      <w:tr>
        <w:tc>
          <w:tcPr/>
          <w:p>
            <w:pPr>
              <w:pStyle w:val="Compact"/>
              <w:jc w:val="left"/>
            </w:pPr>
            <w:r>
              <w:t xml:space="preserve">Pinealon</w:t>
            </w:r>
          </w:p>
        </w:tc>
        <w:tc>
          <w:tcPr/>
          <w:p>
            <w:pPr>
              <w:pStyle w:val="Compact"/>
              <w:jc w:val="left"/>
            </w:pPr>
            <w:r>
              <w:t xml:space="preserve">C</w:t>
            </w:r>
          </w:p>
        </w:tc>
        <w:tc>
          <w:tcPr/>
          <w:p>
            <w:pPr>
              <w:pStyle w:val="Compact"/>
              <w:jc w:val="left"/>
            </w:pPr>
            <w:r>
              <w:t xml:space="preserve">non</w:t>
            </w:r>
          </w:p>
        </w:tc>
        <w:tc>
          <w:tcPr/>
          <w:p>
            <w:pPr>
              <w:pStyle w:val="Compact"/>
              <w:jc w:val="left"/>
            </w:pPr>
            <w:r>
              <w:t xml:space="preserve">petites observations russes</w:t>
            </w:r>
          </w:p>
        </w:tc>
      </w:tr>
      <w:tr>
        <w:tc>
          <w:tcPr/>
          <w:p>
            <w:pPr>
              <w:pStyle w:val="Compact"/>
              <w:jc w:val="left"/>
            </w:pPr>
            <w:r>
              <w:t xml:space="preserve">MOTS-c</w:t>
            </w:r>
          </w:p>
        </w:tc>
        <w:tc>
          <w:tcPr/>
          <w:p>
            <w:pPr>
              <w:pStyle w:val="Compact"/>
              <w:jc w:val="left"/>
            </w:pPr>
            <w:r>
              <w:t xml:space="preserve">D</w:t>
            </w:r>
          </w:p>
        </w:tc>
        <w:tc>
          <w:tcPr/>
          <w:p>
            <w:pPr>
              <w:pStyle w:val="Compact"/>
              <w:jc w:val="left"/>
            </w:pPr>
            <w:r>
              <w:t xml:space="preserve">non</w:t>
            </w:r>
          </w:p>
        </w:tc>
        <w:tc>
          <w:tcPr/>
          <w:p>
            <w:pPr>
              <w:pStyle w:val="Compact"/>
              <w:jc w:val="left"/>
            </w:pPr>
            <w:r>
              <w:t xml:space="preserve">souris oui, humains seulement des taux sanguins</w:t>
            </w:r>
          </w:p>
        </w:tc>
      </w:tr>
      <w:tr>
        <w:tc>
          <w:tcPr/>
          <w:p>
            <w:pPr>
              <w:pStyle w:val="Compact"/>
              <w:jc w:val="left"/>
            </w:pPr>
            <w:r>
              <w:t xml:space="preserve">Humanine</w:t>
            </w:r>
          </w:p>
        </w:tc>
        <w:tc>
          <w:tcPr/>
          <w:p>
            <w:pPr>
              <w:pStyle w:val="Compact"/>
              <w:jc w:val="left"/>
            </w:pPr>
            <w:r>
              <w:t xml:space="preserve">D</w:t>
            </w:r>
          </w:p>
        </w:tc>
        <w:tc>
          <w:tcPr/>
          <w:p>
            <w:pPr>
              <w:pStyle w:val="Compact"/>
              <w:jc w:val="left"/>
            </w:pPr>
            <w:r>
              <w:t xml:space="preserve">non</w:t>
            </w:r>
          </w:p>
        </w:tc>
        <w:tc>
          <w:tcPr/>
          <w:p>
            <w:pPr>
              <w:pStyle w:val="Compact"/>
              <w:jc w:val="left"/>
            </w:pPr>
            <w:r>
              <w:t xml:space="preserve">biomarqueur ; favorise les tumeurs chez l’animal</w:t>
            </w:r>
          </w:p>
        </w:tc>
      </w:tr>
      <w:tr>
        <w:tc>
          <w:tcPr/>
          <w:p>
            <w:pPr>
              <w:pStyle w:val="Compact"/>
              <w:jc w:val="left"/>
            </w:pPr>
            <w:r>
              <w:t xml:space="preserve">SS-31 (élamipretide)</w:t>
            </w:r>
          </w:p>
        </w:tc>
        <w:tc>
          <w:tcPr/>
          <w:p>
            <w:pPr>
              <w:pStyle w:val="Compact"/>
              <w:jc w:val="left"/>
            </w:pPr>
            <w:r>
              <w:t xml:space="preserve">B</w:t>
            </w:r>
          </w:p>
        </w:tc>
        <w:tc>
          <w:tcPr/>
          <w:p>
            <w:pPr>
              <w:pStyle w:val="Compact"/>
              <w:jc w:val="left"/>
            </w:pPr>
            <w:r>
              <w:t xml:space="preserve">États-Unis (syndrome de Barth)</w:t>
            </w:r>
          </w:p>
        </w:tc>
        <w:tc>
          <w:tcPr/>
          <w:p>
            <w:pPr>
              <w:pStyle w:val="Compact"/>
              <w:jc w:val="left"/>
            </w:pPr>
            <w:r>
              <w:t xml:space="preserve">grandes études majoritairement négatives</w:t>
            </w:r>
          </w:p>
        </w:tc>
      </w:tr>
      <w:tr>
        <w:tc>
          <w:tcPr/>
          <w:p>
            <w:pPr>
              <w:pStyle w:val="Compact"/>
              <w:jc w:val="left"/>
            </w:pPr>
            <w:r>
              <w:t xml:space="preserve">FOXO4-DRI</w:t>
            </w:r>
          </w:p>
        </w:tc>
        <w:tc>
          <w:tcPr/>
          <w:p>
            <w:pPr>
              <w:pStyle w:val="Compact"/>
              <w:jc w:val="left"/>
            </w:pPr>
            <w:r>
              <w:t xml:space="preserve">D</w:t>
            </w:r>
          </w:p>
        </w:tc>
        <w:tc>
          <w:tcPr/>
          <w:p>
            <w:pPr>
              <w:pStyle w:val="Compact"/>
              <w:jc w:val="left"/>
            </w:pPr>
            <w:r>
              <w:t xml:space="preserve">non</w:t>
            </w:r>
          </w:p>
        </w:tc>
        <w:tc>
          <w:tcPr/>
          <w:p>
            <w:pPr>
              <w:pStyle w:val="Compact"/>
              <w:jc w:val="left"/>
            </w:pPr>
            <w:r>
              <w:t xml:space="preserve">sénolytique, données animales uniquement</w:t>
            </w:r>
          </w:p>
        </w:tc>
      </w:tr>
      <w:tr>
        <w:tc>
          <w:tcPr/>
          <w:p>
            <w:pPr>
              <w:pStyle w:val="Compact"/>
              <w:jc w:val="left"/>
            </w:pPr>
            <w:r>
              <w:t xml:space="preserve">Glutathion</w:t>
            </w:r>
          </w:p>
        </w:tc>
        <w:tc>
          <w:tcPr/>
          <w:p>
            <w:pPr>
              <w:pStyle w:val="Compact"/>
              <w:jc w:val="left"/>
            </w:pPr>
            <w:r>
              <w:t xml:space="preserve">B</w:t>
            </w:r>
          </w:p>
        </w:tc>
        <w:tc>
          <w:tcPr/>
          <w:p>
            <w:pPr>
              <w:pStyle w:val="Compact"/>
              <w:jc w:val="left"/>
            </w:pPr>
            <w:r>
              <w:t xml:space="preserve">complément alimentaire</w:t>
            </w:r>
          </w:p>
        </w:tc>
        <w:tc>
          <w:tcPr/>
          <w:p>
            <w:pPr>
              <w:pStyle w:val="Compact"/>
              <w:jc w:val="left"/>
            </w:pPr>
            <w:r>
              <w:t xml:space="preserve">perfusions pour éclaircir la peau risquées</w:t>
            </w:r>
          </w:p>
        </w:tc>
      </w:tr>
    </w:tbl>
    <w:bookmarkEnd w:id="1606"/>
    <w:bookmarkStart w:id="1607" w:name="conseils-de-lecture-2"/>
    <w:p>
      <w:pPr>
        <w:pStyle w:val="Heading3"/>
      </w:pPr>
      <w:r>
        <w:t xml:space="preserve">Conseils de lecture</w:t>
      </w:r>
    </w:p>
    <w:p>
      <w:pPr>
        <w:pStyle w:val="FirstParagraph"/>
      </w:pPr>
      <w:r>
        <w:t xml:space="preserve">Les chapitres suivent la structure uniforme de ce livre. Dans chaque chapitre, soyez particulièrement attentif à la section « Études chez l’humain » et, en son sein, à l’ampleur des données : pour neuf des douze peptides, il n’existe soit aucune étude dans laquelle des personnes ont reçu la substance, soit seulement des travaux très petits et méthodologiquement faibles. Le statut juridique et le statut auprès de la FDA ont changé à plusieurs reprises en 2026 ; les indications correspondent à l’état d’octobre 2026 et devraient être vérifiées.</w:t>
      </w:r>
    </w:p>
    <w:bookmarkEnd w:id="1607"/>
    <w:bookmarkStart w:id="1636" w:name="semax"/>
    <w:p>
      <w:pPr>
        <w:pStyle w:val="Heading2"/>
      </w:pPr>
      <w:r>
        <w:t xml:space="preserve">Semax</w:t>
      </w:r>
    </w:p>
    <w:bookmarkStart w:id="1608" w:name="fiche-signalétique-34"/>
    <w:p>
      <w:pPr>
        <w:pStyle w:val="Heading3"/>
      </w:pPr>
      <w:r>
        <w:t xml:space="preserve">Fiche signalétique</w:t>
      </w:r>
    </w:p>
    <w:p>
      <w:pPr>
        <w:numPr>
          <w:ilvl w:val="0"/>
          <w:numId w:val="1192"/>
        </w:numPr>
        <w:pStyle w:val="Compact"/>
      </w:pPr>
      <w:r>
        <w:rPr>
          <w:bCs/>
          <w:b/>
        </w:rPr>
        <w:t xml:space="preserve">Nature et structure :</w:t>
      </w:r>
      <w:r>
        <w:t xml:space="preserve"> </w:t>
      </w:r>
      <w:r>
        <w:t xml:space="preserve">heptapeptide de synthèse (sept acides aminés : Met-Glu-His-Phe-Pro-Gly-Pro). Les quatre premiers éléments correspondent à un fragment de l’hormone du stress ACTH (hormone adrénocorticotrope, segment 4–7), auquel est accroché le tripeptide Pro-Gly-Pro, censé ralentir la dégradation.</w:t>
      </w:r>
    </w:p>
    <w:p>
      <w:pPr>
        <w:numPr>
          <w:ilvl w:val="0"/>
          <w:numId w:val="1192"/>
        </w:numPr>
        <w:pStyle w:val="Compact"/>
      </w:pPr>
      <w:r>
        <w:rPr>
          <w:bCs/>
          <w:b/>
        </w:rPr>
        <w:t xml:space="preserve">Origine :</w:t>
      </w:r>
      <w:r>
        <w:t xml:space="preserve"> </w:t>
      </w:r>
      <w:r>
        <w:t xml:space="preserve">développé à partir des années 1980 à l’Institut de génétique moléculaire de l’Académie des sciences de Russie, à Moscou.</w:t>
      </w:r>
    </w:p>
    <w:p>
      <w:pPr>
        <w:numPr>
          <w:ilvl w:val="0"/>
          <w:numId w:val="1192"/>
        </w:numPr>
        <w:pStyle w:val="Compact"/>
      </w:pPr>
      <w:r>
        <w:rPr>
          <w:bCs/>
          <w:b/>
        </w:rPr>
        <w:t xml:space="preserve">Principe d’action :</w:t>
      </w:r>
      <w:r>
        <w:t xml:space="preserve"> </w:t>
      </w:r>
      <w:r>
        <w:t xml:space="preserve">stimulerait la production de facteurs de croissance nerveuse (surtout le BDNF) et protégerait les neurones en cas de manque d’oxygène ; contrairement à l’ACTH, il ne stimule pas la sécrétion de cortisol par la glande surrénale. Il est administré en gouttes nasales.</w:t>
      </w:r>
    </w:p>
    <w:p>
      <w:pPr>
        <w:numPr>
          <w:ilvl w:val="0"/>
          <w:numId w:val="1192"/>
        </w:numPr>
        <w:pStyle w:val="Compact"/>
      </w:pPr>
      <w:r>
        <w:rPr>
          <w:bCs/>
          <w:b/>
        </w:rPr>
        <w:t xml:space="preserve">Autorisation UE :</w:t>
      </w:r>
      <w:r>
        <w:t xml:space="preserve"> </w:t>
      </w:r>
      <w:r>
        <w:t xml:space="preserve">non.</w:t>
      </w:r>
    </w:p>
    <w:p>
      <w:pPr>
        <w:numPr>
          <w:ilvl w:val="0"/>
          <w:numId w:val="1192"/>
        </w:numPr>
        <w:pStyle w:val="Compact"/>
      </w:pPr>
      <w:r>
        <w:rPr>
          <w:bCs/>
          <w:b/>
        </w:rPr>
        <w:t xml:space="preserve">Autorisation États-Unis :</w:t>
      </w:r>
      <w:r>
        <w:t xml:space="preserve"> </w:t>
      </w:r>
      <w:r>
        <w:t xml:space="preserve">non. Le Semax figurait à partir de 2023 sur la liste de la FDA des substances présentant des risques potentiels pour la sécurité dans les préparations pharmaceutiques (« catégorie 2 »), en a été retiré en avril 2026 et a été recommandé de justesse en juillet 2026 par le comité consultatif PCAC pour inscription sur la liste des substances autorisées en préparation magistrale. Il ne s’agit pas d’une autorisation comme médicament.</w:t>
      </w:r>
    </w:p>
    <w:p>
      <w:pPr>
        <w:numPr>
          <w:ilvl w:val="0"/>
          <w:numId w:val="1192"/>
        </w:numPr>
        <w:pStyle w:val="Compact"/>
      </w:pPr>
      <w:r>
        <w:rPr>
          <w:bCs/>
          <w:b/>
        </w:rPr>
        <w:t xml:space="preserve">Russie et certains pays voisins :</w:t>
      </w:r>
      <w:r>
        <w:t xml:space="preserve"> </w:t>
      </w:r>
      <w:r>
        <w:t xml:space="preserve">enregistré comme médicament (gouttes nasales ; solution à 0,1 % comme nootropique, solution à 1 % pour l’AVC).</w:t>
      </w:r>
    </w:p>
    <w:p>
      <w:pPr>
        <w:numPr>
          <w:ilvl w:val="0"/>
          <w:numId w:val="1192"/>
        </w:numPr>
        <w:pStyle w:val="Compact"/>
      </w:pPr>
      <w:r>
        <w:rPr>
          <w:bCs/>
          <w:b/>
        </w:rPr>
        <w:t xml:space="preserve">AMA (WADA) :</w:t>
      </w:r>
      <w:r>
        <w:t xml:space="preserve"> </w:t>
      </w:r>
      <w:r>
        <w:t xml:space="preserve">pas nommément listé. Comme le Semax est autorisé en Russie, il ne relève pas clairement de la catégorie générale S0 des substances non approuvées.</w:t>
      </w:r>
    </w:p>
    <w:p>
      <w:pPr>
        <w:numPr>
          <w:ilvl w:val="0"/>
          <w:numId w:val="1192"/>
        </w:numPr>
        <w:pStyle w:val="Compact"/>
      </w:pPr>
      <w:r>
        <w:rPr>
          <w:bCs/>
          <w:b/>
        </w:rPr>
        <w:t xml:space="preserve">Niveau de preuve :</w:t>
      </w:r>
      <w:r>
        <w:t xml:space="preserve"> </w:t>
      </w:r>
      <w:r>
        <w:rPr>
          <w:bCs/>
          <w:b/>
        </w:rPr>
        <w:t xml:space="preserve">C</w:t>
      </w:r>
      <w:r>
        <w:t xml:space="preserve"> </w:t>
      </w:r>
      <w:r>
        <w:t xml:space="preserve">– quelques petites études, majoritairement non randomisées, provenant de centres russes.</w:t>
      </w:r>
    </w:p>
    <w:bookmarkEnd w:id="1608"/>
    <w:bookmarkStart w:id="1611" w:name="mode-daction-supposé-34"/>
    <w:p>
      <w:pPr>
        <w:pStyle w:val="Heading3"/>
      </w:pPr>
      <w:r>
        <w:t xml:space="preserve">Mode d’action supposé</w:t>
      </w:r>
    </w:p>
    <w:p>
      <w:pPr>
        <w:pStyle w:val="FirstParagraph"/>
      </w:pPr>
      <w:r>
        <w:t xml:space="preserve">L’ACTH est une hormone de l’hypophyse qui stimule la production de cortisol par la glande surrénale. Dès les années 1970, on a remarqué que de courts fragments de cette hormone – sans l’effet sur la surrénale – influençaient l’attention et l’apprentissage chez l’animal. Mais ces fragments sont dégradés en quelques minutes dans l’organisme. Les concepteurs du Semax ont donc prolongé le fragment ACTH(4–7) de la séquence Pro-Gly-Pro, plus stable face aux enzymes qui scindent les protéines.</w:t>
      </w:r>
    </w:p>
    <w:p>
      <w:pPr>
        <w:pStyle w:val="BodyText"/>
      </w:pPr>
      <w:r>
        <w:t xml:space="preserve">Pour le mécanisme d’action, les concepteurs s’appuient surtout sur des données animales :</w:t>
      </w:r>
    </w:p>
    <w:p>
      <w:pPr>
        <w:numPr>
          <w:ilvl w:val="0"/>
          <w:numId w:val="1193"/>
        </w:numPr>
        <w:pStyle w:val="Compact"/>
      </w:pPr>
      <w:r>
        <w:rPr>
          <w:bCs/>
          <w:b/>
        </w:rPr>
        <w:t xml:space="preserve">Facteurs de croissance nerveuse :</w:t>
      </w:r>
      <w:r>
        <w:t xml:space="preserve"> </w:t>
      </w:r>
      <w:r>
        <w:t xml:space="preserve">chez le rat, on a trouvé des sites de liaison spécifiques pour du Semax marqué dans le cerveau antérieur basal ; après administration nasale, la teneur en BDNF (Brain-Derived Neurotrophic Factor), une protéine qui favorise la plasticité des connexions nerveuses, y augmentait en trois heures. Ce n’était pas le cas dans le cervelet</w:t>
      </w:r>
      <w:r>
        <w:rPr>
          <w:rStyle w:val="FootnoteReference"/>
        </w:rPr>
        <w:footnoteReference w:id="1609"/>
      </w:r>
      <w:r>
        <w:t xml:space="preserve">.</w:t>
      </w:r>
    </w:p>
    <w:p>
      <w:pPr>
        <w:numPr>
          <w:ilvl w:val="0"/>
          <w:numId w:val="1193"/>
        </w:numPr>
        <w:pStyle w:val="Compact"/>
      </w:pPr>
      <w:r>
        <w:rPr>
          <w:bCs/>
          <w:b/>
        </w:rPr>
        <w:t xml:space="preserve">Activité génique après un AVC :</w:t>
      </w:r>
      <w:r>
        <w:t xml:space="preserve"> </w:t>
      </w:r>
      <w:r>
        <w:t xml:space="preserve">dans un modèle d’AVC chez le rat, le Semax a modifié l’activité de nombreux gènes, surtout ceux du système immunitaire et de la formation des vaisseaux sanguins</w:t>
      </w:r>
      <w:r>
        <w:rPr>
          <w:rStyle w:val="FootnoteReference"/>
        </w:rPr>
        <w:footnoteReference w:id="1610"/>
      </w:r>
      <w:r>
        <w:t xml:space="preserve">.</w:t>
      </w:r>
    </w:p>
    <w:p>
      <w:pPr>
        <w:pStyle w:val="FirstParagraph"/>
      </w:pPr>
      <w:r>
        <w:t xml:space="preserve">Aucun récepteur propre au Semax n’a été identifié. On ignore si les hausses de BDNF mesurées chez le rat se produisent sous une forme comparable chez l’humain et si elles suffisent à un bénéfice.</w:t>
      </w:r>
    </w:p>
    <w:bookmarkEnd w:id="1611"/>
    <w:bookmarkStart w:id="1623" w:name="études-chez-lhumain-34"/>
    <w:p>
      <w:pPr>
        <w:pStyle w:val="Heading3"/>
      </w:pPr>
      <w:r>
        <w:t xml:space="preserve">Études chez l’humain</w:t>
      </w:r>
    </w:p>
    <w:p>
      <w:pPr>
        <w:pStyle w:val="FirstParagraph"/>
      </w:pPr>
      <w:r>
        <w:rPr>
          <w:bCs/>
          <w:b/>
        </w:rPr>
        <w:t xml:space="preserve">Ampleur des données :</w:t>
      </w:r>
      <w:r>
        <w:t xml:space="preserve"> </w:t>
      </w:r>
      <w:r>
        <w:t xml:space="preserve">la requête PubMed automatisée (octobre 2026) n’a donné que 4 publications classées comme études chez l’humain ; au total, PubMed recense environ 210 travaux comportant « Semax » dans le titre ou le résumé, en très grande majorité des études animales et de laboratoire. Pas une seule étude n’est enregistrée sur ClinicalTrials.gov. Une recherche complémentaire ciblée a mis au jour quelques autres petits travaux cliniques. Pratiquement tous proviennent d’institutions russes, beaucoup de l’entourage des concepteurs, et n’ont paru qu’en russe avec un résumé en anglais.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Gusev 1997, PMID 11517472</w:t>
            </w:r>
          </w:p>
        </w:tc>
        <w:tc>
          <w:tcPr/>
          <w:p>
            <w:pPr>
              <w:pStyle w:val="Compact"/>
              <w:jc w:val="left"/>
            </w:pPr>
            <w:r>
              <w:t xml:space="preserve">30 personnes avec AVC ischémique aigu, comparaison avec 80 personnes sous traitement standard, non randomisée</w:t>
            </w:r>
          </w:p>
        </w:tc>
        <w:tc>
          <w:tcPr/>
          <w:p>
            <w:pPr>
              <w:pStyle w:val="Compact"/>
              <w:jc w:val="left"/>
            </w:pPr>
            <w:r>
              <w:t xml:space="preserve">5–10 jours de traitement</w:t>
            </w:r>
          </w:p>
        </w:tc>
        <w:tc>
          <w:tcPr/>
          <w:p>
            <w:pPr>
              <w:pStyle w:val="Compact"/>
              <w:jc w:val="left"/>
            </w:pPr>
            <w:r>
              <w:t xml:space="preserve">« une certaine influence » sur la vitesse de récupération des déficits neurologiques, pas de tailles d’effet dans le résumé</w:t>
            </w:r>
          </w:p>
        </w:tc>
      </w:tr>
      <w:tr>
        <w:tc>
          <w:tcPr/>
          <w:p>
            <w:pPr>
              <w:pStyle w:val="Compact"/>
              <w:jc w:val="left"/>
            </w:pPr>
            <w:r>
              <w:t xml:space="preserve">Gusev 2005, PMID 15792140</w:t>
            </w:r>
          </w:p>
        </w:tc>
        <w:tc>
          <w:tcPr/>
          <w:p>
            <w:pPr>
              <w:pStyle w:val="Compact"/>
              <w:jc w:val="left"/>
            </w:pPr>
            <w:r>
              <w:t xml:space="preserve">187 personnes avec trouble circulatoire cérébral chronique</w:t>
            </w:r>
          </w:p>
        </w:tc>
        <w:tc>
          <w:tcPr/>
          <w:p>
            <w:pPr>
              <w:pStyle w:val="Compact"/>
              <w:jc w:val="left"/>
            </w:pPr>
            <w:r>
              <w:t xml:space="preserve">non précisée</w:t>
            </w:r>
          </w:p>
        </w:tc>
        <w:tc>
          <w:tcPr/>
          <w:p>
            <w:pPr>
              <w:pStyle w:val="Compact"/>
              <w:jc w:val="left"/>
            </w:pPr>
            <w:r>
              <w:t xml:space="preserve">selon les auteurs, amélioration clinique et moins d’AVC ; plan et chiffres absents du résumé</w:t>
            </w:r>
          </w:p>
        </w:tc>
      </w:tr>
      <w:tr>
        <w:tc>
          <w:tcPr/>
          <w:p>
            <w:pPr>
              <w:pStyle w:val="Compact"/>
              <w:jc w:val="left"/>
            </w:pPr>
            <w:r>
              <w:t xml:space="preserve">Gusev 2018, PMID 29798983</w:t>
            </w:r>
          </w:p>
        </w:tc>
        <w:tc>
          <w:tcPr/>
          <w:p>
            <w:pPr>
              <w:pStyle w:val="Compact"/>
              <w:jc w:val="left"/>
            </w:pPr>
            <w:r>
              <w:t xml:space="preserve">110 personnes après AVC, rééducation précoce ou tardive, chacune avec ou sans Semax</w:t>
            </w:r>
          </w:p>
        </w:tc>
        <w:tc>
          <w:tcPr/>
          <w:p>
            <w:pPr>
              <w:pStyle w:val="Compact"/>
              <w:jc w:val="left"/>
            </w:pPr>
            <w:r>
              <w:t xml:space="preserve">environ 5 mois</w:t>
            </w:r>
          </w:p>
        </w:tc>
        <w:tc>
          <w:tcPr/>
          <w:p>
            <w:pPr>
              <w:pStyle w:val="Compact"/>
              <w:jc w:val="left"/>
            </w:pPr>
            <w:r>
              <w:t xml:space="preserve">taux sanguin de BDNF plus élevé, amélioration plus rapide de l’indice de Barthel</w:t>
            </w:r>
          </w:p>
        </w:tc>
      </w:tr>
      <w:tr>
        <w:tc>
          <w:tcPr/>
          <w:p>
            <w:pPr>
              <w:pStyle w:val="Compact"/>
              <w:jc w:val="left"/>
            </w:pPr>
            <w:r>
              <w:t xml:space="preserve">Serdiuk 2007, PMID 18379501</w:t>
            </w:r>
          </w:p>
        </w:tc>
        <w:tc>
          <w:tcPr/>
          <w:p>
            <w:pPr>
              <w:pStyle w:val="Compact"/>
              <w:jc w:val="left"/>
            </w:pPr>
            <w:r>
              <w:t xml:space="preserve">27 personnes atteintes d’une maladie du motoneurone (p. ex. SLA), en ouvert</w:t>
            </w:r>
          </w:p>
        </w:tc>
        <w:tc>
          <w:tcPr/>
          <w:p>
            <w:pPr>
              <w:pStyle w:val="Compact"/>
              <w:jc w:val="left"/>
            </w:pPr>
            <w:r>
              <w:t xml:space="preserve">48 jours</w:t>
            </w:r>
          </w:p>
        </w:tc>
        <w:tc>
          <w:tcPr/>
          <w:p>
            <w:pPr>
              <w:pStyle w:val="Compact"/>
              <w:jc w:val="left"/>
            </w:pPr>
            <w:r>
              <w:t xml:space="preserve">aucune influence sur l’évolution de la maladie et les signes musculaires ; meilleurs scores de qualité de vie</w:t>
            </w:r>
          </w:p>
        </w:tc>
      </w:tr>
      <w:tr>
        <w:tc>
          <w:tcPr/>
          <w:p>
            <w:pPr>
              <w:pStyle w:val="Compact"/>
              <w:jc w:val="left"/>
            </w:pPr>
            <w:r>
              <w:t xml:space="preserve">Polunin 2000, PMID 10741256</w:t>
            </w:r>
          </w:p>
        </w:tc>
        <w:tc>
          <w:tcPr/>
          <w:p>
            <w:pPr>
              <w:pStyle w:val="Compact"/>
              <w:jc w:val="left"/>
            </w:pPr>
            <w:r>
              <w:t xml:space="preserve">personnes atteintes de maladies du nerf optique, trois groupes dont un témoin</w:t>
            </w:r>
          </w:p>
        </w:tc>
        <w:tc>
          <w:tcPr/>
          <w:p>
            <w:pPr>
              <w:pStyle w:val="Compact"/>
              <w:jc w:val="left"/>
            </w:pPr>
            <w:r>
              <w:t xml:space="preserve">non précisée</w:t>
            </w:r>
          </w:p>
        </w:tc>
        <w:tc>
          <w:tcPr/>
          <w:p>
            <w:pPr>
              <w:pStyle w:val="Compact"/>
              <w:jc w:val="left"/>
            </w:pPr>
            <w:r>
              <w:t xml:space="preserve">selon les auteurs, meilleure acuité visuelle et meilleur champ visuel ; pas de chiffres dans le résumé</w:t>
            </w:r>
          </w:p>
        </w:tc>
      </w:tr>
      <w:tr>
        <w:tc>
          <w:tcPr/>
          <w:p>
            <w:pPr>
              <w:pStyle w:val="Compact"/>
              <w:jc w:val="left"/>
            </w:pPr>
            <w:r>
              <w:t xml:space="preserve">Lebedeva 2018, PMID 30225715</w:t>
            </w:r>
          </w:p>
        </w:tc>
        <w:tc>
          <w:tcPr/>
          <w:p>
            <w:pPr>
              <w:pStyle w:val="Compact"/>
              <w:jc w:val="left"/>
            </w:pPr>
            <w:r>
              <w:t xml:space="preserve">24 personnes en bonne santé, Semax (14) ou placebo (10)</w:t>
            </w:r>
          </w:p>
        </w:tc>
        <w:tc>
          <w:tcPr/>
          <w:p>
            <w:pPr>
              <w:pStyle w:val="Compact"/>
              <w:jc w:val="left"/>
            </w:pPr>
            <w:r>
              <w:t xml:space="preserve">administration unique, mesure après 20 minutes</w:t>
            </w:r>
          </w:p>
        </w:tc>
        <w:tc>
          <w:tcPr/>
          <w:p>
            <w:pPr>
              <w:pStyle w:val="Compact"/>
              <w:jc w:val="left"/>
            </w:pPr>
            <w:r>
              <w:t xml:space="preserve">activité des réseaux au repos modifiée en IRM fonctionnelle</w:t>
            </w:r>
          </w:p>
        </w:tc>
      </w:tr>
    </w:tbl>
    <w:bookmarkStart w:id="1615" w:name="accident-vasculaire-cérébral"/>
    <w:p>
      <w:pPr>
        <w:pStyle w:val="Heading4"/>
      </w:pPr>
      <w:r>
        <w:t xml:space="preserve">Accident vasculaire cérébral</w:t>
      </w:r>
    </w:p>
    <w:p>
      <w:pPr>
        <w:pStyle w:val="FirstParagraph"/>
      </w:pPr>
      <w:r>
        <w:t xml:space="preserve">L’AVC est le principal domaine d’application pour lequel le Semax est enregistré en Russie. La base en est mince. Dans la première étude clinique, 30 personnes ayant subi un AVC aigu ont reçu du Semax en plus du traitement standard ; 80 personnes ne recevant que le traitement standard servaient de comparaison. Les groupes n’ont pas été répartis par tirage au sort. Les auteurs font état d’« une certaine influence » sur la régression des déficits, surtout des paralysies</w:t>
      </w:r>
      <w:r>
        <w:rPr>
          <w:rStyle w:val="FootnoteReference"/>
        </w:rPr>
        <w:footnoteReference w:id="1612"/>
      </w:r>
      <w:r>
        <w:t xml:space="preserve">. Un travail ultérieur du même groupe a examiné des messagers inflammatoires dans le sang et était expressément une analyse rétrospective</w:t>
      </w:r>
      <w:r>
        <w:rPr>
          <w:rStyle w:val="FootnoteReference"/>
        </w:rPr>
        <w:footnoteReference w:id="1613"/>
      </w:r>
      <w:r>
        <w:t xml:space="preserve">.</w:t>
      </w:r>
    </w:p>
    <w:p>
      <w:pPr>
        <w:pStyle w:val="BodyText"/>
      </w:pPr>
      <w:r>
        <w:t xml:space="preserve">La plus grande étude à ce jour, portant sur 110 personnes après un AVC, a comparé une rééducation précoce et tardive, chacune avec ou sans Semax. Sous Semax, le taux de BDNF dans le plasma a augmenté et est resté élevé pendant l’observation ; l’indice de Barthel, une mesure de l’autonomie au quotidien, s’est amélioré plus vite</w:t>
      </w:r>
      <w:r>
        <w:rPr>
          <w:rStyle w:val="FootnoteReference"/>
        </w:rPr>
        <w:footnoteReference w:id="1614"/>
      </w:r>
      <w:r>
        <w:t xml:space="preserve">. Le résumé ne mentionne ni répartition aléatoire ni aveugle, et les différences entre les groupes ne sont pas exprimées en taille d’effet. Cela ne suffit pas à démontrer un bénéfice.</w:t>
      </w:r>
    </w:p>
    <w:p>
      <w:pPr>
        <w:pStyle w:val="BodyText"/>
      </w:pPr>
      <w:r>
        <w:t xml:space="preserve">À titre de comparaison : pour d’autres substances censées « protéger les neurones », presque toutes ont jusqu’ici échoué dans l’AVC lors de grandes études internationales en aveugle. Une telle étude n’existe pas pour le Semax.</w:t>
      </w:r>
    </w:p>
    <w:bookmarkEnd w:id="1615"/>
    <w:bookmarkStart w:id="1620" w:name="autres-applications-2"/>
    <w:p>
      <w:pPr>
        <w:pStyle w:val="Heading4"/>
      </w:pPr>
      <w:r>
        <w:t xml:space="preserve">Autres applications</w:t>
      </w:r>
    </w:p>
    <w:p>
      <w:pPr>
        <w:numPr>
          <w:ilvl w:val="0"/>
          <w:numId w:val="1194"/>
        </w:numPr>
        <w:pStyle w:val="Compact"/>
      </w:pPr>
      <w:r>
        <w:rPr>
          <w:bCs/>
          <w:b/>
        </w:rPr>
        <w:t xml:space="preserve">Maladies du motoneurone :</w:t>
      </w:r>
      <w:r>
        <w:t xml:space="preserve"> </w:t>
      </w:r>
      <w:r>
        <w:t xml:space="preserve">dans une étude ouverte portant sur 27 personnes, le Semax n’a modifié ni l’évolution de l’atteinte nerveuse à l’électromyogramme ni les échelles d’évaluation clinique. Les scores de qualité de vie se sont améliorés, surtout l’humeur et la motivation, le plus nettement au dixième jour</w:t>
      </w:r>
      <w:r>
        <w:rPr>
          <w:rStyle w:val="FootnoteReference"/>
        </w:rPr>
        <w:footnoteReference w:id="1616"/>
      </w:r>
      <w:r>
        <w:t xml:space="preserve">. Sans groupe placebo, un effet d’attente ne peut être exclu.</w:t>
      </w:r>
    </w:p>
    <w:p>
      <w:pPr>
        <w:numPr>
          <w:ilvl w:val="0"/>
          <w:numId w:val="1194"/>
        </w:numPr>
        <w:pStyle w:val="Compact"/>
      </w:pPr>
      <w:r>
        <w:rPr>
          <w:bCs/>
          <w:b/>
        </w:rPr>
        <w:t xml:space="preserve">Maladies du nerf optique :</w:t>
      </w:r>
      <w:r>
        <w:t xml:space="preserve"> </w:t>
      </w:r>
      <w:r>
        <w:t xml:space="preserve">une étude contrôlée rapporte de meilleures fonctions visuelles avec un traitement complémentaire par Semax, sans chiffres dans le résumé</w:t>
      </w:r>
      <w:r>
        <w:rPr>
          <w:rStyle w:val="FootnoteReference"/>
        </w:rPr>
        <w:footnoteReference w:id="1617"/>
      </w:r>
      <w:r>
        <w:t xml:space="preserve">.</w:t>
      </w:r>
    </w:p>
    <w:p>
      <w:pPr>
        <w:numPr>
          <w:ilvl w:val="0"/>
          <w:numId w:val="1194"/>
        </w:numPr>
        <w:pStyle w:val="Compact"/>
      </w:pPr>
      <w:r>
        <w:rPr>
          <w:bCs/>
          <w:b/>
        </w:rPr>
        <w:t xml:space="preserve">Séquelles d’un manque d’oxygène :</w:t>
      </w:r>
      <w:r>
        <w:t xml:space="preserve"> </w:t>
      </w:r>
      <w:r>
        <w:t xml:space="preserve">chez 73 personnes présentant une lésion cérébrale après un manque d’oxygène, les auteurs décrivent un effet sur les troubles de la mémoire. Chez certaines, des épisodes d’activité de type crise sont apparus à l’EEG après l’administration ; les auteurs recommandent donc d’effectuer la première administration sous contrôle EEG</w:t>
      </w:r>
      <w:r>
        <w:rPr>
          <w:rStyle w:val="FootnoteReference"/>
        </w:rPr>
        <w:footnoteReference w:id="1618"/>
      </w:r>
      <w:r>
        <w:t xml:space="preserve">.</w:t>
      </w:r>
    </w:p>
    <w:p>
      <w:pPr>
        <w:numPr>
          <w:ilvl w:val="0"/>
          <w:numId w:val="1194"/>
        </w:numPr>
        <w:pStyle w:val="Compact"/>
      </w:pPr>
      <w:r>
        <w:rPr>
          <w:bCs/>
          <w:b/>
        </w:rPr>
        <w:t xml:space="preserve">Ulcère gastrique :</w:t>
      </w:r>
      <w:r>
        <w:t xml:space="preserve"> </w:t>
      </w:r>
      <w:r>
        <w:t xml:space="preserve">dans un travail sur les ulcères gastriques réfractaires, 89,5 % des ulcères étaient cicatrisés après 14 jours sous Semax en complément du traitement standard, contre 30,8 % dans le groupe témoin</w:t>
      </w:r>
      <w:r>
        <w:rPr>
          <w:rStyle w:val="FootnoteReference"/>
        </w:rPr>
        <w:footnoteReference w:id="1619"/>
      </w:r>
      <w:r>
        <w:t xml:space="preserve">. Le résumé ne précise ni la taille des groupes ni la répartition ; les auteurs eux-mêmes réclament d’autres études.</w:t>
      </w:r>
    </w:p>
    <w:bookmarkEnd w:id="1620"/>
    <w:bookmarkStart w:id="1622" w:name="personnes-en-bonne-santé-et-nootropique"/>
    <w:p>
      <w:pPr>
        <w:pStyle w:val="Heading4"/>
      </w:pPr>
      <w:r>
        <w:t xml:space="preserve">Personnes en bonne santé et « nootropique »</w:t>
      </w:r>
    </w:p>
    <w:p>
      <w:pPr>
        <w:pStyle w:val="FirstParagraph"/>
      </w:pPr>
      <w:r>
        <w:t xml:space="preserve">Sur Internet, le Semax est surtout proposé comme moyen d’améliorer la concentration et la mémoire chez les personnes en bonne santé. Des études solides à ce sujet font défaut. Une revue des concepteurs datant des années 1990 rapporte que le Semax améliorerait la mémoire et l’attention d’hommes en bonne santé « dans des conditions extrêmes », mais ne donne aucune donnée d’étude dans le résumé</w:t>
      </w:r>
      <w:r>
        <w:rPr>
          <w:rStyle w:val="FootnoteReference"/>
        </w:rPr>
        <w:footnoteReference w:id="1621"/>
      </w:r>
      <w:r>
        <w:t xml:space="preserve">. Deux petites études d’imagerie chez des personnes en bonne santé ont montré, après une administration unique, des schémas d’activité modifiés en IRM fonctionnelle (Lebedeva 2018, PMID 30225715 ; Panikratova 2020, PMID 32342318, 52 personnes en bonne santé avec Semax, Selank ou placebo). Une activité cérébrale modifiée dans le scanner n’est toutefois pas une preuve de meilleures performances au quotidien.</w:t>
      </w:r>
    </w:p>
    <w:bookmarkEnd w:id="1622"/>
    <w:bookmarkEnd w:id="1623"/>
    <w:bookmarkStart w:id="1628" w:name="études-animales-et-de-laboratoire-34"/>
    <w:p>
      <w:pPr>
        <w:pStyle w:val="Heading3"/>
      </w:pPr>
      <w:r>
        <w:t xml:space="preserve">Études animales et de laboratoire</w:t>
      </w:r>
    </w:p>
    <w:p>
      <w:pPr>
        <w:pStyle w:val="FirstParagraph"/>
      </w:pPr>
      <w:r>
        <w:t xml:space="preserve">La littérature préclinique est abondante et provient elle aussi majoritairement de Moscou :</w:t>
      </w:r>
    </w:p>
    <w:p>
      <w:pPr>
        <w:numPr>
          <w:ilvl w:val="0"/>
          <w:numId w:val="1195"/>
        </w:numPr>
        <w:pStyle w:val="Compact"/>
      </w:pPr>
      <w:r>
        <w:t xml:space="preserve">Chez des rats ayant subi un AVC provoqué artificiellement, le Semax a modifié l’activité de gènes du système immunitaire et vasculaire</w:t>
      </w:r>
      <w:r>
        <w:rPr>
          <w:rStyle w:val="FootnoteReference"/>
        </w:rPr>
        <w:footnoteReference w:id="1624"/>
      </w:r>
      <w:r>
        <w:t xml:space="preserve">.</w:t>
      </w:r>
    </w:p>
    <w:p>
      <w:pPr>
        <w:numPr>
          <w:ilvl w:val="0"/>
          <w:numId w:val="1195"/>
        </w:numPr>
        <w:pStyle w:val="Compact"/>
      </w:pPr>
      <w:r>
        <w:t xml:space="preserve">Chez des rats dont le système dopaminergique avait été endommagé par la neurotoxine MPTP, le Semax a réduit les troubles moteurs et anxieux</w:t>
      </w:r>
      <w:r>
        <w:rPr>
          <w:rStyle w:val="FootnoteReference"/>
        </w:rPr>
        <w:footnoteReference w:id="1625"/>
      </w:r>
      <w:r>
        <w:t xml:space="preserve">.</w:t>
      </w:r>
    </w:p>
    <w:p>
      <w:pPr>
        <w:numPr>
          <w:ilvl w:val="0"/>
          <w:numId w:val="1195"/>
        </w:numPr>
        <w:pStyle w:val="Compact"/>
      </w:pPr>
      <w:r>
        <w:t xml:space="preserve">Chez des souris génétiquement modifiées présentant des dépôts de type Alzheimer, le Semax et un dérivé ont amélioré le comportement dans des tests de mémoire et réduit le nombre de dépôts amyloïdes</w:t>
      </w:r>
      <w:r>
        <w:rPr>
          <w:rStyle w:val="FootnoteReference"/>
        </w:rPr>
        <w:footnoteReference w:id="1626"/>
      </w:r>
      <w:r>
        <w:t xml:space="preserve">.</w:t>
      </w:r>
    </w:p>
    <w:p>
      <w:pPr>
        <w:numPr>
          <w:ilvl w:val="0"/>
          <w:numId w:val="1195"/>
        </w:numPr>
        <w:pStyle w:val="Compact"/>
      </w:pPr>
      <w:r>
        <w:t xml:space="preserve">Dans des expériences de laboratoire, le Semax lie les ions cuivre, ce qui atténuait la formation de radicaux oxygénés nocifs par des complexes amyloïde-cuivre</w:t>
      </w:r>
      <w:r>
        <w:rPr>
          <w:rStyle w:val="FootnoteReference"/>
        </w:rPr>
        <w:footnoteReference w:id="1627"/>
      </w:r>
      <w:r>
        <w:t xml:space="preserve">.</w:t>
      </w:r>
    </w:p>
    <w:p>
      <w:pPr>
        <w:pStyle w:val="FirstParagraph"/>
      </w:pPr>
      <w:r>
        <w:t xml:space="preserve">Ces résultats sont des résultats animaux et de laboratoire. De nombreuses substances qui protégeaient dans de tels modèles ont ensuite échoué chez l’humain.</w:t>
      </w:r>
    </w:p>
    <w:bookmarkEnd w:id="1628"/>
    <w:bookmarkStart w:id="1632" w:name="risques-et-effets-indésirables-34"/>
    <w:p>
      <w:pPr>
        <w:pStyle w:val="Heading3"/>
      </w:pPr>
      <w:r>
        <w:t xml:space="preserve">Risques et effets indésirables</w:t>
      </w:r>
    </w:p>
    <w:p>
      <w:pPr>
        <w:pStyle w:val="FirstParagraph"/>
      </w:pPr>
      <w:r>
        <w:rPr>
          <w:bCs/>
          <w:b/>
        </w:rPr>
        <w:t xml:space="preserve">Établi :</w:t>
      </w:r>
      <w:r>
        <w:t xml:space="preserve"> </w:t>
      </w:r>
      <w:r>
        <w:t xml:space="preserve">il n’existe pas de données de sécurité recueillies systématiquement dans des études plus vastes. Les travaux russes décrivent le Semax comme bien toléré, parfois expressément aussi chez les personnes âgées</w:t>
      </w:r>
      <w:r>
        <w:rPr>
          <w:rStyle w:val="FootnoteReference"/>
        </w:rPr>
        <w:footnoteReference w:id="1629"/>
      </w:r>
      <w:r>
        <w:t xml:space="preserve">. Un signal à prendre au sérieux est l’observation de modifications EEG de type crise après administration chez quelques personnes au cerveau déjà lésé</w:t>
      </w:r>
      <w:r>
        <w:rPr>
          <w:rStyle w:val="FootnoteReference"/>
        </w:rPr>
        <w:footnoteReference w:id="1630"/>
      </w:r>
      <w:r>
        <w:t xml:space="preserve">.</w:t>
      </w:r>
    </w:p>
    <w:p>
      <w:pPr>
        <w:pStyle w:val="BodyText"/>
      </w:pPr>
      <w:r>
        <w:rPr>
          <w:bCs/>
          <w:b/>
        </w:rPr>
        <w:t xml:space="preserve">Théorique :</w:t>
      </w:r>
      <w:r>
        <w:t xml:space="preserve"> </w:t>
      </w:r>
      <w:r>
        <w:t xml:space="preserve">le Semax influencerait des facteurs de croissance et des gènes immunitaires ; les conséquences à long terme de telles interventions n’ont pas été étudiées. Les données manquent pour la grossesse, l’allaitement, les enfants, l’épilepsie et les maladies psychiques.</w:t>
      </w:r>
    </w:p>
    <w:p>
      <w:pPr>
        <w:pStyle w:val="BodyText"/>
      </w:pPr>
      <w:r>
        <w:rPr>
          <w:bCs/>
          <w:b/>
        </w:rPr>
        <w:t xml:space="preserve">Marché gris :</w:t>
      </w:r>
      <w:r>
        <w:t xml:space="preserve"> </w:t>
      </w:r>
      <w:r>
        <w:t xml:space="preserve">en dehors de la Russie, le Semax est le plus souvent vendu comme « Research Peptide » ou comme solution nasale préparée soi-même. La teneur, la pureté et la stérilité de ces produits ne sont pas contrôlées. Un laboratoire de contrôle des médicaments a identifié en 2017 et 2018 du Semax et du Selank dans des préparations inconnues saisies et a constaté, lors d’une recherche en ligne, que ces « peptides nootropiques » sont proposés librement sous forme de poudre pour injection ou de spray nasal</w:t>
      </w:r>
      <w:r>
        <w:rPr>
          <w:rStyle w:val="FootnoteReference"/>
        </w:rPr>
        <w:footnoteReference w:id="1631"/>
      </w:r>
      <w:r>
        <w:t xml:space="preserve">. Plus de détails dans la partie I et la partie IV.</w:t>
      </w:r>
    </w:p>
    <w:bookmarkEnd w:id="1632"/>
    <w:bookmarkStart w:id="1633" w:name="statut-juridique-34"/>
    <w:p>
      <w:pPr>
        <w:pStyle w:val="Heading3"/>
      </w:pPr>
      <w:r>
        <w:t xml:space="preserve">Statut juridique</w:t>
      </w:r>
    </w:p>
    <w:p>
      <w:pPr>
        <w:numPr>
          <w:ilvl w:val="0"/>
          <w:numId w:val="1196"/>
        </w:numPr>
        <w:pStyle w:val="Compact"/>
      </w:pPr>
      <w:r>
        <w:rPr>
          <w:bCs/>
          <w:b/>
        </w:rPr>
        <w:t xml:space="preserve">UE / Autriche / Allemagne :</w:t>
      </w:r>
      <w:r>
        <w:t xml:space="preserve"> </w:t>
      </w:r>
      <w:r>
        <w:t xml:space="preserve">le Semax n’est pas autorisé. En tant que substance destinée à agir sur les fonctions de l’organisme, il est considéré comme un médicament ; sa vente et sa publicité sans autorisation ne sont pas permises. L’importation depuis la Russie en tant que médicament est soumise aux règles applicables aux importations individuelles.</w:t>
      </w:r>
    </w:p>
    <w:p>
      <w:pPr>
        <w:numPr>
          <w:ilvl w:val="0"/>
          <w:numId w:val="1196"/>
        </w:numPr>
        <w:pStyle w:val="Compact"/>
      </w:pPr>
      <w:r>
        <w:rPr>
          <w:bCs/>
          <w:b/>
        </w:rPr>
        <w:t xml:space="preserve">États-Unis :</w:t>
      </w:r>
      <w:r>
        <w:t xml:space="preserve"> </w:t>
      </w:r>
      <w:r>
        <w:t xml:space="preserve">non autorisé. La FDA a retiré le Semax de sa liste « catégorie 2 » en avril 2026 ; le comité consultatif PCAC a voté en juillet 2026, par 8 voix contre 5, pour l’inscription du Semax sur la liste des substances que les pharmacies peuvent utiliser pour des préparations magistrales. Les experts de la FDA l’avaient déconseillé ; la décision de l’autorité était en attente au moment de la clôture de la rédaction (état octobre 2026, à vérifier).</w:t>
      </w:r>
    </w:p>
    <w:p>
      <w:pPr>
        <w:numPr>
          <w:ilvl w:val="0"/>
          <w:numId w:val="1196"/>
        </w:numPr>
        <w:pStyle w:val="Compact"/>
      </w:pPr>
      <w:r>
        <w:rPr>
          <w:bCs/>
          <w:b/>
        </w:rPr>
        <w:t xml:space="preserve">Russie :</w:t>
      </w:r>
      <w:r>
        <w:t xml:space="preserve"> </w:t>
      </w:r>
      <w:r>
        <w:t xml:space="preserve">enregistré comme médicament et disponible en pharmacie.</w:t>
      </w:r>
    </w:p>
    <w:p>
      <w:pPr>
        <w:numPr>
          <w:ilvl w:val="0"/>
          <w:numId w:val="1196"/>
        </w:numPr>
        <w:pStyle w:val="Compact"/>
      </w:pPr>
      <w:r>
        <w:rPr>
          <w:bCs/>
          <w:b/>
        </w:rPr>
        <w:t xml:space="preserve">Sport :</w:t>
      </w:r>
      <w:r>
        <w:t xml:space="preserve"> </w:t>
      </w:r>
      <w:r>
        <w:t xml:space="preserve">pas nommément sur la liste de l’AMA (état 2026, à vérifier).</w:t>
      </w:r>
    </w:p>
    <w:bookmarkEnd w:id="1633"/>
    <w:bookmarkStart w:id="1634" w:name="études-en-cours-et-perspectives-34"/>
    <w:p>
      <w:pPr>
        <w:pStyle w:val="Heading3"/>
      </w:pPr>
      <w:r>
        <w:t xml:space="preserve">Études en cours et perspectives</w:t>
      </w:r>
    </w:p>
    <w:p>
      <w:pPr>
        <w:pStyle w:val="FirstParagraph"/>
      </w:pPr>
      <w:r>
        <w:rPr>
          <w:bCs/>
          <w:b/>
        </w:rPr>
        <w:t xml:space="preserve">Établi :</w:t>
      </w:r>
      <w:r>
        <w:t xml:space="preserve"> </w:t>
      </w:r>
      <w:r>
        <w:t xml:space="preserve">aucune étude avec le Semax n’est enregistrée sur ClinicalTrials.gov (requête d’octobre 2026). La recherche en Russie reste concentrée sur des modèles animaux, par exemple sur l’activité génique après un AVC et sur des modèles de la maladie d’Alzheimer.</w:t>
      </w:r>
    </w:p>
    <w:p>
      <w:pPr>
        <w:pStyle w:val="BodyText"/>
      </w:pPr>
      <w:r>
        <w:rPr>
          <w:bCs/>
          <w:b/>
        </w:rPr>
        <w:t xml:space="preserve">Appréciation :</w:t>
      </w:r>
      <w:r>
        <w:t xml:space="preserve"> </w:t>
      </w:r>
      <w:r>
        <w:t xml:space="preserve">sans une étude suffisamment vaste, en aveugle et enregistrée au niveau international, le Semax n’obtiendra guère d’autorisation hors de Russie. Le débat aux États-Unis porte sur les préparations magistrales des pharmacies, non sur une preuve d’efficacité.</w:t>
      </w:r>
    </w:p>
    <w:bookmarkEnd w:id="1634"/>
    <w:bookmarkStart w:id="1635" w:name="conclusion-34"/>
    <w:p>
      <w:pPr>
        <w:pStyle w:val="Heading3"/>
      </w:pPr>
      <w:r>
        <w:t xml:space="preserve">Conclusion</w:t>
      </w:r>
    </w:p>
    <w:p>
      <w:pPr>
        <w:pStyle w:val="FirstParagraph"/>
      </w:pPr>
      <w:r>
        <w:t xml:space="preserve">Le Semax est un peptide utilisé en Russie depuis des décennies, dérivé d’un fragment d’ACTH, qui a augmenté les facteurs de croissance nerveuse chez le rat. Les études chez l’humain sont petites, le plus souvent non randomisées, et proviennent presque exclusivement de l’entourage des concepteurs ; dans l’AVC, elles rapportent une récupération plus rapide et des taux de BDNF plus élevés, sans tailles d’effet au niveau international. Pour l’amélioration des performances chez les personnes en bonne santé, il n’existe pas de données probantes. Les données ne suffisent pas pour juger d’un bénéfice ou de la sécurité à long terme.</w:t>
      </w:r>
    </w:p>
    <w:bookmarkEnd w:id="1635"/>
    <w:bookmarkEnd w:id="1636"/>
    <w:bookmarkStart w:id="1659" w:name="selank"/>
    <w:p>
      <w:pPr>
        <w:pStyle w:val="Heading2"/>
      </w:pPr>
      <w:r>
        <w:t xml:space="preserve">Selank</w:t>
      </w:r>
    </w:p>
    <w:bookmarkStart w:id="1637" w:name="fiche-signalétique-35"/>
    <w:p>
      <w:pPr>
        <w:pStyle w:val="Heading3"/>
      </w:pPr>
      <w:r>
        <w:t xml:space="preserve">Fiche signalétique</w:t>
      </w:r>
    </w:p>
    <w:p>
      <w:pPr>
        <w:numPr>
          <w:ilvl w:val="0"/>
          <w:numId w:val="1197"/>
        </w:numPr>
        <w:pStyle w:val="Compact"/>
      </w:pPr>
      <w:r>
        <w:rPr>
          <w:bCs/>
          <w:b/>
        </w:rPr>
        <w:t xml:space="preserve">Nature et structure :</w:t>
      </w:r>
      <w:r>
        <w:t xml:space="preserve"> </w:t>
      </w:r>
      <w:r>
        <w:t xml:space="preserve">heptapeptide de synthèse (Thr-Lys-Pro-Arg-Pro-Gly-Pro). Les quatre premiers acides aminés correspondent à la tuftsine, un peptide endogène clivé d’un fragment d’anticorps et qui stimule les cellules immunitaires ; y est accrochée – comme pour le Semax – la séquence stabilisatrice Pro-Gly-Pro.</w:t>
      </w:r>
    </w:p>
    <w:p>
      <w:pPr>
        <w:numPr>
          <w:ilvl w:val="0"/>
          <w:numId w:val="1197"/>
        </w:numPr>
        <w:pStyle w:val="Compact"/>
      </w:pPr>
      <w:r>
        <w:rPr>
          <w:bCs/>
          <w:b/>
        </w:rPr>
        <w:t xml:space="preserve">Origine :</w:t>
      </w:r>
      <w:r>
        <w:t xml:space="preserve"> </w:t>
      </w:r>
      <w:r>
        <w:t xml:space="preserve">développé à Moscou à l’Institut de génétique moléculaire et à l’Institut de pharmacologie Zakoussov.</w:t>
      </w:r>
    </w:p>
    <w:p>
      <w:pPr>
        <w:numPr>
          <w:ilvl w:val="0"/>
          <w:numId w:val="1197"/>
        </w:numPr>
        <w:pStyle w:val="Compact"/>
      </w:pPr>
      <w:r>
        <w:rPr>
          <w:bCs/>
          <w:b/>
        </w:rPr>
        <w:t xml:space="preserve">Principe d’action :</w:t>
      </w:r>
      <w:r>
        <w:t xml:space="preserve"> </w:t>
      </w:r>
      <w:r>
        <w:t xml:space="preserve">aurait un effet anxiolytique sans provoquer de somnolence ni de dépendance comme les benzodiazépines. Sont évoqués une inhibition de la dégradation des enképhalines endogènes (messagers qui atténuent la douleur et le stress), des influences sur le système GABA et sur des messagers immunitaires. Il est administré en gouttes nasales.</w:t>
      </w:r>
    </w:p>
    <w:p>
      <w:pPr>
        <w:numPr>
          <w:ilvl w:val="0"/>
          <w:numId w:val="1197"/>
        </w:numPr>
        <w:pStyle w:val="Compact"/>
      </w:pPr>
      <w:r>
        <w:rPr>
          <w:bCs/>
          <w:b/>
        </w:rPr>
        <w:t xml:space="preserve">Autorisation UE :</w:t>
      </w:r>
      <w:r>
        <w:t xml:space="preserve"> </w:t>
      </w:r>
      <w:r>
        <w:t xml:space="preserve">non.</w:t>
      </w:r>
    </w:p>
    <w:p>
      <w:pPr>
        <w:numPr>
          <w:ilvl w:val="0"/>
          <w:numId w:val="1197"/>
        </w:numPr>
        <w:pStyle w:val="Compact"/>
      </w:pPr>
      <w:r>
        <w:rPr>
          <w:bCs/>
          <w:b/>
        </w:rPr>
        <w:t xml:space="preserve">Autorisation États-Unis :</w:t>
      </w:r>
      <w:r>
        <w:t xml:space="preserve"> </w:t>
      </w:r>
      <w:r>
        <w:t xml:space="preserve">non. Le Selank figurait en 2023 sur la liste « catégorie 2 » de la FDA pour les préparations magistrales ; le statut actuel est documenté de manière contradictoire (état octobre 2026, à vérifier).</w:t>
      </w:r>
    </w:p>
    <w:p>
      <w:pPr>
        <w:numPr>
          <w:ilvl w:val="0"/>
          <w:numId w:val="1197"/>
        </w:numPr>
        <w:pStyle w:val="Compact"/>
      </w:pPr>
      <w:r>
        <w:rPr>
          <w:bCs/>
          <w:b/>
        </w:rPr>
        <w:t xml:space="preserve">Russie :</w:t>
      </w:r>
      <w:r>
        <w:t xml:space="preserve"> </w:t>
      </w:r>
      <w:r>
        <w:t xml:space="preserve">enregistré comme médicament (anxiolytique).</w:t>
      </w:r>
    </w:p>
    <w:p>
      <w:pPr>
        <w:numPr>
          <w:ilvl w:val="0"/>
          <w:numId w:val="1197"/>
        </w:numPr>
        <w:pStyle w:val="Compact"/>
      </w:pPr>
      <w:r>
        <w:rPr>
          <w:bCs/>
          <w:b/>
        </w:rPr>
        <w:t xml:space="preserve">AMA (WADA) :</w:t>
      </w:r>
      <w:r>
        <w:t xml:space="preserve"> </w:t>
      </w:r>
      <w:r>
        <w:t xml:space="preserve">pas nommément listé.</w:t>
      </w:r>
    </w:p>
    <w:p>
      <w:pPr>
        <w:numPr>
          <w:ilvl w:val="0"/>
          <w:numId w:val="1197"/>
        </w:numPr>
        <w:pStyle w:val="Compact"/>
      </w:pPr>
      <w:r>
        <w:rPr>
          <w:bCs/>
          <w:b/>
        </w:rPr>
        <w:t xml:space="preserve">Niveau de preuve :</w:t>
      </w:r>
      <w:r>
        <w:t xml:space="preserve"> </w:t>
      </w:r>
      <w:r>
        <w:rPr>
          <w:bCs/>
          <w:b/>
        </w:rPr>
        <w:t xml:space="preserve">C</w:t>
      </w:r>
      <w:r>
        <w:t xml:space="preserve"> </w:t>
      </w:r>
      <w:r>
        <w:t xml:space="preserve">– trois petites études comparatives russes, sans contrôle placebo et sans enregistrement.</w:t>
      </w:r>
    </w:p>
    <w:bookmarkEnd w:id="1637"/>
    <w:bookmarkStart w:id="1641" w:name="mode-daction-supposé-35"/>
    <w:p>
      <w:pPr>
        <w:pStyle w:val="Heading3"/>
      </w:pPr>
      <w:r>
        <w:t xml:space="preserve">Mode d’action supposé</w:t>
      </w:r>
    </w:p>
    <w:p>
      <w:pPr>
        <w:pStyle w:val="FirstParagraph"/>
      </w:pPr>
      <w:r>
        <w:t xml:space="preserve">La tuftsine est un peptide court qui active les cellules phagocytaires du système immunitaire. Des expérimentations animales ont montré que des variantes de celle-ci influencent aussi le comportement. Le Selank est une telle variante, censée rester plus longtemps dans l’organisme grâce au Pro-Gly-Pro ajouté.</w:t>
      </w:r>
    </w:p>
    <w:p>
      <w:pPr>
        <w:pStyle w:val="BodyText"/>
      </w:pPr>
      <w:r>
        <w:t xml:space="preserve">Il existe plusieurs hypothèses sur le mécanisme, fondées sur des données de laboratoire et animales :</w:t>
      </w:r>
    </w:p>
    <w:p>
      <w:pPr>
        <w:numPr>
          <w:ilvl w:val="0"/>
          <w:numId w:val="1198"/>
        </w:numPr>
        <w:pStyle w:val="Compact"/>
      </w:pPr>
      <w:r>
        <w:rPr>
          <w:bCs/>
          <w:b/>
        </w:rPr>
        <w:t xml:space="preserve">Enképhalines :</w:t>
      </w:r>
      <w:r>
        <w:t xml:space="preserve"> </w:t>
      </w:r>
      <w:r>
        <w:t xml:space="preserve">dans du sérum sanguin, le Selank a inhibé in vitro des enzymes qui dégradent les enképhalines. Les chercheurs ont en outre constaté chez des personnes atteintes de trouble anxieux généralisé une demi-vie raccourcie des enképhalines dans le sang et en ont conclu que le Selank pourrait agir par cette voie</w:t>
      </w:r>
      <w:r>
        <w:rPr>
          <w:rStyle w:val="FootnoteReference"/>
        </w:rPr>
        <w:footnoteReference w:id="1638"/>
      </w:r>
      <w:r>
        <w:t xml:space="preserve">.</w:t>
      </w:r>
    </w:p>
    <w:p>
      <w:pPr>
        <w:numPr>
          <w:ilvl w:val="0"/>
          <w:numId w:val="1198"/>
        </w:numPr>
        <w:pStyle w:val="Compact"/>
      </w:pPr>
      <w:r>
        <w:rPr>
          <w:bCs/>
          <w:b/>
        </w:rPr>
        <w:t xml:space="preserve">Système GABA :</w:t>
      </w:r>
      <w:r>
        <w:t xml:space="preserve"> </w:t>
      </w:r>
      <w:r>
        <w:t xml:space="preserve">chez le rat, le Selank a modifié, une heure après l’administration, l’activité de 45 des 84 gènes de la neurotransmission étudiés dans le cortex cérébral, de manière semblable au messager GABA lui-même. Les auteurs supposent une influence sur le système GABA, sur lequel agissent aussi les benzodiazépines</w:t>
      </w:r>
      <w:r>
        <w:rPr>
          <w:rStyle w:val="FootnoteReference"/>
        </w:rPr>
        <w:footnoteReference w:id="1639"/>
      </w:r>
      <w:r>
        <w:t xml:space="preserve">.</w:t>
      </w:r>
    </w:p>
    <w:p>
      <w:pPr>
        <w:numPr>
          <w:ilvl w:val="0"/>
          <w:numId w:val="1198"/>
        </w:numPr>
        <w:pStyle w:val="Compact"/>
      </w:pPr>
      <w:r>
        <w:rPr>
          <w:bCs/>
          <w:b/>
        </w:rPr>
        <w:t xml:space="preserve">Système immunitaire :</w:t>
      </w:r>
      <w:r>
        <w:t xml:space="preserve"> </w:t>
      </w:r>
      <w:r>
        <w:t xml:space="preserve">chez le rat et la souris, le Selank a influencé des gènes de l’inflammation ; dans des cultures cellulaires et chez la souris, il a montré des effets contre les virus de la grippe</w:t>
      </w:r>
      <w:r>
        <w:rPr>
          <w:rStyle w:val="FootnoteReference"/>
        </w:rPr>
        <w:footnoteReference w:id="1640"/>
      </w:r>
      <w:r>
        <w:t xml:space="preserve">.</w:t>
      </w:r>
    </w:p>
    <w:p>
      <w:pPr>
        <w:pStyle w:val="FirstParagraph"/>
      </w:pPr>
      <w:r>
        <w:t xml:space="preserve">La quantité de Selank qui atteint réellement le cerveau chez l’humain après administration nasale n’a pas été publiée.</w:t>
      </w:r>
    </w:p>
    <w:bookmarkEnd w:id="1641"/>
    <w:bookmarkStart w:id="1649" w:name="études-chez-lhumain-35"/>
    <w:p>
      <w:pPr>
        <w:pStyle w:val="Heading3"/>
      </w:pPr>
      <w:r>
        <w:t xml:space="preserve">Études chez l’humain</w:t>
      </w:r>
    </w:p>
    <w:p>
      <w:pPr>
        <w:pStyle w:val="FirstParagraph"/>
      </w:pPr>
      <w:r>
        <w:rPr>
          <w:bCs/>
          <w:b/>
        </w:rPr>
        <w:t xml:space="preserve">Ampleur des données :</w:t>
      </w:r>
      <w:r>
        <w:t xml:space="preserve"> </w:t>
      </w:r>
      <w:r>
        <w:t xml:space="preserve">la requête PubMed automatisée (octobre 2026) a donné 3 publications classées comme études chez l’humain ; au total, PubMed recense environ 70 travaux comportant « Selank » dans le titre ou le résumé, presque tous des expérimentations animales. La recherche sur ClinicalTrials.gov a donné 2 résultats – qui, à l’examen, concernent tous deux d’autres procédés (stimulation cérébrale) et non une étude sur le Selank. Il n’existe donc aucune étude clinique enregistrée avec le Selank.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Zozulia 2008, PMID 18454096</w:t>
            </w:r>
          </w:p>
        </w:tc>
        <w:tc>
          <w:tcPr/>
          <w:p>
            <w:pPr>
              <w:pStyle w:val="Compact"/>
              <w:jc w:val="left"/>
            </w:pPr>
            <w:r>
              <w:t xml:space="preserve">62 personnes atteintes de trouble anxieux généralisé ou de neurasthénie ; Selank (30) contre médazépam (32)</w:t>
            </w:r>
          </w:p>
        </w:tc>
        <w:tc>
          <w:tcPr/>
          <w:p>
            <w:pPr>
              <w:pStyle w:val="Compact"/>
              <w:jc w:val="left"/>
            </w:pPr>
            <w:r>
              <w:t xml:space="preserve">absente du résumé</w:t>
            </w:r>
          </w:p>
        </w:tc>
        <w:tc>
          <w:tcPr/>
          <w:p>
            <w:pPr>
              <w:pStyle w:val="Compact"/>
              <w:jc w:val="left"/>
            </w:pPr>
            <w:r>
              <w:t xml:space="preserve">effet anxiolytique similaire des deux produits ; sous Selank, en plus, effet « stimulant »</w:t>
            </w:r>
          </w:p>
        </w:tc>
      </w:tr>
      <w:tr>
        <w:tc>
          <w:tcPr/>
          <w:p>
            <w:pPr>
              <w:pStyle w:val="Compact"/>
              <w:jc w:val="left"/>
            </w:pPr>
            <w:r>
              <w:t xml:space="preserve">Medvedev 2014, PMID 25176261</w:t>
            </w:r>
          </w:p>
        </w:tc>
        <w:tc>
          <w:tcPr/>
          <w:p>
            <w:pPr>
              <w:pStyle w:val="Compact"/>
              <w:jc w:val="left"/>
            </w:pPr>
            <w:r>
              <w:t xml:space="preserve">60 personnes atteintes de troubles anxieux et somatoformes ; Selank contre phénazépam</w:t>
            </w:r>
          </w:p>
        </w:tc>
        <w:tc>
          <w:tcPr/>
          <w:p>
            <w:pPr>
              <w:pStyle w:val="Compact"/>
              <w:jc w:val="left"/>
            </w:pPr>
            <w:r>
              <w:t xml:space="preserve">absente du résumé</w:t>
            </w:r>
          </w:p>
        </w:tc>
        <w:tc>
          <w:tcPr/>
          <w:p>
            <w:pPr>
              <w:pStyle w:val="Compact"/>
              <w:jc w:val="left"/>
            </w:pPr>
            <w:r>
              <w:t xml:space="preserve">selon les auteurs, net effet anxiolytique, persistant une semaine après l’arrêt</w:t>
            </w:r>
          </w:p>
        </w:tc>
      </w:tr>
      <w:tr>
        <w:tc>
          <w:tcPr/>
          <w:p>
            <w:pPr>
              <w:pStyle w:val="Compact"/>
              <w:jc w:val="left"/>
            </w:pPr>
            <w:r>
              <w:t xml:space="preserve">Medvedev 2015, PMID 26356395</w:t>
            </w:r>
          </w:p>
        </w:tc>
        <w:tc>
          <w:tcPr/>
          <w:p>
            <w:pPr>
              <w:pStyle w:val="Compact"/>
              <w:jc w:val="left"/>
            </w:pPr>
            <w:r>
              <w:t xml:space="preserve">70 personnes ; phénazépam seul (30) contre phénazépam plus Selank (40)</w:t>
            </w:r>
          </w:p>
        </w:tc>
        <w:tc>
          <w:tcPr/>
          <w:p>
            <w:pPr>
              <w:pStyle w:val="Compact"/>
              <w:jc w:val="left"/>
            </w:pPr>
            <w:r>
              <w:t xml:space="preserve">absente du résumé</w:t>
            </w:r>
          </w:p>
        </w:tc>
        <w:tc>
          <w:tcPr/>
          <w:p>
            <w:pPr>
              <w:pStyle w:val="Compact"/>
              <w:jc w:val="left"/>
            </w:pPr>
            <w:r>
              <w:t xml:space="preserve">début d’action plus rapide et moins d’effets indésirables du phénazépam dans le groupe association</w:t>
            </w:r>
          </w:p>
        </w:tc>
      </w:tr>
      <w:tr>
        <w:tc>
          <w:tcPr/>
          <w:p>
            <w:pPr>
              <w:pStyle w:val="Compact"/>
              <w:jc w:val="left"/>
            </w:pPr>
            <w:r>
              <w:t xml:space="preserve">Uchakina 2008, PMID 18577961</w:t>
            </w:r>
          </w:p>
        </w:tc>
        <w:tc>
          <w:tcPr/>
          <w:p>
            <w:pPr>
              <w:pStyle w:val="Compact"/>
              <w:jc w:val="left"/>
            </w:pPr>
            <w:r>
              <w:t xml:space="preserve">personnes atteintes de trouble anxieux ou de neurasthénie</w:t>
            </w:r>
          </w:p>
        </w:tc>
        <w:tc>
          <w:tcPr/>
          <w:p>
            <w:pPr>
              <w:pStyle w:val="Compact"/>
              <w:jc w:val="left"/>
            </w:pPr>
            <w:r>
              <w:t xml:space="preserve">14 jours</w:t>
            </w:r>
          </w:p>
        </w:tc>
        <w:tc>
          <w:tcPr/>
          <w:p>
            <w:pPr>
              <w:pStyle w:val="Compact"/>
              <w:jc w:val="left"/>
            </w:pPr>
            <w:r>
              <w:t xml:space="preserve">déplacements de l’équilibre des messagers immunitaires dans le sang</w:t>
            </w:r>
          </w:p>
        </w:tc>
      </w:tr>
      <w:tr>
        <w:tc>
          <w:tcPr/>
          <w:p>
            <w:pPr>
              <w:pStyle w:val="Compact"/>
              <w:jc w:val="left"/>
            </w:pPr>
            <w:r>
              <w:t xml:space="preserve">Panikratova 2020, PMID 32342318</w:t>
            </w:r>
          </w:p>
        </w:tc>
        <w:tc>
          <w:tcPr/>
          <w:p>
            <w:pPr>
              <w:pStyle w:val="Compact"/>
              <w:jc w:val="left"/>
            </w:pPr>
            <w:r>
              <w:t xml:space="preserve">52 personnes en bonne santé ; Selank, Semax ou placebo, administration unique</w:t>
            </w:r>
          </w:p>
        </w:tc>
        <w:tc>
          <w:tcPr/>
          <w:p>
            <w:pPr>
              <w:pStyle w:val="Compact"/>
              <w:jc w:val="left"/>
            </w:pPr>
            <w:r>
              <w:t xml:space="preserve">20 minutes</w:t>
            </w:r>
          </w:p>
        </w:tc>
        <w:tc>
          <w:tcPr/>
          <w:p>
            <w:pPr>
              <w:pStyle w:val="Compact"/>
              <w:jc w:val="left"/>
            </w:pPr>
            <w:r>
              <w:t xml:space="preserve">connexions fonctionnelles de l’amygdale modifiées à l’IRM</w:t>
            </w:r>
          </w:p>
        </w:tc>
      </w:tr>
    </w:tbl>
    <w:bookmarkStart w:id="1645" w:name="troubles-anxieux"/>
    <w:p>
      <w:pPr>
        <w:pStyle w:val="Heading4"/>
      </w:pPr>
      <w:r>
        <w:t xml:space="preserve">Troubles anxieux</w:t>
      </w:r>
    </w:p>
    <w:p>
      <w:pPr>
        <w:pStyle w:val="FirstParagraph"/>
      </w:pPr>
      <w:r>
        <w:t xml:space="preserve">Les trois études cliniques ont comparé le Selank à des benzodiazépines – le médazépam ou le phénazépam, répandu en Russie. Dans la première étude, portant sur 62 personnes, l’effet anxiolytique du Selank et du médazépam était similaire sur des échelles de questionnaire (Hamilton, Zung, CGI) ; le Selank aurait en outre agi contre l’épuisement. Les chercheurs ont aussi mesuré la demi-vie du messager Leu-enképhaline dans le sang, qui augmentait sous Selank</w:t>
      </w:r>
      <w:r>
        <w:rPr>
          <w:rStyle w:val="FootnoteReference"/>
        </w:rPr>
        <w:footnoteReference w:id="1642"/>
      </w:r>
      <w:r>
        <w:t xml:space="preserve">. Une deuxième étude, portant sur 60 personnes, décrit un effet anxiolytique marqué et un léger effet favorable sur la mémoire, qui persistait une semaine au-delà de la fin du traitement</w:t>
      </w:r>
      <w:r>
        <w:rPr>
          <w:rStyle w:val="FootnoteReference"/>
        </w:rPr>
        <w:footnoteReference w:id="1643"/>
      </w:r>
      <w:r>
        <w:t xml:space="preserve">.</w:t>
      </w:r>
    </w:p>
    <w:p>
      <w:pPr>
        <w:pStyle w:val="BodyText"/>
      </w:pPr>
      <w:r>
        <w:t xml:space="preserve">La troisième étude a testé le Selank en complément : 40 personnes ont reçu du phénazépam plus du Selank, 30 seulement du phénazépam. Dans le groupe association, l’effet est apparu plus tôt selon les auteurs, et les effets indésirables typiques des benzodiazépines, comme les troubles de l’attention et de la mémoire, la fatigue et les troubles sexuels, étaient plus rares – y compris après l’arrêt du tranquillisant</w:t>
      </w:r>
      <w:r>
        <w:rPr>
          <w:rStyle w:val="FootnoteReference"/>
        </w:rPr>
        <w:footnoteReference w:id="1644"/>
      </w:r>
      <w:r>
        <w:t xml:space="preserve">.</w:t>
      </w:r>
    </w:p>
    <w:p>
      <w:pPr>
        <w:pStyle w:val="BodyText"/>
      </w:pPr>
      <w:r>
        <w:t xml:space="preserve">Ces résultats semblent encourageants, mais ont des limites nettes :</w:t>
      </w:r>
    </w:p>
    <w:p>
      <w:pPr>
        <w:numPr>
          <w:ilvl w:val="0"/>
          <w:numId w:val="1199"/>
        </w:numPr>
        <w:pStyle w:val="Compact"/>
      </w:pPr>
      <w:r>
        <w:rPr>
          <w:bCs/>
          <w:b/>
        </w:rPr>
        <w:t xml:space="preserve">Pas de placebo :</w:t>
      </w:r>
      <w:r>
        <w:t xml:space="preserve"> </w:t>
      </w:r>
      <w:r>
        <w:t xml:space="preserve">dans les troubles anxieux, les symptômes s’améliorent souvent considérablement même sous médicament factice. Sans groupe placebo, on ne peut pas dire quelle part revient au Selank.</w:t>
      </w:r>
    </w:p>
    <w:p>
      <w:pPr>
        <w:numPr>
          <w:ilvl w:val="0"/>
          <w:numId w:val="1199"/>
        </w:numPr>
        <w:pStyle w:val="Compact"/>
      </w:pPr>
      <w:r>
        <w:rPr>
          <w:bCs/>
          <w:b/>
        </w:rPr>
        <w:t xml:space="preserve">« Efficacité similaire » n’est pas une preuve :</w:t>
      </w:r>
      <w:r>
        <w:t xml:space="preserve"> </w:t>
      </w:r>
      <w:r>
        <w:t xml:space="preserve">une démonstration d’équivalence nécessite des marges fixées à l’avance et un nombre suffisant de participants. Ni l’un ni l’autre n’apparaît dans les résumés.</w:t>
      </w:r>
    </w:p>
    <w:p>
      <w:pPr>
        <w:numPr>
          <w:ilvl w:val="0"/>
          <w:numId w:val="1199"/>
        </w:numPr>
        <w:pStyle w:val="Compact"/>
      </w:pPr>
      <w:r>
        <w:rPr>
          <w:bCs/>
          <w:b/>
        </w:rPr>
        <w:t xml:space="preserve">Observation courte, petits groupes, pas d’enregistrement :</w:t>
      </w:r>
      <w:r>
        <w:t xml:space="preserve"> </w:t>
      </w:r>
      <w:r>
        <w:t xml:space="preserve">toutes les études proviennent de centres russes, n’ont pas été déclarées au préalable dans un registre public et ont été publiées dans des revues spécialisées russophones.</w:t>
      </w:r>
    </w:p>
    <w:bookmarkEnd w:id="1645"/>
    <w:bookmarkStart w:id="1648" w:name="X122b6794622728836f123cbdc31739d5cb60baa"/>
    <w:p>
      <w:pPr>
        <w:pStyle w:val="Heading4"/>
      </w:pPr>
      <w:r>
        <w:t xml:space="preserve">Système immunitaire et personnes en bonne santé</w:t>
      </w:r>
    </w:p>
    <w:p>
      <w:pPr>
        <w:pStyle w:val="FirstParagraph"/>
      </w:pPr>
      <w:r>
        <w:t xml:space="preserve">Un travail décrit, chez des personnes présentant des états d’anxiété et d’épuisement, des modifications des messagers immunitaires (équilibre Th1/Th2) dans le sang après 14 jours de Selank ; in vitro, le Selank a supprimé la production du messager inflammatoire IL-6 dans des cellules sanguines de personnes dépressives</w:t>
      </w:r>
      <w:r>
        <w:rPr>
          <w:rStyle w:val="FootnoteReference"/>
        </w:rPr>
        <w:footnoteReference w:id="1646"/>
      </w:r>
      <w:r>
        <w:t xml:space="preserve">. On n’a pas étudié si cela a une portée clinique. Chez des personnes en bonne santé, une petite étude d’imagerie a montré, après administration unique, des connexions modifiées entre l’amygdale, une région cérébrale importante pour la peur, et des parties du lobe temporal</w:t>
      </w:r>
      <w:r>
        <w:rPr>
          <w:rStyle w:val="FootnoteReference"/>
        </w:rPr>
        <w:footnoteReference w:id="1647"/>
      </w:r>
      <w:r>
        <w:t xml:space="preserve">. Il n’existe aucune étude sur la concentration ou les performances chez les personnes en bonne santé – la principale promesse sur Internet.</w:t>
      </w:r>
    </w:p>
    <w:bookmarkEnd w:id="1648"/>
    <w:bookmarkEnd w:id="1649"/>
    <w:bookmarkStart w:id="1653" w:name="études-animales-et-de-laboratoire-35"/>
    <w:p>
      <w:pPr>
        <w:pStyle w:val="Heading3"/>
      </w:pPr>
      <w:r>
        <w:t xml:space="preserve">Études animales et de laboratoire</w:t>
      </w:r>
    </w:p>
    <w:p>
      <w:pPr>
        <w:numPr>
          <w:ilvl w:val="0"/>
          <w:numId w:val="1200"/>
        </w:numPr>
        <w:pStyle w:val="Compact"/>
      </w:pPr>
      <w:r>
        <w:t xml:space="preserve">Chez des rats ayant consommé de l’alcool pendant 30 semaines, le Selank a empêché les troubles de la mémoire et de l’attention lors du sevrage et a influencé la teneur en BDNF de l’hippocampe et du cortex frontal</w:t>
      </w:r>
      <w:r>
        <w:rPr>
          <w:rStyle w:val="FootnoteReference"/>
        </w:rPr>
        <w:footnoteReference w:id="1650"/>
      </w:r>
      <w:r>
        <w:t xml:space="preserve">.</w:t>
      </w:r>
    </w:p>
    <w:p>
      <w:pPr>
        <w:numPr>
          <w:ilvl w:val="0"/>
          <w:numId w:val="1200"/>
        </w:numPr>
        <w:pStyle w:val="Compact"/>
      </w:pPr>
      <w:r>
        <w:t xml:space="preserve">Chez le rat, le Selank a modifié l’activité de nombreux gènes du système GABA</w:t>
      </w:r>
      <w:r>
        <w:rPr>
          <w:rStyle w:val="FootnoteReference"/>
        </w:rPr>
        <w:footnoteReference w:id="1651"/>
      </w:r>
      <w:r>
        <w:t xml:space="preserve">.</w:t>
      </w:r>
    </w:p>
    <w:p>
      <w:pPr>
        <w:numPr>
          <w:ilvl w:val="0"/>
          <w:numId w:val="1200"/>
        </w:numPr>
        <w:pStyle w:val="Compact"/>
      </w:pPr>
      <w:r>
        <w:t xml:space="preserve">Dans des cultures cellulaires et chez la souris, le Selank a inhibé les virus de la grippe, le plus fortement lorsqu’il était administré avant l’infection</w:t>
      </w:r>
      <w:r>
        <w:rPr>
          <w:rStyle w:val="FootnoteReference"/>
        </w:rPr>
        <w:footnoteReference w:id="1652"/>
      </w:r>
      <w:r>
        <w:t xml:space="preserve">.</w:t>
      </w:r>
    </w:p>
    <w:p>
      <w:pPr>
        <w:numPr>
          <w:ilvl w:val="0"/>
          <w:numId w:val="1200"/>
        </w:numPr>
        <w:pStyle w:val="Compact"/>
      </w:pPr>
      <w:r>
        <w:t xml:space="preserve">D’autres travaux des mêmes groupes de recherche décrivent des effets chez les rongeurs en cas de stress, de sevrage de la morphine et de l’alcool et dans des modèles de la maladie de Parkinson.</w:t>
      </w:r>
    </w:p>
    <w:p>
      <w:pPr>
        <w:pStyle w:val="FirstParagraph"/>
      </w:pPr>
      <w:r>
        <w:t xml:space="preserve">Ces résultats sont des résultats animaux et de laboratoire et proviennent en grande partie d’un petit cercle de groupes de recherche.</w:t>
      </w:r>
    </w:p>
    <w:bookmarkEnd w:id="1653"/>
    <w:bookmarkStart w:id="1655" w:name="risques-et-effets-indésirables-35"/>
    <w:p>
      <w:pPr>
        <w:pStyle w:val="Heading3"/>
      </w:pPr>
      <w:r>
        <w:t xml:space="preserve">Risques et effets indésirables</w:t>
      </w:r>
    </w:p>
    <w:p>
      <w:pPr>
        <w:pStyle w:val="FirstParagraph"/>
      </w:pPr>
      <w:r>
        <w:rPr>
          <w:bCs/>
          <w:b/>
        </w:rPr>
        <w:t xml:space="preserve">Établi :</w:t>
      </w:r>
      <w:r>
        <w:t xml:space="preserve"> </w:t>
      </w:r>
      <w:r>
        <w:t xml:space="preserve">dans les petites études russes, le Selank est décrit comme bien toléré ; les résumés ne donnent pas de taux d’effets indésirables recueillis systématiquement. Les données à long terme et sur la dépendance ou les symptômes de sevrage font défaut.</w:t>
      </w:r>
    </w:p>
    <w:p>
      <w:pPr>
        <w:pStyle w:val="BodyText"/>
      </w:pPr>
      <w:r>
        <w:rPr>
          <w:bCs/>
          <w:b/>
        </w:rPr>
        <w:t xml:space="preserve">Théorique :</w:t>
      </w:r>
      <w:r>
        <w:t xml:space="preserve"> </w:t>
      </w:r>
      <w:r>
        <w:t xml:space="preserve">le Selank agirait sur les systèmes immunitaire, enképhalinergique et GABA. Les interactions avec les tranquillisants, l’alcool ou les antidépresseurs n’ont pas été étudiées ; l’étude russe d’association montre au moins que le Selank est utilisé conjointement avec des benzodiazépines. Il n’existe pas de données pour la grossesse, l’allaitement et les enfants.</w:t>
      </w:r>
    </w:p>
    <w:p>
      <w:pPr>
        <w:pStyle w:val="BodyText"/>
      </w:pPr>
      <w:r>
        <w:rPr>
          <w:bCs/>
          <w:b/>
        </w:rPr>
        <w:t xml:space="preserve">Marché gris :</w:t>
      </w:r>
      <w:r>
        <w:t xml:space="preserve"> </w:t>
      </w:r>
      <w:r>
        <w:t xml:space="preserve">en dehors de la Russie, le Selank est vendu comme « Research Peptide » sous forme de poudre pour injection ou de spray nasal. Un laboratoire de contrôle belge a trouvé du Selank dans des préparations inconnues saisies</w:t>
      </w:r>
      <w:r>
        <w:rPr>
          <w:rStyle w:val="FootnoteReference"/>
        </w:rPr>
        <w:footnoteReference w:id="1654"/>
      </w:r>
      <w:r>
        <w:t xml:space="preserve">. L’injection n’est pas une voie d’administration testée dans des études ; la pureté et la teneur de ces produits ne sont pas contrôlées.</w:t>
      </w:r>
    </w:p>
    <w:p>
      <w:pPr>
        <w:pStyle w:val="BodyText"/>
      </w:pPr>
      <w:r>
        <w:rPr>
          <w:bCs/>
          <w:b/>
        </w:rPr>
        <w:t xml:space="preserve">Important :</w:t>
      </w:r>
      <w:r>
        <w:t xml:space="preserve"> </w:t>
      </w:r>
      <w:r>
        <w:t xml:space="preserve">les troubles anxieux se traitent bien – par psychothérapie et par des médicaments autorisés dont l’efficacité est démontrée dans de grandes études contrôlées contre placebo. Un peptide du marché gris ne les remplace pas.</w:t>
      </w:r>
    </w:p>
    <w:bookmarkEnd w:id="1655"/>
    <w:bookmarkStart w:id="1656" w:name="statut-juridique-35"/>
    <w:p>
      <w:pPr>
        <w:pStyle w:val="Heading3"/>
      </w:pPr>
      <w:r>
        <w:t xml:space="preserve">Statut juridique</w:t>
      </w:r>
    </w:p>
    <w:p>
      <w:pPr>
        <w:numPr>
          <w:ilvl w:val="0"/>
          <w:numId w:val="1201"/>
        </w:numPr>
        <w:pStyle w:val="Compact"/>
      </w:pPr>
      <w:r>
        <w:rPr>
          <w:bCs/>
          <w:b/>
        </w:rPr>
        <w:t xml:space="preserve">UE / Autriche / Allemagne :</w:t>
      </w:r>
      <w:r>
        <w:t xml:space="preserve"> </w:t>
      </w:r>
      <w:r>
        <w:t xml:space="preserve">non autorisé ; en tant que substance à effet pharmacologique, le Selank est considéré comme un médicament, et sa mise sur le marché sans autorisation n’est pas permise.</w:t>
      </w:r>
    </w:p>
    <w:p>
      <w:pPr>
        <w:numPr>
          <w:ilvl w:val="0"/>
          <w:numId w:val="1201"/>
        </w:numPr>
        <w:pStyle w:val="Compact"/>
      </w:pPr>
      <w:r>
        <w:rPr>
          <w:bCs/>
          <w:b/>
        </w:rPr>
        <w:t xml:space="preserve">États-Unis :</w:t>
      </w:r>
      <w:r>
        <w:t xml:space="preserve"> </w:t>
      </w:r>
      <w:r>
        <w:t xml:space="preserve">non autorisé. Le Selank a été inscrit en 2023 dans la « catégorie 2 » de la FDA pour les substances de préparation magistrale présentant des problèmes de sécurité ; selon certaines informations, la nomination a ensuite été retirée. Le Selank ne faisait pas partie des peptides évalués par le comité consultatif PCAC en juillet 2026. À l’état actuel des connaissances, il n’existe pas d’autorisation pour les préparations magistrales en pharmacie (état octobre 2026, à vérifier).</w:t>
      </w:r>
    </w:p>
    <w:p>
      <w:pPr>
        <w:numPr>
          <w:ilvl w:val="0"/>
          <w:numId w:val="1201"/>
        </w:numPr>
        <w:pStyle w:val="Compact"/>
      </w:pPr>
      <w:r>
        <w:rPr>
          <w:bCs/>
          <w:b/>
        </w:rPr>
        <w:t xml:space="preserve">Russie :</w:t>
      </w:r>
      <w:r>
        <w:t xml:space="preserve"> </w:t>
      </w:r>
      <w:r>
        <w:t xml:space="preserve">enregistré comme médicament.</w:t>
      </w:r>
    </w:p>
    <w:p>
      <w:pPr>
        <w:numPr>
          <w:ilvl w:val="0"/>
          <w:numId w:val="1201"/>
        </w:numPr>
        <w:pStyle w:val="Compact"/>
      </w:pPr>
      <w:r>
        <w:rPr>
          <w:bCs/>
          <w:b/>
        </w:rPr>
        <w:t xml:space="preserve">Sport :</w:t>
      </w:r>
      <w:r>
        <w:t xml:space="preserve"> </w:t>
      </w:r>
      <w:r>
        <w:t xml:space="preserve">pas nommément sur la liste de l’AMA (état 2026, à vérifier).</w:t>
      </w:r>
    </w:p>
    <w:bookmarkEnd w:id="1656"/>
    <w:bookmarkStart w:id="1657" w:name="études-en-cours-et-perspectives-35"/>
    <w:p>
      <w:pPr>
        <w:pStyle w:val="Heading3"/>
      </w:pPr>
      <w:r>
        <w:t xml:space="preserve">Études en cours et perspectives</w:t>
      </w:r>
    </w:p>
    <w:p>
      <w:pPr>
        <w:pStyle w:val="FirstParagraph"/>
      </w:pPr>
      <w:r>
        <w:rPr>
          <w:bCs/>
          <w:b/>
        </w:rPr>
        <w:t xml:space="preserve">Établi :</w:t>
      </w:r>
      <w:r>
        <w:t xml:space="preserve"> </w:t>
      </w:r>
      <w:r>
        <w:t xml:space="preserve">aucune étude avec le Selank n’est enregistrée sur ClinicalTrials.gov (requête d’octobre 2026).</w:t>
      </w:r>
    </w:p>
    <w:p>
      <w:pPr>
        <w:pStyle w:val="BodyText"/>
      </w:pPr>
      <w:r>
        <w:rPr>
          <w:bCs/>
          <w:b/>
        </w:rPr>
        <w:t xml:space="preserve">Appréciation :</w:t>
      </w:r>
      <w:r>
        <w:t xml:space="preserve"> </w:t>
      </w:r>
      <w:r>
        <w:t xml:space="preserve">le Selank est l’exemple d’un peptide entré dans les soins en Russie sans satisfaire aux exigences d’études en vigueur dans l’UE ou aux États-Unis. Une autorisation hors de Russie supposerait au minimum une étude plus vaste contrôlée contre placebo dans les troubles anxieux ; rien ne l’indique.</w:t>
      </w:r>
    </w:p>
    <w:bookmarkEnd w:id="1657"/>
    <w:bookmarkStart w:id="1658" w:name="conclusion-35"/>
    <w:p>
      <w:pPr>
        <w:pStyle w:val="Heading3"/>
      </w:pPr>
      <w:r>
        <w:t xml:space="preserve">Conclusion</w:t>
      </w:r>
    </w:p>
    <w:p>
      <w:pPr>
        <w:pStyle w:val="FirstParagraph"/>
      </w:pPr>
      <w:r>
        <w:t xml:space="preserve">Le Selank est un peptide dérivé de la tuftsine, enregistré en Russie comme anxiolytique. Trois petites études russes décrivent un effet anxiolytique semblable à celui des benzodiazépines, mais aucune n’avait de groupe placebo ni n’avait été enregistrée au préalable. Les hypothèses de mécanisme concernant les enképhalines, le GABA et le système immunitaire reposent sur des données de laboratoire et animales. Les données ne suffisent pas pour juger de l’efficacité et de la sécurité selon les critères actuels.</w:t>
      </w:r>
    </w:p>
    <w:bookmarkEnd w:id="1658"/>
    <w:bookmarkEnd w:id="1659"/>
    <w:bookmarkStart w:id="1712" w:name="cerebrolysin"/>
    <w:p>
      <w:pPr>
        <w:pStyle w:val="Heading2"/>
      </w:pPr>
      <w:r>
        <w:t xml:space="preserve">Cerebrolysin</w:t>
      </w:r>
    </w:p>
    <w:bookmarkStart w:id="1660" w:name="fiche-signalétique-36"/>
    <w:p>
      <w:pPr>
        <w:pStyle w:val="Heading3"/>
      </w:pPr>
      <w:r>
        <w:t xml:space="preserve">Fiche signalétique</w:t>
      </w:r>
    </w:p>
    <w:p>
      <w:pPr>
        <w:numPr>
          <w:ilvl w:val="0"/>
          <w:numId w:val="1202"/>
        </w:numPr>
        <w:pStyle w:val="Compact"/>
      </w:pPr>
      <w:r>
        <w:rPr>
          <w:bCs/>
          <w:b/>
        </w:rPr>
        <w:t xml:space="preserve">Nature et structure :</w:t>
      </w:r>
      <w:r>
        <w:t xml:space="preserve"> </w:t>
      </w:r>
      <w:r>
        <w:t xml:space="preserve">pas un peptide unique, mais un mélange de peptides courts et d’acides aminés libres. Il est obtenu par clivage enzymatique de protéines purifiées issues de cerveau de porc. La composition exacte n’est pas entièrement décrite ; le fabricant standardise la préparation par son procédé de fabrication et par des tests biologiques.</w:t>
      </w:r>
    </w:p>
    <w:p>
      <w:pPr>
        <w:numPr>
          <w:ilvl w:val="0"/>
          <w:numId w:val="1202"/>
        </w:numPr>
        <w:pStyle w:val="Compact"/>
      </w:pPr>
      <w:r>
        <w:rPr>
          <w:bCs/>
          <w:b/>
        </w:rPr>
        <w:t xml:space="preserve">Origine :</w:t>
      </w:r>
      <w:r>
        <w:t xml:space="preserve"> </w:t>
      </w:r>
      <w:r>
        <w:t xml:space="preserve">fabriquée depuis des décennies par une entreprise autrichienne (aujourd’hui EVER Neuro Pharma, Unterach am Attersee).</w:t>
      </w:r>
    </w:p>
    <w:p>
      <w:pPr>
        <w:numPr>
          <w:ilvl w:val="0"/>
          <w:numId w:val="1202"/>
        </w:numPr>
        <w:pStyle w:val="Compact"/>
      </w:pPr>
      <w:r>
        <w:rPr>
          <w:bCs/>
          <w:b/>
        </w:rPr>
        <w:t xml:space="preserve">Principe d’action :</w:t>
      </w:r>
      <w:r>
        <w:t xml:space="preserve"> </w:t>
      </w:r>
      <w:r>
        <w:t xml:space="preserve">imiterait les effets des facteurs de croissance nerveuse endogènes – protéger les neurones (neuroprotection) et favoriser les processus de réparation et de remodelage (neurorégénération). Elle est administrée en perfusion ou en injection intraveineuse, le plus souvent en cures de 10 à 21 jours.</w:t>
      </w:r>
    </w:p>
    <w:p>
      <w:pPr>
        <w:numPr>
          <w:ilvl w:val="0"/>
          <w:numId w:val="1202"/>
        </w:numPr>
        <w:pStyle w:val="Compact"/>
      </w:pPr>
      <w:r>
        <w:rPr>
          <w:bCs/>
          <w:b/>
        </w:rPr>
        <w:t xml:space="preserve">Autorisation UE :</w:t>
      </w:r>
      <w:r>
        <w:t xml:space="preserve"> </w:t>
      </w:r>
      <w:r>
        <w:t xml:space="preserve">pas d’autorisation centralisée de l’UE. Autorisée au niveau national en Autriche et dans un certain nombre d’autres États, surtout d’Europe centrale et orientale (selon le pays pour l’AVC, le traumatisme crânien et la démence). En Allemagne, elle n’est pas commercialisée à notre connaissance.</w:t>
      </w:r>
    </w:p>
    <w:p>
      <w:pPr>
        <w:numPr>
          <w:ilvl w:val="0"/>
          <w:numId w:val="1202"/>
        </w:numPr>
        <w:pStyle w:val="Compact"/>
      </w:pPr>
      <w:r>
        <w:rPr>
          <w:bCs/>
          <w:b/>
        </w:rPr>
        <w:t xml:space="preserve">Autorisation États-Unis :</w:t>
      </w:r>
      <w:r>
        <w:t xml:space="preserve"> </w:t>
      </w:r>
      <w:r>
        <w:t xml:space="preserve">non.</w:t>
      </w:r>
    </w:p>
    <w:p>
      <w:pPr>
        <w:numPr>
          <w:ilvl w:val="0"/>
          <w:numId w:val="1202"/>
        </w:numPr>
        <w:pStyle w:val="Compact"/>
      </w:pPr>
      <w:r>
        <w:rPr>
          <w:bCs/>
          <w:b/>
        </w:rPr>
        <w:t xml:space="preserve">Autres pays :</w:t>
      </w:r>
      <w:r>
        <w:t xml:space="preserve"> </w:t>
      </w:r>
      <w:r>
        <w:t xml:space="preserve">largement utilisée en Russie, dans d’autres États successeurs de l’Union soviétique, en Chine et dans d’autres pays asiatiques.</w:t>
      </w:r>
    </w:p>
    <w:p>
      <w:pPr>
        <w:numPr>
          <w:ilvl w:val="0"/>
          <w:numId w:val="1202"/>
        </w:numPr>
        <w:pStyle w:val="Compact"/>
      </w:pPr>
      <w:r>
        <w:rPr>
          <w:bCs/>
          <w:b/>
        </w:rPr>
        <w:t xml:space="preserve">AMA (WADA) :</w:t>
      </w:r>
      <w:r>
        <w:t xml:space="preserve"> </w:t>
      </w:r>
      <w:r>
        <w:t xml:space="preserve">non listée.</w:t>
      </w:r>
    </w:p>
    <w:p>
      <w:pPr>
        <w:numPr>
          <w:ilvl w:val="0"/>
          <w:numId w:val="1202"/>
        </w:numPr>
        <w:pStyle w:val="Compact"/>
      </w:pPr>
      <w:r>
        <w:rPr>
          <w:bCs/>
          <w:b/>
        </w:rPr>
        <w:t xml:space="preserve">Niveau de preuve :</w:t>
      </w:r>
      <w:r>
        <w:t xml:space="preserve"> </w:t>
      </w:r>
      <w:r>
        <w:rPr>
          <w:bCs/>
          <w:b/>
        </w:rPr>
        <w:t xml:space="preserve">B</w:t>
      </w:r>
      <w:r>
        <w:t xml:space="preserve"> </w:t>
      </w:r>
      <w:r>
        <w:t xml:space="preserve">– de nombreuses études randomisées contrôlées contre placebo, dont une grande portant sur plus de 1 000 participants ; les résultats sont toutefois hétérogènes, et les deux grandes revues Cochrane indépendantes aboutissent à des évaluations réservées.</w:t>
      </w:r>
    </w:p>
    <w:bookmarkEnd w:id="1660"/>
    <w:bookmarkStart w:id="1661" w:name="mode-daction-supposé-36"/>
    <w:p>
      <w:pPr>
        <w:pStyle w:val="Heading3"/>
      </w:pPr>
      <w:r>
        <w:t xml:space="preserve">Mode d’action supposé</w:t>
      </w:r>
    </w:p>
    <w:p>
      <w:pPr>
        <w:pStyle w:val="FirstParagraph"/>
      </w:pPr>
      <w:r>
        <w:t xml:space="preserve">Les facteurs de croissance nerveuse comme le BDNF, le NGF ou le CNTF sont des protéines qui maintiennent les neurones en vie, stimulent la formation de nouvelles connexions et favorisent la formation de nouveaux neurones dans certaines régions cérébrales. En tant que médicaments, ils posent problème : ils sont volumineux, franchissent à peine la barrière hémato-encéphalique et agissent à de nombreux endroits à la fois.</w:t>
      </w:r>
    </w:p>
    <w:p>
      <w:pPr>
        <w:pStyle w:val="BodyText"/>
      </w:pPr>
      <w:r>
        <w:t xml:space="preserve">La Cerebrolysin suit une autre approche. À partir de protéines de cerveau de porc, un clivage contrôlé produit un mélange de petits fragments. Le fabricant et les chercheurs qui lui sont liés partent du principe que certains de ces fragments déclenchent des signaux semblables à ceux des facteurs de croissance endogènes. On parle donc d’une substance « multimodale » – c’est-à-dire censée influencer de nombreuses voies à la fois.</w:t>
      </w:r>
    </w:p>
    <w:p>
      <w:pPr>
        <w:pStyle w:val="BodyText"/>
      </w:pPr>
      <w:r>
        <w:t xml:space="preserve">Pour les lectrices et lecteurs, cela signifie deux choses : premièrement, le mécanisme est surtout déduit d’expériences animales et cellulaires. Deuxièmement, avec un mélange, il est difficile de dire quel composant est responsable de quoi et quelle quantité atteint réellement le cerveau.</w:t>
      </w:r>
    </w:p>
    <w:bookmarkEnd w:id="1661"/>
    <w:bookmarkStart w:id="1697" w:name="études-chez-lhumain-36"/>
    <w:p>
      <w:pPr>
        <w:pStyle w:val="Heading3"/>
      </w:pPr>
      <w:r>
        <w:t xml:space="preserve">Études chez l’humain</w:t>
      </w:r>
    </w:p>
    <w:p>
      <w:pPr>
        <w:pStyle w:val="FirstParagraph"/>
      </w:pPr>
      <w:r>
        <w:rPr>
          <w:bCs/>
          <w:b/>
        </w:rPr>
        <w:t xml:space="preserve">Ampleur des données :</w:t>
      </w:r>
      <w:r>
        <w:t xml:space="preserve"> </w:t>
      </w:r>
      <w:r>
        <w:t xml:space="preserve">la requête PubMed automatisée (octobre 2026) a donné 88 publications classées comme études chez l’humain, ainsi que 15 méta-analyses et revues systématiques (dont huit versions de revues Cochrane). Sur ClinicalTrials.gov, 43 études étaient enregistrées, la plupart sur l’AVC, quelques-unes sur le traumatisme crânien, la démence, l’hémorragie cérébrale, le délire et – pendant la pandémie – la perte de l’odorat après la COVID-19. Une grande partie des études a été financée ou soutenue par le fabricant ; de nombreux travaux plus petits proviennent de Russie, de Roumanie, de Chine et d’Iran.</w:t>
      </w:r>
    </w:p>
    <w:p>
      <w:pPr>
        <w:pStyle w:val="BodyText"/>
      </w:pPr>
      <w:r>
        <w:t xml:space="preserve">Un mot sur la statistique utilisée dans de nombreuses études sur la Cerebrolysin : au lieu d’un critère principal unique, elles examinent souvent une combinaison de plusieurs échelles avec un estimateur dit de Mann-Whitney (MW). Celui-ci indique la probabilité qu’une personne choisie au hasard dans le groupe Cerebrolysin obtienne un meilleur résultat qu’une personne du groupe placebo. Un MW de 0,50 signifie aucune différence ; des valeurs autour de 0,56 sont considérées comme un petit avantage, autour de 0,64 comme un avantage moyen et à partir de 0,71 comme un grand avantage. Cette méthode est admissible, mais rend les résultats plus difficiles à comparer avec d’autres études sur l’AVC, qui indiquent le plus souvent la proportion de personnes sans handicap persistant.</w:t>
      </w:r>
    </w:p>
    <w:bookmarkStart w:id="1668" w:name="avc-ischémique-aigu"/>
    <w:p>
      <w:pPr>
        <w:pStyle w:val="Heading4"/>
      </w:pPr>
      <w:r>
        <w:t xml:space="preserve">AVC ischémique aigu</w:t>
      </w:r>
    </w:p>
    <w:p>
      <w:pPr>
        <w:pStyle w:val="FirstParagraph"/>
      </w:pPr>
      <w:r>
        <w:t xml:space="preserve">Dans l’AVC ischémique, un caillot obstrue un vaisseau cérébral. Les traitements établis sont la dissolution du caillot par des médicaments (thrombolyse) et son retrait au moyen d’un cathéter (thrombectomie). Les produits d’appoint « neuroprotecteurs » doivent protéger le tissu environnant – une approche sur laquelle des dizaines de substances ont échoué dans de grandes études à travers le monde.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Ladurner 2005, PMID 15583955</w:t>
            </w:r>
          </w:p>
        </w:tc>
        <w:tc>
          <w:tcPr/>
          <w:p>
            <w:pPr>
              <w:pStyle w:val="Compact"/>
              <w:jc w:val="left"/>
            </w:pPr>
            <w:r>
              <w:t xml:space="preserve">146 personnes, ECR contre placebo, début dans les 24 h</w:t>
            </w:r>
          </w:p>
        </w:tc>
        <w:tc>
          <w:tcPr/>
          <w:p>
            <w:pPr>
              <w:pStyle w:val="Compact"/>
              <w:jc w:val="left"/>
            </w:pPr>
            <w:r>
              <w:t xml:space="preserve">90 jours</w:t>
            </w:r>
          </w:p>
        </w:tc>
        <w:tc>
          <w:tcPr/>
          <w:p>
            <w:pPr>
              <w:pStyle w:val="Compact"/>
              <w:jc w:val="left"/>
            </w:pPr>
            <w:r>
              <w:t xml:space="preserve">pas d’amélioration sur l’échelle neurologique, l’indice de Barthel et l’impression globale ; un test cognitif meilleur</w:t>
            </w:r>
          </w:p>
        </w:tc>
      </w:tr>
      <w:tr>
        <w:tc>
          <w:tcPr/>
          <w:p>
            <w:pPr>
              <w:pStyle w:val="Compact"/>
              <w:jc w:val="left"/>
            </w:pPr>
            <w:r>
              <w:t xml:space="preserve">CASTA (Heiss 2012), PMID 22282884</w:t>
            </w:r>
          </w:p>
        </w:tc>
        <w:tc>
          <w:tcPr/>
          <w:p>
            <w:pPr>
              <w:pStyle w:val="Compact"/>
              <w:jc w:val="left"/>
            </w:pPr>
            <w:r>
              <w:t xml:space="preserve">1 070 personnes en Asie, double aveugle contre placebo, début dans les 12 h</w:t>
            </w:r>
          </w:p>
        </w:tc>
        <w:tc>
          <w:tcPr/>
          <w:p>
            <w:pPr>
              <w:pStyle w:val="Compact"/>
              <w:jc w:val="left"/>
            </w:pPr>
            <w:r>
              <w:t xml:space="preserve">90 jours</w:t>
            </w:r>
          </w:p>
        </w:tc>
        <w:tc>
          <w:tcPr/>
          <w:p>
            <w:pPr>
              <w:pStyle w:val="Compact"/>
              <w:jc w:val="left"/>
            </w:pPr>
            <w:r>
              <w:t xml:space="preserve">critère principal neutre ; sous-groupe a posteriori de patients sévèrement atteints avec tendance en faveur de la Cerebrolysin</w:t>
            </w:r>
          </w:p>
        </w:tc>
      </w:tr>
      <w:tr>
        <w:tc>
          <w:tcPr/>
          <w:p>
            <w:pPr>
              <w:pStyle w:val="Compact"/>
              <w:jc w:val="left"/>
            </w:pPr>
            <w:r>
              <w:t xml:space="preserve">Lang 2013, PMID 23009193</w:t>
            </w:r>
          </w:p>
        </w:tc>
        <w:tc>
          <w:tcPr/>
          <w:p>
            <w:pPr>
              <w:pStyle w:val="Compact"/>
              <w:jc w:val="left"/>
            </w:pPr>
            <w:r>
              <w:t xml:space="preserve">119 personnes, en complément de la thrombolyse, double aveugle</w:t>
            </w:r>
          </w:p>
        </w:tc>
        <w:tc>
          <w:tcPr/>
          <w:p>
            <w:pPr>
              <w:pStyle w:val="Compact"/>
              <w:jc w:val="left"/>
            </w:pPr>
            <w:r>
              <w:t xml:space="preserve">90 jours</w:t>
            </w:r>
          </w:p>
        </w:tc>
        <w:tc>
          <w:tcPr/>
          <w:p>
            <w:pPr>
              <w:pStyle w:val="Compact"/>
              <w:jc w:val="left"/>
            </w:pPr>
            <w:r>
              <w:t xml:space="preserve">interrompue après analyse intermédiaire sans bénéfice sur le critère principal ; amélioration précoce sur la NIHSS plus fréquente</w:t>
            </w:r>
          </w:p>
        </w:tc>
      </w:tr>
      <w:tr>
        <w:tc>
          <w:tcPr/>
          <w:p>
            <w:pPr>
              <w:pStyle w:val="Compact"/>
              <w:jc w:val="left"/>
            </w:pPr>
            <w:r>
              <w:t xml:space="preserve">CARS (Muresanu 2016), PMID 26564102</w:t>
            </w:r>
          </w:p>
        </w:tc>
        <w:tc>
          <w:tcPr/>
          <w:p>
            <w:pPr>
              <w:pStyle w:val="Compact"/>
              <w:jc w:val="left"/>
            </w:pPr>
            <w:r>
              <w:t xml:space="preserve">personnes en rééducation précoce, double aveugle contre placebo</w:t>
            </w:r>
          </w:p>
        </w:tc>
        <w:tc>
          <w:tcPr/>
          <w:p>
            <w:pPr>
              <w:pStyle w:val="Compact"/>
              <w:jc w:val="left"/>
            </w:pPr>
            <w:r>
              <w:t xml:space="preserve">90 jours</w:t>
            </w:r>
          </w:p>
        </w:tc>
        <w:tc>
          <w:tcPr/>
          <w:p>
            <w:pPr>
              <w:pStyle w:val="Compact"/>
              <w:jc w:val="left"/>
            </w:pPr>
            <w:r>
              <w:t xml:space="preserve">fonction du bras (ARAT) nettement meilleure : MW 0,71</w:t>
            </w:r>
          </w:p>
        </w:tc>
      </w:tr>
      <w:tr>
        <w:tc>
          <w:tcPr/>
          <w:p>
            <w:pPr>
              <w:pStyle w:val="Compact"/>
              <w:jc w:val="left"/>
            </w:pPr>
            <w:r>
              <w:t xml:space="preserve">Gharagozli 2017, PMID 29075343</w:t>
            </w:r>
          </w:p>
        </w:tc>
        <w:tc>
          <w:tcPr/>
          <w:p>
            <w:pPr>
              <w:pStyle w:val="Compact"/>
              <w:jc w:val="left"/>
            </w:pPr>
            <w:r>
              <w:t xml:space="preserve">100 personnes, double aveugle contre placebo</w:t>
            </w:r>
          </w:p>
        </w:tc>
        <w:tc>
          <w:tcPr/>
          <w:p>
            <w:pPr>
              <w:pStyle w:val="Compact"/>
              <w:jc w:val="left"/>
            </w:pPr>
            <w:r>
              <w:t xml:space="preserve">30 jours</w:t>
            </w:r>
          </w:p>
        </w:tc>
        <w:tc>
          <w:tcPr/>
          <w:p>
            <w:pPr>
              <w:pStyle w:val="Compact"/>
              <w:jc w:val="left"/>
            </w:pPr>
            <w:r>
              <w:t xml:space="preserve">NIHSS meilleure : MW 0,66</w:t>
            </w:r>
          </w:p>
        </w:tc>
      </w:tr>
      <w:tr>
        <w:tc>
          <w:tcPr/>
          <w:p>
            <w:pPr>
              <w:pStyle w:val="Compact"/>
              <w:jc w:val="left"/>
            </w:pPr>
            <w:r>
              <w:t xml:space="preserve">CEREHETIS (Khasanova 2023), PMID 36973684</w:t>
            </w:r>
          </w:p>
        </w:tc>
        <w:tc>
          <w:tcPr/>
          <w:p>
            <w:pPr>
              <w:pStyle w:val="Compact"/>
              <w:jc w:val="left"/>
            </w:pPr>
            <w:r>
              <w:t xml:space="preserve">341 personnes avec thrombolyse, randomisée en ouvert</w:t>
            </w:r>
          </w:p>
        </w:tc>
        <w:tc>
          <w:tcPr/>
          <w:p>
            <w:pPr>
              <w:pStyle w:val="Compact"/>
              <w:jc w:val="left"/>
            </w:pPr>
            <w:r>
              <w:t xml:space="preserve">90 jours</w:t>
            </w:r>
          </w:p>
        </w:tc>
        <w:tc>
          <w:tcPr/>
          <w:p>
            <w:pPr>
              <w:pStyle w:val="Compact"/>
              <w:jc w:val="left"/>
            </w:pPr>
            <w:r>
              <w:t xml:space="preserve">moins d’hémorragies symptomatiques (OR 0,248) ; pas de différence de mRS à 90 jours</w:t>
            </w:r>
          </w:p>
        </w:tc>
      </w:tr>
    </w:tbl>
    <w:p>
      <w:pPr>
        <w:pStyle w:val="BodyText"/>
      </w:pPr>
      <w:r>
        <w:rPr>
          <w:bCs/>
          <w:b/>
        </w:rPr>
        <w:t xml:space="preserve">CASTA – la plus grande étude.</w:t>
      </w:r>
      <w:r>
        <w:t xml:space="preserve"> </w:t>
      </w:r>
      <w:r>
        <w:t xml:space="preserve">L’étude</w:t>
      </w:r>
      <w:r>
        <w:t xml:space="preserve"> </w:t>
      </w:r>
      <w:r>
        <w:rPr>
          <w:iCs/>
          <w:i/>
        </w:rPr>
        <w:t xml:space="preserve">Cerebrolysin Acute Stroke Treatment in Asia</w:t>
      </w:r>
      <w:r>
        <w:t xml:space="preserve"> </w:t>
      </w:r>
      <w:r>
        <w:t xml:space="preserve">a été publiée au préalable avec son protocole</w:t>
      </w:r>
      <w:r>
        <w:rPr>
          <w:rStyle w:val="FootnoteReference"/>
        </w:rPr>
        <w:footnoteReference w:id="1662"/>
      </w:r>
      <w:r>
        <w:t xml:space="preserve"> </w:t>
      </w:r>
      <w:r>
        <w:t xml:space="preserve">et est enregistrée sur ClinicalTrials.gov</w:t>
      </w:r>
      <w:r>
        <w:rPr>
          <w:rStyle w:val="FootnoteReference"/>
        </w:rPr>
        <w:footnoteReference w:id="1663"/>
      </w:r>
      <w:r>
        <w:t xml:space="preserve">. 1 070 personnes ayant subi un AVC aigu ont reçu dans les douze heures, pendant dix jours, de la Cerebrolysin ou une solution saline, chaque fois en complément de l’aspirine. Le critère principal fixé à l’avance – une combinaison de l’échelle de Rankin modifiée (mRS, degré de handicap), de l’indice de Barthel (autonomie au quotidien) et de la NIHSS (sévérité des déficits neurologiques) à 90 jours – n’a montré</w:t>
      </w:r>
      <w:r>
        <w:t xml:space="preserve"> </w:t>
      </w:r>
      <w:r>
        <w:rPr>
          <w:bCs/>
          <w:b/>
        </w:rPr>
        <w:t xml:space="preserve">aucune différence</w:t>
      </w:r>
      <w:r>
        <w:t xml:space="preserve">. Dans une analyse a posteriori des patients plus sévèrement atteints (NIHSS supérieure à 12), la mortalité à 90 jours était de 10,5 % sous Cerebrolysin contre 20,2 % sous placebo</w:t>
      </w:r>
      <w:r>
        <w:rPr>
          <w:rStyle w:val="FootnoteReference"/>
        </w:rPr>
        <w:footnoteReference w:id="1664"/>
      </w:r>
      <w:r>
        <w:t xml:space="preserve">. Les auteurs écrivent eux-mêmes que ce résultat devrait être confirmé par une autre étude. Une telle grande étude de confirmation, menée spécifiquement dans les AVC sévères, n’a toujours pas été publiée.</w:t>
      </w:r>
    </w:p>
    <w:p>
      <w:pPr>
        <w:pStyle w:val="BodyText"/>
      </w:pPr>
      <w:r>
        <w:rPr>
          <w:bCs/>
          <w:b/>
        </w:rPr>
        <w:t xml:space="preserve">En association avec la thrombolyse.</w:t>
      </w:r>
      <w:r>
        <w:t xml:space="preserve"> </w:t>
      </w:r>
      <w:r>
        <w:t xml:space="preserve">Dans une étude portant sur 119 personnes, la Cerebrolysin a été débutée une heure après la thrombolyse. Après la troisième analyse intermédiaire, aucun avantage n’est apparu sur le critère principal (mRS à 90 jours), et l’étude a été arrêtée. Au cours des 30 premiers jours, davantage de personnes se sont nettement améliorées sur la NIHSS sous Cerebrolysin</w:t>
      </w:r>
      <w:r>
        <w:rPr>
          <w:rStyle w:val="FootnoteReference"/>
        </w:rPr>
        <w:footnoteReference w:id="1665"/>
      </w:r>
      <w:r>
        <w:t xml:space="preserve">. Ce schéma – des améliorations précoces sur des échelles neurologiques, mais pas de différence nette de handicap après trois mois – se retrouve dans plusieurs études. L’étude CEREHETIS a constaté chez 341 personnes moins d’hémorragies symptomatiques après thrombolyse, mais pas non plus de différence de mRS à 90 jours ; elle était ouverte, c’est-à-dire non menée en aveugle</w:t>
      </w:r>
      <w:r>
        <w:rPr>
          <w:rStyle w:val="FootnoteReference"/>
        </w:rPr>
        <w:footnoteReference w:id="1666"/>
      </w:r>
      <w:r>
        <w:t xml:space="preserve">.</w:t>
      </w:r>
    </w:p>
    <w:p>
      <w:pPr>
        <w:pStyle w:val="BodyText"/>
      </w:pPr>
      <w:r>
        <w:rPr>
          <w:bCs/>
          <w:b/>
        </w:rPr>
        <w:t xml:space="preserve">Thrombectomie.</w:t>
      </w:r>
      <w:r>
        <w:t xml:space="preserve"> </w:t>
      </w:r>
      <w:r>
        <w:t xml:space="preserve">Une étude a comparé 50 personnes ayant reçu de la Cerebrolysin après un traitement par cathéter à 50 personnes traitées auparavant (témoins historiques). À 90 jours, 68 % contre 44 % étaient fonctionnellement indépendants (mRS 0–2), et les hémorragies cérébrales secondaires étaient plus rares</w:t>
      </w:r>
      <w:r>
        <w:rPr>
          <w:rStyle w:val="FootnoteReference"/>
        </w:rPr>
        <w:footnoteReference w:id="1667"/>
      </w:r>
      <w:r>
        <w:t xml:space="preserve">. Sans randomisation et avec une comparaison avec des patientes et patients antérieurs, ce n’est toutefois qu’un indice ; les auteurs réclament eux-mêmes des études randomisées.</w:t>
      </w:r>
    </w:p>
    <w:bookmarkEnd w:id="1668"/>
    <w:bookmarkStart w:id="1675" w:name="X1a255eb3bf033455dd3f68abfd233173e8f346c"/>
    <w:p>
      <w:pPr>
        <w:pStyle w:val="Heading4"/>
      </w:pPr>
      <w:r>
        <w:t xml:space="preserve">Rééducation après un AVC : CARS et études ultérieures</w:t>
      </w:r>
    </w:p>
    <w:p>
      <w:pPr>
        <w:pStyle w:val="FirstParagraph"/>
      </w:pPr>
      <w:r>
        <w:t xml:space="preserve">Une deuxième approche n’intervient pas dans les premières heures, mais lors de la rééducation précoce : la Cerebrolysin doit rendre le cerveau « plus apte à apprendre » pendant que se déroule simultanément la kinésithérapie.</w:t>
      </w:r>
    </w:p>
    <w:p>
      <w:pPr>
        <w:pStyle w:val="BodyText"/>
      </w:pPr>
      <w:r>
        <w:t xml:space="preserve">L’</w:t>
      </w:r>
      <w:r>
        <w:rPr>
          <w:bCs/>
          <w:b/>
        </w:rPr>
        <w:t xml:space="preserve">étude CARS</w:t>
      </w:r>
      <w:r>
        <w:t xml:space="preserve"> </w:t>
      </w:r>
      <w:r>
        <w:t xml:space="preserve">(</w:t>
      </w:r>
      <w:r>
        <w:rPr>
          <w:iCs/>
          <w:i/>
        </w:rPr>
        <w:t xml:space="preserve">Cerebrolysin and Recovery After Stroke</w:t>
      </w:r>
      <w:r>
        <w:t xml:space="preserve">) a traité des personnes 24 à 72 heures après l’AVC pendant 21 jours par Cerebrolysin ou placebo, en complément d’un programme de rééducation standardisé. Sur le critère principal, l’Action Research Arm Test (ARAT) pour la fonction du bras à 90 jours, un grand avantage est apparu (MW 0,71 ; intervalle de confiance à 95 % 0,63–0,79) ; sur l’ensemble de douze échelles, un avantage petit à moyen (MW 0,62)</w:t>
      </w:r>
      <w:r>
        <w:rPr>
          <w:rStyle w:val="FootnoteReference"/>
        </w:rPr>
        <w:footnoteReference w:id="1669"/>
      </w:r>
      <w:r>
        <w:t xml:space="preserve">. Les auteurs qualifient expressément l’étude d’exploratoire avec un effectif relativement faible. Une analyse commune, planifiée à l’avance, avec l’étude CARS-2 de même conception (442 personnes au total) a donné pour l’ARAT un MW de 0,62</w:t>
      </w:r>
      <w:r>
        <w:rPr>
          <w:rStyle w:val="FootnoteReference"/>
        </w:rPr>
        <w:footnoteReference w:id="1670"/>
      </w:r>
      <w:r>
        <w:t xml:space="preserve">.</w:t>
      </w:r>
    </w:p>
    <w:p>
      <w:pPr>
        <w:pStyle w:val="BodyText"/>
      </w:pPr>
      <w:r>
        <w:t xml:space="preserve">D’autres études plus petites donnent un tableau mitigé :</w:t>
      </w:r>
    </w:p>
    <w:p>
      <w:pPr>
        <w:numPr>
          <w:ilvl w:val="0"/>
          <w:numId w:val="1203"/>
        </w:numPr>
        <w:pStyle w:val="Compact"/>
      </w:pPr>
      <w:r>
        <w:t xml:space="preserve">Une étude portant sur 60 personnes a constaté de grands avantages sur la NIHSS à 10 et 30 jours</w:t>
      </w:r>
      <w:r>
        <w:rPr>
          <w:rStyle w:val="FootnoteReference"/>
        </w:rPr>
        <w:footnoteReference w:id="1671"/>
      </w:r>
      <w:r>
        <w:t xml:space="preserve">.</w:t>
      </w:r>
    </w:p>
    <w:p>
      <w:pPr>
        <w:numPr>
          <w:ilvl w:val="0"/>
          <w:numId w:val="1203"/>
        </w:numPr>
        <w:pStyle w:val="Compact"/>
      </w:pPr>
      <w:r>
        <w:t xml:space="preserve">Une étude portant sur 70 personnes n’a trouvé</w:t>
      </w:r>
      <w:r>
        <w:t xml:space="preserve"> </w:t>
      </w:r>
      <w:r>
        <w:rPr>
          <w:bCs/>
          <w:b/>
        </w:rPr>
        <w:t xml:space="preserve">aucune</w:t>
      </w:r>
      <w:r>
        <w:t xml:space="preserve"> </w:t>
      </w:r>
      <w:r>
        <w:t xml:space="preserve">différence de motricité globale ; ce n’est que dans le sous-groupe présentant une paralysie sévère que la Cerebrolysin a obtenu de meilleurs résultats</w:t>
      </w:r>
      <w:r>
        <w:rPr>
          <w:rStyle w:val="FootnoteReference"/>
        </w:rPr>
        <w:footnoteReference w:id="1672"/>
      </w:r>
      <w:r>
        <w:t xml:space="preserve">.</w:t>
      </w:r>
    </w:p>
    <w:p>
      <w:pPr>
        <w:numPr>
          <w:ilvl w:val="0"/>
          <w:numId w:val="1203"/>
        </w:numPr>
        <w:pStyle w:val="Compact"/>
      </w:pPr>
      <w:r>
        <w:t xml:space="preserve">L’étude pilote roumaine ESCAS sur les troubles du langage (aphasie non fluente), portant sur 132 personnes, a associé la Cerebrolysin à l’orthophonie. À 90 jours, la fonction langagière s’est améliorée d’environ 35,6 points sur la Western Aphasia Battery contre 20,8 points sous placebo</w:t>
      </w:r>
      <w:r>
        <w:rPr>
          <w:rStyle w:val="FootnoteReference"/>
        </w:rPr>
        <w:footnoteReference w:id="1673"/>
      </w:r>
      <w:r>
        <w:t xml:space="preserve">.</w:t>
      </w:r>
    </w:p>
    <w:p>
      <w:pPr>
        <w:pStyle w:val="FirstParagraph"/>
      </w:pPr>
      <w:r>
        <w:t xml:space="preserve">En 2021, une recommandation de l’European Academy of Neurology et de la Fédération européenne des sociétés de neuroréhabilitation a, sur la base d’une méta-analyse, recommandé la Cerebrolysin – à côté de l’antidépresseur citalopram – pour soutenir la rééducation motrice précoce après un AVC ischémique</w:t>
      </w:r>
      <w:r>
        <w:rPr>
          <w:rStyle w:val="FootnoteReference"/>
        </w:rPr>
        <w:footnoteReference w:id="1674"/>
      </w:r>
      <w:r>
        <w:t xml:space="preserve">. D’autres grandes recommandations, par exemple aux États-Unis, ne contiennent pas une telle recommandation.</w:t>
      </w:r>
    </w:p>
    <w:bookmarkEnd w:id="1675"/>
    <w:bookmarkStart w:id="1680" w:name="X507e2f660900a6988dbfda9a24737537b7829fb"/>
    <w:p>
      <w:pPr>
        <w:pStyle w:val="Heading4"/>
      </w:pPr>
      <w:r>
        <w:t xml:space="preserve">Les méta-analyses : deux lectures des mêmes données</w:t>
      </w:r>
    </w:p>
    <w:p>
      <w:pPr>
        <w:pStyle w:val="FirstParagraph"/>
      </w:pPr>
      <w:r>
        <w:t xml:space="preserve">Pour la Cerebrolysin, les synthèses divergent – selon qui les a rédigées et quels critères sont au centre.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Revue</w:t>
            </w:r>
          </w:p>
        </w:tc>
        <w:tc>
          <w:tcPr/>
          <w:p>
            <w:pPr>
              <w:pStyle w:val="Compact"/>
              <w:jc w:val="left"/>
            </w:pPr>
            <w:r>
              <w:t xml:space="preserve">Données incluses</w:t>
            </w:r>
          </w:p>
        </w:tc>
        <w:tc>
          <w:tcPr/>
          <w:p>
            <w:pPr>
              <w:pStyle w:val="Compact"/>
              <w:jc w:val="left"/>
            </w:pPr>
            <w:r>
              <w:t xml:space="preserve">Message principal</w:t>
            </w:r>
          </w:p>
        </w:tc>
      </w:tr>
      <w:tr>
        <w:tc>
          <w:tcPr/>
          <w:p>
            <w:pPr>
              <w:pStyle w:val="Compact"/>
              <w:jc w:val="left"/>
            </w:pPr>
            <w:r>
              <w:t xml:space="preserve">Cochrane (Ziganshina 2023), PMID 37818733</w:t>
            </w:r>
          </w:p>
        </w:tc>
        <w:tc>
          <w:tcPr/>
          <w:p>
            <w:pPr>
              <w:pStyle w:val="Compact"/>
              <w:jc w:val="left"/>
            </w:pPr>
            <w:r>
              <w:t xml:space="preserve">7 ECR, 1 773 personnes, début dans les 48 h</w:t>
            </w:r>
          </w:p>
        </w:tc>
        <w:tc>
          <w:tcPr/>
          <w:p>
            <w:pPr>
              <w:pStyle w:val="Compact"/>
              <w:jc w:val="left"/>
            </w:pPr>
            <w:r>
              <w:t xml:space="preserve">aucun effet sur la mortalité (RR 0,96) ; davantage d’effets indésirables graves non mortels (RR 2,39)</w:t>
            </w:r>
          </w:p>
        </w:tc>
      </w:tr>
      <w:tr>
        <w:tc>
          <w:tcPr/>
          <w:p>
            <w:pPr>
              <w:pStyle w:val="Compact"/>
              <w:jc w:val="left"/>
            </w:pPr>
            <w:r>
              <w:t xml:space="preserve">Bornstein 2018, PMID 29248999</w:t>
            </w:r>
          </w:p>
        </w:tc>
        <w:tc>
          <w:tcPr/>
          <w:p>
            <w:pPr>
              <w:pStyle w:val="Compact"/>
              <w:jc w:val="left"/>
            </w:pPr>
            <w:r>
              <w:t xml:space="preserve">9 ECR, 1 879 personnes</w:t>
            </w:r>
          </w:p>
        </w:tc>
        <w:tc>
          <w:tcPr/>
          <w:p>
            <w:pPr>
              <w:pStyle w:val="Compact"/>
              <w:jc w:val="left"/>
            </w:pPr>
            <w:r>
              <w:t xml:space="preserve">NIHSS meilleure à 30 jours (MW 0,60) ; NNT 7,7 pour une amélioration cliniquement pertinente</w:t>
            </w:r>
          </w:p>
        </w:tc>
      </w:tr>
      <w:tr>
        <w:tc>
          <w:tcPr/>
          <w:p>
            <w:pPr>
              <w:pStyle w:val="Compact"/>
              <w:jc w:val="left"/>
            </w:pPr>
            <w:r>
              <w:t xml:space="preserve">Zhang 2017, PMID 28656143</w:t>
            </w:r>
          </w:p>
        </w:tc>
        <w:tc>
          <w:tcPr/>
          <w:p>
            <w:pPr>
              <w:pStyle w:val="Compact"/>
              <w:jc w:val="left"/>
            </w:pPr>
            <w:r>
              <w:t xml:space="preserve">7 ECR, 1 779 personnes</w:t>
            </w:r>
          </w:p>
        </w:tc>
        <w:tc>
          <w:tcPr/>
          <w:p>
            <w:pPr>
              <w:pStyle w:val="Compact"/>
              <w:jc w:val="left"/>
            </w:pPr>
            <w:r>
              <w:t xml:space="preserve">pas de supériorité sur la mRS et l’indice de Barthel ; sécurité neutre</w:t>
            </w:r>
          </w:p>
        </w:tc>
      </w:tr>
      <w:tr>
        <w:tc>
          <w:tcPr/>
          <w:p>
            <w:pPr>
              <w:pStyle w:val="Compact"/>
              <w:jc w:val="left"/>
            </w:pPr>
            <w:r>
              <w:t xml:space="preserve">Patel 2025, PMID 41018475</w:t>
            </w:r>
          </w:p>
        </w:tc>
        <w:tc>
          <w:tcPr/>
          <w:p>
            <w:pPr>
              <w:pStyle w:val="Compact"/>
              <w:jc w:val="left"/>
            </w:pPr>
            <w:r>
              <w:t xml:space="preserve">14 ECR, 2 884 personnes</w:t>
            </w:r>
          </w:p>
        </w:tc>
        <w:tc>
          <w:tcPr/>
          <w:p>
            <w:pPr>
              <w:pStyle w:val="Compact"/>
              <w:jc w:val="left"/>
            </w:pPr>
            <w:r>
              <w:t xml:space="preserve">amélioration de la NIHSS de 1,39 point supplémentaire ; indépendance fonctionnelle non significative (RR 1,31)</w:t>
            </w:r>
          </w:p>
        </w:tc>
      </w:tr>
    </w:tbl>
    <w:p>
      <w:pPr>
        <w:pStyle w:val="BodyText"/>
      </w:pPr>
      <w:r>
        <w:t xml:space="preserve">La</w:t>
      </w:r>
      <w:r>
        <w:t xml:space="preserve"> </w:t>
      </w:r>
      <w:r>
        <w:rPr>
          <w:bCs/>
          <w:b/>
        </w:rPr>
        <w:t xml:space="preserve">revue Cochrane</w:t>
      </w:r>
      <w:r>
        <w:t xml:space="preserve"> </w:t>
      </w:r>
      <w:r>
        <w:t xml:space="preserve">– une forme de synthèse indépendante et méthodologiquement rigoureuse – a été mise à jour à plusieurs reprises depuis 2010. La version de 2020 comprenait sept études randomisées portant sur 1 601 personnes et ne trouvait aucun effet sur la mortalité (RR 0,90 ; IC à 95 % 0,61–1,32). Le nombre total d’événements indésirables graves ne différait pas notablement, mais le nombre de personnes présentant des événements indésirables graves</w:t>
      </w:r>
      <w:r>
        <w:t xml:space="preserve"> </w:t>
      </w:r>
      <w:r>
        <w:rPr>
          <w:bCs/>
          <w:b/>
        </w:rPr>
        <w:t xml:space="preserve">non mortels</w:t>
      </w:r>
      <w:r>
        <w:t xml:space="preserve"> </w:t>
      </w:r>
      <w:r>
        <w:t xml:space="preserve">était plus élevé sous Cerebrolysin (RR 2,15 ; IC à 95 % 1,01–4,55)</w:t>
      </w:r>
      <w:r>
        <w:rPr>
          <w:rStyle w:val="FootnoteReference"/>
        </w:rPr>
        <w:footnoteReference w:id="1676"/>
      </w:r>
      <w:r>
        <w:t xml:space="preserve">. La mise à jour de 2023 a ajouté une étude avec la préparation russe à base de cerveau bovin Cortexin (1 773 personnes au total) et a confirmé ces constats : aucun effet sur la mortalité (RR 0,96), davantage d’événements graves non mortels (RR 2,39 ; IC à 95 % 1,10–5,23), encore plus marqués avec un schéma de traitement de dix jours</w:t>
      </w:r>
      <w:r>
        <w:rPr>
          <w:rStyle w:val="FootnoteReference"/>
        </w:rPr>
        <w:footnoteReference w:id="1677"/>
      </w:r>
      <w:r>
        <w:t xml:space="preserve">. Les auteures et auteurs Cochrane ont jugé le risque de biais de nombreuses études incertain ou élevé et ont souligné que le fabricant avait soutenu plusieurs des grandes études. Important : aucune des études incluses n’a rapporté le critère décisif du point de vue des patients, « décès ou dépendance », sous la forme prévue par la revue.</w:t>
      </w:r>
    </w:p>
    <w:p>
      <w:pPr>
        <w:pStyle w:val="BodyText"/>
      </w:pPr>
      <w:r>
        <w:t xml:space="preserve">Les</w:t>
      </w:r>
      <w:r>
        <w:t xml:space="preserve"> </w:t>
      </w:r>
      <w:r>
        <w:rPr>
          <w:bCs/>
          <w:b/>
        </w:rPr>
        <w:t xml:space="preserve">méta-analyses proches du fabricant</w:t>
      </w:r>
      <w:r>
        <w:t xml:space="preserve"> </w:t>
      </w:r>
      <w:r>
        <w:t xml:space="preserve">considèrent en revanche surtout l’amélioration neurologique précoce sur la NIHSS et y trouvent un avantage modéré</w:t>
      </w:r>
      <w:r>
        <w:rPr>
          <w:rStyle w:val="FootnoteReference"/>
        </w:rPr>
        <w:footnoteReference w:id="1678"/>
      </w:r>
      <w:r>
        <w:t xml:space="preserve">. Une méta-analyse de sécurité portant sur douze études et 2 202 personnes n’a trouvé aucune différence significative avec le placebo pour les effets indésirables</w:t>
      </w:r>
      <w:r>
        <w:rPr>
          <w:rStyle w:val="FootnoteReference"/>
        </w:rPr>
        <w:footnoteReference w:id="1679"/>
      </w:r>
      <w:r>
        <w:t xml:space="preserve"> </w:t>
      </w:r>
      <w:r>
        <w:t xml:space="preserve">– contrairement au signal Cochrane, qui repose toutefois sur peu d’événements.</w:t>
      </w:r>
    </w:p>
    <w:p>
      <w:pPr>
        <w:pStyle w:val="BodyText"/>
      </w:pPr>
      <w:r>
        <w:t xml:space="preserve">Comment réconcilier tout cela ? La réponse honnête est la suivante : la Cerebrolysin améliore dans plusieurs études les scores des échelles neurologiques au cours des premières semaines. Qu’il en découle moins de handicap persistant, moins de dépendance ou une vie plus longue n’est pas démontré. Le signal concernant les effets indésirables graves non mortels n’a pas d’explication convaincante ; il repose sur peu d’événements et est donc incertain, mais il a été retrouvé dans deux versions Cochrane.</w:t>
      </w:r>
    </w:p>
    <w:bookmarkEnd w:id="1680"/>
    <w:bookmarkStart w:id="1682" w:name="Xa6b1a920658e1dda4cc9116d538cc9cb32eb855"/>
    <w:p>
      <w:pPr>
        <w:pStyle w:val="Heading4"/>
      </w:pPr>
      <w:r>
        <w:t xml:space="preserve">Données de registre issues de la pratique</w:t>
      </w:r>
    </w:p>
    <w:p>
      <w:pPr>
        <w:pStyle w:val="FirstParagraph"/>
      </w:pPr>
      <w:r>
        <w:t xml:space="preserve">Le fabricant a en outre financé de grandes études observationnelles. L’étude de registre C-REGS2 a recensé dans 16 pays 1 865 personnes ayant subi un AVC modéré ; 1 769 ont été analysées (1 021 avec Cerebrolysin, 748 sans). À 90 jours, le groupe Cerebrolysin obtenait de meilleurs résultats sur l’échelle de Rankin modifiée (MW 0,6157)</w:t>
      </w:r>
      <w:r>
        <w:rPr>
          <w:rStyle w:val="FootnoteReference"/>
        </w:rPr>
        <w:footnoteReference w:id="1681"/>
      </w:r>
      <w:r>
        <w:t xml:space="preserve">. L’étude utilise des méthodes statistiques exigeantes pour rendre les groupes comparables. Elle reste néanmoins une étude observationnelle : les personnes qui reçoivent de la Cerebrolysin en pratique diffèrent peut-être, par leur traitement, leur clinique ou leur pays, de celles qui n’en reçoivent pas. Elle ne peut pas remplacer une randomisation.</w:t>
      </w:r>
    </w:p>
    <w:bookmarkEnd w:id="1682"/>
    <w:bookmarkStart w:id="1686" w:name="X79f2407350bd7492d42e8aac7b8150a2069106b"/>
    <w:p>
      <w:pPr>
        <w:pStyle w:val="Heading4"/>
      </w:pPr>
      <w:r>
        <w:t xml:space="preserve">Hémorragie cérébrale et hémorragie sous-arachnoïdienne</w:t>
      </w:r>
    </w:p>
    <w:p>
      <w:pPr>
        <w:pStyle w:val="FirstParagraph"/>
      </w:pPr>
      <w:r>
        <w:t xml:space="preserve">Dans les hémorragies cérébrales, une étude portant sur 100 personnes n’a trouvé aucune différence significative après 21 jours, mais pas non plus de problème de sécurité</w:t>
      </w:r>
      <w:r>
        <w:rPr>
          <w:rStyle w:val="FootnoteReference"/>
        </w:rPr>
        <w:footnoteReference w:id="1683"/>
      </w:r>
      <w:r>
        <w:t xml:space="preserve">. Dans les hémorragies dues à une poche d’un vaisseau cérébral (hémorragie sous-arachnoïdienne anévrismale), une étude pilote en double aveugle portant sur 50 personnes n’a montré aucune différence de résultat fonctionnel après six mois</w:t>
      </w:r>
      <w:r>
        <w:rPr>
          <w:rStyle w:val="FootnoteReference"/>
        </w:rPr>
        <w:footnoteReference w:id="1684"/>
      </w:r>
      <w:r>
        <w:t xml:space="preserve">. Une étude pilote sur les hémorragies lobaires (CLINCH) est prévue ou en cours</w:t>
      </w:r>
      <w:r>
        <w:rPr>
          <w:rStyle w:val="FootnoteReference"/>
        </w:rPr>
        <w:footnoteReference w:id="1685"/>
      </w:r>
      <w:r>
        <w:t xml:space="preserve">.</w:t>
      </w:r>
    </w:p>
    <w:bookmarkEnd w:id="1686"/>
    <w:bookmarkStart w:id="1688" w:name="traumatisme-crânien-captain"/>
    <w:p>
      <w:pPr>
        <w:pStyle w:val="Heading4"/>
      </w:pPr>
      <w:r>
        <w:t xml:space="preserve">Traumatisme crânien : CAPTAIN</w:t>
      </w:r>
    </w:p>
    <w:p>
      <w:pPr>
        <w:pStyle w:val="FirstParagraph"/>
      </w:pPr>
      <w:r>
        <w:t xml:space="preserve">Dans le traumatisme crânien modéré à sévère, deux études ont testé la Cerebrolysin en complément du traitement standard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CAPTAIN I (Poon 2020), PMID 31494820</w:t>
            </w:r>
          </w:p>
        </w:tc>
        <w:tc>
          <w:tcPr/>
          <w:p>
            <w:pPr>
              <w:pStyle w:val="Compact"/>
              <w:jc w:val="left"/>
            </w:pPr>
            <w:r>
              <w:t xml:space="preserve">46 personnes, double aveugle contre placebo, plusieurs centres</w:t>
            </w:r>
          </w:p>
        </w:tc>
        <w:tc>
          <w:tcPr/>
          <w:p>
            <w:pPr>
              <w:pStyle w:val="Compact"/>
              <w:jc w:val="left"/>
            </w:pPr>
            <w:r>
              <w:t xml:space="preserve">90 jours</w:t>
            </w:r>
          </w:p>
        </w:tc>
        <w:tc>
          <w:tcPr/>
          <w:p>
            <w:pPr>
              <w:pStyle w:val="Compact"/>
              <w:jc w:val="left"/>
            </w:pPr>
            <w:r>
              <w:t xml:space="preserve">critère principal manqué de peu (ITT : MW 0,63) ; significatif dans l’analyse per protocole</w:t>
            </w:r>
          </w:p>
        </w:tc>
      </w:tr>
      <w:tr>
        <w:tc>
          <w:tcPr/>
          <w:p>
            <w:pPr>
              <w:pStyle w:val="Compact"/>
              <w:jc w:val="left"/>
            </w:pPr>
            <w:r>
              <w:t xml:space="preserve">CAPTAIN II (Muresanu 2020), PMID 31897941</w:t>
            </w:r>
          </w:p>
        </w:tc>
        <w:tc>
          <w:tcPr/>
          <w:p>
            <w:pPr>
              <w:pStyle w:val="Compact"/>
              <w:jc w:val="left"/>
            </w:pPr>
            <w:r>
              <w:t xml:space="preserve">142 personnes (139 analysées), double aveugle, un centre</w:t>
            </w:r>
          </w:p>
        </w:tc>
        <w:tc>
          <w:tcPr/>
          <w:p>
            <w:pPr>
              <w:pStyle w:val="Compact"/>
              <w:jc w:val="left"/>
            </w:pPr>
            <w:r>
              <w:t xml:space="preserve">90 jours</w:t>
            </w:r>
          </w:p>
        </w:tc>
        <w:tc>
          <w:tcPr/>
          <w:p>
            <w:pPr>
              <w:pStyle w:val="Compact"/>
              <w:jc w:val="left"/>
            </w:pPr>
            <w:r>
              <w:t xml:space="preserve">avantage petit à moyen sur le critère combiné de 13 échelles (MW 0,59)</w:t>
            </w:r>
          </w:p>
        </w:tc>
      </w:tr>
      <w:tr>
        <w:tc>
          <w:tcPr/>
          <w:p>
            <w:pPr>
              <w:pStyle w:val="Compact"/>
              <w:jc w:val="left"/>
            </w:pPr>
            <w:r>
              <w:t xml:space="preserve">Méta-analyse CAPTAIN (Vester 2021), PMID 33620612</w:t>
            </w:r>
          </w:p>
        </w:tc>
        <w:tc>
          <w:tcPr/>
          <w:p>
            <w:pPr>
              <w:pStyle w:val="Compact"/>
              <w:jc w:val="left"/>
            </w:pPr>
            <w:r>
              <w:t xml:space="preserve">185 personnes issues des deux études</w:t>
            </w:r>
          </w:p>
        </w:tc>
        <w:tc>
          <w:tcPr/>
          <w:p>
            <w:pPr>
              <w:pStyle w:val="Compact"/>
              <w:jc w:val="left"/>
            </w:pPr>
            <w:r>
              <w:t xml:space="preserve">90 jours</w:t>
            </w:r>
          </w:p>
        </w:tc>
        <w:tc>
          <w:tcPr/>
          <w:p>
            <w:pPr>
              <w:pStyle w:val="Compact"/>
              <w:jc w:val="left"/>
            </w:pPr>
            <w:r>
              <w:t xml:space="preserve">MW 0,60 à 30 et 90 jours</w:t>
            </w:r>
          </w:p>
        </w:tc>
      </w:tr>
    </w:tbl>
    <w:p>
      <w:pPr>
        <w:pStyle w:val="BodyText"/>
      </w:pPr>
      <w:r>
        <w:t xml:space="preserve">CAPTAIN I a été arrêtée prématurément avec seulement 46 participants (NCT01606111, statut au registre « interrompue »). D’autres méta-analyses sur le traumatisme crânien reposent principalement sur des études observationnelles et ont trouvé de meilleures valeurs sur la Glasgow Outcome Scale, mais aucun effet sur la mortalité</w:t>
      </w:r>
      <w:r>
        <w:rPr>
          <w:rStyle w:val="FootnoteReference"/>
        </w:rPr>
        <w:footnoteReference w:id="1687"/>
      </w:r>
      <w:r>
        <w:t xml:space="preserve">. Dans l’ensemble, les données suggèrent un possible petit avantage ; le nombre de personnes étudiées de manière randomisée est trop faible pour une conclusion sûre.</w:t>
      </w:r>
    </w:p>
    <w:bookmarkEnd w:id="1688"/>
    <w:bookmarkStart w:id="1694" w:name="démence"/>
    <w:p>
      <w:pPr>
        <w:pStyle w:val="Heading4"/>
      </w:pPr>
      <w:r>
        <w:t xml:space="preserve">Démence</w:t>
      </w:r>
    </w:p>
    <w:p>
      <w:pPr>
        <w:pStyle w:val="FirstParagraph"/>
      </w:pPr>
      <w:r>
        <w:rPr>
          <w:bCs/>
          <w:b/>
        </w:rPr>
        <w:t xml:space="preserve">Maladie d’Alzheimer.</w:t>
      </w:r>
      <w:r>
        <w:t xml:space="preserve"> </w:t>
      </w:r>
      <w:r>
        <w:t xml:space="preserve">Dans les années 1990 et 2000, plusieurs études contrôlées contre placebo ont été menées. Dans une étude portant sur 192 personnes, l’impression clinique globale (CIBIC+) était meilleure sous Cerebrolysin après douze semaines (76 % contre 57 % de « répondeurs ») ; les groupes différaient toutefois dès le départ par l’âge et les hallucinations</w:t>
      </w:r>
      <w:r>
        <w:rPr>
          <w:rStyle w:val="FootnoteReference"/>
        </w:rPr>
        <w:footnoteReference w:id="1689"/>
      </w:r>
      <w:r>
        <w:t xml:space="preserve">. Dans une étude portant sur 197 personnes, la Cerebrolysin était aussi efficace sur l’impression globale que le médicament anti-Alzheimer autorisé donépézil ; il n’y avait pas de différences significatives entre les groupes pour la cognition, l’autonomie au quotidien et le comportement</w:t>
      </w:r>
      <w:r>
        <w:rPr>
          <w:rStyle w:val="FootnoteReference"/>
        </w:rPr>
        <w:footnoteReference w:id="1690"/>
      </w:r>
      <w:r>
        <w:t xml:space="preserve">. Une méta-analyse de six études a trouvé un avantage sur l’impression clinique globale à quatre semaines et à six mois, mais sur la cognition seulement à quatre semaines, pas à six mois</w:t>
      </w:r>
      <w:r>
        <w:rPr>
          <w:rStyle w:val="FootnoteReference"/>
        </w:rPr>
        <w:footnoteReference w:id="1691"/>
      </w:r>
      <w:r>
        <w:t xml:space="preserve">. Des chercheurs collaborant avec le fabricant ont participé à cette méta-analyse.</w:t>
      </w:r>
    </w:p>
    <w:p>
      <w:pPr>
        <w:pStyle w:val="BodyText"/>
      </w:pPr>
      <w:r>
        <w:rPr>
          <w:bCs/>
          <w:b/>
        </w:rPr>
        <w:t xml:space="preserve">Démence vasculaire.</w:t>
      </w:r>
      <w:r>
        <w:t xml:space="preserve"> </w:t>
      </w:r>
      <w:r>
        <w:t xml:space="preserve">La plus grande étude, portant sur 242 personnes, a rapporté après 24 semaines une amélioration de l’ADAS-cog+ de 10,6 points contre 4,4 points sous placebo</w:t>
      </w:r>
      <w:r>
        <w:rPr>
          <w:rStyle w:val="FootnoteReference"/>
        </w:rPr>
        <w:footnoteReference w:id="1692"/>
      </w:r>
      <w:r>
        <w:t xml:space="preserve"> </w:t>
      </w:r>
      <w:r>
        <w:t xml:space="preserve">– un effet inhabituellement grand pour des études sur la démence. La revue Cochrane sur la démence vasculaire a regroupé six études portant sur 597 personnes et a trouvé des avantages sur la cognition et l’impression globale, mais a jugé la fiabilité des preuves « très faible ». Les auteures et auteurs écrivent que les effets éventuels pourraient être trop faibles pour être cliniquement significatifs et que la base de preuves est faible, bien que la Cerebrolysin continue d’être promue</w:t>
      </w:r>
      <w:r>
        <w:rPr>
          <w:rStyle w:val="FootnoteReference"/>
        </w:rPr>
        <w:footnoteReference w:id="1693"/>
      </w:r>
      <w:r>
        <w:t xml:space="preserve">.</w:t>
      </w:r>
    </w:p>
    <w:bookmarkEnd w:id="1694"/>
    <w:bookmarkStart w:id="1696" w:name="autres-applications-3"/>
    <w:p>
      <w:pPr>
        <w:pStyle w:val="Heading4"/>
      </w:pPr>
      <w:r>
        <w:t xml:space="preserve">Autres applications</w:t>
      </w:r>
    </w:p>
    <w:p>
      <w:pPr>
        <w:pStyle w:val="FirstParagraph"/>
      </w:pPr>
      <w:r>
        <w:t xml:space="preserve">Il existe des études plus petites sur la SLA (20 personnes, amélioration sur l’échelle fonctionnelle de la SLA après un mois ; Firstenfeld 2023, PMID 38585517), sur les prématurés, les enfants atteints de paralysie cérébrale, la perte de l’odorat après la COVID-19 et les maladies psychiatriques. Chez des hommes en bonne santé, la Cerebrolysin a modifié les tracés EEG dans une petite étude portant sur 48 participants ; pour la mémoire à court terme, une tendance à un moins bon rappel de mots au cours des premières heures est apparue sous placebo, mais pas sous Cerebrolysin</w:t>
      </w:r>
      <w:r>
        <w:rPr>
          <w:rStyle w:val="FootnoteReference"/>
        </w:rPr>
        <w:footnoteReference w:id="1695"/>
      </w:r>
      <w:r>
        <w:t xml:space="preserve">. Il n’existe aucune preuve pour l’utilisation comme « nootropique » chez les personnes en bonne santé.</w:t>
      </w:r>
    </w:p>
    <w:bookmarkEnd w:id="1696"/>
    <w:bookmarkEnd w:id="1697"/>
    <w:bookmarkStart w:id="1701" w:name="études-animales-et-de-laboratoire-36"/>
    <w:p>
      <w:pPr>
        <w:pStyle w:val="Heading3"/>
      </w:pPr>
      <w:r>
        <w:t xml:space="preserve">Études animales et de laboratoire</w:t>
      </w:r>
    </w:p>
    <w:p>
      <w:pPr>
        <w:numPr>
          <w:ilvl w:val="0"/>
          <w:numId w:val="1204"/>
        </w:numPr>
        <w:pStyle w:val="Compact"/>
      </w:pPr>
      <w:r>
        <w:t xml:space="preserve">Chez des rats ayant subi un AVC provoqué artificiellement, la Cerebrolysin a amélioré de façon dose-dépendante la récupération neurologique à 28 jours dans une étude animale randomisée et en aveugle</w:t>
      </w:r>
      <w:r>
        <w:rPr>
          <w:rStyle w:val="FootnoteReference"/>
        </w:rPr>
        <w:footnoteReference w:id="1698"/>
      </w:r>
      <w:r>
        <w:t xml:space="preserve">.</w:t>
      </w:r>
    </w:p>
    <w:p>
      <w:pPr>
        <w:numPr>
          <w:ilvl w:val="0"/>
          <w:numId w:val="1204"/>
        </w:numPr>
        <w:pStyle w:val="Compact"/>
      </w:pPr>
      <w:r>
        <w:t xml:space="preserve">Chez des rats présentant une lésion cérébrale légère, la Cerebrolysin a réduit les lésions axonales et favorisé la formation de nouveaux neurones dans l’hippocampe</w:t>
      </w:r>
      <w:r>
        <w:rPr>
          <w:rStyle w:val="FootnoteReference"/>
        </w:rPr>
        <w:footnoteReference w:id="1699"/>
      </w:r>
      <w:r>
        <w:t xml:space="preserve">.</w:t>
      </w:r>
    </w:p>
    <w:p>
      <w:pPr>
        <w:numPr>
          <w:ilvl w:val="0"/>
          <w:numId w:val="1204"/>
        </w:numPr>
        <w:pStyle w:val="Compact"/>
      </w:pPr>
      <w:r>
        <w:t xml:space="preserve">Dans un modèle murin de la maladie héréditaire CADASIL, la Cerebrolysin a prolongé la durée de vie et amélioré la mémoire spatiale, sans influencer les modifications typiques de la substance blanche</w:t>
      </w:r>
      <w:r>
        <w:rPr>
          <w:rStyle w:val="FootnoteReference"/>
        </w:rPr>
        <w:footnoteReference w:id="1700"/>
      </w:r>
      <w:r>
        <w:t xml:space="preserve">.</w:t>
      </w:r>
    </w:p>
    <w:p>
      <w:pPr>
        <w:pStyle w:val="FirstParagraph"/>
      </w:pPr>
      <w:r>
        <w:t xml:space="preserve">Les études précliniques proviennent pour une part importante de collaborations avec le fabricant. Pour les médicaments de l’AVC, de bons résultats chez l’animal se sont jusqu’ici rarement traduits par un bénéfice clinique.</w:t>
      </w:r>
    </w:p>
    <w:bookmarkEnd w:id="1701"/>
    <w:bookmarkStart w:id="1705" w:name="risques-et-effets-indésirables-36"/>
    <w:p>
      <w:pPr>
        <w:pStyle w:val="Heading3"/>
      </w:pPr>
      <w:r>
        <w:t xml:space="preserve">Risques et effets indésirables</w:t>
      </w:r>
    </w:p>
    <w:p>
      <w:pPr>
        <w:pStyle w:val="FirstParagraph"/>
      </w:pPr>
      <w:r>
        <w:rPr>
          <w:bCs/>
          <w:b/>
        </w:rPr>
        <w:t xml:space="preserve">Établi :</w:t>
      </w:r>
    </w:p>
    <w:p>
      <w:pPr>
        <w:numPr>
          <w:ilvl w:val="0"/>
          <w:numId w:val="1205"/>
        </w:numPr>
        <w:pStyle w:val="Compact"/>
      </w:pPr>
      <w:r>
        <w:t xml:space="preserve">Dans les études, les effets indésirables étaient globalement aussi fréquents que sous placebo. Sont notamment cités des maux de tête, des vertiges et une agitation</w:t>
      </w:r>
      <w:r>
        <w:rPr>
          <w:rStyle w:val="FootnoteReference"/>
        </w:rPr>
        <w:footnoteReference w:id="1702"/>
      </w:r>
      <w:r>
        <w:t xml:space="preserve">.</w:t>
      </w:r>
    </w:p>
    <w:p>
      <w:pPr>
        <w:numPr>
          <w:ilvl w:val="0"/>
          <w:numId w:val="1205"/>
        </w:numPr>
        <w:pStyle w:val="Compact"/>
      </w:pPr>
      <w:r>
        <w:t xml:space="preserve">La revue Cochrane sur l’AVC a trouvé davantage d’</w:t>
      </w:r>
      <w:r>
        <w:rPr>
          <w:bCs/>
          <w:b/>
        </w:rPr>
        <w:t xml:space="preserve">événements indésirables graves non mortels</w:t>
      </w:r>
      <w:r>
        <w:t xml:space="preserve"> </w:t>
      </w:r>
      <w:r>
        <w:t xml:space="preserve">sous Cerebrolysin (RR 2,39 ; Ziganshina 2023, PMID 37818733), la méta-analyse de sécurité proche du fabricant non</w:t>
      </w:r>
      <w:r>
        <w:rPr>
          <w:rStyle w:val="FootnoteReference"/>
        </w:rPr>
        <w:footnoteReference w:id="1703"/>
      </w:r>
      <w:r>
        <w:t xml:space="preserve">.</w:t>
      </w:r>
    </w:p>
    <w:p>
      <w:pPr>
        <w:numPr>
          <w:ilvl w:val="0"/>
          <w:numId w:val="1205"/>
        </w:numPr>
        <w:pStyle w:val="Compact"/>
      </w:pPr>
      <w:r>
        <w:rPr>
          <w:bCs/>
          <w:b/>
        </w:rPr>
        <w:t xml:space="preserve">Réactions allergiques :</w:t>
      </w:r>
      <w:r>
        <w:t xml:space="preserve"> </w:t>
      </w:r>
      <w:r>
        <w:t xml:space="preserve">un rapport de cas documenté en détail décrit une réaction anaphylactique mettant en jeu le pronostic vital chez un homme de 85 ans après une perfusion de Cerebrolysin ; les auteurs soulignent que de tels cas sont rares, mais importants chez les personnes gravement malades</w:t>
      </w:r>
      <w:r>
        <w:rPr>
          <w:rStyle w:val="FootnoteReference"/>
        </w:rPr>
        <w:footnoteReference w:id="1704"/>
      </w:r>
      <w:r>
        <w:t xml:space="preserve">.</w:t>
      </w:r>
    </w:p>
    <w:p>
      <w:pPr>
        <w:pStyle w:val="FirstParagraph"/>
      </w:pPr>
      <w:r>
        <w:rPr>
          <w:bCs/>
          <w:b/>
        </w:rPr>
        <w:t xml:space="preserve">Théorique :</w:t>
      </w:r>
      <w:r>
        <w:t xml:space="preserve"> </w:t>
      </w:r>
      <w:r>
        <w:t xml:space="preserve">en tant que préparation issue de tissu cérébral animal, la Cerebrolysin est par principe liée à des questions de pureté et de transmissibilité d’agents pathogènes ; les procédés de fabrication et les exigences des autorités doivent minimiser ce risque. Aucun cas concret de transmission n’est décrit dans les sources analysées ici.</w:t>
      </w:r>
    </w:p>
    <w:p>
      <w:pPr>
        <w:pStyle w:val="BodyText"/>
      </w:pPr>
      <w:r>
        <w:rPr>
          <w:bCs/>
          <w:b/>
        </w:rPr>
        <w:t xml:space="preserve">Marché gris :</w:t>
      </w:r>
      <w:r>
        <w:t xml:space="preserve"> </w:t>
      </w:r>
      <w:r>
        <w:t xml:space="preserve">dans les forums de nootropiques, la Cerebrolysin est discutée comme « booster cérébral » et achetée dans des pays où elle est disponible. L’auto-administration intraveineuse sans surveillance médicale comporte le risque de réactions allergiques graves pour lesquelles aucune prise en charge d’urgence n’est alors disponible. Plus de détails sur les produits du marché gris dans la partie I et la partie IV.</w:t>
      </w:r>
    </w:p>
    <w:bookmarkEnd w:id="1705"/>
    <w:bookmarkStart w:id="1706" w:name="statut-juridique-36"/>
    <w:p>
      <w:pPr>
        <w:pStyle w:val="Heading3"/>
      </w:pPr>
      <w:r>
        <w:t xml:space="preserve">Statut juridique</w:t>
      </w:r>
    </w:p>
    <w:p>
      <w:pPr>
        <w:numPr>
          <w:ilvl w:val="0"/>
          <w:numId w:val="1206"/>
        </w:numPr>
        <w:pStyle w:val="Compact"/>
      </w:pPr>
      <w:r>
        <w:rPr>
          <w:bCs/>
          <w:b/>
        </w:rPr>
        <w:t xml:space="preserve">UE / Autriche / Allemagne :</w:t>
      </w:r>
      <w:r>
        <w:t xml:space="preserve"> </w:t>
      </w:r>
      <w:r>
        <w:t xml:space="preserve">pas d’autorisation centralisée de l’UE. En Autriche, la Cerebrolysin est autorisée au niveau national comme médicament soumis à prescription ; les indications et le remboursement relèvent du résumé des caractéristiques du produit autrichien. D’autres États de l’UE ont leurs propres autorisations nationales. En Allemagne, la Cerebrolysin n’est pas commercialisée à notre connaissance ; un approvisionnement ne serait possible, le cas échéant, que par importation individuelle sur prescription médicale.</w:t>
      </w:r>
    </w:p>
    <w:p>
      <w:pPr>
        <w:numPr>
          <w:ilvl w:val="0"/>
          <w:numId w:val="1206"/>
        </w:numPr>
        <w:pStyle w:val="Compact"/>
      </w:pPr>
      <w:r>
        <w:rPr>
          <w:bCs/>
          <w:b/>
        </w:rPr>
        <w:t xml:space="preserve">États-Unis :</w:t>
      </w:r>
      <w:r>
        <w:t xml:space="preserve"> </w:t>
      </w:r>
      <w:r>
        <w:t xml:space="preserve">non autorisée.</w:t>
      </w:r>
    </w:p>
    <w:p>
      <w:pPr>
        <w:numPr>
          <w:ilvl w:val="0"/>
          <w:numId w:val="1206"/>
        </w:numPr>
        <w:pStyle w:val="Compact"/>
      </w:pPr>
      <w:r>
        <w:rPr>
          <w:bCs/>
          <w:b/>
        </w:rPr>
        <w:t xml:space="preserve">Sport :</w:t>
      </w:r>
      <w:r>
        <w:t xml:space="preserve"> </w:t>
      </w:r>
      <w:r>
        <w:t xml:space="preserve">pas sur la liste de l’AMA (état 2026, à vérifier).</w:t>
      </w:r>
    </w:p>
    <w:p>
      <w:pPr>
        <w:numPr>
          <w:ilvl w:val="0"/>
          <w:numId w:val="1206"/>
        </w:numPr>
        <w:pStyle w:val="Compact"/>
      </w:pPr>
      <w:r>
        <w:t xml:space="preserve">En cas d’utilisation autorisée : se référer au résumé des caractéristiques du produit et à un encadrement médical.</w:t>
      </w:r>
    </w:p>
    <w:bookmarkEnd w:id="1706"/>
    <w:bookmarkStart w:id="1710" w:name="études-en-cours-et-perspectives-36"/>
    <w:p>
      <w:pPr>
        <w:pStyle w:val="Heading3"/>
      </w:pPr>
      <w:r>
        <w:t xml:space="preserve">Études en cours et perspectives</w:t>
      </w:r>
    </w:p>
    <w:p>
      <w:pPr>
        <w:pStyle w:val="FirstParagraph"/>
      </w:pPr>
      <w:r>
        <w:rPr>
          <w:bCs/>
          <w:b/>
        </w:rPr>
        <w:t xml:space="preserve">Établi (études enregistrées, état octobre 2026) :</w:t>
      </w:r>
    </w:p>
    <w:p>
      <w:pPr>
        <w:numPr>
          <w:ilvl w:val="0"/>
          <w:numId w:val="1207"/>
        </w:numPr>
        <w:pStyle w:val="Compact"/>
      </w:pPr>
      <w:r>
        <w:rPr>
          <w:bCs/>
          <w:b/>
        </w:rPr>
        <w:t xml:space="preserve">CERebrolysin In CADASIL</w:t>
      </w:r>
      <w:r>
        <w:rPr>
          <w:rStyle w:val="FootnoteReference"/>
        </w:rPr>
        <w:footnoteReference w:id="1707"/>
      </w:r>
      <w:r>
        <w:t xml:space="preserve"> </w:t>
      </w:r>
      <w:r>
        <w:t xml:space="preserve">: étude de phase 2 portant sur 30 participants dans la maladie vasculaire héréditaire CADASIL, active, recrutement terminé.</w:t>
      </w:r>
    </w:p>
    <w:p>
      <w:pPr>
        <w:numPr>
          <w:ilvl w:val="0"/>
          <w:numId w:val="1207"/>
        </w:numPr>
        <w:pStyle w:val="Compact"/>
      </w:pPr>
      <w:r>
        <w:rPr>
          <w:bCs/>
          <w:b/>
        </w:rPr>
        <w:t xml:space="preserve">Aphasie après un AVC</w:t>
      </w:r>
      <w:r>
        <w:rPr>
          <w:rStyle w:val="FootnoteReference"/>
        </w:rPr>
        <w:footnoteReference w:id="1708"/>
      </w:r>
      <w:r>
        <w:t xml:space="preserve"> </w:t>
      </w:r>
      <w:r>
        <w:t xml:space="preserve">: étude randomisée contrôlée contre placebo portant sur 40 participants en Corée, en recrutement.</w:t>
      </w:r>
    </w:p>
    <w:p>
      <w:pPr>
        <w:numPr>
          <w:ilvl w:val="0"/>
          <w:numId w:val="1207"/>
        </w:numPr>
        <w:pStyle w:val="Compact"/>
      </w:pPr>
      <w:r>
        <w:rPr>
          <w:bCs/>
          <w:b/>
        </w:rPr>
        <w:t xml:space="preserve">Cerebrolysin après thrombectomie étendue</w:t>
      </w:r>
      <w:r>
        <w:rPr>
          <w:rStyle w:val="FootnoteReference"/>
        </w:rPr>
        <w:footnoteReference w:id="1709"/>
      </w:r>
      <w:r>
        <w:t xml:space="preserve"> </w:t>
      </w:r>
      <w:r>
        <w:t xml:space="preserve">: étude de phase 2 avec 100 participants prévus à Taïwan, début en 2026.</w:t>
      </w:r>
    </w:p>
    <w:p>
      <w:pPr>
        <w:numPr>
          <w:ilvl w:val="0"/>
          <w:numId w:val="1207"/>
        </w:numPr>
        <w:pStyle w:val="Compact"/>
      </w:pPr>
      <w:r>
        <w:t xml:space="preserve">D’autres études plus petites sur le délire après chirurgie cardiaque et en soins intensifs, sur l’hémorragie cérébrale et sur la rééducation précoce sont enregistrées.</w:t>
      </w:r>
    </w:p>
    <w:p>
      <w:pPr>
        <w:pStyle w:val="FirstParagraph"/>
      </w:pPr>
      <w:r>
        <w:rPr>
          <w:bCs/>
          <w:b/>
        </w:rPr>
        <w:t xml:space="preserve">Appréciation :</w:t>
      </w:r>
      <w:r>
        <w:t xml:space="preserve"> </w:t>
      </w:r>
      <w:r>
        <w:t xml:space="preserve">aucune des études enregistrées n’est assez vaste pour répondre à la question centrale restée ouverte : la Cerebrolysin réduit-elle le handicap persistant ou la mortalité après un AVC ? Il faudrait pour cela une étude menée de manière indépendante, suffisamment vaste, avec un critère principal clair fixé à l’avance, comme l’échelle de Rankin modifiée à 90 jours. Tant qu’elle fera défaut, l’évaluation restera partagée entre « établie en Europe de l’Est et en Asie » et « insuffisamment démontrée en Occident ».</w:t>
      </w:r>
    </w:p>
    <w:bookmarkEnd w:id="1710"/>
    <w:bookmarkStart w:id="1711" w:name="conclusion-36"/>
    <w:p>
      <w:pPr>
        <w:pStyle w:val="Heading3"/>
      </w:pPr>
      <w:r>
        <w:t xml:space="preserve">Conclusion</w:t>
      </w:r>
    </w:p>
    <w:p>
      <w:pPr>
        <w:pStyle w:val="FirstParagraph"/>
      </w:pPr>
      <w:r>
        <w:t xml:space="preserve">La Cerebrolysin est un mélange de peptides obtenu à partir de cerveau de porc, utilisé en Autriche et dans de nombreux pays d’Europe de l’Est et d’Asie dans l’AVC, le traumatisme crânien et la démence. De nombreuses études randomisées montrent des améliorations précoces sur des échelles neurologiques, mais la plus grande étude (CASTA), portant sur plus de 1 000 personnes, a manqué son critère principal. Les revues Cochrane indépendantes ne trouvent aucun effet sur la mortalité, un signal d’effets indésirables graves non mortels plus nombreux dans l’AVC et seulement des avantages très incertains dans la démence vasculaire. Les analyses proches du fabricant aboutissent à des résultats nettement plus positifs. Les données ne suffisent pas pour démontrer avec certitude un bénéfice à long terme cliniquement significatif ; en automédication ou comme « nootropique », la Cerebrolysin est inadaptée.</w:t>
      </w:r>
    </w:p>
    <w:bookmarkEnd w:id="1711"/>
    <w:bookmarkEnd w:id="1712"/>
    <w:bookmarkStart w:id="1734" w:name="dihexa"/>
    <w:p>
      <w:pPr>
        <w:pStyle w:val="Heading2"/>
      </w:pPr>
      <w:r>
        <w:t xml:space="preserve">Dihexa</w:t>
      </w:r>
    </w:p>
    <w:bookmarkStart w:id="1713" w:name="fiche-signalétique-37"/>
    <w:p>
      <w:pPr>
        <w:pStyle w:val="Heading3"/>
      </w:pPr>
      <w:r>
        <w:t xml:space="preserve">Fiche signalétique</w:t>
      </w:r>
    </w:p>
    <w:p>
      <w:pPr>
        <w:numPr>
          <w:ilvl w:val="0"/>
          <w:numId w:val="1208"/>
        </w:numPr>
        <w:pStyle w:val="Compact"/>
      </w:pPr>
      <w:r>
        <w:rPr>
          <w:bCs/>
          <w:b/>
        </w:rPr>
        <w:t xml:space="preserve">Nature et structure :</w:t>
      </w:r>
      <w:r>
        <w:t xml:space="preserve"> </w:t>
      </w:r>
      <w:r>
        <w:t xml:space="preserve">mini-peptide chimiquement modifié, dérivé de l’angiotensine IV, un fragment du système hormonal de régulation de la pression artérielle. Le noyau se compose de deux acides aminés (tyrosine et isoleucine), pourvus aux deux extrémités de chaînes semblables à des acides gras ; nom chimique N-hexanoyl-Tyr-Ile-(6)-amide d’acide aminohexanoïque, code de recherche PNB-0408.</w:t>
      </w:r>
    </w:p>
    <w:p>
      <w:pPr>
        <w:numPr>
          <w:ilvl w:val="0"/>
          <w:numId w:val="1208"/>
        </w:numPr>
        <w:pStyle w:val="Compact"/>
      </w:pPr>
      <w:r>
        <w:rPr>
          <w:bCs/>
          <w:b/>
        </w:rPr>
        <w:t xml:space="preserve">Origine :</w:t>
      </w:r>
      <w:r>
        <w:t xml:space="preserve"> </w:t>
      </w:r>
      <w:r>
        <w:t xml:space="preserve">développée vers 2012 à la Washington State University (États-Unis).</w:t>
      </w:r>
    </w:p>
    <w:p>
      <w:pPr>
        <w:numPr>
          <w:ilvl w:val="0"/>
          <w:numId w:val="1208"/>
        </w:numPr>
        <w:pStyle w:val="Compact"/>
      </w:pPr>
      <w:r>
        <w:rPr>
          <w:bCs/>
          <w:b/>
        </w:rPr>
        <w:t xml:space="preserve">Principe d’action :</w:t>
      </w:r>
      <w:r>
        <w:t xml:space="preserve"> </w:t>
      </w:r>
      <w:r>
        <w:t xml:space="preserve">renforcerait le système de facteur de croissance HGF/c-Met (HGF = facteur de croissance des hépatocytes, c-Met = son récepteur) et stimulerait ainsi la formation de nouvelles connexions nerveuses (synapses).</w:t>
      </w:r>
    </w:p>
    <w:p>
      <w:pPr>
        <w:numPr>
          <w:ilvl w:val="0"/>
          <w:numId w:val="1208"/>
        </w:numPr>
        <w:pStyle w:val="Compact"/>
      </w:pPr>
      <w:r>
        <w:rPr>
          <w:bCs/>
          <w:b/>
        </w:rPr>
        <w:t xml:space="preserve">Autorisation UE :</w:t>
      </w:r>
      <w:r>
        <w:t xml:space="preserve"> </w:t>
      </w:r>
      <w:r>
        <w:t xml:space="preserve">non.</w:t>
      </w:r>
    </w:p>
    <w:p>
      <w:pPr>
        <w:numPr>
          <w:ilvl w:val="0"/>
          <w:numId w:val="1208"/>
        </w:numPr>
        <w:pStyle w:val="Compact"/>
      </w:pPr>
      <w:r>
        <w:rPr>
          <w:bCs/>
          <w:b/>
        </w:rPr>
        <w:t xml:space="preserve">Autorisation États-Unis :</w:t>
      </w:r>
      <w:r>
        <w:t xml:space="preserve"> </w:t>
      </w:r>
      <w:r>
        <w:t xml:space="preserve">non. La Dihexa figurait à partir de 2023 dans la « catégorie 2 » de la FDA pour les substances de préparation magistrale présentant des problèmes de sécurité ; elle en a été retirée en avril 2026, et une évaluation par le comité consultatif PCAC est annoncée pour une séance d’ici février 2027 (état octobre 2026, à vérifier).</w:t>
      </w:r>
    </w:p>
    <w:p>
      <w:pPr>
        <w:numPr>
          <w:ilvl w:val="0"/>
          <w:numId w:val="1208"/>
        </w:numPr>
        <w:pStyle w:val="Compact"/>
      </w:pPr>
      <w:r>
        <w:rPr>
          <w:bCs/>
          <w:b/>
        </w:rPr>
        <w:t xml:space="preserve">AMA (WADA) :</w:t>
      </w:r>
      <w:r>
        <w:t xml:space="preserve"> </w:t>
      </w:r>
      <w:r>
        <w:t xml:space="preserve">pas nommément listée ; en tant que substance autorisée nulle part, la Dihexa relève selon notre appréciation de la catégorie générale S0 « substances non approuvées ».</w:t>
      </w:r>
    </w:p>
    <w:p>
      <w:pPr>
        <w:numPr>
          <w:ilvl w:val="0"/>
          <w:numId w:val="1208"/>
        </w:numPr>
        <w:pStyle w:val="Compact"/>
      </w:pPr>
      <w:r>
        <w:rPr>
          <w:bCs/>
          <w:b/>
        </w:rPr>
        <w:t xml:space="preserve">Niveau de preuve :</w:t>
      </w:r>
      <w:r>
        <w:t xml:space="preserve"> </w:t>
      </w:r>
      <w:r>
        <w:rPr>
          <w:bCs/>
          <w:b/>
        </w:rPr>
        <w:t xml:space="preserve">D</w:t>
      </w:r>
      <w:r>
        <w:t xml:space="preserve"> </w:t>
      </w:r>
      <w:r>
        <w:t xml:space="preserve">– pas une seule étude publiée chez l’humain.</w:t>
      </w:r>
    </w:p>
    <w:bookmarkEnd w:id="1713"/>
    <w:bookmarkStart w:id="1716" w:name="mode-daction-supposé-37"/>
    <w:p>
      <w:pPr>
        <w:pStyle w:val="Heading3"/>
      </w:pPr>
      <w:r>
        <w:t xml:space="preserve">Mode d’action supposé</w:t>
      </w:r>
    </w:p>
    <w:p>
      <w:pPr>
        <w:pStyle w:val="FirstParagraph"/>
      </w:pPr>
      <w:r>
        <w:t xml:space="preserve">L’angiotensine IV est un peptide court qui se forme dans l’organisme à partir de l’hormone de la pression artérielle angiotensine II. Depuis les années 1990, des chercheurs ont observé que l’angiotensine IV et des molécules apparentées amélioraient l’apprentissage et la mémoire chez le rat lorsqu’on les injectait directement dans le cerveau. Pour un médicament, c’était inutilisable : les peptides étaient rapidement dégradés et ne passaient ni de l’intestin dans le sang ni à travers la barrière hémato-encéphalique.</w:t>
      </w:r>
    </w:p>
    <w:p>
      <w:pPr>
        <w:pStyle w:val="BodyText"/>
      </w:pPr>
      <w:r>
        <w:t xml:space="preserve">Le groupe de Joseph Harding et John Wright, dans l’État de Washington, a donc réduit la molécule à son noyau actif et l’a dotée de groupements chimiques protecteurs. Le résultat fut la Dihexa : stable face à la dégradation, active par voie orale chez le rat et capable de pénétrer dans le cerveau. Chez des rats présentant un trouble de la mémoire induit par un médicament et chez des rats âgés, elle a amélioré les performances dans le labyrinthe aquatique et favorisé la formation de synapses dans l’hippocampe</w:t>
      </w:r>
      <w:r>
        <w:rPr>
          <w:rStyle w:val="FootnoteReference"/>
        </w:rPr>
        <w:footnoteReference w:id="1714"/>
      </w:r>
      <w:r>
        <w:t xml:space="preserve">.</w:t>
      </w:r>
    </w:p>
    <w:p>
      <w:pPr>
        <w:pStyle w:val="BodyText"/>
      </w:pPr>
      <w:r>
        <w:t xml:space="preserve">Plus tard, le même groupe a trouvé le mécanisme d’action présumé : la Dihexa se lie au facteur de croissance HGF et renforce son signal sur le récepteur c-Met. Lorsque le système HGF était bloqué dans le cerveau des rats, l’effet favorable sur la mémoire disparaissait</w:t>
      </w:r>
      <w:r>
        <w:rPr>
          <w:rStyle w:val="FootnoteReference"/>
        </w:rPr>
        <w:footnoteReference w:id="1715"/>
      </w:r>
      <w:r>
        <w:t xml:space="preserve">. Ce travail a été rétracté en 2025 par la revue (avis de rétractation : PMID 40312093), de même qu’un autre travail fondamental du même groupe sur les dérivés de l’angiotensine IV comme modulateurs de HGF/c-Met (avis de rétractation : PMID 40312092). Le mécanisme d’action décrit n’est donc plus solidement démontré ; les entrées PubMed n’indiquent pas les motifs de la rétractation.</w:t>
      </w:r>
    </w:p>
    <w:p>
      <w:pPr>
        <w:pStyle w:val="BodyText"/>
      </w:pPr>
      <w:r>
        <w:t xml:space="preserve">Sur Internet, la Dihexa est souvent décrite comme une substance plusieurs fois plus puissante que le facteur de croissance nerveuse BDNF. Ces comparaisons proviennent d’essais en culture cellulaire et ne disent rien sur le fait que la Dihexa agisse chez l’humain, ni comment.</w:t>
      </w:r>
    </w:p>
    <w:bookmarkEnd w:id="1716"/>
    <w:bookmarkStart w:id="1721" w:name="études-chez-lhumain-37"/>
    <w:p>
      <w:pPr>
        <w:pStyle w:val="Heading3"/>
      </w:pPr>
      <w:r>
        <w:t xml:space="preserve">Études chez l’humain</w:t>
      </w:r>
    </w:p>
    <w:p>
      <w:pPr>
        <w:pStyle w:val="FirstParagraph"/>
      </w:pPr>
      <w:r>
        <w:rPr>
          <w:bCs/>
          <w:b/>
        </w:rPr>
        <w:t xml:space="preserve">Ampleur des données :</w:t>
      </w:r>
      <w:r>
        <w:t xml:space="preserve"> </w:t>
      </w:r>
      <w:r>
        <w:t xml:space="preserve">la requête PubMed automatisée (octobre 2026) n’a donné</w:t>
      </w:r>
      <w:r>
        <w:t xml:space="preserve"> </w:t>
      </w:r>
      <w:r>
        <w:rPr>
          <w:bCs/>
          <w:b/>
        </w:rPr>
        <w:t xml:space="preserve">aucune</w:t>
      </w:r>
      <w:r>
        <w:t xml:space="preserve"> </w:t>
      </w:r>
      <w:r>
        <w:t xml:space="preserve">étude chez l’humain avec la Dihexa ; au total, PubMed ne recense que 18 travaux avec ce terme de recherche, dont plusieurs sans rapport avec la substance. Aucune étude n’est enregistrée sur ClinicalTrials.gov. Une recherche complémentaire ciblée de rapports de cas, d’intoxications ou d’analyses de produits du marché gris est également restée sans résultat.</w:t>
      </w:r>
    </w:p>
    <w:p>
      <w:pPr>
        <w:pStyle w:val="BodyText"/>
      </w:pPr>
      <w:r>
        <w:t xml:space="preserve">Il n’existe donc aucune donnée sur l’efficacité, la tolérance, la durée d’action ou les quantités appropriées chez l’humain. Tout ce qui est rapporté sur un effet chez l’humain provient de témoignages sur des forums.</w:t>
      </w:r>
    </w:p>
    <w:bookmarkStart w:id="1720" w:name="une-parente-en-clinique-le-fosgonimeton"/>
    <w:p>
      <w:pPr>
        <w:pStyle w:val="Heading4"/>
      </w:pPr>
      <w:r>
        <w:t xml:space="preserve">Une parente en clinique : le fosgonimeton</w:t>
      </w:r>
    </w:p>
    <w:p>
      <w:pPr>
        <w:pStyle w:val="FirstParagraph"/>
      </w:pPr>
      <w:r>
        <w:t xml:space="preserve">Le sort d’une autre substance, issue de la même approche de recherche – le renforcement du système HGF/c-Met –, est instructif. La société Athira Pharma a développé le fosgonimeton (ATH-1017), une molécule chimiquement différente, censée elle aussi influencer positivement HGF/c-Met. Le fosgonimeton a – contrairement à la Dihexa – été testé dans des études cliniques régulières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Phase 1 (Hua 2022), PMID 35180125</w:t>
            </w:r>
          </w:p>
        </w:tc>
        <w:tc>
          <w:tcPr/>
          <w:p>
            <w:pPr>
              <w:pStyle w:val="Compact"/>
              <w:jc w:val="left"/>
            </w:pPr>
            <w:r>
              <w:t xml:space="preserve">88 personnes (en bonne santé et 11 personnes atteintes d’Alzheimer), double aveugle contre placebo</w:t>
            </w:r>
          </w:p>
        </w:tc>
        <w:tc>
          <w:tcPr/>
          <w:p>
            <w:pPr>
              <w:pStyle w:val="Compact"/>
              <w:jc w:val="left"/>
            </w:pPr>
            <w:r>
              <w:t xml:space="preserve">jusqu’à 9 jours</w:t>
            </w:r>
          </w:p>
        </w:tc>
        <w:tc>
          <w:tcPr/>
          <w:p>
            <w:pPr>
              <w:pStyle w:val="Compact"/>
              <w:jc w:val="left"/>
            </w:pPr>
            <w:r>
              <w:t xml:space="preserve">bien toléré ; modifications de l’EEG suggérant un passage dans le cerveau</w:t>
            </w:r>
          </w:p>
        </w:tc>
      </w:tr>
      <w:tr>
        <w:tc>
          <w:tcPr/>
          <w:p>
            <w:pPr>
              <w:pStyle w:val="Compact"/>
              <w:jc w:val="left"/>
            </w:pPr>
            <w:r>
              <w:t xml:space="preserve">LIFT-AD (Porsteinsson 2025), PMID 41393340</w:t>
            </w:r>
          </w:p>
        </w:tc>
        <w:tc>
          <w:tcPr/>
          <w:p>
            <w:pPr>
              <w:pStyle w:val="Compact"/>
              <w:jc w:val="left"/>
            </w:pPr>
            <w:r>
              <w:t xml:space="preserve">287 personnes atteintes d’Alzheimer léger à modéré dans l’analyse principale, phase 2/3 contre placebo</w:t>
            </w:r>
          </w:p>
        </w:tc>
        <w:tc>
          <w:tcPr/>
          <w:p>
            <w:pPr>
              <w:pStyle w:val="Compact"/>
              <w:jc w:val="left"/>
            </w:pPr>
            <w:r>
              <w:t xml:space="preserve">26 semaines</w:t>
            </w:r>
          </w:p>
        </w:tc>
        <w:tc>
          <w:tcPr/>
          <w:p>
            <w:pPr>
              <w:pStyle w:val="Compact"/>
              <w:jc w:val="left"/>
            </w:pPr>
            <w:r>
              <w:t xml:space="preserve">critères principaux et secondaires manqués ; plus d’arrêts de traitement pour effets indésirables (14,2 % vs 4,6 %)</w:t>
            </w:r>
          </w:p>
        </w:tc>
      </w:tr>
    </w:tbl>
    <w:p>
      <w:pPr>
        <w:pStyle w:val="BodyText"/>
      </w:pPr>
      <w:r>
        <w:t xml:space="preserve">Dans LIFT-AD</w:t>
      </w:r>
      <w:r>
        <w:rPr>
          <w:rStyle w:val="FootnoteReference"/>
        </w:rPr>
        <w:footnoteReference w:id="1717"/>
      </w:r>
      <w:r>
        <w:t xml:space="preserve">, le fosgonimeton ne différait significativement du placebo ni sur le critère principal combiné ni sur les échelles de mémoire ou d’autonomie au quotidien. Les événements indésirables graves étaient équilibrés (4,2 % contre 6,9 %), les arrêts de traitement pour effets indésirables – surtout des réactions au point d’injection – étaient plus fréquents sous fosgonimeton</w:t>
      </w:r>
      <w:r>
        <w:rPr>
          <w:rStyle w:val="FootnoteReference"/>
        </w:rPr>
        <w:footnoteReference w:id="1718"/>
      </w:r>
      <w:r>
        <w:t xml:space="preserve">. Une étude dans la démence parkinsonienne et la démence à corps de Lewy a été arrêtée prématurément</w:t>
      </w:r>
      <w:r>
        <w:rPr>
          <w:rStyle w:val="FootnoteReference"/>
        </w:rPr>
        <w:footnoteReference w:id="1719"/>
      </w:r>
      <w:r>
        <w:t xml:space="preserve">.</w:t>
      </w:r>
    </w:p>
    <w:p>
      <w:pPr>
        <w:pStyle w:val="BodyText"/>
      </w:pPr>
      <w:r>
        <w:t xml:space="preserve">Cela ne prouve pas que la Dihexa serait inefficace – il s’agit d’une autre substance. Cela montre toutefois à quel point les améliorations de la mémoire chez le rat se transposent mal aux personnes atteintes de démence.</w:t>
      </w:r>
    </w:p>
    <w:bookmarkEnd w:id="1720"/>
    <w:bookmarkEnd w:id="1721"/>
    <w:bookmarkStart w:id="1728" w:name="études-animales-et-de-laboratoire-37"/>
    <w:p>
      <w:pPr>
        <w:pStyle w:val="Heading3"/>
      </w:pPr>
      <w:r>
        <w:t xml:space="preserve">Études animales et de laboratoire</w:t>
      </w:r>
    </w:p>
    <w:p>
      <w:pPr>
        <w:numPr>
          <w:ilvl w:val="0"/>
          <w:numId w:val="1209"/>
        </w:numPr>
        <w:pStyle w:val="Compact"/>
      </w:pPr>
      <w:r>
        <w:t xml:space="preserve">Chez des rats présentant un trouble de la mémoire dû à la scopolamine et chez des rats âgés, la Dihexa a amélioré l’apprentissage spatial et favorisé la formation de synapses</w:t>
      </w:r>
      <w:r>
        <w:rPr>
          <w:rStyle w:val="FootnoteReference"/>
        </w:rPr>
        <w:footnoteReference w:id="1722"/>
      </w:r>
      <w:r>
        <w:t xml:space="preserve">.</w:t>
      </w:r>
    </w:p>
    <w:p>
      <w:pPr>
        <w:numPr>
          <w:ilvl w:val="0"/>
          <w:numId w:val="1209"/>
        </w:numPr>
        <w:pStyle w:val="Compact"/>
      </w:pPr>
      <w:r>
        <w:t xml:space="preserve">Chez des souris modèles de la maladie d’Alzheimer (APP/PS1), la Dihexa a amélioré l’apprentissage dans le labyrinthe aquatique et réduit les signes d’inflammation dans le cerveau</w:t>
      </w:r>
      <w:r>
        <w:rPr>
          <w:rStyle w:val="FootnoteReference"/>
        </w:rPr>
        <w:footnoteReference w:id="1723"/>
      </w:r>
      <w:r>
        <w:t xml:space="preserve">.</w:t>
      </w:r>
    </w:p>
    <w:p>
      <w:pPr>
        <w:numPr>
          <w:ilvl w:val="0"/>
          <w:numId w:val="1209"/>
        </w:numPr>
        <w:pStyle w:val="Compact"/>
      </w:pPr>
      <w:r>
        <w:t xml:space="preserve">Dans un modèle de la maladie de Huntington chez le rat, la Dihexa n’a</w:t>
      </w:r>
      <w:r>
        <w:t xml:space="preserve"> </w:t>
      </w:r>
      <w:r>
        <w:rPr>
          <w:bCs/>
          <w:b/>
        </w:rPr>
        <w:t xml:space="preserve">pas</w:t>
      </w:r>
      <w:r>
        <w:t xml:space="preserve"> </w:t>
      </w:r>
      <w:r>
        <w:t xml:space="preserve">protégé contre les déficits</w:t>
      </w:r>
      <w:r>
        <w:rPr>
          <w:rStyle w:val="FootnoteReference"/>
        </w:rPr>
        <w:footnoteReference w:id="1724"/>
      </w:r>
      <w:r>
        <w:t xml:space="preserve">.</w:t>
      </w:r>
    </w:p>
    <w:p>
      <w:pPr>
        <w:numPr>
          <w:ilvl w:val="0"/>
          <w:numId w:val="1209"/>
        </w:numPr>
        <w:pStyle w:val="Compact"/>
      </w:pPr>
      <w:r>
        <w:t xml:space="preserve">Chez des larves de poisson-zèbre, la Dihexa a protégé les cellules ciliées sensorielles contre les lésions causées par certains antibiotiques</w:t>
      </w:r>
      <w:r>
        <w:rPr>
          <w:rStyle w:val="FootnoteReference"/>
        </w:rPr>
        <w:footnoteReference w:id="1725"/>
      </w:r>
      <w:r>
        <w:t xml:space="preserve">.</w:t>
      </w:r>
    </w:p>
    <w:p>
      <w:pPr>
        <w:numPr>
          <w:ilvl w:val="0"/>
          <w:numId w:val="1209"/>
        </w:numPr>
        <w:pStyle w:val="Compact"/>
      </w:pPr>
      <w:r>
        <w:t xml:space="preserve">En recherche sur les cellules souches, la Dihexa est utilisée comme substitut bon marché des facteurs de croissance pour produire des cellules semblables aux hépatocytes</w:t>
      </w:r>
      <w:r>
        <w:rPr>
          <w:rStyle w:val="FootnoteReference"/>
        </w:rPr>
        <w:footnoteReference w:id="1726"/>
      </w:r>
      <w:r>
        <w:t xml:space="preserve"> </w:t>
      </w:r>
      <w:r>
        <w:t xml:space="preserve">– un indice de l’étendue de l’action du système HGF dans l’organisme.</w:t>
      </w:r>
    </w:p>
    <w:p>
      <w:pPr>
        <w:pStyle w:val="FirstParagraph"/>
      </w:pPr>
      <w:r>
        <w:t xml:space="preserve">Une revue systématique des dérivés de l’angiotensine IV a trouvé des effets favorables dans huit des neuf études animales sur les troubles de la mémoire, mais souligne que les substances agissaient le mieux lorsqu’elles étaient administrées directement dans le cerveau</w:t>
      </w:r>
      <w:r>
        <w:rPr>
          <w:rStyle w:val="FootnoteReference"/>
        </w:rPr>
        <w:footnoteReference w:id="1727"/>
      </w:r>
      <w:r>
        <w:t xml:space="preserve">.</w:t>
      </w:r>
    </w:p>
    <w:bookmarkEnd w:id="1728"/>
    <w:bookmarkStart w:id="1730" w:name="risques-et-effets-indésirables-37"/>
    <w:p>
      <w:pPr>
        <w:pStyle w:val="Heading3"/>
      </w:pPr>
      <w:r>
        <w:t xml:space="preserve">Risques et effets indésirables</w:t>
      </w:r>
    </w:p>
    <w:p>
      <w:pPr>
        <w:pStyle w:val="FirstParagraph"/>
      </w:pPr>
      <w:r>
        <w:rPr>
          <w:bCs/>
          <w:b/>
        </w:rPr>
        <w:t xml:space="preserve">Établi :</w:t>
      </w:r>
      <w:r>
        <w:t xml:space="preserve"> </w:t>
      </w:r>
      <w:r>
        <w:t xml:space="preserve">il n’existe aucune donnée de sécurité publiée chez l’humain – ni issue d’études ni de rapports de cas.</w:t>
      </w:r>
    </w:p>
    <w:p>
      <w:pPr>
        <w:pStyle w:val="BodyText"/>
      </w:pPr>
      <w:r>
        <w:rPr>
          <w:bCs/>
          <w:b/>
        </w:rPr>
        <w:t xml:space="preserve">Théorique – et à prendre au sérieux :</w:t>
      </w:r>
      <w:r>
        <w:t xml:space="preserve"> </w:t>
      </w:r>
      <w:r>
        <w:t xml:space="preserve">le système HGF/c-Met n’est pas important seulement pour les neurones. L’activation de c-Met stimule la division cellulaire, la migration cellulaire et le remodelage tissulaire</w:t>
      </w:r>
      <w:r>
        <w:rPr>
          <w:rStyle w:val="FootnoteReference"/>
        </w:rPr>
        <w:footnoteReference w:id="1729"/>
      </w:r>
      <w:r>
        <w:t xml:space="preserve">. En recherche sur le cancer, c-Met est connu comme moteur de la croissance et de la dissémination de différentes tumeurs ; plusieurs médicaments anticancéreux autorisés bloquent précisément ce récepteur. Une substance qui renforce durablement ce signal pourrait théoriquement favoriser la croissance de tumeurs non détectées. Cela n’a jamais été étudié pour la Dihexa – il n’existe pas d’études de toxicité à long terme accessibles au public. (Plus de détails sur les signaux de croissance et le risque de cancer dans la partie IV.)</w:t>
      </w:r>
    </w:p>
    <w:p>
      <w:pPr>
        <w:pStyle w:val="BodyText"/>
      </w:pPr>
      <w:r>
        <w:rPr>
          <w:bCs/>
          <w:b/>
        </w:rPr>
        <w:t xml:space="preserve">Marché gris :</w:t>
      </w:r>
      <w:r>
        <w:t xml:space="preserve"> </w:t>
      </w:r>
      <w:r>
        <w:t xml:space="preserve">la Dihexa est vendue en ligne sous forme de poudre, de gélules ou de solution, parfois à avaler, parfois à appliquer sur la peau. La teneur et la pureté ne sont pas contrôlées.</w:t>
      </w:r>
    </w:p>
    <w:bookmarkEnd w:id="1730"/>
    <w:bookmarkStart w:id="1731" w:name="statut-juridique-37"/>
    <w:p>
      <w:pPr>
        <w:pStyle w:val="Heading3"/>
      </w:pPr>
      <w:r>
        <w:t xml:space="preserve">Statut juridique</w:t>
      </w:r>
    </w:p>
    <w:p>
      <w:pPr>
        <w:numPr>
          <w:ilvl w:val="0"/>
          <w:numId w:val="1210"/>
        </w:numPr>
        <w:pStyle w:val="Compact"/>
      </w:pPr>
      <w:r>
        <w:rPr>
          <w:bCs/>
          <w:b/>
        </w:rPr>
        <w:t xml:space="preserve">UE / Autriche / Allemagne :</w:t>
      </w:r>
      <w:r>
        <w:t xml:space="preserve"> </w:t>
      </w:r>
      <w:r>
        <w:t xml:space="preserve">non autorisée. En tant que substance à effet pharmacologique, la Dihexa est considérée comme un médicament ; sa vente en vue d’un usage humain n’est pas permise. La mention « uniquement à des fins de recherche » n’y change rien.</w:t>
      </w:r>
    </w:p>
    <w:p>
      <w:pPr>
        <w:numPr>
          <w:ilvl w:val="0"/>
          <w:numId w:val="1210"/>
        </w:numPr>
        <w:pStyle w:val="Compact"/>
      </w:pPr>
      <w:r>
        <w:rPr>
          <w:bCs/>
          <w:b/>
        </w:rPr>
        <w:t xml:space="preserve">États-Unis :</w:t>
      </w:r>
      <w:r>
        <w:t xml:space="preserve"> </w:t>
      </w:r>
      <w:r>
        <w:t xml:space="preserve">non autorisée. Depuis avril 2026, elle ne figure plus dans la « catégorie 2 » de la FDA ; le comité consultatif PCAC n’avait pas encore délibéré, en octobre 2026, sur une éventuelle inscription sur la liste des substances autorisées en préparation magistrale (état octobre 2026, à vérifier).</w:t>
      </w:r>
    </w:p>
    <w:p>
      <w:pPr>
        <w:numPr>
          <w:ilvl w:val="0"/>
          <w:numId w:val="1210"/>
        </w:numPr>
        <w:pStyle w:val="Compact"/>
      </w:pPr>
      <w:r>
        <w:rPr>
          <w:bCs/>
          <w:b/>
        </w:rPr>
        <w:t xml:space="preserve">Sport :</w:t>
      </w:r>
      <w:r>
        <w:t xml:space="preserve"> </w:t>
      </w:r>
      <w:r>
        <w:t xml:space="preserve">en tant que substance non approuvée, relève selon notre appréciation de la catégorie S0 de l’AMA (état 2026, à vérifier).</w:t>
      </w:r>
    </w:p>
    <w:bookmarkEnd w:id="1731"/>
    <w:bookmarkStart w:id="1732" w:name="études-en-cours-et-perspectives-37"/>
    <w:p>
      <w:pPr>
        <w:pStyle w:val="Heading3"/>
      </w:pPr>
      <w:r>
        <w:t xml:space="preserve">Études en cours et perspectives</w:t>
      </w:r>
    </w:p>
    <w:p>
      <w:pPr>
        <w:pStyle w:val="FirstParagraph"/>
      </w:pPr>
      <w:r>
        <w:rPr>
          <w:bCs/>
          <w:b/>
        </w:rPr>
        <w:t xml:space="preserve">Établi :</w:t>
      </w:r>
      <w:r>
        <w:t xml:space="preserve"> </w:t>
      </w:r>
      <w:r>
        <w:t xml:space="preserve">aucune étude clinique n’est enregistrée pour la Dihexa (requête d’octobre 2026). L’approche apparentée du fosgonimeton a échoué dans l’étude LIFT-AD sur la maladie d’Alzheimer.</w:t>
      </w:r>
    </w:p>
    <w:p>
      <w:pPr>
        <w:pStyle w:val="BodyText"/>
      </w:pPr>
      <w:r>
        <w:rPr>
          <w:bCs/>
          <w:b/>
        </w:rPr>
        <w:t xml:space="preserve">Appréciation :</w:t>
      </w:r>
      <w:r>
        <w:t xml:space="preserve"> </w:t>
      </w:r>
      <w:r>
        <w:t xml:space="preserve">sans données de toxicité et sans première étude chez l’humain, la Dihexa reste une substance de laboratoire. On ignore si la délibération annoncée du PCAC aux États-Unis y changera quelque chose – elle ne concernerait en tout état de cause que les préparations magistrales en pharmacie, et non l’absence de preuve d’efficacité.</w:t>
      </w:r>
    </w:p>
    <w:bookmarkEnd w:id="1732"/>
    <w:bookmarkStart w:id="1733" w:name="conclusion-37"/>
    <w:p>
      <w:pPr>
        <w:pStyle w:val="Heading3"/>
      </w:pPr>
      <w:r>
        <w:t xml:space="preserve">Conclusion</w:t>
      </w:r>
    </w:p>
    <w:p>
      <w:pPr>
        <w:pStyle w:val="FirstParagraph"/>
      </w:pPr>
      <w:r>
        <w:t xml:space="preserve">La Dihexa est un dérivé chimiquement stabilisé de l’angiotensine IV qui a favorisé l’apprentissage et la formation de synapses chez le rat et la souris, par l’intermédiaire du système de facteur de croissance HGF/c-Met. Elle n’a jamais été étudiée chez l’humain ; une substance apparentée (le fosgonimeton) a manqué tous ses critères dans une étude sur la maladie d’Alzheimer portant sur 287 personnes. Comme c-Met stimule aussi la croissance tumorale, il existe une crainte plausible, mais non vérifiée, concernant le cancer. Les données ne suffisent pas pour juger d’un quelconque bénéfice ni de la sécurité chez l’humain.</w:t>
      </w:r>
    </w:p>
    <w:bookmarkEnd w:id="1733"/>
    <w:bookmarkEnd w:id="1734"/>
    <w:bookmarkStart w:id="1766" w:name="dsip-peptide-inducteur-du-sommeil-delta"/>
    <w:p>
      <w:pPr>
        <w:pStyle w:val="Heading2"/>
      </w:pPr>
      <w:r>
        <w:t xml:space="preserve">DSIP (peptide inducteur du sommeil delta)</w:t>
      </w:r>
    </w:p>
    <w:bookmarkStart w:id="1735" w:name="fiche-signalétique-38"/>
    <w:p>
      <w:pPr>
        <w:pStyle w:val="Heading3"/>
      </w:pPr>
      <w:r>
        <w:t xml:space="preserve">Fiche signalétique</w:t>
      </w:r>
    </w:p>
    <w:p>
      <w:pPr>
        <w:numPr>
          <w:ilvl w:val="0"/>
          <w:numId w:val="1211"/>
        </w:numPr>
        <w:pStyle w:val="Compact"/>
      </w:pPr>
      <w:r>
        <w:rPr>
          <w:bCs/>
          <w:b/>
        </w:rPr>
        <w:t xml:space="preserve">Nature et structure :</w:t>
      </w:r>
      <w:r>
        <w:t xml:space="preserve"> </w:t>
      </w:r>
      <w:r>
        <w:t xml:space="preserve">nonapeptide de neuf acides aminés (Trp-Ala-Gly-Gly-Asp-Ala-Ser-Gly-Glu) ; dénomination commune internationale émideltide.</w:t>
      </w:r>
    </w:p>
    <w:p>
      <w:pPr>
        <w:numPr>
          <w:ilvl w:val="0"/>
          <w:numId w:val="1211"/>
        </w:numPr>
        <w:pStyle w:val="Compact"/>
      </w:pPr>
      <w:r>
        <w:rPr>
          <w:bCs/>
          <w:b/>
        </w:rPr>
        <w:t xml:space="preserve">Origine :</w:t>
      </w:r>
      <w:r>
        <w:t xml:space="preserve"> </w:t>
      </w:r>
      <w:r>
        <w:t xml:space="preserve">isolé en 1977 par un groupe de recherche bâlois à partir du sang veineux cérébral de lapins plongés dans un sommeil profond par stimulation électrique. Ni gène, ni protéine précurseur, ni récepteur du DSIP n’ont été trouvés à ce jour.</w:t>
      </w:r>
    </w:p>
    <w:p>
      <w:pPr>
        <w:numPr>
          <w:ilvl w:val="0"/>
          <w:numId w:val="1211"/>
        </w:numPr>
        <w:pStyle w:val="Compact"/>
      </w:pPr>
      <w:r>
        <w:rPr>
          <w:bCs/>
          <w:b/>
        </w:rPr>
        <w:t xml:space="preserve">Principe d’action :</w:t>
      </w:r>
      <w:r>
        <w:t xml:space="preserve"> </w:t>
      </w:r>
      <w:r>
        <w:t xml:space="preserve">en tant que « substance du sommeil » endogène, il devait favoriser le sommeil profond (sommeil delta avec ondes EEG lentes) ; plus tard, on a supposé des influences sur les hormones du stress, la douleur et les symptômes de sevrage.</w:t>
      </w:r>
    </w:p>
    <w:p>
      <w:pPr>
        <w:numPr>
          <w:ilvl w:val="0"/>
          <w:numId w:val="1211"/>
        </w:numPr>
        <w:pStyle w:val="Compact"/>
      </w:pPr>
      <w:r>
        <w:rPr>
          <w:bCs/>
          <w:b/>
        </w:rPr>
        <w:t xml:space="preserve">Autorisation UE :</w:t>
      </w:r>
      <w:r>
        <w:t xml:space="preserve"> </w:t>
      </w:r>
      <w:r>
        <w:t xml:space="preserve">non.</w:t>
      </w:r>
    </w:p>
    <w:p>
      <w:pPr>
        <w:numPr>
          <w:ilvl w:val="0"/>
          <w:numId w:val="1211"/>
        </w:numPr>
        <w:pStyle w:val="Compact"/>
      </w:pPr>
      <w:r>
        <w:rPr>
          <w:bCs/>
          <w:b/>
        </w:rPr>
        <w:t xml:space="preserve">Autorisation États-Unis :</w:t>
      </w:r>
      <w:r>
        <w:t xml:space="preserve"> </w:t>
      </w:r>
      <w:r>
        <w:t xml:space="preserve">non. L’émideltide a été retiré de la « catégorie 2 » de la FDA en avril 2026 ; le comité consultatif PCAC a voté en juillet 2026, par 6 voix contre 7,</w:t>
      </w:r>
      <w:r>
        <w:t xml:space="preserve"> </w:t>
      </w:r>
      <w:r>
        <w:rPr>
          <w:bCs/>
          <w:b/>
        </w:rPr>
        <w:t xml:space="preserve">contre</w:t>
      </w:r>
      <w:r>
        <w:t xml:space="preserve"> </w:t>
      </w:r>
      <w:r>
        <w:t xml:space="preserve">une inscription sur la liste des substances autorisées en préparation magistrale (état octobre 2026, à vérifier).</w:t>
      </w:r>
    </w:p>
    <w:p>
      <w:pPr>
        <w:numPr>
          <w:ilvl w:val="0"/>
          <w:numId w:val="1211"/>
        </w:numPr>
        <w:pStyle w:val="Compact"/>
      </w:pPr>
      <w:r>
        <w:rPr>
          <w:bCs/>
          <w:b/>
        </w:rPr>
        <w:t xml:space="preserve">Russie et pays voisins :</w:t>
      </w:r>
      <w:r>
        <w:t xml:space="preserve"> </w:t>
      </w:r>
      <w:r>
        <w:t xml:space="preserve">des préparations de DSIP (p. ex. Deltaran, Deltalicin) y ont été utilisées dans des études et en pratique.</w:t>
      </w:r>
    </w:p>
    <w:p>
      <w:pPr>
        <w:numPr>
          <w:ilvl w:val="0"/>
          <w:numId w:val="1211"/>
        </w:numPr>
        <w:pStyle w:val="Compact"/>
      </w:pPr>
      <w:r>
        <w:rPr>
          <w:bCs/>
          <w:b/>
        </w:rPr>
        <w:t xml:space="preserve">AMA (WADA) :</w:t>
      </w:r>
      <w:r>
        <w:t xml:space="preserve"> </w:t>
      </w:r>
      <w:r>
        <w:t xml:space="preserve">pas nommément listé.</w:t>
      </w:r>
    </w:p>
    <w:p>
      <w:pPr>
        <w:numPr>
          <w:ilvl w:val="0"/>
          <w:numId w:val="1211"/>
        </w:numPr>
        <w:pStyle w:val="Compact"/>
      </w:pPr>
      <w:r>
        <w:rPr>
          <w:bCs/>
          <w:b/>
        </w:rPr>
        <w:t xml:space="preserve">Niveau de preuve :</w:t>
      </w:r>
      <w:r>
        <w:t xml:space="preserve"> </w:t>
      </w:r>
      <w:r>
        <w:rPr>
          <w:bCs/>
          <w:b/>
        </w:rPr>
        <w:t xml:space="preserve">C</w:t>
      </w:r>
      <w:r>
        <w:t xml:space="preserve"> </w:t>
      </w:r>
      <w:r>
        <w:t xml:space="preserve">– seulement de très petites études, menées pour la plupart dans les années 1980 ; les meilleures d’entre elles sur le plan méthodologique n’ont trouvé aucun bénéfice cliniquement pertinent.</w:t>
      </w:r>
    </w:p>
    <w:bookmarkEnd w:id="1735"/>
    <w:bookmarkStart w:id="1739" w:name="mode-daction-supposé-38"/>
    <w:p>
      <w:pPr>
        <w:pStyle w:val="Heading3"/>
      </w:pPr>
      <w:r>
        <w:t xml:space="preserve">Mode d’action supposé</w:t>
      </w:r>
    </w:p>
    <w:p>
      <w:pPr>
        <w:pStyle w:val="FirstParagraph"/>
      </w:pPr>
      <w:r>
        <w:t xml:space="preserve">L’idée était simple et séduisante : si le cerveau libère dans le sang pendant le sommeil une substance qui déclenche le sommeil chez d’autres animaux, celle-ci pourrait être un somnifère naturel – sans les inconvénients des tranquillisants. Les chercheurs bâlois ont transféré du sang de lapins endormis à des animaux éveillés et en ont isolé le peptide qu’ils tenaient pour responsable de l’effet</w:t>
      </w:r>
      <w:r>
        <w:rPr>
          <w:rStyle w:val="FootnoteReference"/>
        </w:rPr>
        <w:footnoteReference w:id="1736"/>
      </w:r>
      <w:r>
        <w:t xml:space="preserve">.</w:t>
      </w:r>
    </w:p>
    <w:p>
      <w:pPr>
        <w:pStyle w:val="BodyText"/>
      </w:pPr>
      <w:r>
        <w:t xml:space="preserve">L’espoir ne s’est pas confirmé. Une revue de 2006 qualifie le DSIP d’« énigme toujours non résolue » : le lien avec le sommeil serait « extrêmement mal documenté », car ni le gène correspondant ni un récepteur n’ont été trouvés. Dans les expérimentations animales, ce sont plutôt certaines variantes artificielles qui ont favorisé le sommeil profond, et non le DSIP lui-même. Les auteurs supposent qu’un peptide encore inconnu, semblable au DSIP, pourrait être responsable des effets observés</w:t>
      </w:r>
      <w:r>
        <w:rPr>
          <w:rStyle w:val="FootnoteReference"/>
        </w:rPr>
        <w:footnoteReference w:id="1737"/>
      </w:r>
      <w:r>
        <w:t xml:space="preserve">.</w:t>
      </w:r>
    </w:p>
    <w:p>
      <w:pPr>
        <w:pStyle w:val="BodyText"/>
      </w:pPr>
      <w:r>
        <w:t xml:space="preserve">D’autres effets supposés – sur les hormones du stress, la perception de la douleur, le système opioïde et les enzymes antioxydantes – proviennent principalement d’expérimentations animales. Chez le mouton, du DSIP marqué franchissait dans une mesure faible à modérée la barrière entre le sang et le liquide céphalorachidien</w:t>
      </w:r>
      <w:r>
        <w:rPr>
          <w:rStyle w:val="FootnoteReference"/>
        </w:rPr>
        <w:footnoteReference w:id="1738"/>
      </w:r>
      <w:r>
        <w:t xml:space="preserve">.</w:t>
      </w:r>
    </w:p>
    <w:bookmarkEnd w:id="1739"/>
    <w:bookmarkStart w:id="1756" w:name="études-chez-lhumain-38"/>
    <w:p>
      <w:pPr>
        <w:pStyle w:val="Heading3"/>
      </w:pPr>
      <w:r>
        <w:t xml:space="preserve">Études chez l’humain</w:t>
      </w:r>
    </w:p>
    <w:p>
      <w:pPr>
        <w:pStyle w:val="FirstParagraph"/>
      </w:pPr>
      <w:r>
        <w:rPr>
          <w:bCs/>
          <w:b/>
        </w:rPr>
        <w:t xml:space="preserve">Ampleur des données :</w:t>
      </w:r>
      <w:r>
        <w:t xml:space="preserve"> </w:t>
      </w:r>
      <w:r>
        <w:t xml:space="preserve">la requête PubMed automatisée (octobre 2026) a donné 18 publications classées comme études chez l’humain ; l’une d’elles concerne, à l’examen, un autre sujet (chirurgie du rachis). Presque toutes datent de 1981 à 1998 et comptaient chacune entre 1 et 16 participants dans les parties contrôlées contre placebo. Sur ClinicalTrials.gov, la recherche a donné un résultat qui ne se rapporte pas au DSIP ; il n’existe pas d’étude enregistrée sur le DSIP.</w:t>
      </w:r>
    </w:p>
    <w:bookmarkStart w:id="1744" w:name="troubles-du-sommeil"/>
    <w:p>
      <w:pPr>
        <w:pStyle w:val="Heading4"/>
      </w:pPr>
      <w:r>
        <w:t xml:space="preserve">Troubles du sommeil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Schneider-Helmert 1981, PMID 6895513</w:t>
            </w:r>
          </w:p>
        </w:tc>
        <w:tc>
          <w:tcPr/>
          <w:p>
            <w:pPr>
              <w:pStyle w:val="Compact"/>
              <w:jc w:val="left"/>
            </w:pPr>
            <w:r>
              <w:t xml:space="preserve">6 personnes en bonne santé, double aveugle, plan croisé contre placebo</w:t>
            </w:r>
          </w:p>
        </w:tc>
        <w:tc>
          <w:tcPr/>
          <w:p>
            <w:pPr>
              <w:pStyle w:val="Compact"/>
              <w:jc w:val="left"/>
            </w:pPr>
            <w:r>
              <w:t xml:space="preserve">perfusion unique</w:t>
            </w:r>
          </w:p>
        </w:tc>
        <w:tc>
          <w:tcPr/>
          <w:p>
            <w:pPr>
              <w:pStyle w:val="Compact"/>
              <w:jc w:val="left"/>
            </w:pPr>
            <w:r>
              <w:t xml:space="preserve">temps de sommeil allongé de 59 % sur 130 minutes ; pas de sédation classique</w:t>
            </w:r>
          </w:p>
        </w:tc>
      </w:tr>
      <w:tr>
        <w:tc>
          <w:tcPr/>
          <w:p>
            <w:pPr>
              <w:pStyle w:val="Compact"/>
              <w:jc w:val="left"/>
            </w:pPr>
            <w:r>
              <w:t xml:space="preserve">Schneider-Helmert 1981, PMID 7028502</w:t>
            </w:r>
          </w:p>
        </w:tc>
        <w:tc>
          <w:tcPr/>
          <w:p>
            <w:pPr>
              <w:pStyle w:val="Compact"/>
              <w:jc w:val="left"/>
            </w:pPr>
            <w:r>
              <w:t xml:space="preserve">6 personnes atteintes d’insomnie chronique</w:t>
            </w:r>
          </w:p>
        </w:tc>
        <w:tc>
          <w:tcPr/>
          <w:p>
            <w:pPr>
              <w:pStyle w:val="Compact"/>
              <w:jc w:val="left"/>
            </w:pPr>
            <w:r>
              <w:t xml:space="preserve">administration unique</w:t>
            </w:r>
          </w:p>
        </w:tc>
        <w:tc>
          <w:tcPr/>
          <w:p>
            <w:pPr>
              <w:pStyle w:val="Compact"/>
              <w:jc w:val="left"/>
            </w:pPr>
            <w:r>
              <w:t xml:space="preserve">sommeil plus long et moins interrompu</w:t>
            </w:r>
          </w:p>
        </w:tc>
      </w:tr>
      <w:tr>
        <w:tc>
          <w:tcPr/>
          <w:p>
            <w:pPr>
              <w:pStyle w:val="Compact"/>
              <w:jc w:val="left"/>
            </w:pPr>
            <w:r>
              <w:t xml:space="preserve">Schneider-Helmert 1987, PMID 3622582</w:t>
            </w:r>
          </w:p>
        </w:tc>
        <w:tc>
          <w:tcPr/>
          <w:p>
            <w:pPr>
              <w:pStyle w:val="Compact"/>
              <w:jc w:val="left"/>
            </w:pPr>
            <w:r>
              <w:t xml:space="preserve">14 personnes atteintes d’insomnie chronique sévère, double aveugle contre placebo</w:t>
            </w:r>
          </w:p>
        </w:tc>
        <w:tc>
          <w:tcPr/>
          <w:p>
            <w:pPr>
              <w:pStyle w:val="Compact"/>
              <w:jc w:val="left"/>
            </w:pPr>
            <w:r>
              <w:t xml:space="preserve">7 nuits</w:t>
            </w:r>
          </w:p>
        </w:tc>
        <w:tc>
          <w:tcPr/>
          <w:p>
            <w:pPr>
              <w:pStyle w:val="Compact"/>
              <w:jc w:val="left"/>
            </w:pPr>
            <w:r>
              <w:t xml:space="preserve">efficacité du sommeil et performance diurne au niveau de personnes en bonne santé selon les auteurs</w:t>
            </w:r>
          </w:p>
        </w:tc>
      </w:tr>
      <w:tr>
        <w:tc>
          <w:tcPr/>
          <w:p>
            <w:pPr>
              <w:pStyle w:val="Compact"/>
              <w:jc w:val="left"/>
            </w:pPr>
            <w:r>
              <w:t xml:space="preserve">Monti 1987, PMID 3583493</w:t>
            </w:r>
          </w:p>
        </w:tc>
        <w:tc>
          <w:tcPr/>
          <w:p>
            <w:pPr>
              <w:pStyle w:val="Compact"/>
              <w:jc w:val="left"/>
            </w:pPr>
            <w:r>
              <w:t xml:space="preserve">personnes atteintes d’insomnie chronique, double aveugle, plan croisé</w:t>
            </w:r>
          </w:p>
        </w:tc>
        <w:tc>
          <w:tcPr/>
          <w:p>
            <w:pPr>
              <w:pStyle w:val="Compact"/>
              <w:jc w:val="left"/>
            </w:pPr>
            <w:r>
              <w:t xml:space="preserve">4 nuits</w:t>
            </w:r>
          </w:p>
        </w:tc>
        <w:tc>
          <w:tcPr/>
          <w:p>
            <w:pPr>
              <w:pStyle w:val="Compact"/>
              <w:jc w:val="left"/>
            </w:pPr>
            <w:r>
              <w:t xml:space="preserve">améliorations « de faible importance clinique » ; différences déjà présentes avant traitement</w:t>
            </w:r>
          </w:p>
        </w:tc>
      </w:tr>
      <w:tr>
        <w:tc>
          <w:tcPr/>
          <w:p>
            <w:pPr>
              <w:pStyle w:val="Compact"/>
              <w:jc w:val="left"/>
            </w:pPr>
            <w:r>
              <w:t xml:space="preserve">Bes 1992, PMID 1299794</w:t>
            </w:r>
          </w:p>
        </w:tc>
        <w:tc>
          <w:tcPr/>
          <w:p>
            <w:pPr>
              <w:pStyle w:val="Compact"/>
              <w:jc w:val="left"/>
            </w:pPr>
            <w:r>
              <w:t xml:space="preserve">16 personnes atteintes d’insomnie chronique, double aveugle contre placebo</w:t>
            </w:r>
          </w:p>
        </w:tc>
        <w:tc>
          <w:tcPr/>
          <w:p>
            <w:pPr>
              <w:pStyle w:val="Compact"/>
              <w:jc w:val="left"/>
            </w:pPr>
            <w:r>
              <w:t xml:space="preserve">3 nuits</w:t>
            </w:r>
          </w:p>
        </w:tc>
        <w:tc>
          <w:tcPr/>
          <w:p>
            <w:pPr>
              <w:pStyle w:val="Compact"/>
              <w:jc w:val="left"/>
            </w:pPr>
            <w:r>
              <w:t xml:space="preserve">effets faibles, en partie explicables par des fluctuations aléatoires ; « pas de bénéfice thérapeutique majeur »</w:t>
            </w:r>
          </w:p>
        </w:tc>
      </w:tr>
    </w:tbl>
    <w:p>
      <w:pPr>
        <w:pStyle w:val="BodyText"/>
      </w:pPr>
      <w:r>
        <w:t xml:space="preserve">Les premières études provenaient presque toutes d’un seul groupe de recherche bâlois et étaient toutes positives. Chez six volontaires en bonne santé, une perfusion matinale a allongé de 59 % le temps de sommeil au cours des deux heures suivantes, sans que les participants paraissent sédatés au sens classique</w:t>
      </w:r>
      <w:r>
        <w:rPr>
          <w:rStyle w:val="FootnoteReference"/>
        </w:rPr>
        <w:footnoteReference w:id="1740"/>
      </w:r>
      <w:r>
        <w:t xml:space="preserve">. Chez 14 personnes atteintes d’insomnie sévère, l’efficacité du sommeil et les performances diurnes ont atteint, selon les auteurs, le niveau de témoins en bonne santé après sept nuits</w:t>
      </w:r>
      <w:r>
        <w:rPr>
          <w:rStyle w:val="FootnoteReference"/>
        </w:rPr>
        <w:footnoteReference w:id="1741"/>
      </w:r>
      <w:r>
        <w:t xml:space="preserve">.</w:t>
      </w:r>
    </w:p>
    <w:p>
      <w:pPr>
        <w:pStyle w:val="BodyText"/>
      </w:pPr>
      <w:r>
        <w:t xml:space="preserve">Des groupes indépendants n’ont pas pu le confirmer. Une étude a certes trouvé davantage de sommeil total et de sommeil NREM, mais les différences significatives avec le placebo (sommeil NREM et stade 2) existaient déjà avant le traitement ; les auteurs ont jugé l’amélioration de faible importance clinique</w:t>
      </w:r>
      <w:r>
        <w:rPr>
          <w:rStyle w:val="FootnoteReference"/>
        </w:rPr>
        <w:footnoteReference w:id="1742"/>
      </w:r>
      <w:r>
        <w:t xml:space="preserve">. Une autre étude portant sur 16 personnes a trouvé des effets statistiquement significatifs mais faibles sur l’efficacité du sommeil et la latence d’endormissement, en partie explicables par une modification aléatoire dans le groupe placebo ; la qualité subjective du sommeil n’a pas changé. Sa conclusion : un traitement de courte durée par DSIP n’aurait probablement pas de bénéfice thérapeutique majeur</w:t>
      </w:r>
      <w:r>
        <w:rPr>
          <w:rStyle w:val="FootnoteReference"/>
        </w:rPr>
        <w:footnoteReference w:id="1743"/>
      </w:r>
      <w:r>
        <w:t xml:space="preserve">.</w:t>
      </w:r>
    </w:p>
    <w:p>
      <w:pPr>
        <w:pStyle w:val="BodyText"/>
      </w:pPr>
      <w:r>
        <w:t xml:space="preserve">Ce schéma – premiers rapports enthousiastes, répétitions décevantes – est typique des substances dont l’effet repose sur de très petites études.</w:t>
      </w:r>
    </w:p>
    <w:bookmarkEnd w:id="1744"/>
    <w:bookmarkStart w:id="1750" w:name="sevrage-douleur-et-autres-applications"/>
    <w:p>
      <w:pPr>
        <w:pStyle w:val="Heading4"/>
      </w:pPr>
      <w:r>
        <w:t xml:space="preserve">Sevrage, douleur et autres applications</w:t>
      </w:r>
    </w:p>
    <w:p>
      <w:pPr>
        <w:pStyle w:val="FirstParagraph"/>
      </w:pPr>
      <w:r>
        <w:t xml:space="preserve">Dans les années 1980, le DSIP a été utilisé chez 107 personnes hospitalisées en sevrage d’alcool ou d’opiacés ; selon l’évaluation médicale, les symptômes de sevrage ont disparu ou se sont nettement améliorés chez 97 % des personnes dépendantes aux opiacés et 87 % des personnes dépendantes à l’alcool. Il n’y avait pas de groupe témoin, et une partie des personnes n’a pas pu être évaluée</w:t>
      </w:r>
      <w:r>
        <w:rPr>
          <w:rStyle w:val="FootnoteReference"/>
        </w:rPr>
        <w:footnoteReference w:id="1745"/>
      </w:r>
      <w:r>
        <w:t xml:space="preserve">. Une étude ouverte ultérieure sur la désintoxication aux opioïdes n’a été publiée que sous forme de brève communication sans résumé</w:t>
      </w:r>
      <w:r>
        <w:rPr>
          <w:rStyle w:val="FootnoteReference"/>
        </w:rPr>
        <w:footnoteReference w:id="1746"/>
      </w:r>
      <w:r>
        <w:t xml:space="preserve">. D’autres rapports isolés concernent sept personnes souffrant de douleurs chroniques</w:t>
      </w:r>
      <w:r>
        <w:rPr>
          <w:rStyle w:val="FootnoteReference"/>
        </w:rPr>
        <w:footnoteReference w:id="1747"/>
      </w:r>
      <w:r>
        <w:t xml:space="preserve"> </w:t>
      </w:r>
      <w:r>
        <w:t xml:space="preserve">et un homme atteint de narcolepsie</w:t>
      </w:r>
      <w:r>
        <w:rPr>
          <w:rStyle w:val="FootnoteReference"/>
        </w:rPr>
        <w:footnoteReference w:id="1748"/>
      </w:r>
      <w:r>
        <w:t xml:space="preserve">. Une étude a examiné une préparation de DSIP par voie nasale (Deltalicin) dans la rétinopathie diabétique, dans laquelle les réponses électriques de la rétine se sont améliorées</w:t>
      </w:r>
      <w:r>
        <w:rPr>
          <w:rStyle w:val="FootnoteReference"/>
        </w:rPr>
        <w:footnoteReference w:id="1749"/>
      </w:r>
      <w:r>
        <w:t xml:space="preserve">.</w:t>
      </w:r>
    </w:p>
    <w:bookmarkEnd w:id="1750"/>
    <w:bookmarkStart w:id="1755" w:name="hormones-et-anesthésie"/>
    <w:p>
      <w:pPr>
        <w:pStyle w:val="Heading4"/>
      </w:pPr>
      <w:r>
        <w:t xml:space="preserve">Hormones et anesthésie</w:t>
      </w:r>
    </w:p>
    <w:p>
      <w:pPr>
        <w:pStyle w:val="FirstParagraph"/>
      </w:pPr>
      <w:r>
        <w:t xml:space="preserve">Plusieurs petites études chez des personnes en bonne santé ont examiné si le DSIP influence les hormones du stress. Une étude portant sur onze hommes a trouvé moins d’ACTH dans le sang après une injection, mais des valeurs de cortisol inchangées</w:t>
      </w:r>
      <w:r>
        <w:rPr>
          <w:rStyle w:val="FootnoteReference"/>
        </w:rPr>
        <w:footnoteReference w:id="1751"/>
      </w:r>
      <w:r>
        <w:t xml:space="preserve"> </w:t>
      </w:r>
      <w:r>
        <w:t xml:space="preserve">; une autre, portant sur 20 hommes au total, n’a trouvé aucune influence sur l’ACTH et le cortisol</w:t>
      </w:r>
      <w:r>
        <w:rPr>
          <w:rStyle w:val="FootnoteReference"/>
        </w:rPr>
        <w:footnoteReference w:id="1752"/>
      </w:r>
      <w:r>
        <w:t xml:space="preserve">. Le DSIP n’avait aucune influence sur l’hormone de croissance et la prolactine chez les femmes</w:t>
      </w:r>
      <w:r>
        <w:rPr>
          <w:rStyle w:val="FootnoteReference"/>
        </w:rPr>
        <w:footnoteReference w:id="1753"/>
      </w:r>
      <w:r>
        <w:t xml:space="preserve">.</w:t>
      </w:r>
    </w:p>
    <w:p>
      <w:pPr>
        <w:pStyle w:val="BodyText"/>
      </w:pPr>
      <w:r>
        <w:t xml:space="preserve">Une étude chez 24 femmes sous anesthésie est remarquable : au lieu d’approfondir l’anesthésie, comme on pourrait l’attendre d’une « substance naturelle du sommeil », le DSIP a augmenté la fréquence cardiaque et, paradoxalement, diminué le rythme delta à l’EEG</w:t>
      </w:r>
      <w:r>
        <w:rPr>
          <w:rStyle w:val="FootnoteReference"/>
        </w:rPr>
        <w:footnoteReference w:id="1754"/>
      </w:r>
      <w:r>
        <w:t xml:space="preserve">.</w:t>
      </w:r>
    </w:p>
    <w:bookmarkEnd w:id="1755"/>
    <w:bookmarkEnd w:id="1756"/>
    <w:bookmarkStart w:id="1759" w:name="études-animales-et-de-laboratoire-38"/>
    <w:p>
      <w:pPr>
        <w:pStyle w:val="Heading3"/>
      </w:pPr>
      <w:r>
        <w:t xml:space="preserve">Études animales et de laboratoire</w:t>
      </w:r>
    </w:p>
    <w:p>
      <w:pPr>
        <w:numPr>
          <w:ilvl w:val="0"/>
          <w:numId w:val="1212"/>
        </w:numPr>
        <w:pStyle w:val="Compact"/>
      </w:pPr>
      <w:r>
        <w:t xml:space="preserve">Chez le lapin et le rat, des effets favorisant le sommeil ont été décrits dans les premières études, mais n’ont pas pu être reproduits de manière constante</w:t>
      </w:r>
      <w:r>
        <w:rPr>
          <w:rStyle w:val="FootnoteReference"/>
        </w:rPr>
        <w:footnoteReference w:id="1757"/>
      </w:r>
      <w:r>
        <w:t xml:space="preserve">.</w:t>
      </w:r>
    </w:p>
    <w:p>
      <w:pPr>
        <w:numPr>
          <w:ilvl w:val="0"/>
          <w:numId w:val="1212"/>
        </w:numPr>
        <w:pStyle w:val="Compact"/>
      </w:pPr>
      <w:r>
        <w:t xml:space="preserve">Chez la souris, les 10 % d’animaux les plus âgés ayant reçu toute leur vie une préparation russe de DSIP ont vécu 16 % plus longtemps que les animaux témoins ; les tumeurs spontanées sont apparues plus tard</w:t>
      </w:r>
      <w:r>
        <w:rPr>
          <w:rStyle w:val="FootnoteReference"/>
        </w:rPr>
        <w:footnoteReference w:id="1758"/>
      </w:r>
      <w:r>
        <w:t xml:space="preserve">. Ce travail provient du milieu de la gérontologie russe, qui étudie aussi l’Epitalon (voir ce chapitre).</w:t>
      </w:r>
    </w:p>
    <w:p>
      <w:pPr>
        <w:numPr>
          <w:ilvl w:val="0"/>
          <w:numId w:val="1212"/>
        </w:numPr>
        <w:pStyle w:val="Compact"/>
      </w:pPr>
      <w:r>
        <w:t xml:space="preserve">D’autres études animales décrivent des effets sur la résistance au stress, la perception de la douleur et les enzymes antioxydantes.</w:t>
      </w:r>
    </w:p>
    <w:bookmarkEnd w:id="1759"/>
    <w:bookmarkStart w:id="1762" w:name="risques-et-effets-indésirables-38"/>
    <w:p>
      <w:pPr>
        <w:pStyle w:val="Heading3"/>
      </w:pPr>
      <w:r>
        <w:t xml:space="preserve">Risques et effets indésirables</w:t>
      </w:r>
    </w:p>
    <w:p>
      <w:pPr>
        <w:pStyle w:val="FirstParagraph"/>
      </w:pPr>
      <w:r>
        <w:rPr>
          <w:bCs/>
          <w:b/>
        </w:rPr>
        <w:t xml:space="preserve">Établi :</w:t>
      </w:r>
      <w:r>
        <w:t xml:space="preserve"> </w:t>
      </w:r>
      <w:r>
        <w:t xml:space="preserve">dans les petites études, le DSIP a été décrit comme bien toléré ; des maux de tête sont survenus de manière isolée</w:t>
      </w:r>
      <w:r>
        <w:rPr>
          <w:rStyle w:val="FootnoteReference"/>
        </w:rPr>
        <w:footnoteReference w:id="1760"/>
      </w:r>
      <w:r>
        <w:t xml:space="preserve">. Sous anesthésie, il a augmenté la fréquence cardiaque et réduit la variabilité de la fréquence cardiaque</w:t>
      </w:r>
      <w:r>
        <w:rPr>
          <w:rStyle w:val="FootnoteReference"/>
        </w:rPr>
        <w:footnoteReference w:id="1761"/>
      </w:r>
      <w:r>
        <w:t xml:space="preserve">. Il n’existe pas de données de sécurité systématiques au-delà de quelques jours.</w:t>
      </w:r>
    </w:p>
    <w:p>
      <w:pPr>
        <w:pStyle w:val="BodyText"/>
      </w:pPr>
      <w:r>
        <w:rPr>
          <w:bCs/>
          <w:b/>
        </w:rPr>
        <w:t xml:space="preserve">Théorique :</w:t>
      </w:r>
      <w:r>
        <w:t xml:space="preserve"> </w:t>
      </w:r>
      <w:r>
        <w:t xml:space="preserve">comme ni le récepteur ni la fonction naturelle ne sont élucidés, les effets et les interactions – par exemple avec les somnifères, l’alcool ou les opioïdes – sont difficilement prévisibles.</w:t>
      </w:r>
    </w:p>
    <w:p>
      <w:pPr>
        <w:pStyle w:val="BodyText"/>
      </w:pPr>
      <w:r>
        <w:rPr>
          <w:bCs/>
          <w:b/>
        </w:rPr>
        <w:t xml:space="preserve">Marché gris :</w:t>
      </w:r>
      <w:r>
        <w:t xml:space="preserve"> </w:t>
      </w:r>
      <w:r>
        <w:t xml:space="preserve">le DSIP est vendu en ligne sous forme de poudre pour injection et vanté comme somnifère. Les préparations utilisées dans les études étaient perfusées par voie intraveineuse ; les données sur l’injection sous-cutanée font défaut. La pureté et la teneur des produits du marché gris ne sont pas contrôlées.</w:t>
      </w:r>
    </w:p>
    <w:p>
      <w:pPr>
        <w:pStyle w:val="BodyText"/>
      </w:pPr>
      <w:r>
        <w:rPr>
          <w:bCs/>
          <w:b/>
        </w:rPr>
        <w:t xml:space="preserve">Important :</w:t>
      </w:r>
      <w:r>
        <w:t xml:space="preserve"> </w:t>
      </w:r>
      <w:r>
        <w:t xml:space="preserve">pour l’insomnie chronique, il existe des traitements efficaces et bien étudiés, au premier rang desquels la thérapie cognitivo-comportementale de l’insomnie.</w:t>
      </w:r>
    </w:p>
    <w:bookmarkEnd w:id="1762"/>
    <w:bookmarkStart w:id="1763" w:name="statut-juridique-38"/>
    <w:p>
      <w:pPr>
        <w:pStyle w:val="Heading3"/>
      </w:pPr>
      <w:r>
        <w:t xml:space="preserve">Statut juridique</w:t>
      </w:r>
    </w:p>
    <w:p>
      <w:pPr>
        <w:numPr>
          <w:ilvl w:val="0"/>
          <w:numId w:val="1213"/>
        </w:numPr>
        <w:pStyle w:val="Compact"/>
      </w:pPr>
      <w:r>
        <w:rPr>
          <w:bCs/>
          <w:b/>
        </w:rPr>
        <w:t xml:space="preserve">UE / Autriche / Allemagne :</w:t>
      </w:r>
      <w:r>
        <w:t xml:space="preserve"> </w:t>
      </w:r>
      <w:r>
        <w:t xml:space="preserve">non autorisé ; en tant que substance à effet pharmacologique, le DSIP est considéré comme un médicament, et sa vente en vue d’un usage humain n’est pas permise.</w:t>
      </w:r>
    </w:p>
    <w:p>
      <w:pPr>
        <w:numPr>
          <w:ilvl w:val="0"/>
          <w:numId w:val="1213"/>
        </w:numPr>
        <w:pStyle w:val="Compact"/>
      </w:pPr>
      <w:r>
        <w:rPr>
          <w:bCs/>
          <w:b/>
        </w:rPr>
        <w:t xml:space="preserve">États-Unis :</w:t>
      </w:r>
      <w:r>
        <w:t xml:space="preserve"> </w:t>
      </w:r>
      <w:r>
        <w:t xml:space="preserve">non autorisé ; le comité consultatif PCAC s’est prononcé de justesse en juillet 2026 contre une autorisation pour les préparations magistrales en pharmacie. La décision définitive de la FDA était en attente au moment de la clôture de la rédaction (état octobre 2026, à vérifier).</w:t>
      </w:r>
    </w:p>
    <w:p>
      <w:pPr>
        <w:numPr>
          <w:ilvl w:val="0"/>
          <w:numId w:val="1213"/>
        </w:numPr>
        <w:pStyle w:val="Compact"/>
      </w:pPr>
      <w:r>
        <w:rPr>
          <w:bCs/>
          <w:b/>
        </w:rPr>
        <w:t xml:space="preserve">Sport :</w:t>
      </w:r>
      <w:r>
        <w:t xml:space="preserve"> </w:t>
      </w:r>
      <w:r>
        <w:t xml:space="preserve">pas nommément sur la liste de l’AMA (état 2026, à vérifier).</w:t>
      </w:r>
    </w:p>
    <w:bookmarkEnd w:id="1763"/>
    <w:bookmarkStart w:id="1764" w:name="études-en-cours-et-perspectives-38"/>
    <w:p>
      <w:pPr>
        <w:pStyle w:val="Heading3"/>
      </w:pPr>
      <w:r>
        <w:t xml:space="preserve">Études en cours et perspectives</w:t>
      </w:r>
    </w:p>
    <w:p>
      <w:pPr>
        <w:pStyle w:val="FirstParagraph"/>
      </w:pPr>
      <w:r>
        <w:rPr>
          <w:bCs/>
          <w:b/>
        </w:rPr>
        <w:t xml:space="preserve">Établi :</w:t>
      </w:r>
      <w:r>
        <w:t xml:space="preserve"> </w:t>
      </w:r>
      <w:r>
        <w:t xml:space="preserve">aucune étude avec le DSIP n’est enregistrée sur ClinicalTrials.gov (requête d’octobre 2026). Depuis les années 1990, pratiquement aucune nouvelle donnée clinique ne s’est ajoutée.</w:t>
      </w:r>
    </w:p>
    <w:p>
      <w:pPr>
        <w:pStyle w:val="BodyText"/>
      </w:pPr>
      <w:r>
        <w:rPr>
          <w:bCs/>
          <w:b/>
        </w:rPr>
        <w:t xml:space="preserve">Appréciation :</w:t>
      </w:r>
      <w:r>
        <w:t xml:space="preserve"> </w:t>
      </w:r>
      <w:r>
        <w:t xml:space="preserve">sans clarté sur le récepteur et la fonction naturelle, et sans étude du sommeil moderne et suffisamment vaste, il n’y a pas lieu d’attendre un retour du DSIP en tant que médicament.</w:t>
      </w:r>
    </w:p>
    <w:bookmarkEnd w:id="1764"/>
    <w:bookmarkStart w:id="1765" w:name="conclusion-38"/>
    <w:p>
      <w:pPr>
        <w:pStyle w:val="Heading3"/>
      </w:pPr>
      <w:r>
        <w:t xml:space="preserve">Conclusion</w:t>
      </w:r>
    </w:p>
    <w:p>
      <w:pPr>
        <w:pStyle w:val="FirstParagraph"/>
      </w:pPr>
      <w:r>
        <w:t xml:space="preserve">Le DSIP a été découvert en 1977 comme possible « substance du sommeil » endogène, mais son gène, son récepteur et sa fonction naturelle restent inconnus à ce jour. Les premières études d’un groupe bâlois, portant chacune sur six à 14 personnes, ont rapporté un meilleur sommeil ; des études indépendantes contrôlées contre placebo n’ont trouvé que des effets faibles et de faible importance clinique. Il n’existe guère de données plus récentes chez l’humain. Les données ne suffisent pas pour considérer le DSIP comme un somnifère efficace ou sûr.</w:t>
      </w:r>
    </w:p>
    <w:bookmarkEnd w:id="1765"/>
    <w:bookmarkEnd w:id="1766"/>
    <w:bookmarkStart w:id="1796" w:name="epitalon-epithalon"/>
    <w:p>
      <w:pPr>
        <w:pStyle w:val="Heading2"/>
      </w:pPr>
      <w:r>
        <w:t xml:space="preserve">Epitalon (Epithalon)</w:t>
      </w:r>
    </w:p>
    <w:bookmarkStart w:id="1767" w:name="fiche-signalétique-39"/>
    <w:p>
      <w:pPr>
        <w:pStyle w:val="Heading3"/>
      </w:pPr>
      <w:r>
        <w:t xml:space="preserve">Fiche signalétique</w:t>
      </w:r>
    </w:p>
    <w:p>
      <w:pPr>
        <w:numPr>
          <w:ilvl w:val="0"/>
          <w:numId w:val="1214"/>
        </w:numPr>
        <w:pStyle w:val="Compact"/>
      </w:pPr>
      <w:r>
        <w:rPr>
          <w:bCs/>
          <w:b/>
        </w:rPr>
        <w:t xml:space="preserve">Nature et structure :</w:t>
      </w:r>
      <w:r>
        <w:t xml:space="preserve"> </w:t>
      </w:r>
      <w:r>
        <w:t xml:space="preserve">tétrapeptide de synthèse de quatre acides aminés : Ala-Glu-Asp-Gly (en abrégé AEDG). Graphies : Epitalon, Epithalon, Epithalone.</w:t>
      </w:r>
    </w:p>
    <w:p>
      <w:pPr>
        <w:numPr>
          <w:ilvl w:val="0"/>
          <w:numId w:val="1214"/>
        </w:numPr>
        <w:pStyle w:val="Compact"/>
      </w:pPr>
      <w:r>
        <w:rPr>
          <w:bCs/>
          <w:b/>
        </w:rPr>
        <w:t xml:space="preserve">Origine :</w:t>
      </w:r>
      <w:r>
        <w:t xml:space="preserve"> </w:t>
      </w:r>
      <w:r>
        <w:t xml:space="preserve">développé dans les années 1980 et 1990 à l’Institut de biorégulation et de gérontologie de Saint-Pétersbourg sous la direction de Vladimir Khavinson. La séquence d’acides aminés a été déduite de la composition de l’</w:t>
      </w:r>
      <w:r>
        <w:rPr>
          <w:bCs/>
          <w:b/>
        </w:rPr>
        <w:t xml:space="preserve">Epithalamine</w:t>
      </w:r>
      <w:r>
        <w:t xml:space="preserve">, un extrait de la glande pinéale (épiphyse) de bovin. L’Epitalon et l’Epithalamine sont des substances chimiquement différentes.</w:t>
      </w:r>
    </w:p>
    <w:p>
      <w:pPr>
        <w:numPr>
          <w:ilvl w:val="0"/>
          <w:numId w:val="1214"/>
        </w:numPr>
        <w:pStyle w:val="Compact"/>
      </w:pPr>
      <w:r>
        <w:rPr>
          <w:bCs/>
          <w:b/>
        </w:rPr>
        <w:t xml:space="preserve">Principe d’action :</w:t>
      </w:r>
      <w:r>
        <w:t xml:space="preserve"> </w:t>
      </w:r>
      <w:r>
        <w:t xml:space="preserve">en tant que « biorégulateur peptidique », il normaliserait la fonction de la glande pinéale, favoriserait la production de mélatonine avec l’âge et activerait l’enzyme télomérase, qui allonge les extrémités des chromosomes (télomères).</w:t>
      </w:r>
    </w:p>
    <w:p>
      <w:pPr>
        <w:numPr>
          <w:ilvl w:val="0"/>
          <w:numId w:val="1214"/>
        </w:numPr>
        <w:pStyle w:val="Compact"/>
      </w:pPr>
      <w:r>
        <w:rPr>
          <w:bCs/>
          <w:b/>
        </w:rPr>
        <w:t xml:space="preserve">Autorisation UE :</w:t>
      </w:r>
      <w:r>
        <w:t xml:space="preserve"> </w:t>
      </w:r>
      <w:r>
        <w:t xml:space="preserve">non.</w:t>
      </w:r>
    </w:p>
    <w:p>
      <w:pPr>
        <w:numPr>
          <w:ilvl w:val="0"/>
          <w:numId w:val="1214"/>
        </w:numPr>
        <w:pStyle w:val="Compact"/>
      </w:pPr>
      <w:r>
        <w:rPr>
          <w:bCs/>
          <w:b/>
        </w:rPr>
        <w:t xml:space="preserve">Autorisation États-Unis :</w:t>
      </w:r>
      <w:r>
        <w:t xml:space="preserve"> </w:t>
      </w:r>
      <w:r>
        <w:t xml:space="preserve">non. Retiré de la « catégorie 2 » de la FDA en avril 2026 ; le comité consultatif PCAC a voté en juillet 2026, par 7 voix contre 4, pour l’inscription sur la liste des substances autorisées en préparation magistrale, contrairement à la recommandation des experts de la FDA. Il ne s’agit pas d’une autorisation comme médicament (état octobre 2026, à vérifier).</w:t>
      </w:r>
    </w:p>
    <w:p>
      <w:pPr>
        <w:numPr>
          <w:ilvl w:val="0"/>
          <w:numId w:val="1214"/>
        </w:numPr>
        <w:pStyle w:val="Compact"/>
      </w:pPr>
      <w:r>
        <w:rPr>
          <w:bCs/>
          <w:b/>
        </w:rPr>
        <w:t xml:space="preserve">AMA (WADA) :</w:t>
      </w:r>
      <w:r>
        <w:t xml:space="preserve"> </w:t>
      </w:r>
      <w:r>
        <w:t xml:space="preserve">pas nommément listé ; en tant que substance autorisée nulle part comme médicament, l’Epitalon relève selon notre appréciation de la catégorie générale S0.</w:t>
      </w:r>
    </w:p>
    <w:p>
      <w:pPr>
        <w:numPr>
          <w:ilvl w:val="0"/>
          <w:numId w:val="1214"/>
        </w:numPr>
        <w:pStyle w:val="Compact"/>
      </w:pPr>
      <w:r>
        <w:rPr>
          <w:bCs/>
          <w:b/>
        </w:rPr>
        <w:t xml:space="preserve">Niveau de preuve :</w:t>
      </w:r>
      <w:r>
        <w:t xml:space="preserve"> </w:t>
      </w:r>
      <w:r>
        <w:rPr>
          <w:bCs/>
          <w:b/>
        </w:rPr>
        <w:t xml:space="preserve">C</w:t>
      </w:r>
      <w:r>
        <w:t xml:space="preserve"> </w:t>
      </w:r>
      <w:r>
        <w:t xml:space="preserve">– une seule petite étude contrôlée avec le peptide de synthèse chez l’humain ; les autres données humaines concernent l’extrait Epithalamine ou des cellules in vitro.</w:t>
      </w:r>
    </w:p>
    <w:bookmarkEnd w:id="1767"/>
    <w:bookmarkStart w:id="1771" w:name="mode-daction-supposé-39"/>
    <w:p>
      <w:pPr>
        <w:pStyle w:val="Heading3"/>
      </w:pPr>
      <w:r>
        <w:t xml:space="preserve">Mode d’action supposé</w:t>
      </w:r>
    </w:p>
    <w:p>
      <w:pPr>
        <w:pStyle w:val="FirstParagraph"/>
      </w:pPr>
      <w:r>
        <w:t xml:space="preserve">La glande pinéale est un petit organe du cerveau qui produit la nuit l’hormone mélatonine et contribue ainsi à piloter le rythme jour-nuit. Avec l’âge, la production de mélatonine diminue. Le groupe de Saint-Pétersbourg partait du principe que des peptides courts issus d’organes peuvent, en tant que « biorégulateurs », rétablir la fonction de ces mêmes organes – issus de la glande pinéale pour la glande pinéale, du thymus pour le système immunitaire (voir aussi le chapitre Thymaline et thymogène dans la partie II · B).</w:t>
      </w:r>
    </w:p>
    <w:p>
      <w:pPr>
        <w:pStyle w:val="BodyText"/>
      </w:pPr>
      <w:r>
        <w:t xml:space="preserve">Pour l’Epitalon, plusieurs mécanismes sont décrits, presque tous issus d’expériences de laboratoire et animales du groupe de ses concepteurs :</w:t>
      </w:r>
    </w:p>
    <w:p>
      <w:pPr>
        <w:numPr>
          <w:ilvl w:val="0"/>
          <w:numId w:val="1215"/>
        </w:numPr>
        <w:pStyle w:val="Compact"/>
      </w:pPr>
      <w:r>
        <w:rPr>
          <w:bCs/>
          <w:b/>
        </w:rPr>
        <w:t xml:space="preserve">Télomérase et télomères :</w:t>
      </w:r>
      <w:r>
        <w:t xml:space="preserve"> </w:t>
      </w:r>
      <w:r>
        <w:t xml:space="preserve">les télomères sont des extrémités protectrices des chromosomes qui raccourcissent un peu à chaque division cellulaire. L’enzyme télomérase peut les rallonger ; dans la plupart des cellules de l’organisme, elle est désactivée. Dans des cultures de fibroblastes humains (cellules du tissu conjonctif) issus de fœtus, l’Epitalon aurait activé la télomérase et allongé les télomères</w:t>
      </w:r>
      <w:r>
        <w:rPr>
          <w:rStyle w:val="FootnoteReference"/>
        </w:rPr>
        <w:footnoteReference w:id="1768"/>
      </w:r>
      <w:r>
        <w:t xml:space="preserve">.</w:t>
      </w:r>
    </w:p>
    <w:p>
      <w:pPr>
        <w:numPr>
          <w:ilvl w:val="0"/>
          <w:numId w:val="1215"/>
        </w:numPr>
        <w:pStyle w:val="Compact"/>
      </w:pPr>
      <w:r>
        <w:rPr>
          <w:bCs/>
          <w:b/>
        </w:rPr>
        <w:t xml:space="preserve">Chromatine et gènes :</w:t>
      </w:r>
      <w:r>
        <w:t xml:space="preserve"> </w:t>
      </w:r>
      <w:r>
        <w:t xml:space="preserve">dans des lymphocytes de personnes âgées de 76 à 80 ans, l’Epitalon aurait in vitro décondensé un génome « compacté » et activé des gènes inactifs</w:t>
      </w:r>
      <w:r>
        <w:rPr>
          <w:rStyle w:val="FootnoteReference"/>
        </w:rPr>
        <w:footnoteReference w:id="1769"/>
      </w:r>
      <w:r>
        <w:t xml:space="preserve">. Le groupe postule que les peptides courts se lient directement à l’ADN.</w:t>
      </w:r>
    </w:p>
    <w:p>
      <w:pPr>
        <w:numPr>
          <w:ilvl w:val="0"/>
          <w:numId w:val="1215"/>
        </w:numPr>
        <w:pStyle w:val="Compact"/>
      </w:pPr>
      <w:r>
        <w:rPr>
          <w:bCs/>
          <w:b/>
        </w:rPr>
        <w:t xml:space="preserve">Mélatonine :</w:t>
      </w:r>
      <w:r>
        <w:t xml:space="preserve"> </w:t>
      </w:r>
      <w:r>
        <w:t xml:space="preserve">dans des cultures cellulaires et chez l’animal, l’Epitalon a influencé la production de mélatonine.</w:t>
      </w:r>
    </w:p>
    <w:p>
      <w:pPr>
        <w:pStyle w:val="FirstParagraph"/>
      </w:pPr>
      <w:r>
        <w:t xml:space="preserve">Une revue de 2025 résume que, malgré 25 ans de recherche, on ignore toujours si ces mécanismes sont les seuls, et qu’il n’existe que peu d’études physico-chimiques et structurales fondamentales du peptide</w:t>
      </w:r>
      <w:r>
        <w:rPr>
          <w:rStyle w:val="FootnoteReference"/>
        </w:rPr>
        <w:footnoteReference w:id="1770"/>
      </w:r>
      <w:r>
        <w:t xml:space="preserve">.</w:t>
      </w:r>
    </w:p>
    <w:bookmarkEnd w:id="1771"/>
    <w:bookmarkStart w:id="1782" w:name="études-chez-lhumain-39"/>
    <w:p>
      <w:pPr>
        <w:pStyle w:val="Heading3"/>
      </w:pPr>
      <w:r>
        <w:t xml:space="preserve">Études chez l’humain</w:t>
      </w:r>
    </w:p>
    <w:p>
      <w:pPr>
        <w:pStyle w:val="FirstParagraph"/>
      </w:pPr>
      <w:r>
        <w:rPr>
          <w:bCs/>
          <w:b/>
        </w:rPr>
        <w:t xml:space="preserve">Ampleur des données :</w:t>
      </w:r>
      <w:r>
        <w:t xml:space="preserve"> </w:t>
      </w:r>
      <w:r>
        <w:t xml:space="preserve">la requête PubMed automatisée (octobre 2026) n’a donné qu’</w:t>
      </w:r>
      <w:r>
        <w:rPr>
          <w:bCs/>
          <w:b/>
        </w:rPr>
        <w:t xml:space="preserve">une seule</w:t>
      </w:r>
      <w:r>
        <w:t xml:space="preserve"> </w:t>
      </w:r>
      <w:r>
        <w:t xml:space="preserve">publication sur l’Epitalon classée comme étude chez l’humain ; au total, PubMed recense environ 120 travaux avec ces termes de recherche, en très grande majorité des études animales et cellulaires de Saint-Pétersbourg. Une étude est enregistrée sur ClinicalTrials.gov (voir Perspectives). Une revue indépendante récente aboutit au même résultat : les données humaines sur l’Epitalon de synthèse se limitent à de petites études physiologiques ou de biomarqueurs et à une étude contrôlée plus ancienne dans la rétinite pigmentaire ; aucune étude randomisée suffisamment vaste n’a démontré d’efficacité thérapeutique</w:t>
      </w:r>
      <w:r>
        <w:rPr>
          <w:rStyle w:val="FootnoteReference"/>
        </w:rPr>
        <w:footnoteReference w:id="1772"/>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Substance étudiée et plan</w:t>
            </w:r>
          </w:p>
        </w:tc>
        <w:tc>
          <w:tcPr/>
          <w:p>
            <w:pPr>
              <w:pStyle w:val="Compact"/>
              <w:jc w:val="left"/>
            </w:pPr>
            <w:r>
              <w:t xml:space="preserve">Participants</w:t>
            </w:r>
          </w:p>
        </w:tc>
        <w:tc>
          <w:tcPr/>
          <w:p>
            <w:pPr>
              <w:pStyle w:val="Compact"/>
              <w:jc w:val="left"/>
            </w:pPr>
            <w:r>
              <w:t xml:space="preserve">Résultat</w:t>
            </w:r>
          </w:p>
        </w:tc>
      </w:tr>
      <w:tr>
        <w:tc>
          <w:tcPr/>
          <w:p>
            <w:pPr>
              <w:pStyle w:val="Compact"/>
              <w:jc w:val="left"/>
            </w:pPr>
            <w:r>
              <w:t xml:space="preserve">Khavinson 2002, PMID 12195242</w:t>
            </w:r>
          </w:p>
        </w:tc>
        <w:tc>
          <w:tcPr/>
          <w:p>
            <w:pPr>
              <w:pStyle w:val="Compact"/>
              <w:jc w:val="left"/>
            </w:pPr>
            <w:r>
              <w:t xml:space="preserve">Epitalon, étude contrôlée dans une dégénérescence rétinienne héréditaire (rétinite pigmentaire)</w:t>
            </w:r>
          </w:p>
        </w:tc>
        <w:tc>
          <w:tcPr/>
          <w:p>
            <w:pPr>
              <w:pStyle w:val="Compact"/>
              <w:jc w:val="left"/>
            </w:pPr>
            <w:r>
              <w:t xml:space="preserve">non précisé dans le résumé</w:t>
            </w:r>
          </w:p>
        </w:tc>
        <w:tc>
          <w:tcPr/>
          <w:p>
            <w:pPr>
              <w:pStyle w:val="Compact"/>
              <w:jc w:val="left"/>
            </w:pPr>
            <w:r>
              <w:t xml:space="preserve">« effet clinique positif dans 90 % des cas »</w:t>
            </w:r>
          </w:p>
        </w:tc>
      </w:tr>
      <w:tr>
        <w:tc>
          <w:tcPr/>
          <w:p>
            <w:pPr>
              <w:pStyle w:val="Compact"/>
              <w:jc w:val="left"/>
            </w:pPr>
            <w:r>
              <w:t xml:space="preserve">Khavinson 2003, PMID 14523363</w:t>
            </w:r>
          </w:p>
        </w:tc>
        <w:tc>
          <w:tcPr/>
          <w:p>
            <w:pPr>
              <w:pStyle w:val="Compact"/>
              <w:jc w:val="left"/>
            </w:pPr>
            <w:r>
              <w:t xml:space="preserve">Epithalamine (extrait) et Thymalin chez des personnes âgées, groupe témoin</w:t>
            </w:r>
          </w:p>
        </w:tc>
        <w:tc>
          <w:tcPr/>
          <w:p>
            <w:pPr>
              <w:pStyle w:val="Compact"/>
              <w:jc w:val="left"/>
            </w:pPr>
            <w:r>
              <w:t xml:space="preserve">266 personnes, 6–8 ans</w:t>
            </w:r>
          </w:p>
        </w:tc>
        <w:tc>
          <w:tcPr/>
          <w:p>
            <w:pPr>
              <w:pStyle w:val="Compact"/>
              <w:jc w:val="left"/>
            </w:pPr>
            <w:r>
              <w:t xml:space="preserve">selon les auteurs, mortalité 1,6 à 1,8 fois plus faible sous Epithalamine</w:t>
            </w:r>
          </w:p>
        </w:tc>
      </w:tr>
      <w:tr>
        <w:tc>
          <w:tcPr/>
          <w:p>
            <w:pPr>
              <w:pStyle w:val="Compact"/>
              <w:jc w:val="left"/>
            </w:pPr>
            <w:r>
              <w:t xml:space="preserve">Labunets 2004, PMID 15455130</w:t>
            </w:r>
          </w:p>
        </w:tc>
        <w:tc>
          <w:tcPr/>
          <w:p>
            <w:pPr>
              <w:pStyle w:val="Compact"/>
              <w:jc w:val="left"/>
            </w:pPr>
            <w:r>
              <w:t xml:space="preserve">Epithalamine, cure chez des personnes âgées</w:t>
            </w:r>
          </w:p>
        </w:tc>
        <w:tc>
          <w:tcPr/>
          <w:p>
            <w:pPr>
              <w:pStyle w:val="Compact"/>
              <w:jc w:val="left"/>
            </w:pPr>
            <w:r>
              <w:t xml:space="preserve">non précisé dans le résumé</w:t>
            </w:r>
          </w:p>
        </w:tc>
        <w:tc>
          <w:tcPr/>
          <w:p>
            <w:pPr>
              <w:pStyle w:val="Compact"/>
              <w:jc w:val="left"/>
            </w:pPr>
            <w:r>
              <w:t xml:space="preserve">rythme de la mélatonine et facteur thymique « plus jeunes »</w:t>
            </w:r>
          </w:p>
        </w:tc>
      </w:tr>
      <w:tr>
        <w:tc>
          <w:tcPr/>
          <w:p>
            <w:pPr>
              <w:pStyle w:val="Compact"/>
              <w:jc w:val="left"/>
            </w:pPr>
            <w:r>
              <w:t xml:space="preserve">Khavinson 2019, PMID 31761987</w:t>
            </w:r>
          </w:p>
        </w:tc>
        <w:tc>
          <w:tcPr/>
          <w:p>
            <w:pPr>
              <w:pStyle w:val="Compact"/>
              <w:jc w:val="left"/>
            </w:pPr>
            <w:r>
              <w:t xml:space="preserve">AEDG in vitro sur des cellules sanguines</w:t>
            </w:r>
          </w:p>
        </w:tc>
        <w:tc>
          <w:tcPr/>
          <w:p>
            <w:pPr>
              <w:pStyle w:val="Compact"/>
              <w:jc w:val="left"/>
            </w:pPr>
            <w:r>
              <w:t xml:space="preserve">11 hommes (échantillons cellulaires)</w:t>
            </w:r>
          </w:p>
        </w:tc>
        <w:tc>
          <w:tcPr/>
          <w:p>
            <w:pPr>
              <w:pStyle w:val="Compact"/>
              <w:jc w:val="left"/>
            </w:pPr>
            <w:r>
              <w:t xml:space="preserve">longueur des télomères plus grande dans 5 cas, plus courte dans 2 cas</w:t>
            </w:r>
          </w:p>
        </w:tc>
      </w:tr>
    </w:tbl>
    <w:bookmarkStart w:id="1774" w:name="lunique-étude-avec-lepitalon"/>
    <w:p>
      <w:pPr>
        <w:pStyle w:val="Heading4"/>
      </w:pPr>
      <w:r>
        <w:t xml:space="preserve">L’unique étude avec l’Epitalon</w:t>
      </w:r>
    </w:p>
    <w:p>
      <w:pPr>
        <w:pStyle w:val="FirstParagraph"/>
      </w:pPr>
      <w:r>
        <w:t xml:space="preserve">Dans la seule étude clinique avec de l’Epitalon de synthèse, des personnes atteintes de rétinite pigmentaire ont été traitées ; il s’agit d’une maladie héréditaire dans laquelle la rétine meurt progressivement. Le résumé rapporte un « effet clinique positif dans 90 % des cas », mais ne précise ni le nombre de participants, ni le critère de « positif », ni les résultats du groupe témoin</w:t>
      </w:r>
      <w:r>
        <w:rPr>
          <w:rStyle w:val="FootnoteReference"/>
        </w:rPr>
        <w:footnoteReference w:id="1773"/>
      </w:r>
      <w:r>
        <w:t xml:space="preserve">. Le résultat n’a pas été confirmé de manière indépendante ; l’Epitalon ne joue aucun rôle dans le traitement de la rétinite pigmentaire.</w:t>
      </w:r>
    </w:p>
    <w:bookmarkEnd w:id="1774"/>
    <w:bookmarkStart w:id="1776" w:name="Xb9125c4f752a3405436c202ee8c4140e0a7adf4"/>
    <w:p>
      <w:pPr>
        <w:pStyle w:val="Heading4"/>
      </w:pPr>
      <w:r>
        <w:t xml:space="preserve">L’étude sur la longévité avec l’Epithalamine</w:t>
      </w:r>
    </w:p>
    <w:p>
      <w:pPr>
        <w:pStyle w:val="FirstParagraph"/>
      </w:pPr>
      <w:r>
        <w:t xml:space="preserve">L’étude chez l’humain la plus citée sur Internet – « les peptides de la glande pinéale prolongent la vie humaine » – ne concerne pas l’Epitalon, mais l’extrait animal Epithalamine. Des chercheurs de Saint-Pétersbourg et de Kiev ont suivi 266 personnes âgées pendant six à huit ans ; au cours des deux à trois premières années, des parties du groupe ont reçu du Thymalin, de l’Epithalamine ou les deux. Selon le résumé, la mortalité a diminué d’un facteur 1,6 à 1,8 sous Epithalamine, d’un facteur 2,5 sous l’association, et même d’un facteur 4,1 avec un traitement combiné annuel pendant six ans</w:t>
      </w:r>
      <w:r>
        <w:rPr>
          <w:rStyle w:val="FootnoteReference"/>
        </w:rPr>
        <w:footnoteReference w:id="1775"/>
      </w:r>
      <w:r>
        <w:t xml:space="preserve">.</w:t>
      </w:r>
    </w:p>
    <w:p>
      <w:pPr>
        <w:pStyle w:val="BodyText"/>
      </w:pPr>
      <w:r>
        <w:t xml:space="preserve">De tels effets seraient extraordinaires – plus importants que pour presque toute mesure de la médecine moderne. Les limites n’en sont que plus importantes :</w:t>
      </w:r>
    </w:p>
    <w:p>
      <w:pPr>
        <w:numPr>
          <w:ilvl w:val="0"/>
          <w:numId w:val="1216"/>
        </w:numPr>
        <w:pStyle w:val="Compact"/>
      </w:pPr>
      <w:r>
        <w:t xml:space="preserve">Le résumé ne décrit ni répartition aléatoire ni aveugle. On ne voit pas comment le groupe témoin a été sélectionné.</w:t>
      </w:r>
    </w:p>
    <w:p>
      <w:pPr>
        <w:numPr>
          <w:ilvl w:val="0"/>
          <w:numId w:val="1216"/>
        </w:numPr>
        <w:pStyle w:val="Compact"/>
      </w:pPr>
      <w:r>
        <w:t xml:space="preserve">La taille des différents bras et le nombre absolu de décès ne sont pas indiqués.</w:t>
      </w:r>
    </w:p>
    <w:p>
      <w:pPr>
        <w:numPr>
          <w:ilvl w:val="0"/>
          <w:numId w:val="1216"/>
        </w:numPr>
        <w:pStyle w:val="Compact"/>
      </w:pPr>
      <w:r>
        <w:t xml:space="preserve">L’étude n’a jamais été enregistrée, et il n’existe pas de réplication indépendante.</w:t>
      </w:r>
    </w:p>
    <w:p>
      <w:pPr>
        <w:numPr>
          <w:ilvl w:val="0"/>
          <w:numId w:val="1216"/>
        </w:numPr>
        <w:pStyle w:val="Compact"/>
      </w:pPr>
      <w:r>
        <w:t xml:space="preserve">Les résultats proviennent des concepteurs des préparations.</w:t>
      </w:r>
    </w:p>
    <w:p>
      <w:pPr>
        <w:pStyle w:val="FirstParagraph"/>
      </w:pPr>
      <w:r>
        <w:t xml:space="preserve">Dans des observations non randomisées, de petites différences entre les groupes – par exemple qui était en meilleure santé ou mieux suivi – peuvent déjà produire de grands effets apparents sur la mortalité. Pour l’Epitalon lui-même, on ne peut de toute façon rien déduire de cette étude, puisqu’une autre substance a été étudiée.</w:t>
      </w:r>
    </w:p>
    <w:bookmarkEnd w:id="1776"/>
    <w:bookmarkStart w:id="1781" w:name="Xaf534a2d707b3736150b0a09e72509070e3117a"/>
    <w:p>
      <w:pPr>
        <w:pStyle w:val="Heading4"/>
      </w:pPr>
      <w:r>
        <w:t xml:space="preserve">L’allégation sur les télomères à l’épreuve des faits</w:t>
      </w:r>
    </w:p>
    <w:p>
      <w:pPr>
        <w:pStyle w:val="FirstParagraph"/>
      </w:pPr>
      <w:r>
        <w:t xml:space="preserve">Sur Internet, l’Epitalon est souvent présenté comme un produit qui « allonge les télomères » et ainsi « remonte l’horloge biologique ». Qu’est-ce qui est démontré ?</w:t>
      </w:r>
    </w:p>
    <w:p>
      <w:pPr>
        <w:numPr>
          <w:ilvl w:val="0"/>
          <w:numId w:val="1217"/>
        </w:numPr>
        <w:pStyle w:val="Compact"/>
      </w:pPr>
      <w:r>
        <w:rPr>
          <w:bCs/>
          <w:b/>
        </w:rPr>
        <w:t xml:space="preserve">Culture cellulaire de Saint-Pétersbourg :</w:t>
      </w:r>
      <w:r>
        <w:t xml:space="preserve"> </w:t>
      </w:r>
      <w:r>
        <w:t xml:space="preserve">dans des fibroblastes fœtaux humains, l’Epitalon a déclenché une activité télomérase et un allongement des télomères</w:t>
      </w:r>
      <w:r>
        <w:rPr>
          <w:rStyle w:val="FootnoteReference"/>
        </w:rPr>
        <w:footnoteReference w:id="1777"/>
      </w:r>
      <w:r>
        <w:t xml:space="preserve"> </w:t>
      </w:r>
      <w:r>
        <w:t xml:space="preserve">; dans un travail ultérieur, les cellules traitées ont effectué dix divisions supplémentaires au-delà de leur limite habituelle</w:t>
      </w:r>
      <w:r>
        <w:rPr>
          <w:rStyle w:val="FootnoteReference"/>
        </w:rPr>
        <w:footnoteReference w:id="1778"/>
      </w:r>
      <w:r>
        <w:t xml:space="preserve">. Les deux travaux sont publiés de manière très succincte, sans méthodes détaillées dans le résumé.</w:t>
      </w:r>
    </w:p>
    <w:p>
      <w:pPr>
        <w:numPr>
          <w:ilvl w:val="0"/>
          <w:numId w:val="1217"/>
        </w:numPr>
        <w:pStyle w:val="Compact"/>
      </w:pPr>
      <w:r>
        <w:rPr>
          <w:bCs/>
          <w:b/>
        </w:rPr>
        <w:t xml:space="preserve">Étude cellulaire indépendante :</w:t>
      </w:r>
      <w:r>
        <w:t xml:space="preserve"> </w:t>
      </w:r>
      <w:r>
        <w:t xml:space="preserve">un groupe de recherche hors de Russie a également trouvé en 2025 des télomères allongés de façon dose-dépendante dans des cellules épithéliales et conjonctives humaines normales. Dans des lignées cellulaires de cancer du sein, les télomères se sont également allongés – là par un mécanisme alternatif (ALT) typique des cellules cancéreuses</w:t>
      </w:r>
      <w:r>
        <w:rPr>
          <w:rStyle w:val="FootnoteReference"/>
        </w:rPr>
        <w:footnoteReference w:id="1779"/>
      </w:r>
      <w:r>
        <w:t xml:space="preserve">.</w:t>
      </w:r>
    </w:p>
    <w:p>
      <w:pPr>
        <w:numPr>
          <w:ilvl w:val="0"/>
          <w:numId w:val="1217"/>
        </w:numPr>
        <w:pStyle w:val="Compact"/>
      </w:pPr>
      <w:r>
        <w:rPr>
          <w:bCs/>
          <w:b/>
        </w:rPr>
        <w:t xml:space="preserve">Cellules sanguines humaines in vitro :</w:t>
      </w:r>
      <w:r>
        <w:t xml:space="preserve"> </w:t>
      </w:r>
      <w:r>
        <w:t xml:space="preserve">dans des cellules sanguines de onze hommes, les télomères se sont allongés dans cinq cas après contact avec le peptide, et raccourcis dans deux cas ; les auteurs l’interprètent comme une « normalisation »</w:t>
      </w:r>
      <w:r>
        <w:rPr>
          <w:rStyle w:val="FootnoteReference"/>
        </w:rPr>
        <w:footnoteReference w:id="1780"/>
      </w:r>
      <w:r>
        <w:t xml:space="preserve">.</w:t>
      </w:r>
    </w:p>
    <w:p>
      <w:pPr>
        <w:numPr>
          <w:ilvl w:val="0"/>
          <w:numId w:val="1217"/>
        </w:numPr>
        <w:pStyle w:val="Compact"/>
      </w:pPr>
      <w:r>
        <w:rPr>
          <w:bCs/>
          <w:b/>
        </w:rPr>
        <w:t xml:space="preserve">Chez l’humain vivant :</w:t>
      </w:r>
      <w:r>
        <w:t xml:space="preserve"> </w:t>
      </w:r>
      <w:r>
        <w:t xml:space="preserve">il n’existe aucune étude contrôlée publiée ayant montré que l’Epitalon modifie la longueur des télomères dans le sang ou les tissus humains – et encore moins une étude démontrant un bénéfice pour la santé d’une telle modification.</w:t>
      </w:r>
    </w:p>
    <w:p>
      <w:pPr>
        <w:pStyle w:val="FirstParagraph"/>
      </w:pPr>
      <w:r>
        <w:t xml:space="preserve">S’y ajoute ceci : la longueur des télomères est certes liée à l’âge, mais ce n’est pas une mesure fiable de l’« horloge biologique » d’une personne donnée. Et une télomérase activée en permanence est une caractéristique de la grande majorité des cancers. La capacité d’allonger les télomères n’est donc pas automatiquement un avantage (voir Risques).</w:t>
      </w:r>
    </w:p>
    <w:bookmarkEnd w:id="1781"/>
    <w:bookmarkEnd w:id="1782"/>
    <w:bookmarkStart w:id="1787" w:name="études-animales-et-de-laboratoire-39"/>
    <w:p>
      <w:pPr>
        <w:pStyle w:val="Heading3"/>
      </w:pPr>
      <w:r>
        <w:t xml:space="preserve">Études animales et de laboratoire</w:t>
      </w:r>
    </w:p>
    <w:p>
      <w:pPr>
        <w:numPr>
          <w:ilvl w:val="0"/>
          <w:numId w:val="1218"/>
        </w:numPr>
        <w:pStyle w:val="Compact"/>
      </w:pPr>
      <w:r>
        <w:rPr>
          <w:bCs/>
          <w:b/>
        </w:rPr>
        <w:t xml:space="preserve">Durée de vie chez la souris :</w:t>
      </w:r>
      <w:r>
        <w:t xml:space="preserve"> </w:t>
      </w:r>
      <w:r>
        <w:t xml:space="preserve">dans l’étude animale la plus importante, 54 souris femelles par groupe ont reçu toute leur vie, chaque mois, de l’Epitalon ou une solution saline. La</w:t>
      </w:r>
      <w:r>
        <w:t xml:space="preserve"> </w:t>
      </w:r>
      <w:r>
        <w:rPr>
          <w:bCs/>
          <w:b/>
        </w:rPr>
        <w:t xml:space="preserve">durée de vie moyenne</w:t>
      </w:r>
      <w:r>
        <w:t xml:space="preserve"> </w:t>
      </w:r>
      <w:r>
        <w:t xml:space="preserve">ne différait</w:t>
      </w:r>
      <w:r>
        <w:t xml:space="preserve"> </w:t>
      </w:r>
      <w:r>
        <w:rPr>
          <w:bCs/>
          <w:b/>
        </w:rPr>
        <w:t xml:space="preserve">pas</w:t>
      </w:r>
      <w:r>
        <w:t xml:space="preserve"> </w:t>
      </w:r>
      <w:r>
        <w:t xml:space="preserve">; seuls les 10 % de survivants les plus tardifs ont vécu 13,3 % plus longtemps, et la durée de vie maximale était supérieure de 12,3 %. Le nombre total de tumeurs spontanées était le même, et les leucémies étaient plus rares</w:t>
      </w:r>
      <w:r>
        <w:rPr>
          <w:rStyle w:val="FootnoteReference"/>
        </w:rPr>
        <w:footnoteReference w:id="1783"/>
      </w:r>
      <w:r>
        <w:t xml:space="preserve">.</w:t>
      </w:r>
    </w:p>
    <w:p>
      <w:pPr>
        <w:numPr>
          <w:ilvl w:val="0"/>
          <w:numId w:val="1218"/>
        </w:numPr>
        <w:pStyle w:val="Compact"/>
      </w:pPr>
      <w:r>
        <w:rPr>
          <w:bCs/>
          <w:b/>
        </w:rPr>
        <w:t xml:space="preserve">Mouches du vinaigre :</w:t>
      </w:r>
      <w:r>
        <w:t xml:space="preserve"> </w:t>
      </w:r>
      <w:r>
        <w:t xml:space="preserve">une durée de vie plus longue a également été rapportée chez la drosophile</w:t>
      </w:r>
      <w:r>
        <w:rPr>
          <w:rStyle w:val="FootnoteReference"/>
        </w:rPr>
        <w:footnoteReference w:id="1784"/>
      </w:r>
      <w:r>
        <w:t xml:space="preserve">.</w:t>
      </w:r>
    </w:p>
    <w:p>
      <w:pPr>
        <w:numPr>
          <w:ilvl w:val="0"/>
          <w:numId w:val="1218"/>
        </w:numPr>
        <w:pStyle w:val="Compact"/>
      </w:pPr>
      <w:r>
        <w:rPr>
          <w:bCs/>
          <w:b/>
        </w:rPr>
        <w:t xml:space="preserve">Rétine :</w:t>
      </w:r>
      <w:r>
        <w:t xml:space="preserve"> </w:t>
      </w:r>
      <w:r>
        <w:t xml:space="preserve">chez des rats atteints de dégénérescence rétinienne héréditaire, la structure de la rétine était mieux préservée sous Epitalon</w:t>
      </w:r>
      <w:r>
        <w:rPr>
          <w:rStyle w:val="FootnoteReference"/>
        </w:rPr>
        <w:footnoteReference w:id="1785"/>
      </w:r>
      <w:r>
        <w:t xml:space="preserve">.</w:t>
      </w:r>
    </w:p>
    <w:p>
      <w:pPr>
        <w:numPr>
          <w:ilvl w:val="0"/>
          <w:numId w:val="1218"/>
        </w:numPr>
        <w:pStyle w:val="Compact"/>
      </w:pPr>
      <w:r>
        <w:rPr>
          <w:bCs/>
          <w:b/>
        </w:rPr>
        <w:t xml:space="preserve">Ovocytes :</w:t>
      </w:r>
      <w:r>
        <w:t xml:space="preserve"> </w:t>
      </w:r>
      <w:r>
        <w:t xml:space="preserve">dans des cultures d’ovocytes de souris âgées, l’Epitalon a réduit les dommages dus au stress oxydatif</w:t>
      </w:r>
      <w:r>
        <w:rPr>
          <w:rStyle w:val="FootnoteReference"/>
        </w:rPr>
        <w:footnoteReference w:id="1786"/>
      </w:r>
      <w:r>
        <w:t xml:space="preserve">.</w:t>
      </w:r>
    </w:p>
    <w:p>
      <w:pPr>
        <w:pStyle w:val="FirstParagraph"/>
      </w:pPr>
      <w:r>
        <w:t xml:space="preserve">La grande majorité de ces études proviennent du groupe de Khavinson et d’Anisimov, le plus souvent dans des revues russes ou dans des revues où le groupe lui-même publiait fréquemment. Les réplications indépendantes sont rares.</w:t>
      </w:r>
    </w:p>
    <w:bookmarkEnd w:id="1787"/>
    <w:bookmarkStart w:id="1791" w:name="risques-et-effets-indésirables-39"/>
    <w:p>
      <w:pPr>
        <w:pStyle w:val="Heading3"/>
      </w:pPr>
      <w:r>
        <w:t xml:space="preserve">Risques et effets indésirables</w:t>
      </w:r>
    </w:p>
    <w:p>
      <w:pPr>
        <w:pStyle w:val="FirstParagraph"/>
      </w:pPr>
      <w:r>
        <w:rPr>
          <w:bCs/>
          <w:b/>
        </w:rPr>
        <w:t xml:space="preserve">Établi :</w:t>
      </w:r>
      <w:r>
        <w:t xml:space="preserve"> </w:t>
      </w:r>
      <w:r>
        <w:t xml:space="preserve">il n’existe pas de données de sécurité recueillies systématiquement sur l’Epitalon chez l’humain.</w:t>
      </w:r>
    </w:p>
    <w:p>
      <w:pPr>
        <w:pStyle w:val="BodyText"/>
      </w:pPr>
      <w:r>
        <w:rPr>
          <w:bCs/>
          <w:b/>
        </w:rPr>
        <w:t xml:space="preserve">Théorique :</w:t>
      </w:r>
    </w:p>
    <w:p>
      <w:pPr>
        <w:numPr>
          <w:ilvl w:val="0"/>
          <w:numId w:val="1219"/>
        </w:numPr>
        <w:pStyle w:val="Compact"/>
      </w:pPr>
      <w:r>
        <w:rPr>
          <w:bCs/>
          <w:b/>
        </w:rPr>
        <w:t xml:space="preserve">Cancer :</w:t>
      </w:r>
      <w:r>
        <w:t xml:space="preserve"> </w:t>
      </w:r>
      <w:r>
        <w:t xml:space="preserve">l’activation de la télomérase est une caractéristique centrale des cellules cancéreuses. Une substance censée activer la télomérase pourrait théoriquement favoriser la croissance de cellules cancéreuses déjà présentes et non détectées. Dans l’étude cellulaire indépendante, les télomères de cellules de cancer du sein se sont aussi allongés</w:t>
      </w:r>
      <w:r>
        <w:rPr>
          <w:rStyle w:val="FootnoteReference"/>
        </w:rPr>
        <w:footnoteReference w:id="1788"/>
      </w:r>
      <w:r>
        <w:t xml:space="preserve">. L’étude chez la souris n’a trouvé aucune augmentation des tumeurs spontanées</w:t>
      </w:r>
      <w:r>
        <w:rPr>
          <w:rStyle w:val="FootnoteReference"/>
        </w:rPr>
        <w:footnoteReference w:id="1789"/>
      </w:r>
      <w:r>
        <w:t xml:space="preserve">, mais les données animales ne sont pas transposables à des décennies d’utilisation chez l’humain.</w:t>
      </w:r>
    </w:p>
    <w:p>
      <w:pPr>
        <w:numPr>
          <w:ilvl w:val="0"/>
          <w:numId w:val="1219"/>
        </w:numPr>
        <w:pStyle w:val="Compact"/>
      </w:pPr>
      <w:r>
        <w:rPr>
          <w:bCs/>
          <w:b/>
        </w:rPr>
        <w:t xml:space="preserve">Système hormonal :</w:t>
      </w:r>
      <w:r>
        <w:t xml:space="preserve"> </w:t>
      </w:r>
      <w:r>
        <w:t xml:space="preserve">une influence sur la mélatonine et la glande pinéale peut modifier le sommeil et les rythmes hormonaux ; cela n’a pas été étudié chez l’humain.</w:t>
      </w:r>
    </w:p>
    <w:p>
      <w:pPr>
        <w:pStyle w:val="FirstParagraph"/>
      </w:pPr>
      <w:r>
        <w:rPr>
          <w:bCs/>
          <w:b/>
        </w:rPr>
        <w:t xml:space="preserve">Marché gris :</w:t>
      </w:r>
      <w:r>
        <w:t xml:space="preserve"> </w:t>
      </w:r>
      <w:r>
        <w:t xml:space="preserve">l’Epitalon fait partie des « peptides de longévité » les plus vendus et est proposé sous forme de poudre pour injection ou de spray nasal. La pureté, la teneur et la stérilité ne sont pas contrôlées. Une revue indépendante cite des questions non résolues sur la qualité des produits, les réactions immunitaires et le risque de cancer</w:t>
      </w:r>
      <w:r>
        <w:rPr>
          <w:rStyle w:val="FootnoteReference"/>
        </w:rPr>
        <w:footnoteReference w:id="1790"/>
      </w:r>
      <w:r>
        <w:t xml:space="preserve">.</w:t>
      </w:r>
    </w:p>
    <w:bookmarkEnd w:id="1791"/>
    <w:bookmarkStart w:id="1792" w:name="statut-juridique-39"/>
    <w:p>
      <w:pPr>
        <w:pStyle w:val="Heading3"/>
      </w:pPr>
      <w:r>
        <w:t xml:space="preserve">Statut juridique</w:t>
      </w:r>
    </w:p>
    <w:p>
      <w:pPr>
        <w:numPr>
          <w:ilvl w:val="0"/>
          <w:numId w:val="1220"/>
        </w:numPr>
        <w:pStyle w:val="Compact"/>
      </w:pPr>
      <w:r>
        <w:rPr>
          <w:bCs/>
          <w:b/>
        </w:rPr>
        <w:t xml:space="preserve">UE / Autriche / Allemagne :</w:t>
      </w:r>
      <w:r>
        <w:t xml:space="preserve"> </w:t>
      </w:r>
      <w:r>
        <w:t xml:space="preserve">non autorisé ; en tant que substance à effet pharmacologique, l’Epitalon est considéré comme un médicament, et sa vente en vue d’un usage humain n’est pas permise.</w:t>
      </w:r>
    </w:p>
    <w:p>
      <w:pPr>
        <w:numPr>
          <w:ilvl w:val="0"/>
          <w:numId w:val="1220"/>
        </w:numPr>
        <w:pStyle w:val="Compact"/>
      </w:pPr>
      <w:r>
        <w:rPr>
          <w:bCs/>
          <w:b/>
        </w:rPr>
        <w:t xml:space="preserve">États-Unis :</w:t>
      </w:r>
      <w:r>
        <w:t xml:space="preserve"> </w:t>
      </w:r>
      <w:r>
        <w:t xml:space="preserve">non autorisé. Après le vote du comité consultatif PCAC en juillet 2026, l’Epitalon pourrait à l’avenir être autorisé dans les préparations magistrales en pharmacie si la FDA suit cet avis ; la procédure n’était pas terminée au moment de la clôture de la rédaction (état octobre 2026, à vérifier).</w:t>
      </w:r>
    </w:p>
    <w:p>
      <w:pPr>
        <w:numPr>
          <w:ilvl w:val="0"/>
          <w:numId w:val="1220"/>
        </w:numPr>
        <w:pStyle w:val="Compact"/>
      </w:pPr>
      <w:r>
        <w:rPr>
          <w:bCs/>
          <w:b/>
        </w:rPr>
        <w:t xml:space="preserve">Russie :</w:t>
      </w:r>
      <w:r>
        <w:t xml:space="preserve"> </w:t>
      </w:r>
      <w:r>
        <w:t xml:space="preserve">en Russie, les biorégulateurs peptidiques sont en partie commercialisés comme compléments alimentaires ; l’Epitalon lui-même n’y est pas enregistré comme médicament à notre connaissance (à vérifier).</w:t>
      </w:r>
    </w:p>
    <w:p>
      <w:pPr>
        <w:numPr>
          <w:ilvl w:val="0"/>
          <w:numId w:val="1220"/>
        </w:numPr>
        <w:pStyle w:val="Compact"/>
      </w:pPr>
      <w:r>
        <w:rPr>
          <w:bCs/>
          <w:b/>
        </w:rPr>
        <w:t xml:space="preserve">Sport :</w:t>
      </w:r>
      <w:r>
        <w:t xml:space="preserve"> </w:t>
      </w:r>
      <w:r>
        <w:t xml:space="preserve">selon notre appréciation, catégorie S0 de l’AMA (état 2026, à vérifier).</w:t>
      </w:r>
    </w:p>
    <w:bookmarkEnd w:id="1792"/>
    <w:bookmarkStart w:id="1794" w:name="études-en-cours-et-perspectives-39"/>
    <w:p>
      <w:pPr>
        <w:pStyle w:val="Heading3"/>
      </w:pPr>
      <w:r>
        <w:t xml:space="preserve">Études en cours et perspectives</w:t>
      </w:r>
    </w:p>
    <w:p>
      <w:pPr>
        <w:pStyle w:val="FirstParagraph"/>
      </w:pPr>
      <w:r>
        <w:rPr>
          <w:bCs/>
          <w:b/>
        </w:rPr>
        <w:t xml:space="preserve">Établi :</w:t>
      </w:r>
      <w:r>
        <w:t xml:space="preserve"> </w:t>
      </w:r>
      <w:r>
        <w:t xml:space="preserve">sur ClinicalTrials.gov est enregistrée une étude précoce dans laquelle des mesures de rajeunissement « systémiques et locales » doivent être évaluées à l’aide d’horloges du vieillissement (méthodes de mesure épigénétiques) ; 48 participants sont prévus, début en octobre 2026</w:t>
      </w:r>
      <w:r>
        <w:rPr>
          <w:rStyle w:val="FootnoteReference"/>
        </w:rPr>
        <w:footnoteReference w:id="1793"/>
      </w:r>
      <w:r>
        <w:t xml:space="preserve">. Selon l’entrée du registre, l’Epitalon n’y est que l’un des cinq composants d’un sérum peptidique appliqué sur la peau ; des médicaments et des compléments alimentaires sont en outre pris. L’étude ne comporte qu’un seul groupe, sans aveugle ni contrôle placebo. Elle ne peut donc fournir aucune information sur l’effet de l’Epitalon lui-même.</w:t>
      </w:r>
    </w:p>
    <w:p>
      <w:pPr>
        <w:pStyle w:val="BodyText"/>
      </w:pPr>
      <w:r>
        <w:rPr>
          <w:bCs/>
          <w:b/>
        </w:rPr>
        <w:t xml:space="preserve">Appréciation :</w:t>
      </w:r>
      <w:r>
        <w:t xml:space="preserve"> </w:t>
      </w:r>
      <w:r>
        <w:t xml:space="preserve">l’inscription sur la liste américaine des préparations magistrales augmenterait la diffusion sans améliorer l’état des données. Ce qui serait décisif, c’est une étude randomisée indépendante qui mesure au minimum la longueur des télomères, la mélatonine et les paramètres de sécurité chez l’humain sur une période prolongée.</w:t>
      </w:r>
    </w:p>
    <w:bookmarkEnd w:id="1794"/>
    <w:bookmarkStart w:id="1795" w:name="conclusion-39"/>
    <w:p>
      <w:pPr>
        <w:pStyle w:val="Heading3"/>
      </w:pPr>
      <w:r>
        <w:t xml:space="preserve">Conclusion</w:t>
      </w:r>
    </w:p>
    <w:p>
      <w:pPr>
        <w:pStyle w:val="FirstParagraph"/>
      </w:pPr>
      <w:r>
        <w:t xml:space="preserve">L’Epitalon est un tétrapeptide de synthèse de Saint-Pétersbourg qui a activé la télomérase dans des cultures cellulaires et a prolongé chez la souris la durée de vie maximale, mais pas la durée de vie moyenne. L’étude souvent citée sur une vie plus longue concernait l’extrait bovin Epithalamine, n’était pas randomisée et n’a jamais été répliquée de manière indépendante. Il n’est pas démontré que l’Epitalon allonge les télomères ou ralentit le vieillissement chez l’humain ; l’activation de la télomérase soulève en outre une question non résolue concernant le cancer. Les données ne suffisent pas pour juger du bénéfice ou de la sécurité chez l’humain.</w:t>
      </w:r>
    </w:p>
    <w:bookmarkEnd w:id="1795"/>
    <w:bookmarkEnd w:id="1796"/>
    <w:bookmarkStart w:id="1813" w:name="pinealon"/>
    <w:p>
      <w:pPr>
        <w:pStyle w:val="Heading2"/>
      </w:pPr>
      <w:r>
        <w:t xml:space="preserve">Pinealon</w:t>
      </w:r>
    </w:p>
    <w:bookmarkStart w:id="1797" w:name="fiche-signalétique-40"/>
    <w:p>
      <w:pPr>
        <w:pStyle w:val="Heading3"/>
      </w:pPr>
      <w:r>
        <w:t xml:space="preserve">Fiche signalétique</w:t>
      </w:r>
    </w:p>
    <w:p>
      <w:pPr>
        <w:numPr>
          <w:ilvl w:val="0"/>
          <w:numId w:val="1221"/>
        </w:numPr>
        <w:pStyle w:val="Compact"/>
      </w:pPr>
      <w:r>
        <w:rPr>
          <w:bCs/>
          <w:b/>
        </w:rPr>
        <w:t xml:space="preserve">Nature et structure :</w:t>
      </w:r>
      <w:r>
        <w:t xml:space="preserve"> </w:t>
      </w:r>
      <w:r>
        <w:t xml:space="preserve">tripeptide de synthèse de trois acides aminés : Glu-Asp-Arg (en abrégé EDR).</w:t>
      </w:r>
    </w:p>
    <w:p>
      <w:pPr>
        <w:numPr>
          <w:ilvl w:val="0"/>
          <w:numId w:val="1221"/>
        </w:numPr>
        <w:pStyle w:val="Compact"/>
      </w:pPr>
      <w:r>
        <w:rPr>
          <w:bCs/>
          <w:b/>
        </w:rPr>
        <w:t xml:space="preserve">Origine :</w:t>
      </w:r>
      <w:r>
        <w:t xml:space="preserve"> </w:t>
      </w:r>
      <w:r>
        <w:t xml:space="preserve">développé à l’Institut de biorégulation et de gérontologie de Saint-Pétersbourg (groupe de Vladimir Khavinson, qui a aussi développé l’Epitalon). Le nom fait référence à la glande pinéale (glandula pinealis), bien que le peptide soit surtout décrit comme une substance protectrice des neurones.</w:t>
      </w:r>
    </w:p>
    <w:p>
      <w:pPr>
        <w:numPr>
          <w:ilvl w:val="0"/>
          <w:numId w:val="1221"/>
        </w:numPr>
        <w:pStyle w:val="Compact"/>
      </w:pPr>
      <w:r>
        <w:rPr>
          <w:bCs/>
          <w:b/>
        </w:rPr>
        <w:t xml:space="preserve">Principe d’action :</w:t>
      </w:r>
      <w:r>
        <w:t xml:space="preserve"> </w:t>
      </w:r>
      <w:r>
        <w:t xml:space="preserve">en tant que « biorégulateur peptidique court », il pénétrerait dans les cellules et les noyaux cellulaires, se lierait à l’ADN ou aux histones et influencerait ainsi l’activité de gènes qui protègent les neurones contre le stress oxydatif et la mort cellulaire.</w:t>
      </w:r>
    </w:p>
    <w:p>
      <w:pPr>
        <w:numPr>
          <w:ilvl w:val="0"/>
          <w:numId w:val="1221"/>
        </w:numPr>
        <w:pStyle w:val="Compact"/>
      </w:pPr>
      <w:r>
        <w:rPr>
          <w:bCs/>
          <w:b/>
        </w:rPr>
        <w:t xml:space="preserve">Autorisation UE :</w:t>
      </w:r>
      <w:r>
        <w:t xml:space="preserve"> </w:t>
      </w:r>
      <w:r>
        <w:t xml:space="preserve">non.</w:t>
      </w:r>
    </w:p>
    <w:p>
      <w:pPr>
        <w:numPr>
          <w:ilvl w:val="0"/>
          <w:numId w:val="1221"/>
        </w:numPr>
        <w:pStyle w:val="Compact"/>
      </w:pPr>
      <w:r>
        <w:rPr>
          <w:bCs/>
          <w:b/>
        </w:rPr>
        <w:t xml:space="preserve">Autorisation États-Unis :</w:t>
      </w:r>
      <w:r>
        <w:t xml:space="preserve"> </w:t>
      </w:r>
      <w:r>
        <w:t xml:space="preserve">non.</w:t>
      </w:r>
    </w:p>
    <w:p>
      <w:pPr>
        <w:numPr>
          <w:ilvl w:val="0"/>
          <w:numId w:val="1221"/>
        </w:numPr>
        <w:pStyle w:val="Compact"/>
      </w:pPr>
      <w:r>
        <w:rPr>
          <w:bCs/>
          <w:b/>
        </w:rPr>
        <w:t xml:space="preserve">Russie :</w:t>
      </w:r>
      <w:r>
        <w:t xml:space="preserve"> </w:t>
      </w:r>
      <w:r>
        <w:t xml:space="preserve">commercialisé comme composant de « cytogènes » en gélules, c’est-à-dire plutôt comme complément alimentaire que comme médicament éprouvé.</w:t>
      </w:r>
    </w:p>
    <w:p>
      <w:pPr>
        <w:numPr>
          <w:ilvl w:val="0"/>
          <w:numId w:val="1221"/>
        </w:numPr>
        <w:pStyle w:val="Compact"/>
      </w:pPr>
      <w:r>
        <w:rPr>
          <w:bCs/>
          <w:b/>
        </w:rPr>
        <w:t xml:space="preserve">AMA (WADA) :</w:t>
      </w:r>
      <w:r>
        <w:t xml:space="preserve"> </w:t>
      </w:r>
      <w:r>
        <w:t xml:space="preserve">pas nommément listé ; une substance non autorisée comme médicament peut relever de la catégorie générale S0.</w:t>
      </w:r>
    </w:p>
    <w:p>
      <w:pPr>
        <w:numPr>
          <w:ilvl w:val="0"/>
          <w:numId w:val="1221"/>
        </w:numPr>
        <w:pStyle w:val="Compact"/>
      </w:pPr>
      <w:r>
        <w:rPr>
          <w:bCs/>
          <w:b/>
        </w:rPr>
        <w:t xml:space="preserve">Niveau de preuve :</w:t>
      </w:r>
      <w:r>
        <w:t xml:space="preserve"> </w:t>
      </w:r>
      <w:r>
        <w:rPr>
          <w:bCs/>
          <w:b/>
        </w:rPr>
        <w:t xml:space="preserve">C</w:t>
      </w:r>
      <w:r>
        <w:t xml:space="preserve"> </w:t>
      </w:r>
      <w:r>
        <w:t xml:space="preserve">– quelques petites études observationnelles russes non randomisées, avec des mesures de substitution comme l’« âge biologique ».</w:t>
      </w:r>
    </w:p>
    <w:bookmarkEnd w:id="1797"/>
    <w:bookmarkStart w:id="1801" w:name="mode-daction-supposé-40"/>
    <w:p>
      <w:pPr>
        <w:pStyle w:val="Heading3"/>
      </w:pPr>
      <w:r>
        <w:t xml:space="preserve">Mode d’action supposé</w:t>
      </w:r>
    </w:p>
    <w:p>
      <w:pPr>
        <w:pStyle w:val="FirstParagraph"/>
      </w:pPr>
      <w:r>
        <w:t xml:space="preserve">Le Pinealon appartient à une famille de peptides très courts (deux à quatre acides aminés) que le groupe de Saint-Pétersbourg appelle « biorégulateurs peptidiques ». L’hypothèse centrale est la suivante : ces mini-peptides parviennent jusqu’au noyau cellulaire, s’y lient à certaines séquences d’ADN et régulent ainsi des gènes – de manière semblable aux facteurs de transcription, c’est-à-dire aux protéines qui activent et désactivent les gènes.</w:t>
      </w:r>
    </w:p>
    <w:p>
      <w:pPr>
        <w:pStyle w:val="BodyText"/>
      </w:pPr>
      <w:r>
        <w:t xml:space="preserve">Les preuves à l’appui proviennent du laboratoire :</w:t>
      </w:r>
    </w:p>
    <w:p>
      <w:pPr>
        <w:numPr>
          <w:ilvl w:val="0"/>
          <w:numId w:val="1222"/>
        </w:numPr>
        <w:pStyle w:val="Compact"/>
      </w:pPr>
      <w:r>
        <w:t xml:space="preserve">Dans des cellules cancéreuses (HeLa), des peptides Pinealon, Epitalon et apparentés marqués par fluorescence ont pénétré dans le cytoplasme, le noyau et les nucléoles ; in vitro, ils ont modifié la fluorescence de fragments d’ADN marqués en fonction de leur séquence</w:t>
      </w:r>
      <w:r>
        <w:rPr>
          <w:rStyle w:val="FootnoteReference"/>
        </w:rPr>
        <w:footnoteReference w:id="1798"/>
      </w:r>
      <w:r>
        <w:t xml:space="preserve">.</w:t>
      </w:r>
    </w:p>
    <w:p>
      <w:pPr>
        <w:numPr>
          <w:ilvl w:val="0"/>
          <w:numId w:val="1222"/>
        </w:numPr>
        <w:pStyle w:val="Compact"/>
      </w:pPr>
      <w:r>
        <w:t xml:space="preserve">Dans des neurones du cervelet de rat et dans d’autres cultures cellulaires, le Pinealon a limité l’accumulation d’espèces réactives de l’oxygène et réduit la mort cellulaire</w:t>
      </w:r>
      <w:r>
        <w:rPr>
          <w:rStyle w:val="FootnoteReference"/>
        </w:rPr>
        <w:footnoteReference w:id="1799"/>
      </w:r>
      <w:r>
        <w:t xml:space="preserve">.</w:t>
      </w:r>
    </w:p>
    <w:p>
      <w:pPr>
        <w:pStyle w:val="FirstParagraph"/>
      </w:pPr>
      <w:r>
        <w:t xml:space="preserve">Une revue des concepteurs résume que le peptide EDR influencerait, dans des expériences cellulaires et animales, des gènes et des protéines qui jouent un rôle dans la maladie d’Alzheimer, par exemple des enzymes de la défense antioxydante et des signaux de mort cellulaire</w:t>
      </w:r>
      <w:r>
        <w:rPr>
          <w:rStyle w:val="FootnoteReference"/>
        </w:rPr>
        <w:footnoteReference w:id="1800"/>
      </w:r>
      <w:r>
        <w:t xml:space="preserve">. Il s’agit d’une hypothèse jusqu’ici à peine vérifiée par d’autres groupes de recherche. On sait en outre en pharmacologie classique que des peptides aussi courts sont rapidement scindés dans le tube digestif et dans le sang ; la quantité de Pinealon inchangé qui atteint les neurones après la prise d’une gélule n’a pas été étudiée.</w:t>
      </w:r>
    </w:p>
    <w:bookmarkEnd w:id="1801"/>
    <w:bookmarkStart w:id="1803" w:name="études-chez-lhumain-40"/>
    <w:p>
      <w:pPr>
        <w:pStyle w:val="Heading3"/>
      </w:pPr>
      <w:r>
        <w:t xml:space="preserve">Études chez l’humain</w:t>
      </w:r>
    </w:p>
    <w:p>
      <w:pPr>
        <w:pStyle w:val="FirstParagraph"/>
      </w:pPr>
      <w:r>
        <w:rPr>
          <w:bCs/>
          <w:b/>
        </w:rPr>
        <w:t xml:space="preserve">Ampleur des données :</w:t>
      </w:r>
      <w:r>
        <w:t xml:space="preserve"> </w:t>
      </w:r>
      <w:r>
        <w:t xml:space="preserve">la requête PubMed automatisée (octobre 2026) a donné</w:t>
      </w:r>
      <w:r>
        <w:t xml:space="preserve"> </w:t>
      </w:r>
      <w:r>
        <w:rPr>
          <w:bCs/>
          <w:b/>
        </w:rPr>
        <w:t xml:space="preserve">une</w:t>
      </w:r>
      <w:r>
        <w:t xml:space="preserve"> </w:t>
      </w:r>
      <w:r>
        <w:t xml:space="preserve">publication classée comme étude chez l’humain ; au total, PubMed ne recense que 15 travaux comportant « Pinealon » dans le titre ou le résumé. Aucune étude n’est enregistrée sur ClinicalTrials.gov. Une recherche complémentaire a mis au jour trois autres petits travaux russes chez l’humain, tous dans la revue « Uspekhi Gerontologii » (Progrès de la gérontologie).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Bashkireva 2012, PMID 23734521</w:t>
            </w:r>
          </w:p>
        </w:tc>
        <w:tc>
          <w:tcPr/>
          <w:p>
            <w:pPr>
              <w:pStyle w:val="Compact"/>
              <w:jc w:val="left"/>
            </w:pPr>
            <w:r>
              <w:t xml:space="preserve">150 chauffeurs routiers, 150 métallurgistes en comparaison ; peptides dans des sous-groupes</w:t>
            </w:r>
          </w:p>
        </w:tc>
        <w:tc>
          <w:tcPr/>
          <w:p>
            <w:pPr>
              <w:pStyle w:val="Compact"/>
              <w:jc w:val="left"/>
            </w:pPr>
            <w:r>
              <w:t xml:space="preserve">non précisée</w:t>
            </w:r>
          </w:p>
        </w:tc>
        <w:tc>
          <w:tcPr/>
          <w:p>
            <w:pPr>
              <w:pStyle w:val="Compact"/>
              <w:jc w:val="left"/>
            </w:pPr>
            <w:r>
              <w:t xml:space="preserve">selon les auteurs, meilleurs scores psycho-émotionnels, meilleur effet avec l’association de deux peptides</w:t>
            </w:r>
          </w:p>
        </w:tc>
      </w:tr>
      <w:tr>
        <w:tc>
          <w:tcPr/>
          <w:p>
            <w:pPr>
              <w:pStyle w:val="Compact"/>
              <w:jc w:val="left"/>
            </w:pPr>
            <w:r>
              <w:t xml:space="preserve">Nazimko 2012, PMID 22708445</w:t>
            </w:r>
          </w:p>
        </w:tc>
        <w:tc>
          <w:tcPr/>
          <w:p>
            <w:pPr>
              <w:pStyle w:val="Compact"/>
              <w:jc w:val="left"/>
            </w:pPr>
            <w:r>
              <w:t xml:space="preserve">équipes de conducteurs de locomotives, gélules de Pinealon</w:t>
            </w:r>
          </w:p>
        </w:tc>
        <w:tc>
          <w:tcPr/>
          <w:p>
            <w:pPr>
              <w:pStyle w:val="Compact"/>
              <w:jc w:val="left"/>
            </w:pPr>
            <w:r>
              <w:t xml:space="preserve">2 semaines</w:t>
            </w:r>
          </w:p>
        </w:tc>
        <w:tc>
          <w:tcPr/>
          <w:p>
            <w:pPr>
              <w:pStyle w:val="Compact"/>
              <w:jc w:val="left"/>
            </w:pPr>
            <w:r>
              <w:t xml:space="preserve">selon les auteurs, meilleur « âge biologique » et meilleures réactions d’adaptation</w:t>
            </w:r>
          </w:p>
        </w:tc>
      </w:tr>
      <w:tr>
        <w:tc>
          <w:tcPr/>
          <w:p>
            <w:pPr>
              <w:pStyle w:val="Compact"/>
              <w:jc w:val="left"/>
            </w:pPr>
            <w:r>
              <w:t xml:space="preserve">Meshchaninov 2015, PMID 26390612</w:t>
            </w:r>
          </w:p>
        </w:tc>
        <w:tc>
          <w:tcPr/>
          <w:p>
            <w:pPr>
              <w:pStyle w:val="Compact"/>
              <w:jc w:val="left"/>
            </w:pPr>
            <w:r>
              <w:t xml:space="preserve">32 personnes (41–83 ans) polypathologiques avec syndrome psycho-organique</w:t>
            </w:r>
          </w:p>
        </w:tc>
        <w:tc>
          <w:tcPr/>
          <w:p>
            <w:pPr>
              <w:pStyle w:val="Compact"/>
              <w:jc w:val="left"/>
            </w:pPr>
            <w:r>
              <w:t xml:space="preserve">non précisée</w:t>
            </w:r>
          </w:p>
        </w:tc>
        <w:tc>
          <w:tcPr/>
          <w:p>
            <w:pPr>
              <w:pStyle w:val="Compact"/>
              <w:jc w:val="left"/>
            </w:pPr>
            <w:r>
              <w:t xml:space="preserve">effet « anabolique » ; indices d’un effet oxydant et d’une inhibition de l’hématopoïèse</w:t>
            </w:r>
          </w:p>
        </w:tc>
      </w:tr>
      <w:tr>
        <w:tc>
          <w:tcPr/>
          <w:p>
            <w:pPr>
              <w:pStyle w:val="Compact"/>
              <w:jc w:val="left"/>
            </w:pPr>
            <w:r>
              <w:t xml:space="preserve">Myakotnykh 2016, PMID 28539017</w:t>
            </w:r>
          </w:p>
        </w:tc>
        <w:tc>
          <w:tcPr/>
          <w:p>
            <w:pPr>
              <w:pStyle w:val="Compact"/>
              <w:jc w:val="left"/>
            </w:pPr>
            <w:r>
              <w:t xml:space="preserve">110 personnes, comparaison de différentes méthodes « anti-âge »</w:t>
            </w:r>
          </w:p>
        </w:tc>
        <w:tc>
          <w:tcPr/>
          <w:p>
            <w:pPr>
              <w:pStyle w:val="Compact"/>
              <w:jc w:val="left"/>
            </w:pPr>
            <w:r>
              <w:t xml:space="preserve">non précisée</w:t>
            </w:r>
          </w:p>
        </w:tc>
        <w:tc>
          <w:tcPr/>
          <w:p>
            <w:pPr>
              <w:pStyle w:val="Compact"/>
              <w:jc w:val="left"/>
            </w:pPr>
            <w:r>
              <w:t xml:space="preserve">effet le plus marqué sur l’« âge biologique » avec l’association de deux peptides</w:t>
            </w:r>
          </w:p>
        </w:tc>
      </w:tr>
    </w:tbl>
    <w:p>
      <w:pPr>
        <w:pStyle w:val="BodyText"/>
      </w:pPr>
      <w:r>
        <w:t xml:space="preserve">Les quatre travaux présentent des faiblesses communes :</w:t>
      </w:r>
    </w:p>
    <w:p>
      <w:pPr>
        <w:numPr>
          <w:ilvl w:val="0"/>
          <w:numId w:val="1223"/>
        </w:numPr>
        <w:pStyle w:val="Compact"/>
      </w:pPr>
      <w:r>
        <w:rPr>
          <w:bCs/>
          <w:b/>
        </w:rPr>
        <w:t xml:space="preserve">Pas de placebo, pas d’aveugle, pas de répartition aléatoire</w:t>
      </w:r>
      <w:r>
        <w:t xml:space="preserve"> </w:t>
      </w:r>
      <w:r>
        <w:t xml:space="preserve">identifiables. Avec des questionnaires sur l’humeur et le stress, l’effet d’attente est considérable.</w:t>
      </w:r>
    </w:p>
    <w:p>
      <w:pPr>
        <w:numPr>
          <w:ilvl w:val="0"/>
          <w:numId w:val="1223"/>
        </w:numPr>
        <w:pStyle w:val="Compact"/>
      </w:pPr>
      <w:r>
        <w:rPr>
          <w:bCs/>
          <w:b/>
        </w:rPr>
        <w:t xml:space="preserve">Mesures de substitution au lieu de critères cliniques :</w:t>
      </w:r>
      <w:r>
        <w:t xml:space="preserve"> </w:t>
      </w:r>
      <w:r>
        <w:t xml:space="preserve">dans la gérontologie russe, l’« âge biologique » est calculé à partir d’une combinaison de mesures comme la pression artérielle, la fonction pulmonaire, le temps de réaction et l’auto-évaluation. Ce n’est pas une mesure standardisée au niveau international, et une amélioration ne signifie pas automatiquement une meilleure santé ou une vie plus longue.</w:t>
      </w:r>
    </w:p>
    <w:p>
      <w:pPr>
        <w:numPr>
          <w:ilvl w:val="0"/>
          <w:numId w:val="1223"/>
        </w:numPr>
        <w:pStyle w:val="Compact"/>
      </w:pPr>
      <w:r>
        <w:rPr>
          <w:bCs/>
          <w:b/>
        </w:rPr>
        <w:t xml:space="preserve">Associations :</w:t>
      </w:r>
      <w:r>
        <w:t xml:space="preserve"> </w:t>
      </w:r>
      <w:r>
        <w:t xml:space="preserve">dans plusieurs études, le Pinealon a été administré avec le peptide Vesugen (Lys-Glu-Asp), de sorte que l’effet ne peut être attribué à une seule substance.</w:t>
      </w:r>
    </w:p>
    <w:p>
      <w:pPr>
        <w:numPr>
          <w:ilvl w:val="0"/>
          <w:numId w:val="1223"/>
        </w:numPr>
        <w:pStyle w:val="Compact"/>
      </w:pPr>
      <w:r>
        <w:rPr>
          <w:bCs/>
          <w:b/>
        </w:rPr>
        <w:t xml:space="preserve">Chiffres peu clairs :</w:t>
      </w:r>
      <w:r>
        <w:t xml:space="preserve"> </w:t>
      </w:r>
      <w:r>
        <w:t xml:space="preserve">les résumés ne donnent guère de tailles d’effet.</w:t>
      </w:r>
    </w:p>
    <w:p>
      <w:pPr>
        <w:pStyle w:val="FirstParagraph"/>
      </w:pPr>
      <w:r>
        <w:t xml:space="preserve">Un résultat absent de la publicité est remarquable : dans l’étude portant sur 32 personnes âgées, les auteurs ont observé sous Pinealon et Vesugen une activité</w:t>
      </w:r>
      <w:r>
        <w:t xml:space="preserve"> </w:t>
      </w:r>
      <w:r>
        <w:rPr>
          <w:bCs/>
          <w:b/>
        </w:rPr>
        <w:t xml:space="preserve">pro-oxydante</w:t>
      </w:r>
      <w:r>
        <w:t xml:space="preserve"> </w:t>
      </w:r>
      <w:r>
        <w:t xml:space="preserve">– c’est-à-dire l’inverse de l’effet antioxydant allégué – et une diminution des cellules souches hématopoïétiques (CD34+) dans le sang, qu’ils décrivent comme une nette inhibition de l’hématopoïèse. Ils recommandent néanmoins ces peptides pour la pratique gériatrique</w:t>
      </w:r>
      <w:r>
        <w:rPr>
          <w:rStyle w:val="FootnoteReference"/>
        </w:rPr>
        <w:footnoteReference w:id="1802"/>
      </w:r>
      <w:r>
        <w:t xml:space="preserve">.</w:t>
      </w:r>
    </w:p>
    <w:bookmarkEnd w:id="1803"/>
    <w:bookmarkStart w:id="1807" w:name="études-animales-et-de-laboratoire-40"/>
    <w:p>
      <w:pPr>
        <w:pStyle w:val="Heading3"/>
      </w:pPr>
      <w:r>
        <w:t xml:space="preserve">Études animales et de laboratoire</w:t>
      </w:r>
    </w:p>
    <w:p>
      <w:pPr>
        <w:numPr>
          <w:ilvl w:val="0"/>
          <w:numId w:val="1224"/>
        </w:numPr>
        <w:pStyle w:val="Compact"/>
      </w:pPr>
      <w:r>
        <w:t xml:space="preserve">Chez des rats dont les mères avaient eu, pendant la gestation, des taux d’homocystéine élevés en raison d’une alimentation riche en méthionine, le Pinealon (administré aux mères) a amélioré l’orientation et la capacité d’apprentissage de la descendance ; leurs neurones du cervelet étaient plus résistants au stress oxydatif</w:t>
      </w:r>
      <w:r>
        <w:rPr>
          <w:rStyle w:val="FootnoteReference"/>
        </w:rPr>
        <w:footnoteReference w:id="1804"/>
      </w:r>
      <w:r>
        <w:t xml:space="preserve">.</w:t>
      </w:r>
    </w:p>
    <w:p>
      <w:pPr>
        <w:numPr>
          <w:ilvl w:val="0"/>
          <w:numId w:val="1224"/>
        </w:numPr>
        <w:pStyle w:val="Compact"/>
      </w:pPr>
      <w:r>
        <w:t xml:space="preserve">Chez des rats âgés de 18 mois, le Pinealon et le Cortexin (une préparation russe d’extrait cérébral) ont influencé, en conditions de manque d’oxygène et d’hypothermie, le comportement et les messagers cérébraux ; le Cortexin agissait plus fortement sur les processus radicalaires et les enzymes de la mort cellulaire</w:t>
      </w:r>
      <w:r>
        <w:rPr>
          <w:rStyle w:val="FootnoteReference"/>
        </w:rPr>
        <w:footnoteReference w:id="1805"/>
      </w:r>
      <w:r>
        <w:t xml:space="preserve">.</w:t>
      </w:r>
    </w:p>
    <w:p>
      <w:pPr>
        <w:numPr>
          <w:ilvl w:val="0"/>
          <w:numId w:val="1224"/>
        </w:numPr>
        <w:pStyle w:val="Compact"/>
      </w:pPr>
      <w:r>
        <w:t xml:space="preserve">Dans des cultures cellulaires, le Pinealon a protégé différents types de cellules contre le stress oxydatif</w:t>
      </w:r>
      <w:r>
        <w:rPr>
          <w:rStyle w:val="FootnoteReference"/>
        </w:rPr>
        <w:footnoteReference w:id="1806"/>
      </w:r>
      <w:r>
        <w:t xml:space="preserve">.</w:t>
      </w:r>
    </w:p>
    <w:p>
      <w:pPr>
        <w:pStyle w:val="FirstParagraph"/>
      </w:pPr>
      <w:r>
        <w:t xml:space="preserve">Presque tous les travaux proviennent du groupe des concepteurs ou d’instituts russes partenaires.</w:t>
      </w:r>
    </w:p>
    <w:bookmarkEnd w:id="1807"/>
    <w:bookmarkStart w:id="1809" w:name="risques-et-effets-indésirables-40"/>
    <w:p>
      <w:pPr>
        <w:pStyle w:val="Heading3"/>
      </w:pPr>
      <w:r>
        <w:t xml:space="preserve">Risques et effets indésirables</w:t>
      </w:r>
    </w:p>
    <w:p>
      <w:pPr>
        <w:pStyle w:val="FirstParagraph"/>
      </w:pPr>
      <w:r>
        <w:rPr>
          <w:bCs/>
          <w:b/>
        </w:rPr>
        <w:t xml:space="preserve">Établi :</w:t>
      </w:r>
      <w:r>
        <w:t xml:space="preserve"> </w:t>
      </w:r>
      <w:r>
        <w:t xml:space="preserve">il n’existe pas de données de sécurité systématiques. La seule étude qui rapporte plus en détail des valeurs de laboratoire décrit une activité pro-oxydante et une diminution des cellules souches hématopoïétiques dans le sang</w:t>
      </w:r>
      <w:r>
        <w:rPr>
          <w:rStyle w:val="FootnoteReference"/>
        </w:rPr>
        <w:footnoteReference w:id="1808"/>
      </w:r>
      <w:r>
        <w:t xml:space="preserve">. La signification de ce constat est incertaine – mais c’est un signal d’alerte qui n’a pas été approfondi.</w:t>
      </w:r>
    </w:p>
    <w:p>
      <w:pPr>
        <w:pStyle w:val="BodyText"/>
      </w:pPr>
      <w:r>
        <w:rPr>
          <w:bCs/>
          <w:b/>
        </w:rPr>
        <w:t xml:space="preserve">Théorique :</w:t>
      </w:r>
      <w:r>
        <w:t xml:space="preserve"> </w:t>
      </w:r>
      <w:r>
        <w:t xml:space="preserve">si l’hypothèse des concepteurs est exacte et que le Pinealon se lie réellement à l’ADN et régule des gènes, des effets génétiques indésirables seraient également envisageables. Il n’existe pas d’études sur les dommages à l’ADN, le risque de cancer ou les effets à long terme.</w:t>
      </w:r>
    </w:p>
    <w:p>
      <w:pPr>
        <w:pStyle w:val="BodyText"/>
      </w:pPr>
      <w:r>
        <w:rPr>
          <w:bCs/>
          <w:b/>
        </w:rPr>
        <w:t xml:space="preserve">Marché gris :</w:t>
      </w:r>
      <w:r>
        <w:t xml:space="preserve"> </w:t>
      </w:r>
      <w:r>
        <w:t xml:space="preserve">le Pinealon est proposé en ligne sous forme de gélules, de spray nasal ou de poudre pour injection, le plus souvent avec des promesses concernant la mémoire, le sommeil et le « rajeunissement du cerveau ». La teneur et la pureté ne sont pas contrôlées.</w:t>
      </w:r>
    </w:p>
    <w:bookmarkEnd w:id="1809"/>
    <w:bookmarkStart w:id="1810" w:name="statut-juridique-40"/>
    <w:p>
      <w:pPr>
        <w:pStyle w:val="Heading3"/>
      </w:pPr>
      <w:r>
        <w:t xml:space="preserve">Statut juridique</w:t>
      </w:r>
    </w:p>
    <w:p>
      <w:pPr>
        <w:numPr>
          <w:ilvl w:val="0"/>
          <w:numId w:val="1225"/>
        </w:numPr>
        <w:pStyle w:val="Compact"/>
      </w:pPr>
      <w:r>
        <w:rPr>
          <w:bCs/>
          <w:b/>
        </w:rPr>
        <w:t xml:space="preserve">UE / Autriche / Allemagne :</w:t>
      </w:r>
      <w:r>
        <w:t xml:space="preserve"> </w:t>
      </w:r>
      <w:r>
        <w:t xml:space="preserve">pas autorisé comme médicament. Une vente comme complément alimentaire ne serait licite que si la substance est autorisée par le droit alimentaire ; en tant que substance de synthèse nouvelle à effet pharmacologique recherché, ce n’est pas le cas selon notre appréciation.</w:t>
      </w:r>
    </w:p>
    <w:p>
      <w:pPr>
        <w:numPr>
          <w:ilvl w:val="0"/>
          <w:numId w:val="1225"/>
        </w:numPr>
        <w:pStyle w:val="Compact"/>
      </w:pPr>
      <w:r>
        <w:rPr>
          <w:bCs/>
          <w:b/>
        </w:rPr>
        <w:t xml:space="preserve">États-Unis :</w:t>
      </w:r>
      <w:r>
        <w:t xml:space="preserve"> </w:t>
      </w:r>
      <w:r>
        <w:t xml:space="preserve">non autorisé.</w:t>
      </w:r>
    </w:p>
    <w:p>
      <w:pPr>
        <w:numPr>
          <w:ilvl w:val="0"/>
          <w:numId w:val="1225"/>
        </w:numPr>
        <w:pStyle w:val="Compact"/>
      </w:pPr>
      <w:r>
        <w:rPr>
          <w:bCs/>
          <w:b/>
        </w:rPr>
        <w:t xml:space="preserve">Russie :</w:t>
      </w:r>
      <w:r>
        <w:t xml:space="preserve"> </w:t>
      </w:r>
      <w:r>
        <w:t xml:space="preserve">commercialisé comme composant de préparations peptidiques qui n’ont pas suivi la procédure d’autorisation des médicaments.</w:t>
      </w:r>
    </w:p>
    <w:p>
      <w:pPr>
        <w:numPr>
          <w:ilvl w:val="0"/>
          <w:numId w:val="1225"/>
        </w:numPr>
        <w:pStyle w:val="Compact"/>
      </w:pPr>
      <w:r>
        <w:rPr>
          <w:bCs/>
          <w:b/>
        </w:rPr>
        <w:t xml:space="preserve">Sport :</w:t>
      </w:r>
      <w:r>
        <w:t xml:space="preserve"> </w:t>
      </w:r>
      <w:r>
        <w:t xml:space="preserve">pas nommément listé ; couverture possible par la catégorie S0 de l’AMA (état 2026, à vérifier).</w:t>
      </w:r>
    </w:p>
    <w:bookmarkEnd w:id="1810"/>
    <w:bookmarkStart w:id="1811" w:name="études-en-cours-et-perspectives-40"/>
    <w:p>
      <w:pPr>
        <w:pStyle w:val="Heading3"/>
      </w:pPr>
      <w:r>
        <w:t xml:space="preserve">Études en cours et perspectives</w:t>
      </w:r>
    </w:p>
    <w:p>
      <w:pPr>
        <w:pStyle w:val="FirstParagraph"/>
      </w:pPr>
      <w:r>
        <w:rPr>
          <w:bCs/>
          <w:b/>
        </w:rPr>
        <w:t xml:space="preserve">Établi :</w:t>
      </w:r>
      <w:r>
        <w:t xml:space="preserve"> </w:t>
      </w:r>
      <w:r>
        <w:t xml:space="preserve">aucune étude enregistrée (requête d’octobre 2026).</w:t>
      </w:r>
    </w:p>
    <w:p>
      <w:pPr>
        <w:pStyle w:val="BodyText"/>
      </w:pPr>
      <w:r>
        <w:rPr>
          <w:bCs/>
          <w:b/>
        </w:rPr>
        <w:t xml:space="preserve">Appréciation :</w:t>
      </w:r>
      <w:r>
        <w:t xml:space="preserve"> </w:t>
      </w:r>
      <w:r>
        <w:t xml:space="preserve">tant que la recherche restera limitée à un petit cercle d’instituts russes et qu’aucune étude randomisée contrôlée contre placebo avec critères cliniques ne sera menée, le Pinealon restera un concept de laboratoire habillé de marketing.</w:t>
      </w:r>
    </w:p>
    <w:bookmarkEnd w:id="1811"/>
    <w:bookmarkStart w:id="1812" w:name="conclusion-40"/>
    <w:p>
      <w:pPr>
        <w:pStyle w:val="Heading3"/>
      </w:pPr>
      <w:r>
        <w:t xml:space="preserve">Conclusion</w:t>
      </w:r>
    </w:p>
    <w:p>
      <w:pPr>
        <w:pStyle w:val="FirstParagraph"/>
      </w:pPr>
      <w:r>
        <w:t xml:space="preserve">Le Pinealon est un tripeptide de synthèse de Saint-Pétersbourg qui a protégé des neurones contre le stress oxydatif dans des cultures cellulaires et chez le rat ; ses concepteurs supposent un effet direct sur les gènes. Les rares études chez l’humain sont petites, non contrôlées et mesurent surtout un « âge biologique » non standardisé. L’une d’elles a même trouvé des indices d’un effet pro-oxydant et d’une inhibition de l’hématopoïèse. Les données ne suffisent pas pour juger d’un bénéfice ou de la sécurité chez l’humain.</w:t>
      </w:r>
    </w:p>
    <w:bookmarkEnd w:id="1812"/>
    <w:bookmarkEnd w:id="1813"/>
    <w:bookmarkStart w:id="1842" w:name="mots-c"/>
    <w:p>
      <w:pPr>
        <w:pStyle w:val="Heading2"/>
      </w:pPr>
      <w:r>
        <w:t xml:space="preserve">MOTS-c</w:t>
      </w:r>
    </w:p>
    <w:bookmarkStart w:id="1814" w:name="fiche-signalétique-41"/>
    <w:p>
      <w:pPr>
        <w:pStyle w:val="Heading3"/>
      </w:pPr>
      <w:r>
        <w:t xml:space="preserve">Fiche signalétique</w:t>
      </w:r>
    </w:p>
    <w:p>
      <w:pPr>
        <w:numPr>
          <w:ilvl w:val="0"/>
          <w:numId w:val="1226"/>
        </w:numPr>
        <w:pStyle w:val="Compact"/>
      </w:pPr>
      <w:r>
        <w:rPr>
          <w:bCs/>
          <w:b/>
        </w:rPr>
        <w:t xml:space="preserve">Nature et structure :</w:t>
      </w:r>
      <w:r>
        <w:t xml:space="preserve"> </w:t>
      </w:r>
      <w:r>
        <w:t xml:space="preserve">peptide de 16 acides aminés. Le nom signifie</w:t>
      </w:r>
      <w:r>
        <w:t xml:space="preserve"> </w:t>
      </w:r>
      <w:r>
        <w:rPr>
          <w:iCs/>
          <w:i/>
        </w:rPr>
        <w:t xml:space="preserve">mitochondrial open reading frame of the 12S rRNA-c</w:t>
      </w:r>
      <w:r>
        <w:t xml:space="preserve"> </w:t>
      </w:r>
      <w:r>
        <w:t xml:space="preserve">– il n’est pas codé dans le noyau cellulaire, mais dans le génome des mitochondries, les « centrales énergétiques » de la cellule.</w:t>
      </w:r>
    </w:p>
    <w:p>
      <w:pPr>
        <w:numPr>
          <w:ilvl w:val="0"/>
          <w:numId w:val="1226"/>
        </w:numPr>
        <w:pStyle w:val="Compact"/>
      </w:pPr>
      <w:r>
        <w:rPr>
          <w:bCs/>
          <w:b/>
        </w:rPr>
        <w:t xml:space="preserve">Origine :</w:t>
      </w:r>
      <w:r>
        <w:t xml:space="preserve"> </w:t>
      </w:r>
      <w:r>
        <w:t xml:space="preserve">décrit en 2015 par un groupe de recherche dirigé par Pinchas Cohen à la University of Southern California. L’organisme le produit lui-même, surtout dans le muscle squelettique.</w:t>
      </w:r>
    </w:p>
    <w:p>
      <w:pPr>
        <w:numPr>
          <w:ilvl w:val="0"/>
          <w:numId w:val="1226"/>
        </w:numPr>
        <w:pStyle w:val="Compact"/>
      </w:pPr>
      <w:r>
        <w:rPr>
          <w:bCs/>
          <w:b/>
        </w:rPr>
        <w:t xml:space="preserve">Principe d’action :</w:t>
      </w:r>
      <w:r>
        <w:t xml:space="preserve"> </w:t>
      </w:r>
      <w:r>
        <w:t xml:space="preserve">considéré comme une « mitokine » – une molécule de signalisation des mitochondries. Chez la souris, il a activé le capteur énergétique AMPK, amélioré la sensibilité à l’insuline et la capacité physique ; c’est pourquoi il est discuté comme « mimétique de l’exercice » (exercise mimetic).</w:t>
      </w:r>
    </w:p>
    <w:p>
      <w:pPr>
        <w:numPr>
          <w:ilvl w:val="0"/>
          <w:numId w:val="1226"/>
        </w:numPr>
        <w:pStyle w:val="Compact"/>
      </w:pPr>
      <w:r>
        <w:rPr>
          <w:bCs/>
          <w:b/>
        </w:rPr>
        <w:t xml:space="preserve">Autorisation UE :</w:t>
      </w:r>
      <w:r>
        <w:t xml:space="preserve"> </w:t>
      </w:r>
      <w:r>
        <w:t xml:space="preserve">non.</w:t>
      </w:r>
    </w:p>
    <w:p>
      <w:pPr>
        <w:numPr>
          <w:ilvl w:val="0"/>
          <w:numId w:val="1226"/>
        </w:numPr>
        <w:pStyle w:val="Compact"/>
      </w:pPr>
      <w:r>
        <w:rPr>
          <w:bCs/>
          <w:b/>
        </w:rPr>
        <w:t xml:space="preserve">Autorisation États-Unis :</w:t>
      </w:r>
      <w:r>
        <w:t xml:space="preserve"> </w:t>
      </w:r>
      <w:r>
        <w:t xml:space="preserve">non. Retiré de la « catégorie 2 » de la FDA en avril 2026 ; le comité consultatif PCAC a voté en juillet 2026, par 7 voix contre 5, pour l’inscription sur la liste des substances autorisées en préparation magistrale (état octobre 2026, à vérifier).</w:t>
      </w:r>
    </w:p>
    <w:p>
      <w:pPr>
        <w:numPr>
          <w:ilvl w:val="0"/>
          <w:numId w:val="1226"/>
        </w:numPr>
        <w:pStyle w:val="Compact"/>
      </w:pPr>
      <w:r>
        <w:rPr>
          <w:bCs/>
          <w:b/>
        </w:rPr>
        <w:t xml:space="preserve">AMA (WADA) :</w:t>
      </w:r>
      <w:r>
        <w:t xml:space="preserve"> </w:t>
      </w:r>
      <w:r>
        <w:rPr>
          <w:bCs/>
          <w:b/>
        </w:rPr>
        <w:t xml:space="preserve">interdit</w:t>
      </w:r>
      <w:r>
        <w:t xml:space="preserve"> </w:t>
      </w:r>
      <w:r>
        <w:t xml:space="preserve">– expressément cité dans la catégorie S4 (modulateurs hormonaux et métaboliques) comme exemple d’activateur de l’AMPK, en compétition et hors compétition.</w:t>
      </w:r>
    </w:p>
    <w:p>
      <w:pPr>
        <w:numPr>
          <w:ilvl w:val="0"/>
          <w:numId w:val="1226"/>
        </w:numPr>
        <w:pStyle w:val="Compact"/>
      </w:pPr>
      <w:r>
        <w:rPr>
          <w:bCs/>
          <w:b/>
        </w:rPr>
        <w:t xml:space="preserve">Niveau de preuve :</w:t>
      </w:r>
      <w:r>
        <w:t xml:space="preserve"> </w:t>
      </w:r>
      <w:r>
        <w:rPr>
          <w:bCs/>
          <w:b/>
        </w:rPr>
        <w:t xml:space="preserve">D</w:t>
      </w:r>
      <w:r>
        <w:t xml:space="preserve"> </w:t>
      </w:r>
      <w:r>
        <w:t xml:space="preserve">pour l’administration comme substance active – il n’existe pas de résultats publiés d’études contrôlées chez l’humain ; chez l’humain, seules existent des études observationnelles sur les taux endogènes.</w:t>
      </w:r>
    </w:p>
    <w:bookmarkEnd w:id="1814"/>
    <w:bookmarkStart w:id="1818" w:name="mode-daction-supposé-41"/>
    <w:p>
      <w:pPr>
        <w:pStyle w:val="Heading3"/>
      </w:pPr>
      <w:r>
        <w:t xml:space="preserve">Mode d’action supposé</w:t>
      </w:r>
    </w:p>
    <w:p>
      <w:pPr>
        <w:pStyle w:val="FirstParagraph"/>
      </w:pPr>
      <w:r>
        <w:t xml:space="preserve">Les mitochondries possèdent leur propre petit génome. Pendant longtemps, il a été considéré comme le « plan de construction » de seulement 13 protéines de la production d’énergie. Depuis le début des années 2000, on y a découvert en plus de courtes séquences de lecture qui codent de petits peptides de signalisation – d’abord l’humanine (voir chapitre suivant), puis le MOTS-c.</w:t>
      </w:r>
    </w:p>
    <w:p>
      <w:pPr>
        <w:pStyle w:val="BodyText"/>
      </w:pPr>
      <w:r>
        <w:t xml:space="preserve">La première description a montré chez la souris que le MOTS-c agit surtout sur le muscle squelettique : il inhibe une voie métabolique (cycle des folates et synthèse de novo des purines), ce qui entraîne l’accumulation du messager AICAR et l’activation de l’enzyme AMPK – le même capteur énergétique sur lequel agissent l’exercice physique et le médicament antidiabétique metformine. Les souris auxquelles on injectait du MOTS-c développaient, sous régime riche en graisses, moins de surpoids et moins de résistance à l’insuline</w:t>
      </w:r>
      <w:r>
        <w:rPr>
          <w:rStyle w:val="FootnoteReference"/>
        </w:rPr>
        <w:footnoteReference w:id="1815"/>
      </w:r>
      <w:r>
        <w:t xml:space="preserve">. Sous stress métabolique, le MOTS-c migrait dans des cultures cellulaires vers le noyau et y influençait des gènes</w:t>
      </w:r>
      <w:r>
        <w:rPr>
          <w:rStyle w:val="FootnoteReference"/>
        </w:rPr>
        <w:footnoteReference w:id="1816"/>
      </w:r>
      <w:r>
        <w:t xml:space="preserve">.</w:t>
      </w:r>
    </w:p>
    <w:p>
      <w:pPr>
        <w:pStyle w:val="BodyText"/>
      </w:pPr>
      <w:r>
        <w:t xml:space="preserve">Dans un deuxième grand travail, le MOTS-c a augmenté la capacité physique de souris jeunes, d’âge moyen et âgées ; un traitement commencé seulement à un âge avancé a amélioré la capacité physique et l’« espérance de vie en bonne santé ». Chez l’humain, les taux de MOTS-c dans le muscle et le sang augmentaient après un effort physique</w:t>
      </w:r>
      <w:r>
        <w:rPr>
          <w:rStyle w:val="FootnoteReference"/>
        </w:rPr>
        <w:footnoteReference w:id="1817"/>
      </w:r>
      <w:r>
        <w:t xml:space="preserve">.</w:t>
      </w:r>
    </w:p>
    <w:p>
      <w:pPr>
        <w:pStyle w:val="BodyText"/>
      </w:pPr>
      <w:r>
        <w:t xml:space="preserve">C’est de là qu’est née l’image du MOTS-c comme « sport en seringue ». L’ordre logique est toutefois important : que l’exercice augmente le MOTS-c ne signifie pas que des injections de MOTS-c reproduisent les effets de l’exercice chez l’humain.</w:t>
      </w:r>
    </w:p>
    <w:bookmarkEnd w:id="1818"/>
    <w:bookmarkStart w:id="1828" w:name="études-chez-lhumain-41"/>
    <w:p>
      <w:pPr>
        <w:pStyle w:val="Heading3"/>
      </w:pPr>
      <w:r>
        <w:t xml:space="preserve">Études chez l’humain</w:t>
      </w:r>
    </w:p>
    <w:p>
      <w:pPr>
        <w:pStyle w:val="FirstParagraph"/>
      </w:pPr>
      <w:r>
        <w:rPr>
          <w:bCs/>
          <w:b/>
        </w:rPr>
        <w:t xml:space="preserve">Ampleur des données :</w:t>
      </w:r>
      <w:r>
        <w:t xml:space="preserve"> </w:t>
      </w:r>
      <w:r>
        <w:t xml:space="preserve">la requête PubMed automatisée (octobre 2026) a donné 5 publications classées comme études chez l’humain ; aucune n’a administré de MOTS-c. Au total, PubMed recense environ 260 travaux sur le « MOTS-c », principalement des expériences animales et cellulaires ainsi que des études observationnelles sur les taux sanguins endogènes. Sur ClinicalTrials.gov, la recherche a donné 5 entrées. Quatre d’entre elles ne mesurent que des taux ou portent sur d’autres questions. La cinquième, une prétendue étude de phase 2 avec le MOTS-c dans le prédiabète, émane d’un promoteur sous le nom duquel figurent manifestement des entrées d’exemple fictives dans le registre. Nous ne la considérons donc pas comme une véritable étude et ne la comptons pas ; une étude enregistrée avec le MOTS-c lui-même comme substance active n’est donc pas attestée. S’y ajoute une étude terminée avec le dérivé du MOTS-c CB4211</w:t>
      </w:r>
      <w:r>
        <w:rPr>
          <w:rStyle w:val="FootnoteReference"/>
        </w:rPr>
        <w:footnoteReference w:id="1819"/>
      </w:r>
      <w:r>
        <w:t xml:space="preserve">.</w:t>
      </w:r>
    </w:p>
    <w:p>
      <w:pPr>
        <w:pStyle w:val="BodyText"/>
      </w:pPr>
      <w:r>
        <w:t xml:space="preserve">Pour comprendre ce chapitre, une distinction est essentielle :</w:t>
      </w:r>
    </w:p>
    <w:p>
      <w:pPr>
        <w:numPr>
          <w:ilvl w:val="0"/>
          <w:numId w:val="1227"/>
        </w:numPr>
        <w:pStyle w:val="Compact"/>
      </w:pPr>
      <w:r>
        <w:rPr>
          <w:bCs/>
          <w:b/>
        </w:rPr>
        <w:t xml:space="preserve">Études observationnelles sur les taux endogènes :</w:t>
      </w:r>
      <w:r>
        <w:t xml:space="preserve"> </w:t>
      </w:r>
      <w:r>
        <w:t xml:space="preserve">on mesure ici la quantité de MOTS-c que les personnes ont dans le sang et on la met en relation avec des maladies ou des comportements.</w:t>
      </w:r>
    </w:p>
    <w:p>
      <w:pPr>
        <w:numPr>
          <w:ilvl w:val="0"/>
          <w:numId w:val="1227"/>
        </w:numPr>
        <w:pStyle w:val="Compact"/>
      </w:pPr>
      <w:r>
        <w:rPr>
          <w:bCs/>
          <w:b/>
        </w:rPr>
        <w:t xml:space="preserve">Études dans lesquelles le MOTS-c (ou un dérivé) est administré comme substance active :</w:t>
      </w:r>
      <w:r>
        <w:t xml:space="preserve"> </w:t>
      </w:r>
      <w:r>
        <w:t xml:space="preserve">seules celles-ci peuvent montrer si un apport a un effet.</w:t>
      </w:r>
    </w:p>
    <w:p>
      <w:pPr>
        <w:pStyle w:val="FirstParagraph"/>
      </w:pPr>
      <w:r>
        <w:t xml:space="preserve">Les résultats du premier type sont souvent présentés sur Internet comme s’ils démontraient l’effet du second type. C’est un raccourci.</w:t>
      </w:r>
    </w:p>
    <w:bookmarkStart w:id="1825" w:name="taux-endogènes-observations"/>
    <w:p>
      <w:pPr>
        <w:pStyle w:val="Heading4"/>
      </w:pPr>
      <w:r>
        <w:t xml:space="preserve">1. Taux endogènes : observations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Du 2018, PMID 29691953</w:t>
            </w:r>
          </w:p>
        </w:tc>
        <w:tc>
          <w:tcPr/>
          <w:p>
            <w:pPr>
              <w:pStyle w:val="Compact"/>
              <w:jc w:val="left"/>
            </w:pPr>
            <w:r>
              <w:t xml:space="preserve">40 enfants et adolescents en surpoids, 57 témoins, étude cas-témoins</w:t>
            </w:r>
          </w:p>
        </w:tc>
        <w:tc>
          <w:tcPr/>
          <w:p>
            <w:pPr>
              <w:pStyle w:val="Compact"/>
              <w:jc w:val="left"/>
            </w:pPr>
            <w:r>
              <w:t xml:space="preserve">transversale</w:t>
            </w:r>
          </w:p>
        </w:tc>
        <w:tc>
          <w:tcPr/>
          <w:p>
            <w:pPr>
              <w:pStyle w:val="Compact"/>
              <w:jc w:val="left"/>
            </w:pPr>
            <w:r>
              <w:t xml:space="preserve">taux plus faibles chez les garçons en surpoids, pas chez les filles</w:t>
            </w:r>
          </w:p>
        </w:tc>
      </w:tr>
      <w:tr>
        <w:tc>
          <w:tcPr/>
          <w:p>
            <w:pPr>
              <w:pStyle w:val="Compact"/>
              <w:jc w:val="left"/>
            </w:pPr>
            <w:r>
              <w:t xml:space="preserve">Kirik 2023, PMID 37750635</w:t>
            </w:r>
          </w:p>
        </w:tc>
        <w:tc>
          <w:tcPr/>
          <w:p>
            <w:pPr>
              <w:pStyle w:val="Compact"/>
              <w:jc w:val="left"/>
            </w:pPr>
            <w:r>
              <w:t xml:space="preserve">150 personnes atteintes de stéatose hépatique, 84 personnes en bonne santé</w:t>
            </w:r>
          </w:p>
        </w:tc>
        <w:tc>
          <w:tcPr/>
          <w:p>
            <w:pPr>
              <w:pStyle w:val="Compact"/>
              <w:jc w:val="left"/>
            </w:pPr>
            <w:r>
              <w:t xml:space="preserve">transversale</w:t>
            </w:r>
          </w:p>
        </w:tc>
        <w:tc>
          <w:tcPr/>
          <w:p>
            <w:pPr>
              <w:pStyle w:val="Compact"/>
              <w:jc w:val="left"/>
            </w:pPr>
            <w:r>
              <w:t xml:space="preserve">taux plus faibles en cas de stéatose hépatique et de syndrome métabolique</w:t>
            </w:r>
          </w:p>
        </w:tc>
      </w:tr>
      <w:tr>
        <w:tc>
          <w:tcPr/>
          <w:p>
            <w:pPr>
              <w:pStyle w:val="Compact"/>
              <w:jc w:val="left"/>
            </w:pPr>
            <w:r>
              <w:t xml:space="preserve">Ikonomidis 2020, PMID 32052315</w:t>
            </w:r>
          </w:p>
        </w:tc>
        <w:tc>
          <w:tcPr/>
          <w:p>
            <w:pPr>
              <w:pStyle w:val="Compact"/>
              <w:jc w:val="left"/>
            </w:pPr>
            <w:r>
              <w:t xml:space="preserve">121 personnes atteintes de diabète de type 2 après intervention vasculaire</w:t>
            </w:r>
          </w:p>
        </w:tc>
        <w:tc>
          <w:tcPr/>
          <w:p>
            <w:pPr>
              <w:pStyle w:val="Compact"/>
              <w:jc w:val="left"/>
            </w:pPr>
            <w:r>
              <w:t xml:space="preserve">2 ans</w:t>
            </w:r>
          </w:p>
        </w:tc>
        <w:tc>
          <w:tcPr/>
          <w:p>
            <w:pPr>
              <w:pStyle w:val="Compact"/>
              <w:jc w:val="left"/>
            </w:pPr>
            <w:r>
              <w:t xml:space="preserve">un MOTS-c bas (inférieur à 167 ng/ml) prédisait des événements cardiovasculaires (risque relatif 3,8)</w:t>
            </w:r>
          </w:p>
        </w:tc>
      </w:tr>
      <w:tr>
        <w:tc>
          <w:tcPr/>
          <w:p>
            <w:pPr>
              <w:pStyle w:val="Compact"/>
              <w:jc w:val="left"/>
            </w:pPr>
            <w:r>
              <w:t xml:space="preserve">von Walden 2021, PMID 34351816</w:t>
            </w:r>
          </w:p>
        </w:tc>
        <w:tc>
          <w:tcPr/>
          <w:p>
            <w:pPr>
              <w:pStyle w:val="Compact"/>
              <w:jc w:val="left"/>
            </w:pPr>
            <w:r>
              <w:t xml:space="preserve">30 personnes, entraînement d’endurance ou de force ou témoin, randomisée</w:t>
            </w:r>
          </w:p>
        </w:tc>
        <w:tc>
          <w:tcPr/>
          <w:p>
            <w:pPr>
              <w:pStyle w:val="Compact"/>
              <w:jc w:val="left"/>
            </w:pPr>
            <w:r>
              <w:t xml:space="preserve">effort unique</w:t>
            </w:r>
          </w:p>
        </w:tc>
        <w:tc>
          <w:tcPr/>
          <w:p>
            <w:pPr>
              <w:pStyle w:val="Compact"/>
              <w:jc w:val="left"/>
            </w:pPr>
            <w:r>
              <w:t xml:space="preserve">l’humanine augmentait après un effort d’endurance, le MOTS-c ne montrait qu’une tendance</w:t>
            </w:r>
          </w:p>
        </w:tc>
      </w:tr>
      <w:tr>
        <w:tc>
          <w:tcPr/>
          <w:p>
            <w:pPr>
              <w:pStyle w:val="Compact"/>
              <w:jc w:val="left"/>
            </w:pPr>
            <w:r>
              <w:t xml:space="preserve">Dieli-Conwright 2021, PMID 34413391</w:t>
            </w:r>
          </w:p>
        </w:tc>
        <w:tc>
          <w:tcPr/>
          <w:p>
            <w:pPr>
              <w:pStyle w:val="Compact"/>
              <w:jc w:val="left"/>
            </w:pPr>
            <w:r>
              <w:t xml:space="preserve">49 femmes après un cancer du sein, entraînement ou prise en charge standard, randomisée</w:t>
            </w:r>
          </w:p>
        </w:tc>
        <w:tc>
          <w:tcPr/>
          <w:p>
            <w:pPr>
              <w:pStyle w:val="Compact"/>
              <w:jc w:val="left"/>
            </w:pPr>
            <w:r>
              <w:t xml:space="preserve">16 semaines</w:t>
            </w:r>
          </w:p>
        </w:tc>
        <w:tc>
          <w:tcPr/>
          <w:p>
            <w:pPr>
              <w:pStyle w:val="Compact"/>
              <w:jc w:val="left"/>
            </w:pPr>
            <w:r>
              <w:t xml:space="preserve">hausse du MOTS-c chez les femmes blanches non hispaniques, pas chez les femmes hispaniques</w:t>
            </w:r>
          </w:p>
        </w:tc>
      </w:tr>
      <w:tr>
        <w:tc>
          <w:tcPr/>
          <w:p>
            <w:pPr>
              <w:pStyle w:val="Compact"/>
              <w:jc w:val="left"/>
            </w:pPr>
            <w:r>
              <w:t xml:space="preserve">Elhusseiny 2025, PMID 40674654</w:t>
            </w:r>
          </w:p>
        </w:tc>
        <w:tc>
          <w:tcPr/>
          <w:p>
            <w:pPr>
              <w:pStyle w:val="Compact"/>
              <w:jc w:val="left"/>
            </w:pPr>
            <w:r>
              <w:t xml:space="preserve">19 hommes actifs avec jambe immobilisée, traitement par la chaleur ou simulé</w:t>
            </w:r>
          </w:p>
        </w:tc>
        <w:tc>
          <w:tcPr/>
          <w:p>
            <w:pPr>
              <w:pStyle w:val="Compact"/>
              <w:jc w:val="left"/>
            </w:pPr>
            <w:r>
              <w:t xml:space="preserve">2 semaines</w:t>
            </w:r>
          </w:p>
        </w:tc>
        <w:tc>
          <w:tcPr/>
          <w:p>
            <w:pPr>
              <w:pStyle w:val="Compact"/>
              <w:jc w:val="left"/>
            </w:pPr>
            <w:r>
              <w:t xml:space="preserve">la chaleur a augmenté le MOTS-c sanguin</w:t>
            </w:r>
          </w:p>
        </w:tc>
      </w:tr>
    </w:tbl>
    <w:p>
      <w:pPr>
        <w:pStyle w:val="BodyText"/>
      </w:pPr>
      <w:r>
        <w:t xml:space="preserve">Ces études montrent que des taux bas de MOTS-c vont souvent de pair avec le surpoids, la résistance à l’insuline, la stéatose hépatique ou des problèmes vasculaires</w:t>
      </w:r>
      <w:r>
        <w:rPr>
          <w:rStyle w:val="FootnoteReference"/>
        </w:rPr>
        <w:footnoteReference w:id="1820"/>
      </w:r>
      <w:r>
        <w:t xml:space="preserve"> </w:t>
      </w:r>
      <w:r>
        <w:t xml:space="preserve">et que l’exercice physique ou la chaleur peuvent augmenter les taux. Ce qu’elles ne montrent</w:t>
      </w:r>
      <w:r>
        <w:t xml:space="preserve"> </w:t>
      </w:r>
      <w:r>
        <w:rPr>
          <w:bCs/>
          <w:b/>
        </w:rPr>
        <w:t xml:space="preserve">pas</w:t>
      </w:r>
      <w:r>
        <w:t xml:space="preserve"> </w:t>
      </w:r>
      <w:r>
        <w:t xml:space="preserve">: que des taux bas causent les maladies, ou que du MOTS-c apporté les prévient. L’inverse peut tout aussi bien être vrai – la maladie fait baisser le taux.</w:t>
      </w:r>
    </w:p>
    <w:p>
      <w:pPr>
        <w:pStyle w:val="BodyText"/>
      </w:pPr>
      <w:r>
        <w:t xml:space="preserve">Une autre difficulté tient à la mesure elle-même. Les études utilisent différents tests (ELISA), dont les résultats varient fortement : chez les enfants, les moyennes se situaient autour de 470 à 560 ng/ml</w:t>
      </w:r>
      <w:r>
        <w:rPr>
          <w:rStyle w:val="FootnoteReference"/>
        </w:rPr>
        <w:footnoteReference w:id="1821"/>
      </w:r>
      <w:r>
        <w:t xml:space="preserve">, tandis que dans l’étude sur le diabète, une valeur inférieure à 167 ng/ml était considérée comme basse</w:t>
      </w:r>
      <w:r>
        <w:rPr>
          <w:rStyle w:val="FootnoteReference"/>
        </w:rPr>
        <w:footnoteReference w:id="1822"/>
      </w:r>
      <w:r>
        <w:t xml:space="preserve">. Dans une étude chez des patientes atteintes de cancer du sein, même la metformine – qui agit sur le même capteur énergétique – n’a pas modifié les taux mesurés avec un test du commerce</w:t>
      </w:r>
      <w:r>
        <w:rPr>
          <w:rStyle w:val="FootnoteReference"/>
        </w:rPr>
        <w:footnoteReference w:id="1823"/>
      </w:r>
      <w:r>
        <w:t xml:space="preserve">.</w:t>
      </w:r>
    </w:p>
    <w:p>
      <w:pPr>
        <w:pStyle w:val="BodyText"/>
      </w:pPr>
      <w:r>
        <w:rPr>
          <w:bCs/>
          <w:b/>
        </w:rPr>
        <w:t xml:space="preserve">Indices génétiques :</w:t>
      </w:r>
      <w:r>
        <w:t xml:space="preserve"> </w:t>
      </w:r>
      <w:r>
        <w:t xml:space="preserve">un variant du génome mitochondrial présent uniquement en Asie modifie un élément du MOTS-c (K14Q). Dans trois cohortes totalisant 27 527 personnes, les hommes porteurs de ce variant avaient plus souvent un diabète de type 2, surtout lorsqu’ils étaient peu actifs physiquement. Chez la souris, la forme modifiée du MOTS-c agissait plus faiblement</w:t>
      </w:r>
      <w:r>
        <w:rPr>
          <w:rStyle w:val="FootnoteReference"/>
        </w:rPr>
        <w:footnoteReference w:id="1824"/>
      </w:r>
      <w:r>
        <w:t xml:space="preserve">. C’est un indice intéressant que le MOTS-c pourrait jouer un rôle dans le métabolisme chez l’humain – mais pas une preuve du bénéfice d’un apport.</w:t>
      </w:r>
    </w:p>
    <w:bookmarkEnd w:id="1825"/>
    <w:bookmarkStart w:id="1827" w:name="X0ad321cfe6ca5c8e265669a71e65a142dde2725"/>
    <w:p>
      <w:pPr>
        <w:pStyle w:val="Heading4"/>
      </w:pPr>
      <w:r>
        <w:t xml:space="preserve">2. Administration comme substance active : CB4211</w:t>
      </w:r>
    </w:p>
    <w:p>
      <w:pPr>
        <w:pStyle w:val="FirstParagraph"/>
      </w:pPr>
      <w:r>
        <w:t xml:space="preserve">Le</w:t>
      </w:r>
      <w:r>
        <w:t xml:space="preserve"> </w:t>
      </w:r>
      <w:r>
        <w:rPr>
          <w:bCs/>
          <w:b/>
        </w:rPr>
        <w:t xml:space="preserve">CB4211</w:t>
      </w:r>
      <w:r>
        <w:t xml:space="preserve"> </w:t>
      </w:r>
      <w:r>
        <w:t xml:space="preserve">est un dérivé du MOTS-c développé par la société CohBar. L’étude de phase 1a/1b</w:t>
      </w:r>
      <w:r>
        <w:rPr>
          <w:rStyle w:val="FootnoteReference"/>
        </w:rPr>
        <w:footnoteReference w:id="1826"/>
      </w:r>
      <w:r>
        <w:t xml:space="preserve"> </w:t>
      </w:r>
      <w:r>
        <w:t xml:space="preserve">était randomisée, en double aveugle et contrôlée contre placebo et portait sur 88 participants : des personnes en bonne santé ont reçu des injections sous-cutanées uniques ou quotidiennes pendant sept jours, et des personnes obèses atteintes de stéatose hépatique pendant 28 jours. Les critères principaux étaient la sécurité et la tolérance ; les objectifs secondaires comprenaient notamment la graisse hépatique et le poids corporel. L’étude s’est achevée en avril 2021. Aucun résultat n’est déposé dans le registre, et notre recherche n’a pas permis de trouver de publication dans une revue spécialisée. En 2021, l’entreprise a annoncé par communiqué de presse des modifications favorables de certaines valeurs hépatiques et glycémiques, avec une bonne tolérance ; ces communiqués ne sont pas évalués de manière indépendante. Aucun développement ultérieur dans des études plus vastes n’est connu.</w:t>
      </w:r>
    </w:p>
    <w:p>
      <w:pPr>
        <w:pStyle w:val="BodyText"/>
      </w:pPr>
      <w:r>
        <w:t xml:space="preserve">Le</w:t>
      </w:r>
      <w:r>
        <w:t xml:space="preserve"> </w:t>
      </w:r>
      <w:r>
        <w:rPr>
          <w:bCs/>
          <w:b/>
        </w:rPr>
        <w:t xml:space="preserve">MOTS-c lui-même</w:t>
      </w:r>
      <w:r>
        <w:t xml:space="preserve"> </w:t>
      </w:r>
      <w:r>
        <w:t xml:space="preserve">n’a, selon notre recherche, été administré comme substance active chez l’humain dans aucune étude publiée ou enregistrée de façon fiable à ce jour. Une entrée de registre décrivant une telle étude de phase 2 s’est révélée douteuse (voir plus haut).</w:t>
      </w:r>
    </w:p>
    <w:p>
      <w:pPr>
        <w:pStyle w:val="BodyText"/>
      </w:pPr>
      <w:r>
        <w:t xml:space="preserve">D’ici là, il faut retenir : il n’existe</w:t>
      </w:r>
      <w:r>
        <w:t xml:space="preserve"> </w:t>
      </w:r>
      <w:r>
        <w:rPr>
          <w:bCs/>
          <w:b/>
        </w:rPr>
        <w:t xml:space="preserve">aucune donnée publiée</w:t>
      </w:r>
      <w:r>
        <w:t xml:space="preserve"> </w:t>
      </w:r>
      <w:r>
        <w:t xml:space="preserve">sur la question de savoir si des injections de MOTS-c influencent le métabolisme, les performances ou le vieillissement chez l’humain.</w:t>
      </w:r>
    </w:p>
    <w:bookmarkEnd w:id="1827"/>
    <w:bookmarkEnd w:id="1828"/>
    <w:bookmarkStart w:id="1833" w:name="études-animales-et-de-laboratoire-41"/>
    <w:p>
      <w:pPr>
        <w:pStyle w:val="Heading3"/>
      </w:pPr>
      <w:r>
        <w:t xml:space="preserve">Études animales et de laboratoire</w:t>
      </w:r>
    </w:p>
    <w:p>
      <w:pPr>
        <w:pStyle w:val="FirstParagraph"/>
      </w:pPr>
      <w:r>
        <w:t xml:space="preserve">La recherche préclinique est abondante et progresse rapidement :</w:t>
      </w:r>
    </w:p>
    <w:p>
      <w:pPr>
        <w:numPr>
          <w:ilvl w:val="0"/>
          <w:numId w:val="1228"/>
        </w:numPr>
        <w:pStyle w:val="Compact"/>
      </w:pPr>
      <w:r>
        <w:rPr>
          <w:bCs/>
          <w:b/>
        </w:rPr>
        <w:t xml:space="preserve">Métabolisme :</w:t>
      </w:r>
      <w:r>
        <w:t xml:space="preserve"> </w:t>
      </w:r>
      <w:r>
        <w:t xml:space="preserve">chez la souris, le MOTS-c a empêché le surpoids et la résistance à l’insuline d’origine alimentaire</w:t>
      </w:r>
      <w:r>
        <w:rPr>
          <w:rStyle w:val="FootnoteReference"/>
        </w:rPr>
        <w:footnoteReference w:id="1829"/>
      </w:r>
      <w:r>
        <w:t xml:space="preserve">.</w:t>
      </w:r>
    </w:p>
    <w:p>
      <w:pPr>
        <w:numPr>
          <w:ilvl w:val="0"/>
          <w:numId w:val="1228"/>
        </w:numPr>
        <w:pStyle w:val="Compact"/>
      </w:pPr>
      <w:r>
        <w:rPr>
          <w:bCs/>
          <w:b/>
        </w:rPr>
        <w:t xml:space="preserve">Muscle :</w:t>
      </w:r>
      <w:r>
        <w:t xml:space="preserve"> </w:t>
      </w:r>
      <w:r>
        <w:t xml:space="preserve">le MOTS-c a réduit chez des souris en surpoids la myostatine, messager de la dégradation musculaire ; chez l’humain, les taux sanguins de MOTS-c et de myostatine évoluaient en sens inverse</w:t>
      </w:r>
      <w:r>
        <w:rPr>
          <w:rStyle w:val="FootnoteReference"/>
        </w:rPr>
        <w:footnoteReference w:id="1830"/>
      </w:r>
      <w:r>
        <w:t xml:space="preserve">.</w:t>
      </w:r>
    </w:p>
    <w:p>
      <w:pPr>
        <w:numPr>
          <w:ilvl w:val="0"/>
          <w:numId w:val="1228"/>
        </w:numPr>
        <w:pStyle w:val="Compact"/>
      </w:pPr>
      <w:r>
        <w:rPr>
          <w:bCs/>
          <w:b/>
        </w:rPr>
        <w:t xml:space="preserve">Performance et âge :</w:t>
      </w:r>
      <w:r>
        <w:t xml:space="preserve"> </w:t>
      </w:r>
      <w:r>
        <w:t xml:space="preserve">le MOTS-c a augmenté la capacité physique de souris d’âges différents</w:t>
      </w:r>
      <w:r>
        <w:rPr>
          <w:rStyle w:val="FootnoteReference"/>
        </w:rPr>
        <w:footnoteReference w:id="1831"/>
      </w:r>
      <w:r>
        <w:t xml:space="preserve">.</w:t>
      </w:r>
    </w:p>
    <w:p>
      <w:pPr>
        <w:numPr>
          <w:ilvl w:val="0"/>
          <w:numId w:val="1228"/>
        </w:numPr>
        <w:pStyle w:val="Compact"/>
      </w:pPr>
      <w:r>
        <w:rPr>
          <w:bCs/>
          <w:b/>
        </w:rPr>
        <w:t xml:space="preserve">Pancréas :</w:t>
      </w:r>
      <w:r>
        <w:t xml:space="preserve"> </w:t>
      </w:r>
      <w:r>
        <w:t xml:space="preserve">chez la souris, le MOTS-c a retardé le vieillissement des cellules productrices d’insuline et l’apparition d’un diabète</w:t>
      </w:r>
      <w:r>
        <w:rPr>
          <w:rStyle w:val="FootnoteReference"/>
        </w:rPr>
        <w:footnoteReference w:id="1832"/>
      </w:r>
      <w:r>
        <w:t xml:space="preserve">.</w:t>
      </w:r>
    </w:p>
    <w:p>
      <w:pPr>
        <w:numPr>
          <w:ilvl w:val="0"/>
          <w:numId w:val="1228"/>
        </w:numPr>
        <w:pStyle w:val="Compact"/>
      </w:pPr>
      <w:r>
        <w:t xml:space="preserve">De nombreux autres travaux, principalement chinois, décrivent des effets protecteurs dans des modèles de lésions pulmonaires, cardiaques, hépatiques, osseuses et rénales.</w:t>
      </w:r>
    </w:p>
    <w:p>
      <w:pPr>
        <w:pStyle w:val="FirstParagraph"/>
      </w:pPr>
      <w:r>
        <w:t xml:space="preserve">L’abondance d’études animales positives est frappante. Elle montre que le MOTS-c est biologiquement actif ; elle dit peu de chose de son efficacité et de sa sécurité chez l’humain.</w:t>
      </w:r>
    </w:p>
    <w:bookmarkEnd w:id="1833"/>
    <w:bookmarkStart w:id="1836" w:name="risques-et-effets-indésirables-41"/>
    <w:p>
      <w:pPr>
        <w:pStyle w:val="Heading3"/>
      </w:pPr>
      <w:r>
        <w:t xml:space="preserve">Risques et effets indésirables</w:t>
      </w:r>
    </w:p>
    <w:p>
      <w:pPr>
        <w:pStyle w:val="FirstParagraph"/>
      </w:pPr>
      <w:r>
        <w:rPr>
          <w:bCs/>
          <w:b/>
        </w:rPr>
        <w:t xml:space="preserve">Établi :</w:t>
      </w:r>
      <w:r>
        <w:t xml:space="preserve"> </w:t>
      </w:r>
      <w:r>
        <w:t xml:space="preserve">il n’existe pas de données de sécurité publiées sur l’administration de MOTS-c chez l’humain.</w:t>
      </w:r>
    </w:p>
    <w:p>
      <w:pPr>
        <w:pStyle w:val="BodyText"/>
      </w:pPr>
      <w:r>
        <w:rPr>
          <w:bCs/>
          <w:b/>
        </w:rPr>
        <w:t xml:space="preserve">Théorique :</w:t>
      </w:r>
    </w:p>
    <w:p>
      <w:pPr>
        <w:numPr>
          <w:ilvl w:val="0"/>
          <w:numId w:val="1229"/>
        </w:numPr>
        <w:pStyle w:val="Compact"/>
      </w:pPr>
      <w:r>
        <w:rPr>
          <w:bCs/>
          <w:b/>
        </w:rPr>
        <w:t xml:space="preserve">Glycémie :</w:t>
      </w:r>
      <w:r>
        <w:t xml:space="preserve"> </w:t>
      </w:r>
      <w:r>
        <w:t xml:space="preserve">une substance qui augmente la sensibilité à l’insuline pourrait favoriser des hypoglycémies en association avec des médicaments antidiabétiques.</w:t>
      </w:r>
    </w:p>
    <w:p>
      <w:pPr>
        <w:numPr>
          <w:ilvl w:val="0"/>
          <w:numId w:val="1229"/>
        </w:numPr>
        <w:pStyle w:val="Compact"/>
      </w:pPr>
      <w:r>
        <w:rPr>
          <w:bCs/>
          <w:b/>
        </w:rPr>
        <w:t xml:space="preserve">Cancer :</w:t>
      </w:r>
      <w:r>
        <w:t xml:space="preserve"> </w:t>
      </w:r>
      <w:r>
        <w:t xml:space="preserve">dans des études de laboratoire, le MOTS-c freinait plutôt les cellules cancéreuses : il a inhibé la croissance de cellules de cancer de l’ovaire</w:t>
      </w:r>
      <w:r>
        <w:rPr>
          <w:rStyle w:val="FootnoteReference"/>
        </w:rPr>
        <w:footnoteReference w:id="1834"/>
      </w:r>
      <w:r>
        <w:t xml:space="preserve"> </w:t>
      </w:r>
      <w:r>
        <w:t xml:space="preserve">et a rendu des cellules de cancer du foie plus sensibles à la mort cellulaire programmée en cas de manque d’oxygène</w:t>
      </w:r>
      <w:r>
        <w:rPr>
          <w:rStyle w:val="FootnoteReference"/>
        </w:rPr>
        <w:footnoteReference w:id="1835"/>
      </w:r>
      <w:r>
        <w:t xml:space="preserve">. On n’a pas étudié si cela vaut chez l’humain ni quels sont les effets d’un apport pendant des années d’une molécule de signalisation métaboliquement active.</w:t>
      </w:r>
    </w:p>
    <w:p>
      <w:pPr>
        <w:numPr>
          <w:ilvl w:val="0"/>
          <w:numId w:val="1229"/>
        </w:numPr>
        <w:pStyle w:val="Compact"/>
      </w:pPr>
      <w:r>
        <w:rPr>
          <w:bCs/>
          <w:b/>
        </w:rPr>
        <w:t xml:space="preserve">Réactions immunitaires :</w:t>
      </w:r>
      <w:r>
        <w:t xml:space="preserve"> </w:t>
      </w:r>
      <w:r>
        <w:t xml:space="preserve">en cas d’injections répétées d’un peptide, des anticorps peuvent se former ; cela n’a pas été étudié pour le MOTS-c.</w:t>
      </w:r>
    </w:p>
    <w:p>
      <w:pPr>
        <w:pStyle w:val="FirstParagraph"/>
      </w:pPr>
      <w:r>
        <w:rPr>
          <w:bCs/>
          <w:b/>
        </w:rPr>
        <w:t xml:space="preserve">Marché gris et sport :</w:t>
      </w:r>
      <w:r>
        <w:t xml:space="preserve"> </w:t>
      </w:r>
      <w:r>
        <w:t xml:space="preserve">le MOTS-c fait partie des peptides de « longévité » et de fitness les plus populaires sur Internet et est vendu sous forme de poudre pour injection. La pureté et la teneur ne sont pas contrôlées. Pour les sportives et sportifs, son utilisation est expressément interdite (AMA S4).</w:t>
      </w:r>
    </w:p>
    <w:bookmarkEnd w:id="1836"/>
    <w:bookmarkStart w:id="1837" w:name="statut-juridique-41"/>
    <w:p>
      <w:pPr>
        <w:pStyle w:val="Heading3"/>
      </w:pPr>
      <w:r>
        <w:t xml:space="preserve">Statut juridique</w:t>
      </w:r>
    </w:p>
    <w:p>
      <w:pPr>
        <w:numPr>
          <w:ilvl w:val="0"/>
          <w:numId w:val="1230"/>
        </w:numPr>
        <w:pStyle w:val="Compact"/>
      </w:pPr>
      <w:r>
        <w:rPr>
          <w:bCs/>
          <w:b/>
        </w:rPr>
        <w:t xml:space="preserve">UE / Autriche / Allemagne :</w:t>
      </w:r>
      <w:r>
        <w:t xml:space="preserve"> </w:t>
      </w:r>
      <w:r>
        <w:t xml:space="preserve">non autorisé ; en tant que substance à effet pharmacologique, le MOTS-c est considéré comme un médicament, et sa vente en vue d’un usage humain n’est pas permise.</w:t>
      </w:r>
    </w:p>
    <w:p>
      <w:pPr>
        <w:numPr>
          <w:ilvl w:val="0"/>
          <w:numId w:val="1230"/>
        </w:numPr>
        <w:pStyle w:val="Compact"/>
      </w:pPr>
      <w:r>
        <w:rPr>
          <w:bCs/>
          <w:b/>
        </w:rPr>
        <w:t xml:space="preserve">États-Unis :</w:t>
      </w:r>
      <w:r>
        <w:t xml:space="preserve"> </w:t>
      </w:r>
      <w:r>
        <w:t xml:space="preserve">non autorisé. Après le vote favorable du PCAC en juillet 2026, le MOTS-c pourrait à l’avenir être utilisé dans des préparations magistrales en pharmacie, si la FDA suit cet avis ; la décision était en attente au moment de la clôture de la rédaction (état octobre 2026, à vérifier).</w:t>
      </w:r>
    </w:p>
    <w:p>
      <w:pPr>
        <w:numPr>
          <w:ilvl w:val="0"/>
          <w:numId w:val="1230"/>
        </w:numPr>
        <w:pStyle w:val="Compact"/>
      </w:pPr>
      <w:r>
        <w:rPr>
          <w:bCs/>
          <w:b/>
        </w:rPr>
        <w:t xml:space="preserve">Sport :</w:t>
      </w:r>
      <w:r>
        <w:t xml:space="preserve"> </w:t>
      </w:r>
      <w:r>
        <w:t xml:space="preserve">interdit selon la liste de l’AMA, catégorie S4 (état 2026, à vérifier).</w:t>
      </w:r>
    </w:p>
    <w:bookmarkEnd w:id="1837"/>
    <w:bookmarkStart w:id="1840" w:name="études-en-cours-et-perspectives-41"/>
    <w:p>
      <w:pPr>
        <w:pStyle w:val="Heading3"/>
      </w:pPr>
      <w:r>
        <w:t xml:space="preserve">Études en cours et perspectives</w:t>
      </w:r>
    </w:p>
    <w:p>
      <w:pPr>
        <w:pStyle w:val="FirstParagraph"/>
      </w:pPr>
      <w:r>
        <w:rPr>
          <w:bCs/>
          <w:b/>
        </w:rPr>
        <w:t xml:space="preserve">Établi (études enregistrées, état octobre 2026) :</w:t>
      </w:r>
    </w:p>
    <w:p>
      <w:pPr>
        <w:numPr>
          <w:ilvl w:val="0"/>
          <w:numId w:val="1231"/>
        </w:numPr>
        <w:pStyle w:val="Compact"/>
      </w:pPr>
      <w:r>
        <w:t xml:space="preserve">Il n’existe aucune étude enregistrée de façon fiable dans laquelle le MOTS-c est administré comme substance active.</w:t>
      </w:r>
    </w:p>
    <w:p>
      <w:pPr>
        <w:numPr>
          <w:ilvl w:val="0"/>
          <w:numId w:val="1231"/>
        </w:numPr>
        <w:pStyle w:val="Compact"/>
      </w:pPr>
      <w:r>
        <w:t xml:space="preserve">Plusieurs études observationnelles mesurent les taux de MOTS-c, par exemple lors d’une transplantation rénale</w:t>
      </w:r>
      <w:r>
        <w:rPr>
          <w:rStyle w:val="FootnoteReference"/>
        </w:rPr>
        <w:footnoteReference w:id="1838"/>
      </w:r>
      <w:r>
        <w:t xml:space="preserve"> </w:t>
      </w:r>
      <w:r>
        <w:t xml:space="preserve">ou dans le diabète sous différents médicaments</w:t>
      </w:r>
      <w:r>
        <w:rPr>
          <w:rStyle w:val="FootnoteReference"/>
        </w:rPr>
        <w:footnoteReference w:id="1839"/>
      </w:r>
      <w:r>
        <w:t xml:space="preserve">.</w:t>
      </w:r>
    </w:p>
    <w:p>
      <w:pPr>
        <w:pStyle w:val="FirstParagraph"/>
      </w:pPr>
      <w:r>
        <w:rPr>
          <w:bCs/>
          <w:b/>
        </w:rPr>
        <w:t xml:space="preserve">Appréciation :</w:t>
      </w:r>
      <w:r>
        <w:t xml:space="preserve"> </w:t>
      </w:r>
      <w:r>
        <w:t xml:space="preserve">la question centrale – le MOTS-c apporté améliore-t-il la sensibilité à l’insuline chez l’humain ? – n’a jusqu’ici été examinée par personne dans une étude publiée. Il faudrait d’abord pour cela une étude contrôlée de phase 1/2 avec des résultats publiés. D’ici là, toute affirmation sur un effet chez l’humain repose sur des expérimentations animales et des mesures de taux.</w:t>
      </w:r>
    </w:p>
    <w:bookmarkEnd w:id="1840"/>
    <w:bookmarkStart w:id="1841" w:name="conclusion-41"/>
    <w:p>
      <w:pPr>
        <w:pStyle w:val="Heading3"/>
      </w:pPr>
      <w:r>
        <w:t xml:space="preserve">Conclusion</w:t>
      </w:r>
    </w:p>
    <w:p>
      <w:pPr>
        <w:pStyle w:val="FirstParagraph"/>
      </w:pPr>
      <w:r>
        <w:t xml:space="preserve">Le MOTS-c est un peptide endogène codé dans le génome mitochondrial, qui a amélioré le métabolisme et la capacité physique chez la souris et dont le taux augmente chez l’humain après l’exercice. Les études observationnelles montrent des taux plus bas en cas de surpoids, de stéatose hépatique et de maladies vasculaires, mais ne démontrent ni une cause ni le bénéfice d’un apport. La seule étude terminée avec un dérivé du MOTS-c (CB4211) n’a pas été publiée dans une revue spécialisée, et il n’existe aucune étude publiée chez l’humain avec le MOTS-c lui-même. Les données ne suffisent pas pour juger du bénéfice ou de la sécurité chez l’humain ; dans le sport, le MOTS-c est interdit.</w:t>
      </w:r>
    </w:p>
    <w:bookmarkEnd w:id="1841"/>
    <w:bookmarkEnd w:id="1842"/>
    <w:bookmarkStart w:id="1865" w:name="humanine"/>
    <w:p>
      <w:pPr>
        <w:pStyle w:val="Heading2"/>
      </w:pPr>
      <w:r>
        <w:t xml:space="preserve">Humanine</w:t>
      </w:r>
    </w:p>
    <w:bookmarkStart w:id="1843" w:name="fiche-signalétique-42"/>
    <w:p>
      <w:pPr>
        <w:pStyle w:val="Heading3"/>
      </w:pPr>
      <w:r>
        <w:t xml:space="preserve">Fiche signalétique</w:t>
      </w:r>
    </w:p>
    <w:p>
      <w:pPr>
        <w:numPr>
          <w:ilvl w:val="0"/>
          <w:numId w:val="1232"/>
        </w:numPr>
        <w:pStyle w:val="Compact"/>
      </w:pPr>
      <w:r>
        <w:rPr>
          <w:bCs/>
          <w:b/>
        </w:rPr>
        <w:t xml:space="preserve">Nature et structure :</w:t>
      </w:r>
      <w:r>
        <w:t xml:space="preserve"> </w:t>
      </w:r>
      <w:r>
        <w:t xml:space="preserve">peptide endogène de 24 acides aminés. Sur le marché gris et en recherche, on utilise le plus souvent la forme modifiée</w:t>
      </w:r>
      <w:r>
        <w:t xml:space="preserve"> </w:t>
      </w:r>
      <w:r>
        <w:rPr>
          <w:bCs/>
          <w:b/>
        </w:rPr>
        <w:t xml:space="preserve">HNG</w:t>
      </w:r>
      <w:r>
        <w:t xml:space="preserve"> </w:t>
      </w:r>
      <w:r>
        <w:t xml:space="preserve">(humanine-G, aussi S14G-humanine), dans laquelle la sérine en position 14 est remplacée par une glycine ; elle agit nettement plus fortement dans les expériences de laboratoire.</w:t>
      </w:r>
    </w:p>
    <w:p>
      <w:pPr>
        <w:numPr>
          <w:ilvl w:val="0"/>
          <w:numId w:val="1232"/>
        </w:numPr>
        <w:pStyle w:val="Compact"/>
      </w:pPr>
      <w:r>
        <w:rPr>
          <w:bCs/>
          <w:b/>
        </w:rPr>
        <w:t xml:space="preserve">Origine :</w:t>
      </w:r>
      <w:r>
        <w:t xml:space="preserve"> </w:t>
      </w:r>
      <w:r>
        <w:t xml:space="preserve">découverte en 2001 par des chercheurs japonais alors qu’ils cherchaient, dans le tissu cérébral d’une personne atteinte de la maladie d’Alzheimer, des facteurs protégeant les neurones de la mort – d’où son nom. Elle est codée dans le génome des mitochondries ; des séquences semblables existent aussi dans le génome du noyau cellulaire.</w:t>
      </w:r>
    </w:p>
    <w:p>
      <w:pPr>
        <w:numPr>
          <w:ilvl w:val="0"/>
          <w:numId w:val="1232"/>
        </w:numPr>
        <w:pStyle w:val="Compact"/>
      </w:pPr>
      <w:r>
        <w:rPr>
          <w:bCs/>
          <w:b/>
        </w:rPr>
        <w:t xml:space="preserve">Principe d’action :</w:t>
      </w:r>
      <w:r>
        <w:t xml:space="preserve"> </w:t>
      </w:r>
      <w:r>
        <w:t xml:space="preserve">« mitokine » (molécule de signalisation des mitochondries) censée protéger les cellules de la mort cellulaire programmée. Elle se lie notamment à un complexe de récepteurs formé du récepteur du CNTF, de WSX-1 et de gp130 à la surface des cellules.</w:t>
      </w:r>
    </w:p>
    <w:p>
      <w:pPr>
        <w:numPr>
          <w:ilvl w:val="0"/>
          <w:numId w:val="1232"/>
        </w:numPr>
        <w:pStyle w:val="Compact"/>
      </w:pPr>
      <w:r>
        <w:rPr>
          <w:bCs/>
          <w:b/>
        </w:rPr>
        <w:t xml:space="preserve">Autorisation UE :</w:t>
      </w:r>
      <w:r>
        <w:t xml:space="preserve"> </w:t>
      </w:r>
      <w:r>
        <w:t xml:space="preserve">non.</w:t>
      </w:r>
    </w:p>
    <w:p>
      <w:pPr>
        <w:numPr>
          <w:ilvl w:val="0"/>
          <w:numId w:val="1232"/>
        </w:numPr>
        <w:pStyle w:val="Compact"/>
      </w:pPr>
      <w:r>
        <w:rPr>
          <w:bCs/>
          <w:b/>
        </w:rPr>
        <w:t xml:space="preserve">Autorisation États-Unis :</w:t>
      </w:r>
      <w:r>
        <w:t xml:space="preserve"> </w:t>
      </w:r>
      <w:r>
        <w:t xml:space="preserve">non.</w:t>
      </w:r>
    </w:p>
    <w:p>
      <w:pPr>
        <w:numPr>
          <w:ilvl w:val="0"/>
          <w:numId w:val="1232"/>
        </w:numPr>
        <w:pStyle w:val="Compact"/>
      </w:pPr>
      <w:r>
        <w:rPr>
          <w:bCs/>
          <w:b/>
        </w:rPr>
        <w:t xml:space="preserve">AMA (WADA) :</w:t>
      </w:r>
      <w:r>
        <w:t xml:space="preserve"> </w:t>
      </w:r>
      <w:r>
        <w:t xml:space="preserve">pas nommément listée ; en tant que substance autorisée nulle part, l’humanine ou la HNG relève selon notre appréciation de la catégorie générale S0.</w:t>
      </w:r>
    </w:p>
    <w:p>
      <w:pPr>
        <w:numPr>
          <w:ilvl w:val="0"/>
          <w:numId w:val="1232"/>
        </w:numPr>
        <w:pStyle w:val="Compact"/>
      </w:pPr>
      <w:r>
        <w:rPr>
          <w:bCs/>
          <w:b/>
        </w:rPr>
        <w:t xml:space="preserve">Niveau de preuve :</w:t>
      </w:r>
      <w:r>
        <w:t xml:space="preserve"> </w:t>
      </w:r>
      <w:r>
        <w:rPr>
          <w:bCs/>
          <w:b/>
        </w:rPr>
        <w:t xml:space="preserve">D</w:t>
      </w:r>
      <w:r>
        <w:t xml:space="preserve"> </w:t>
      </w:r>
      <w:r>
        <w:t xml:space="preserve">pour l’administration comme substance active – pas une seule étude dans laquelle des personnes ont reçu de l’humanine ou de la HNG ; chez l’humain, il n’existe que des mesures des taux endogènes.</w:t>
      </w:r>
    </w:p>
    <w:bookmarkEnd w:id="1843"/>
    <w:bookmarkStart w:id="1847" w:name="mode-daction-supposé-42"/>
    <w:p>
      <w:pPr>
        <w:pStyle w:val="Heading3"/>
      </w:pPr>
      <w:r>
        <w:t xml:space="preserve">Mode d’action supposé</w:t>
      </w:r>
    </w:p>
    <w:p>
      <w:pPr>
        <w:pStyle w:val="FirstParagraph"/>
      </w:pPr>
      <w:r>
        <w:t xml:space="preserve">En 2001, les découvreurs ont cherché, dans une banque de gènes issue de tissu cérébral, des séquences protégeant les neurones contre les effets toxiques des gènes de la maladie d’Alzheimer. Ils ont trouvé un peptide court qui, dans des cultures cellulaires, préservait les neurones de nombreuses lésions typiques de la maladie d’Alzheimer – contre l’amyloïde-bêta et contre l’effet de plusieurs mutations héréditaires de la maladie d’Alzheimer, mais pas contre d’autres substances toxiques comme le glutamate ou des fragments de prions</w:t>
      </w:r>
      <w:r>
        <w:rPr>
          <w:rStyle w:val="FootnoteReference"/>
        </w:rPr>
        <w:footnoteReference w:id="1844"/>
      </w:r>
      <w:r>
        <w:t xml:space="preserve">. La variante HNG s’est alors montrée plus efficace que d’autres facteurs protecteurs testés.</w:t>
      </w:r>
    </w:p>
    <w:p>
      <w:pPr>
        <w:pStyle w:val="BodyText"/>
      </w:pPr>
      <w:r>
        <w:t xml:space="preserve">Le même groupe a montré plus tard que l’humanine se lie à un complexe de récepteurs appartenant à la famille des récepteurs de cytokines (récepteur du CNTF, WSX-1 et gp130) et agit par l’intermédiaire de la molécule de signalisation STAT3</w:t>
      </w:r>
      <w:r>
        <w:rPr>
          <w:rStyle w:val="FootnoteReference"/>
        </w:rPr>
        <w:footnoteReference w:id="1845"/>
      </w:r>
      <w:r>
        <w:t xml:space="preserve">. En outre, des études de laboratoire décrivent des liaisons à des protéines qui pilotent la mort cellulaire et au partenaire de liaison des facteurs de croissance IGFBP-3.</w:t>
      </w:r>
    </w:p>
    <w:p>
      <w:pPr>
        <w:pStyle w:val="BodyText"/>
      </w:pPr>
      <w:r>
        <w:t xml:space="preserve">Une particularité : l’humanine est, comme le MOTS-c (voir chapitre précédent), codée dans le génome des mitochondries. Ces « peptides mitochondriaux » sont considérés comme un nouveau niveau de signalisation par lequel les mitochondries communiquent avec le reste de l’organisme</w:t>
      </w:r>
      <w:r>
        <w:rPr>
          <w:rStyle w:val="FootnoteReference"/>
        </w:rPr>
        <w:footnoteReference w:id="1846"/>
      </w:r>
      <w:r>
        <w:t xml:space="preserve">.</w:t>
      </w:r>
    </w:p>
    <w:bookmarkEnd w:id="1847"/>
    <w:bookmarkStart w:id="1851" w:name="études-chez-lhumain-42"/>
    <w:p>
      <w:pPr>
        <w:pStyle w:val="Heading3"/>
      </w:pPr>
      <w:r>
        <w:t xml:space="preserve">Études chez l’humain</w:t>
      </w:r>
    </w:p>
    <w:p>
      <w:pPr>
        <w:pStyle w:val="FirstParagraph"/>
      </w:pPr>
      <w:r>
        <w:rPr>
          <w:bCs/>
          <w:b/>
        </w:rPr>
        <w:t xml:space="preserve">Ampleur des données :</w:t>
      </w:r>
      <w:r>
        <w:t xml:space="preserve"> </w:t>
      </w:r>
      <w:r>
        <w:t xml:space="preserve">la requête PubMed automatisée (octobre 2026) a donné 8 publications classées comme études chez l’humain ; dans aucune d’elles l’humanine n’a été administrée. Elles examinent comment les taux endogènes évoluent sous l’effet de l’entraînement, de l’oxygénothérapie ou de compléments alimentaires, ou concernent des cellules de patientes et patients en laboratoire. Au total, PubMed recense environ 550 travaux sur l’humanine. Sur ClinicalTrials.gov, 3 études sont enregistrées, toutes des études observationnelles sur les taux d’humanine (lors d’opérations cardiaques, d’insuffisance rénale aiguë et de transplantation rénale).</w:t>
      </w:r>
    </w:p>
    <w:bookmarkStart w:id="1849" w:name="taux-et-âge"/>
    <w:p>
      <w:pPr>
        <w:pStyle w:val="Heading4"/>
      </w:pPr>
      <w:r>
        <w:t xml:space="preserve">Taux et âge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Lee 2014, PMID 25040290</w:t>
            </w:r>
          </w:p>
        </w:tc>
        <w:tc>
          <w:tcPr/>
          <w:p>
            <w:pPr>
              <w:pStyle w:val="Compact"/>
              <w:jc w:val="left"/>
            </w:pPr>
            <w:r>
              <w:t xml:space="preserve">souris et humains, observation et administration d’hormones</w:t>
            </w:r>
          </w:p>
        </w:tc>
        <w:tc>
          <w:tcPr/>
          <w:p>
            <w:pPr>
              <w:pStyle w:val="Compact"/>
              <w:jc w:val="left"/>
            </w:pPr>
            <w:r>
              <w:t xml:space="preserve">–</w:t>
            </w:r>
          </w:p>
        </w:tc>
        <w:tc>
          <w:tcPr/>
          <w:p>
            <w:pPr>
              <w:pStyle w:val="Compact"/>
              <w:jc w:val="left"/>
            </w:pPr>
            <w:r>
              <w:t xml:space="preserve">les taux d’humanine baissent avec l’âge ; l’hormone de croissance et l’IGF-1 les ont abaissés chez la souris et chez l’humain</w:t>
            </w:r>
          </w:p>
        </w:tc>
      </w:tr>
      <w:tr>
        <w:tc>
          <w:tcPr/>
          <w:p>
            <w:pPr>
              <w:pStyle w:val="Compact"/>
              <w:jc w:val="left"/>
            </w:pPr>
            <w:r>
              <w:t xml:space="preserve">Yen 2020, PMID 32575074</w:t>
            </w:r>
          </w:p>
        </w:tc>
        <w:tc>
          <w:tcPr/>
          <w:p>
            <w:pPr>
              <w:pStyle w:val="Compact"/>
              <w:jc w:val="left"/>
            </w:pPr>
            <w:r>
              <w:t xml:space="preserve">enfants de centenaires et témoins ; modèles animaux</w:t>
            </w:r>
          </w:p>
        </w:tc>
        <w:tc>
          <w:tcPr/>
          <w:p>
            <w:pPr>
              <w:pStyle w:val="Compact"/>
              <w:jc w:val="left"/>
            </w:pPr>
            <w:r>
              <w:t xml:space="preserve">transversale</w:t>
            </w:r>
          </w:p>
        </w:tc>
        <w:tc>
          <w:tcPr/>
          <w:p>
            <w:pPr>
              <w:pStyle w:val="Compact"/>
              <w:jc w:val="left"/>
            </w:pPr>
            <w:r>
              <w:t xml:space="preserve">taux nettement plus élevés chez les enfants de centenaires ; plus faibles dans la maladie d’Alzheimer et le MELAS</w:t>
            </w:r>
          </w:p>
        </w:tc>
      </w:tr>
      <w:tr>
        <w:tc>
          <w:tcPr/>
          <w:p>
            <w:pPr>
              <w:pStyle w:val="Compact"/>
              <w:jc w:val="left"/>
            </w:pPr>
            <w:r>
              <w:t xml:space="preserve">Miller 2024, PMID 38520065</w:t>
            </w:r>
          </w:p>
        </w:tc>
        <w:tc>
          <w:tcPr/>
          <w:p>
            <w:pPr>
              <w:pStyle w:val="Compact"/>
              <w:jc w:val="left"/>
            </w:pPr>
            <w:r>
              <w:t xml:space="preserve">centenaires porteurs du gène de risque de la maladie d’Alzheimer APOE4 ; modèle murin</w:t>
            </w:r>
          </w:p>
        </w:tc>
        <w:tc>
          <w:tcPr/>
          <w:p>
            <w:pPr>
              <w:pStyle w:val="Compact"/>
              <w:jc w:val="left"/>
            </w:pPr>
            <w:r>
              <w:t xml:space="preserve">analyse génétique</w:t>
            </w:r>
          </w:p>
        </w:tc>
        <w:tc>
          <w:tcPr/>
          <w:p>
            <w:pPr>
              <w:pStyle w:val="Compact"/>
              <w:jc w:val="left"/>
            </w:pPr>
            <w:r>
              <w:t xml:space="preserve">variant rare de l’humanine P3S plus fréquent chez les porteurs d’APOE4 longévifs</w:t>
            </w:r>
          </w:p>
        </w:tc>
      </w:tr>
      <w:tr>
        <w:tc>
          <w:tcPr/>
          <w:p>
            <w:pPr>
              <w:pStyle w:val="Compact"/>
              <w:jc w:val="left"/>
            </w:pPr>
            <w:r>
              <w:t xml:space="preserve">Gidlund 2016, PMID 27923980</w:t>
            </w:r>
          </w:p>
        </w:tc>
        <w:tc>
          <w:tcPr/>
          <w:p>
            <w:pPr>
              <w:pStyle w:val="Compact"/>
              <w:jc w:val="left"/>
            </w:pPr>
            <w:r>
              <w:t xml:space="preserve">55 hommes avec trouble du métabolisme glucidique, musculation, marche nordique ou témoin, randomisée</w:t>
            </w:r>
          </w:p>
        </w:tc>
        <w:tc>
          <w:tcPr/>
          <w:p>
            <w:pPr>
              <w:pStyle w:val="Compact"/>
              <w:jc w:val="left"/>
            </w:pPr>
            <w:r>
              <w:t xml:space="preserve">12 semaines</w:t>
            </w:r>
          </w:p>
        </w:tc>
        <w:tc>
          <w:tcPr/>
          <w:p>
            <w:pPr>
              <w:pStyle w:val="Compact"/>
              <w:jc w:val="left"/>
            </w:pPr>
            <w:r>
              <w:t xml:space="preserve">humanine musculaire 35 % plus élevée après musculation, inchangée dans le sang</w:t>
            </w:r>
          </w:p>
        </w:tc>
      </w:tr>
      <w:tr>
        <w:tc>
          <w:tcPr/>
          <w:p>
            <w:pPr>
              <w:pStyle w:val="Compact"/>
              <w:jc w:val="left"/>
            </w:pPr>
            <w:r>
              <w:t xml:space="preserve">von Walden 2021, PMID 34351816</w:t>
            </w:r>
          </w:p>
        </w:tc>
        <w:tc>
          <w:tcPr/>
          <w:p>
            <w:pPr>
              <w:pStyle w:val="Compact"/>
              <w:jc w:val="left"/>
            </w:pPr>
            <w:r>
              <w:t xml:space="preserve">30 personnes, une séance d’endurance ou de force ou témoin, randomisée</w:t>
            </w:r>
          </w:p>
        </w:tc>
        <w:tc>
          <w:tcPr/>
          <w:p>
            <w:pPr>
              <w:pStyle w:val="Compact"/>
              <w:jc w:val="left"/>
            </w:pPr>
            <w:r>
              <w:t xml:space="preserve">unique</w:t>
            </w:r>
          </w:p>
        </w:tc>
        <w:tc>
          <w:tcPr/>
          <w:p>
            <w:pPr>
              <w:pStyle w:val="Compact"/>
              <w:jc w:val="left"/>
            </w:pPr>
            <w:r>
              <w:t xml:space="preserve">humanine sanguine augmentée après un effort d’endurance</w:t>
            </w:r>
          </w:p>
        </w:tc>
      </w:tr>
      <w:tr>
        <w:tc>
          <w:tcPr/>
          <w:p>
            <w:pPr>
              <w:pStyle w:val="Compact"/>
              <w:jc w:val="left"/>
            </w:pPr>
            <w:r>
              <w:t xml:space="preserve">Xu 2019, PMID 31134827</w:t>
            </w:r>
          </w:p>
        </w:tc>
        <w:tc>
          <w:tcPr/>
          <w:p>
            <w:pPr>
              <w:pStyle w:val="Compact"/>
              <w:jc w:val="left"/>
            </w:pPr>
            <w:r>
              <w:t xml:space="preserve">158 personnes atteintes de démence vasculaire, oxygénothérapie hyperbare ou standard</w:t>
            </w:r>
          </w:p>
        </w:tc>
        <w:tc>
          <w:tcPr/>
          <w:p>
            <w:pPr>
              <w:pStyle w:val="Compact"/>
              <w:jc w:val="left"/>
            </w:pPr>
            <w:r>
              <w:t xml:space="preserve">12 semaines</w:t>
            </w:r>
          </w:p>
        </w:tc>
        <w:tc>
          <w:tcPr/>
          <w:p>
            <w:pPr>
              <w:pStyle w:val="Compact"/>
              <w:jc w:val="left"/>
            </w:pPr>
            <w:r>
              <w:t xml:space="preserve">taux d’humanine et scores au MMSE plus élevés sous oxygénothérapie hyperbare</w:t>
            </w:r>
          </w:p>
        </w:tc>
      </w:tr>
    </w:tbl>
    <w:p>
      <w:pPr>
        <w:pStyle w:val="BodyText"/>
      </w:pPr>
      <w:r>
        <w:t xml:space="preserve">Les observations donnent un tableau cohérent : les taux d’humanine baissent avec l’âge, sont plus élevés chez les enfants de personnes très âgées, plus faibles dans certaines maladies et augmentent avec l’exercice. Le lien avec le système de l’hormone de croissance est intéressant : l’hormone de croissance et l’IGF-1 ont abaissé les taux d’humanine chez la souris et chez l’humain, et des souris longévives présentant un déficit en hormone de croissance avaient des taux élevés</w:t>
      </w:r>
      <w:r>
        <w:rPr>
          <w:rStyle w:val="FootnoteReference"/>
        </w:rPr>
        <w:footnoteReference w:id="1848"/>
      </w:r>
      <w:r>
        <w:t xml:space="preserve">. C’est remarquable, car des sécrétagogues de l’hormone de croissance sont souvent proposés sur ce même marché gris (voir la partie II · C).</w:t>
      </w:r>
    </w:p>
    <w:p>
      <w:pPr>
        <w:pStyle w:val="BodyText"/>
      </w:pPr>
      <w:r>
        <w:t xml:space="preserve">Mais ici aussi, il faut le rappeler : un taux associé à la santé ne prouve pas qu’un apport rende plus sain. L’humanine pourrait tout aussi bien être un signe concomitant de mitochondries en bonne santé, sans en être elle-même la cause.</w:t>
      </w:r>
    </w:p>
    <w:bookmarkEnd w:id="1849"/>
    <w:bookmarkStart w:id="1850" w:name="administration-comme-substance-active"/>
    <w:p>
      <w:pPr>
        <w:pStyle w:val="Heading4"/>
      </w:pPr>
      <w:r>
        <w:t xml:space="preserve">Administration comme substance active</w:t>
      </w:r>
    </w:p>
    <w:p>
      <w:pPr>
        <w:pStyle w:val="FirstParagraph"/>
      </w:pPr>
      <w:r>
        <w:t xml:space="preserve">Il n’existe aucune étude publiée ni aucune entrée de registre dans laquelle des personnes ont reçu de l’humanine ou de la HNG (requête d’octobre 2026). Aucun rapport de cas d’effets indésirables après auto-administration n’a non plus été trouvé.</w:t>
      </w:r>
    </w:p>
    <w:bookmarkEnd w:id="1850"/>
    <w:bookmarkEnd w:id="1851"/>
    <w:bookmarkStart w:id="1857" w:name="études-animales-et-de-laboratoire-42"/>
    <w:p>
      <w:pPr>
        <w:pStyle w:val="Heading3"/>
      </w:pPr>
      <w:r>
        <w:t xml:space="preserve">Études animales et de laboratoire</w:t>
      </w:r>
    </w:p>
    <w:p>
      <w:pPr>
        <w:pStyle w:val="FirstParagraph"/>
      </w:pPr>
      <w:r>
        <w:t xml:space="preserve">La littérature préclinique est abondante :</w:t>
      </w:r>
    </w:p>
    <w:p>
      <w:pPr>
        <w:numPr>
          <w:ilvl w:val="0"/>
          <w:numId w:val="1233"/>
        </w:numPr>
        <w:pStyle w:val="Compact"/>
      </w:pPr>
      <w:r>
        <w:rPr>
          <w:bCs/>
          <w:b/>
        </w:rPr>
        <w:t xml:space="preserve">Durée de vie :</w:t>
      </w:r>
      <w:r>
        <w:t xml:space="preserve"> </w:t>
      </w:r>
      <w:r>
        <w:t xml:space="preserve">chez des nématodes, une production accrue d’humanine a prolongé la durée de vie ; chez des souris d’âge moyen, la HNG a amélioré des paramètres métaboliques et abaissé des marqueurs de l’inflammation</w:t>
      </w:r>
      <w:r>
        <w:rPr>
          <w:rStyle w:val="FootnoteReference"/>
        </w:rPr>
        <w:footnoteReference w:id="1852"/>
      </w:r>
      <w:r>
        <w:t xml:space="preserve">.</w:t>
      </w:r>
    </w:p>
    <w:p>
      <w:pPr>
        <w:numPr>
          <w:ilvl w:val="0"/>
          <w:numId w:val="1233"/>
        </w:numPr>
        <w:pStyle w:val="Compact"/>
      </w:pPr>
      <w:r>
        <w:rPr>
          <w:bCs/>
          <w:b/>
        </w:rPr>
        <w:t xml:space="preserve">Cœur :</w:t>
      </w:r>
      <w:r>
        <w:t xml:space="preserve"> </w:t>
      </w:r>
      <w:r>
        <w:t xml:space="preserve">chez la souris, la HNG a réduit la taille de l’infarctus après un infarctus provoqué artificiellement</w:t>
      </w:r>
      <w:r>
        <w:rPr>
          <w:rStyle w:val="FootnoteReference"/>
        </w:rPr>
        <w:footnoteReference w:id="1853"/>
      </w:r>
      <w:r>
        <w:t xml:space="preserve"> </w:t>
      </w:r>
      <w:r>
        <w:t xml:space="preserve">; un traitement de 14 mois chez des souris âgées a réduit la fibrose du muscle cardiaque liée à l’âge</w:t>
      </w:r>
      <w:r>
        <w:rPr>
          <w:rStyle w:val="FootnoteReference"/>
        </w:rPr>
        <w:footnoteReference w:id="1854"/>
      </w:r>
      <w:r>
        <w:t xml:space="preserve">.</w:t>
      </w:r>
    </w:p>
    <w:p>
      <w:pPr>
        <w:numPr>
          <w:ilvl w:val="0"/>
          <w:numId w:val="1233"/>
        </w:numPr>
        <w:pStyle w:val="Compact"/>
      </w:pPr>
      <w:r>
        <w:rPr>
          <w:bCs/>
          <w:b/>
        </w:rPr>
        <w:t xml:space="preserve">Modèles de la maladie d’Alzheimer :</w:t>
      </w:r>
      <w:r>
        <w:t xml:space="preserve"> </w:t>
      </w:r>
      <w:r>
        <w:t xml:space="preserve">le variant rare P3S a réduit chez des souris porteuses d’APOE4 les dépôts amyloïdes plus fortement que l’humanine normale</w:t>
      </w:r>
      <w:r>
        <w:rPr>
          <w:rStyle w:val="FootnoteReference"/>
        </w:rPr>
        <w:footnoteReference w:id="1855"/>
      </w:r>
      <w:r>
        <w:t xml:space="preserve">.</w:t>
      </w:r>
    </w:p>
    <w:p>
      <w:pPr>
        <w:numPr>
          <w:ilvl w:val="0"/>
          <w:numId w:val="1233"/>
        </w:numPr>
        <w:pStyle w:val="Compact"/>
      </w:pPr>
      <w:r>
        <w:rPr>
          <w:bCs/>
          <w:b/>
        </w:rPr>
        <w:t xml:space="preserve">Rétine :</w:t>
      </w:r>
      <w:r>
        <w:t xml:space="preserve"> </w:t>
      </w:r>
      <w:r>
        <w:t xml:space="preserve">dans des modèles cellulaires contenant des mitochondries de personnes atteintes de dégénérescence maculaire liée à l’âge, la HNG a protégé contre les lésions cellulaires</w:t>
      </w:r>
      <w:r>
        <w:rPr>
          <w:rStyle w:val="FootnoteReference"/>
        </w:rPr>
        <w:footnoteReference w:id="1856"/>
      </w:r>
      <w:r>
        <w:t xml:space="preserve">.</w:t>
      </w:r>
    </w:p>
    <w:bookmarkEnd w:id="1857"/>
    <w:bookmarkStart w:id="1860" w:name="risques-et-effets-indésirables-42"/>
    <w:p>
      <w:pPr>
        <w:pStyle w:val="Heading3"/>
      </w:pPr>
      <w:r>
        <w:t xml:space="preserve">Risques et effets indésirables</w:t>
      </w:r>
    </w:p>
    <w:p>
      <w:pPr>
        <w:pStyle w:val="FirstParagraph"/>
      </w:pPr>
      <w:r>
        <w:rPr>
          <w:bCs/>
          <w:b/>
        </w:rPr>
        <w:t xml:space="preserve">Établi :</w:t>
      </w:r>
      <w:r>
        <w:t xml:space="preserve"> </w:t>
      </w:r>
      <w:r>
        <w:t xml:space="preserve">il n’existe pas de données de sécurité sur l’administration chez l’humain.</w:t>
      </w:r>
    </w:p>
    <w:p>
      <w:pPr>
        <w:pStyle w:val="BodyText"/>
      </w:pPr>
      <w:r>
        <w:rPr>
          <w:bCs/>
          <w:b/>
        </w:rPr>
        <w:t xml:space="preserve">Théorique – avec des signaux d’alerte concrets issus du laboratoire :</w:t>
      </w:r>
    </w:p>
    <w:p>
      <w:pPr>
        <w:numPr>
          <w:ilvl w:val="0"/>
          <w:numId w:val="1234"/>
        </w:numPr>
        <w:pStyle w:val="Compact"/>
      </w:pPr>
      <w:r>
        <w:rPr>
          <w:bCs/>
          <w:b/>
        </w:rPr>
        <w:t xml:space="preserve">Cancer :</w:t>
      </w:r>
      <w:r>
        <w:t xml:space="preserve"> </w:t>
      </w:r>
      <w:r>
        <w:t xml:space="preserve">l’humanine protège les cellules de la mort cellulaire programmée – et cela vaut aussi pour les cellules cancéreuses. Chez des souris atteintes de cancer du sein triple négatif, l’humanine apportée a réduit la mort cellulaire dans la tumeur, affaibli l’effet de la chimiothérapie et accéléré la croissance tumorale et les métastases pulmonaires. Dans des biopsies de ce type de cancer du sein, l’humanine était détectable en quantité accrue. Les auteurs recommandent expressément la prudence quant à l’utilisation de l’humanine contre les maladies dégénératives</w:t>
      </w:r>
      <w:r>
        <w:rPr>
          <w:rStyle w:val="FootnoteReference"/>
        </w:rPr>
        <w:footnoteReference w:id="1858"/>
      </w:r>
      <w:r>
        <w:t xml:space="preserve">.</w:t>
      </w:r>
    </w:p>
    <w:p>
      <w:pPr>
        <w:numPr>
          <w:ilvl w:val="0"/>
          <w:numId w:val="1234"/>
        </w:numPr>
        <w:pStyle w:val="Compact"/>
      </w:pPr>
      <w:r>
        <w:rPr>
          <w:bCs/>
          <w:b/>
        </w:rPr>
        <w:t xml:space="preserve">Inflammation des cellules vieillies :</w:t>
      </w:r>
      <w:r>
        <w:t xml:space="preserve"> </w:t>
      </w:r>
      <w:r>
        <w:t xml:space="preserve">dans des expériences cellulaires, l’humanine et le MOTS-c ont renforcé la sécrétion de messagers inflammatoires par des cellules vieillies (« sénescentes »)</w:t>
      </w:r>
      <w:r>
        <w:rPr>
          <w:rStyle w:val="FootnoteReference"/>
        </w:rPr>
        <w:footnoteReference w:id="1859"/>
      </w:r>
      <w:r>
        <w:t xml:space="preserve">.</w:t>
      </w:r>
    </w:p>
    <w:p>
      <w:pPr>
        <w:numPr>
          <w:ilvl w:val="0"/>
          <w:numId w:val="1234"/>
        </w:numPr>
        <w:pStyle w:val="Compact"/>
      </w:pPr>
      <w:r>
        <w:rPr>
          <w:bCs/>
          <w:b/>
        </w:rPr>
        <w:t xml:space="preserve">Réactions immunitaires :</w:t>
      </w:r>
      <w:r>
        <w:t xml:space="preserve"> </w:t>
      </w:r>
      <w:r>
        <w:t xml:space="preserve">en cas d’injection répétée d’un peptide, des anticorps peuvent se former ; non étudié.</w:t>
      </w:r>
    </w:p>
    <w:p>
      <w:pPr>
        <w:pStyle w:val="FirstParagraph"/>
      </w:pPr>
      <w:r>
        <w:rPr>
          <w:bCs/>
          <w:b/>
        </w:rPr>
        <w:t xml:space="preserve">Marché gris :</w:t>
      </w:r>
      <w:r>
        <w:t xml:space="preserve"> </w:t>
      </w:r>
      <w:r>
        <w:t xml:space="preserve">l’humanine et la HNG sont proposées comme « peptides de longévité » pour injection. La teneur, la pureté et la stérilité ne sont pas contrôlées.</w:t>
      </w:r>
    </w:p>
    <w:bookmarkEnd w:id="1860"/>
    <w:bookmarkStart w:id="1861" w:name="statut-juridique-42"/>
    <w:p>
      <w:pPr>
        <w:pStyle w:val="Heading3"/>
      </w:pPr>
      <w:r>
        <w:t xml:space="preserve">Statut juridique</w:t>
      </w:r>
    </w:p>
    <w:p>
      <w:pPr>
        <w:numPr>
          <w:ilvl w:val="0"/>
          <w:numId w:val="1235"/>
        </w:numPr>
        <w:pStyle w:val="Compact"/>
      </w:pPr>
      <w:r>
        <w:rPr>
          <w:bCs/>
          <w:b/>
        </w:rPr>
        <w:t xml:space="preserve">UE / Autriche / Allemagne :</w:t>
      </w:r>
      <w:r>
        <w:t xml:space="preserve"> </w:t>
      </w:r>
      <w:r>
        <w:t xml:space="preserve">non autorisée ; en tant que substance à effet pharmacologique, l’humanine est considérée comme un médicament, et sa vente en vue d’un usage humain n’est pas permise.</w:t>
      </w:r>
    </w:p>
    <w:p>
      <w:pPr>
        <w:numPr>
          <w:ilvl w:val="0"/>
          <w:numId w:val="1235"/>
        </w:numPr>
        <w:pStyle w:val="Compact"/>
      </w:pPr>
      <w:r>
        <w:rPr>
          <w:bCs/>
          <w:b/>
        </w:rPr>
        <w:t xml:space="preserve">États-Unis :</w:t>
      </w:r>
      <w:r>
        <w:t xml:space="preserve"> </w:t>
      </w:r>
      <w:r>
        <w:t xml:space="preserve">non autorisée.</w:t>
      </w:r>
    </w:p>
    <w:p>
      <w:pPr>
        <w:numPr>
          <w:ilvl w:val="0"/>
          <w:numId w:val="1235"/>
        </w:numPr>
        <w:pStyle w:val="Compact"/>
      </w:pPr>
      <w:r>
        <w:rPr>
          <w:bCs/>
          <w:b/>
        </w:rPr>
        <w:t xml:space="preserve">Sport :</w:t>
      </w:r>
      <w:r>
        <w:t xml:space="preserve"> </w:t>
      </w:r>
      <w:r>
        <w:t xml:space="preserve">selon notre appréciation, catégorie S0 de l’AMA (état 2026, à vérifier).</w:t>
      </w:r>
    </w:p>
    <w:bookmarkEnd w:id="1861"/>
    <w:bookmarkStart w:id="1863" w:name="études-en-cours-et-perspectives-42"/>
    <w:p>
      <w:pPr>
        <w:pStyle w:val="Heading3"/>
      </w:pPr>
      <w:r>
        <w:t xml:space="preserve">Études en cours et perspectives</w:t>
      </w:r>
    </w:p>
    <w:p>
      <w:pPr>
        <w:pStyle w:val="FirstParagraph"/>
      </w:pPr>
      <w:r>
        <w:rPr>
          <w:bCs/>
          <w:b/>
        </w:rPr>
        <w:t xml:space="preserve">Établi :</w:t>
      </w:r>
      <w:r>
        <w:t xml:space="preserve"> </w:t>
      </w:r>
      <w:r>
        <w:t xml:space="preserve">seules des études observationnelles sur les taux d’humanine sont enregistrées, par exemple après des opérations cardiaques (NCT03431844, 106 participants, terminée) et lors de transplantations rénales</w:t>
      </w:r>
      <w:r>
        <w:rPr>
          <w:rStyle w:val="FootnoteReference"/>
        </w:rPr>
        <w:footnoteReference w:id="1862"/>
      </w:r>
      <w:r>
        <w:t xml:space="preserve">. Il n’existe aucune étude sur l’administration d’humanine.</w:t>
      </w:r>
    </w:p>
    <w:p>
      <w:pPr>
        <w:pStyle w:val="BodyText"/>
      </w:pPr>
      <w:r>
        <w:rPr>
          <w:bCs/>
          <w:b/>
        </w:rPr>
        <w:t xml:space="preserve">Appréciation :</w:t>
      </w:r>
      <w:r>
        <w:t xml:space="preserve"> </w:t>
      </w:r>
      <w:r>
        <w:t xml:space="preserve">l’humanine est un peptide de signalisation scientifiquement passionnant et un biomarqueur possible du vieillissement. On ignore si elle sera un jour testée comme médicament ; les résultats sur le cancer issus du modèle animal devraient être soigneusement élucidés avant toute utilisation chez l’humain.</w:t>
      </w:r>
    </w:p>
    <w:bookmarkEnd w:id="1863"/>
    <w:bookmarkStart w:id="1864" w:name="conclusion-42"/>
    <w:p>
      <w:pPr>
        <w:pStyle w:val="Heading3"/>
      </w:pPr>
      <w:r>
        <w:t xml:space="preserve">Conclusion</w:t>
      </w:r>
    </w:p>
    <w:p>
      <w:pPr>
        <w:pStyle w:val="FirstParagraph"/>
      </w:pPr>
      <w:r>
        <w:t xml:space="preserve">L’humanine est un peptide mitochondrial endogène, découvert en 2001 comme facteur protecteur des neurones. Ses taux baissent avec l’âge, sont plus élevés chez les enfants de centenaires et augmentent avec l’exercice ; dans les expérimentations animales, la variante HNG a protégé le cœur, le cerveau et le métabolisme. Chez l’humain, l’humanine n’a jamais été administrée comme substance active, et chez la souris elle a favorisé la croissance d’un cancer du sein. Les données ne suffisent pas pour juger du bénéfice ou de la sécurité d’un apport.</w:t>
      </w:r>
    </w:p>
    <w:bookmarkEnd w:id="1864"/>
    <w:bookmarkEnd w:id="1865"/>
    <w:bookmarkStart w:id="1905" w:name="ss-31-élamipretide"/>
    <w:p>
      <w:pPr>
        <w:pStyle w:val="Heading2"/>
      </w:pPr>
      <w:r>
        <w:t xml:space="preserve">SS-31 (élamipretide)</w:t>
      </w:r>
    </w:p>
    <w:bookmarkStart w:id="1866" w:name="fiche-signalétique-43"/>
    <w:p>
      <w:pPr>
        <w:pStyle w:val="Heading3"/>
      </w:pPr>
      <w:r>
        <w:t xml:space="preserve">Fiche signalétique</w:t>
      </w:r>
    </w:p>
    <w:p>
      <w:pPr>
        <w:numPr>
          <w:ilvl w:val="0"/>
          <w:numId w:val="1236"/>
        </w:numPr>
        <w:pStyle w:val="Compact"/>
      </w:pPr>
      <w:r>
        <w:rPr>
          <w:bCs/>
          <w:b/>
        </w:rPr>
        <w:t xml:space="preserve">Nature et structure :</w:t>
      </w:r>
      <w:r>
        <w:t xml:space="preserve"> </w:t>
      </w:r>
      <w:r>
        <w:t xml:space="preserve">tétrapeptide de synthèse de quatre éléments (D-arginine, diméthyltyrosine, lysine, phénylalanine), qui traverse les membranes cellulaires grâce à une succession inhabituelle d’acides aminés chargés positivement et cycliques. Noms de recherche SS-31, MTP-131 et Bendavia ; dénomination de la substance élamipretide ; nom commercial Forzinity.</w:t>
      </w:r>
    </w:p>
    <w:p>
      <w:pPr>
        <w:numPr>
          <w:ilvl w:val="0"/>
          <w:numId w:val="1236"/>
        </w:numPr>
        <w:pStyle w:val="Compact"/>
      </w:pPr>
      <w:r>
        <w:rPr>
          <w:bCs/>
          <w:b/>
        </w:rPr>
        <w:t xml:space="preserve">Origine :</w:t>
      </w:r>
      <w:r>
        <w:t xml:space="preserve"> </w:t>
      </w:r>
      <w:r>
        <w:t xml:space="preserve">développé par Hazel Szeto et Peter Schiller (d’où les peptides « SS »), développement clinique poursuivi par la société américaine Stealth BioTherapeutics.</w:t>
      </w:r>
    </w:p>
    <w:p>
      <w:pPr>
        <w:numPr>
          <w:ilvl w:val="0"/>
          <w:numId w:val="1236"/>
        </w:numPr>
        <w:pStyle w:val="Compact"/>
      </w:pPr>
      <w:r>
        <w:rPr>
          <w:bCs/>
          <w:b/>
        </w:rPr>
        <w:t xml:space="preserve">Principe d’action :</w:t>
      </w:r>
      <w:r>
        <w:t xml:space="preserve"> </w:t>
      </w:r>
      <w:r>
        <w:t xml:space="preserve">s’accumule sur la membrane interne des mitochondries et s’y lie à la cardiolipine, un lipide indispensable à la production d’énergie. Il stabiliserait la chaîne respiratoire et limiterait une oxydation nocive.</w:t>
      </w:r>
    </w:p>
    <w:p>
      <w:pPr>
        <w:numPr>
          <w:ilvl w:val="0"/>
          <w:numId w:val="1236"/>
        </w:numPr>
        <w:pStyle w:val="Compact"/>
      </w:pPr>
      <w:r>
        <w:rPr>
          <w:bCs/>
          <w:b/>
        </w:rPr>
        <w:t xml:space="preserve">Autorisation UE :</w:t>
      </w:r>
      <w:r>
        <w:t xml:space="preserve"> </w:t>
      </w:r>
      <w:r>
        <w:t xml:space="preserve">non.</w:t>
      </w:r>
    </w:p>
    <w:p>
      <w:pPr>
        <w:numPr>
          <w:ilvl w:val="0"/>
          <w:numId w:val="1236"/>
        </w:numPr>
        <w:pStyle w:val="Compact"/>
      </w:pPr>
      <w:r>
        <w:rPr>
          <w:bCs/>
          <w:b/>
        </w:rPr>
        <w:t xml:space="preserve">Autorisation États-Unis :</w:t>
      </w:r>
      <w:r>
        <w:t xml:space="preserve"> </w:t>
      </w:r>
      <w:r>
        <w:t xml:space="preserve">oui – en septembre 2025,</w:t>
      </w:r>
      <w:r>
        <w:t xml:space="preserve"> </w:t>
      </w:r>
      <w:r>
        <w:rPr>
          <w:bCs/>
          <w:b/>
        </w:rPr>
        <w:t xml:space="preserve">autorisation accélérée</w:t>
      </w:r>
      <w:r>
        <w:t xml:space="preserve"> </w:t>
      </w:r>
      <w:r>
        <w:t xml:space="preserve">(accelerated approval) sous le nom de Forzinity pour améliorer la force musculaire dans le syndrome de Barth chez les adultes et les enfants de 30 kg ou plus. L’autorisation est subordonnée à une étude de confirmation.</w:t>
      </w:r>
    </w:p>
    <w:p>
      <w:pPr>
        <w:numPr>
          <w:ilvl w:val="0"/>
          <w:numId w:val="1236"/>
        </w:numPr>
        <w:pStyle w:val="Compact"/>
      </w:pPr>
      <w:r>
        <w:rPr>
          <w:bCs/>
          <w:b/>
        </w:rPr>
        <w:t xml:space="preserve">AMA (WADA) :</w:t>
      </w:r>
      <w:r>
        <w:t xml:space="preserve"> </w:t>
      </w:r>
      <w:r>
        <w:t xml:space="preserve">pas nommément listé.</w:t>
      </w:r>
    </w:p>
    <w:p>
      <w:pPr>
        <w:numPr>
          <w:ilvl w:val="0"/>
          <w:numId w:val="1236"/>
        </w:numPr>
        <w:pStyle w:val="Compact"/>
      </w:pPr>
      <w:r>
        <w:rPr>
          <w:bCs/>
          <w:b/>
        </w:rPr>
        <w:t xml:space="preserve">Niveau de preuve :</w:t>
      </w:r>
      <w:r>
        <w:t xml:space="preserve"> </w:t>
      </w:r>
      <w:r>
        <w:rPr>
          <w:bCs/>
          <w:b/>
        </w:rPr>
        <w:t xml:space="preserve">B</w:t>
      </w:r>
      <w:r>
        <w:t xml:space="preserve"> </w:t>
      </w:r>
      <w:r>
        <w:t xml:space="preserve">– de nombreuses études randomisées, dont une étude de phase 3 portant sur 218 participants ; la plupart des grandes études ont toutefois manqué leur critère principal, et l’autorisation repose sur une très petite étude dans une maladie extrêmement rare.</w:t>
      </w:r>
    </w:p>
    <w:bookmarkEnd w:id="1866"/>
    <w:bookmarkStart w:id="1868" w:name="mode-daction-supposé-43"/>
    <w:p>
      <w:pPr>
        <w:pStyle w:val="Heading3"/>
      </w:pPr>
      <w:r>
        <w:t xml:space="preserve">Mode d’action supposé</w:t>
      </w:r>
    </w:p>
    <w:p>
      <w:pPr>
        <w:pStyle w:val="FirstParagraph"/>
      </w:pPr>
      <w:r>
        <w:t xml:space="preserve">Les mitochondries produisent de l’énergie au moyen d’une chaîne de complexes protéiques situés dans leur membrane interne. Pour que ces complexes fonctionnent correctement ensemble, il faut de la cardiolipine – un lipide particulier présent uniquement dans cette membrane. Si la cardiolipine est endommagée ou absente, la chaîne respiratoire fonctionne moins bien, et la protéine cytochrome c peut passer du rôle de transporteur d’électrons à celui d’enzyme nocive (une peroxydase).</w:t>
      </w:r>
    </w:p>
    <w:p>
      <w:pPr>
        <w:pStyle w:val="BodyText"/>
      </w:pPr>
      <w:r>
        <w:t xml:space="preserve">Selon sa conceptrice, le SS-31 se lie sélectivement à la cardiolipine par des forces électriques et hydrophobes, empêche cette transformation du cytochrome c et protège ainsi la structure des mitochondries</w:t>
      </w:r>
      <w:r>
        <w:rPr>
          <w:rStyle w:val="FootnoteReference"/>
        </w:rPr>
        <w:footnoteReference w:id="1867"/>
      </w:r>
      <w:r>
        <w:t xml:space="preserve">. Ce principe a été étudié dans de nombreux modèles animaux de maladies cardiaques, rénales, musculaires et oculaires.</w:t>
      </w:r>
    </w:p>
    <w:p>
      <w:pPr>
        <w:pStyle w:val="BodyText"/>
      </w:pPr>
      <w:r>
        <w:t xml:space="preserve">Le lien est le plus clair dans le</w:t>
      </w:r>
      <w:r>
        <w:t xml:space="preserve"> </w:t>
      </w:r>
      <w:r>
        <w:rPr>
          <w:bCs/>
          <w:b/>
        </w:rPr>
        <w:t xml:space="preserve">syndrome de Barth</w:t>
      </w:r>
      <w:r>
        <w:t xml:space="preserve"> </w:t>
      </w:r>
      <w:r>
        <w:t xml:space="preserve">: dans cette maladie très rare, à transmission liée à l’X, qui touche presque exclusivement des garçons et des hommes, le gène</w:t>
      </w:r>
      <w:r>
        <w:t xml:space="preserve"> </w:t>
      </w:r>
      <w:r>
        <w:rPr>
          <w:iCs/>
          <w:i/>
        </w:rPr>
        <w:t xml:space="preserve">TAZ</w:t>
      </w:r>
      <w:r>
        <w:t xml:space="preserve">, nécessaire au remodelage de la cardiolipine, est défectueux. Les personnes atteintes présentent une insuffisance du muscle cardiaque, une faiblesse musculaire, une fatigabilité importante et un nombre réduit de certains globules blancs. Une substance qui cible spécifiquement la cardiolipine y est biologiquement particulièrement pertinente.</w:t>
      </w:r>
    </w:p>
    <w:bookmarkEnd w:id="1868"/>
    <w:bookmarkStart w:id="1887" w:name="études-chez-lhumain-43"/>
    <w:p>
      <w:pPr>
        <w:pStyle w:val="Heading3"/>
      </w:pPr>
      <w:r>
        <w:t xml:space="preserve">Études chez l’humain</w:t>
      </w:r>
    </w:p>
    <w:p>
      <w:pPr>
        <w:pStyle w:val="FirstParagraph"/>
      </w:pPr>
      <w:r>
        <w:rPr>
          <w:bCs/>
          <w:b/>
        </w:rPr>
        <w:t xml:space="preserve">Ampleur des données :</w:t>
      </w:r>
      <w:r>
        <w:t xml:space="preserve"> </w:t>
      </w:r>
      <w:r>
        <w:t xml:space="preserve">la requête PubMed automatisée (octobre 2026) a donné 19 publications classées comme études chez l’humain ; quatre d’entre elles concernent, à l’examen, d’autres substances (le sigle « SS-31 » apparaît aussi ailleurs). Sur ClinicalTrials.gov, 21 études étaient enregistrées, presque toutes promues par le fabricant, sur le syndrome de Barth, les myopathies mitochondriales, l’insuffisance cardiaque, l’infarctus du myocarde, la sténose de l’artère rénale, la dégénérescence maculaire sèche et des maladies oculaires. L’élamipretide est ainsi le peptide le mieux étudié de cette partie.</w:t>
      </w:r>
    </w:p>
    <w:bookmarkStart w:id="1876" w:name="X64c2333661817c69c082b75803b38bc0068138f"/>
    <w:p>
      <w:pPr>
        <w:pStyle w:val="Heading4"/>
      </w:pPr>
      <w:r>
        <w:t xml:space="preserve">Syndrome de Barth : TAZPOWER et l’autorisation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TAZPOWER partie 1 (Reid Thompson 2021), PMID 33077895</w:t>
            </w:r>
          </w:p>
        </w:tc>
        <w:tc>
          <w:tcPr/>
          <w:p>
            <w:pPr>
              <w:pStyle w:val="Compact"/>
              <w:jc w:val="left"/>
            </w:pPr>
            <w:r>
              <w:t xml:space="preserve">12 personnes, double aveugle, plan croisé contre placebo</w:t>
            </w:r>
          </w:p>
        </w:tc>
        <w:tc>
          <w:tcPr/>
          <w:p>
            <w:pPr>
              <w:pStyle w:val="Compact"/>
              <w:jc w:val="left"/>
            </w:pPr>
            <w:r>
              <w:t xml:space="preserve">12 semaines chacune</w:t>
            </w:r>
          </w:p>
        </w:tc>
        <w:tc>
          <w:tcPr/>
          <w:p>
            <w:pPr>
              <w:pStyle w:val="Compact"/>
              <w:jc w:val="left"/>
            </w:pPr>
            <w:r>
              <w:t xml:space="preserve">les deux critères principaux (test de marche de 6 minutes, échelle de symptômes) manqués</w:t>
            </w:r>
          </w:p>
        </w:tc>
      </w:tr>
      <w:tr>
        <w:tc>
          <w:tcPr/>
          <w:p>
            <w:pPr>
              <w:pStyle w:val="Compact"/>
              <w:jc w:val="left"/>
            </w:pPr>
            <w:r>
              <w:t xml:space="preserve">TAZPOWER prolongation ouverte, PMID 33077895</w:t>
            </w:r>
          </w:p>
        </w:tc>
        <w:tc>
          <w:tcPr/>
          <w:p>
            <w:pPr>
              <w:pStyle w:val="Compact"/>
              <w:jc w:val="left"/>
            </w:pPr>
            <w:r>
              <w:t xml:space="preserve">10 personnes, toutes sous élamipretide</w:t>
            </w:r>
          </w:p>
        </w:tc>
        <w:tc>
          <w:tcPr/>
          <w:p>
            <w:pPr>
              <w:pStyle w:val="Compact"/>
              <w:jc w:val="left"/>
            </w:pPr>
            <w:r>
              <w:t xml:space="preserve">36 semaines</w:t>
            </w:r>
          </w:p>
        </w:tc>
        <w:tc>
          <w:tcPr/>
          <w:p>
            <w:pPr>
              <w:pStyle w:val="Compact"/>
              <w:jc w:val="left"/>
            </w:pPr>
            <w:r>
              <w:t xml:space="preserve">distance de marche +95,9 m, échelle de symptômes −2,1 points</w:t>
            </w:r>
          </w:p>
        </w:tc>
      </w:tr>
      <w:tr>
        <w:tc>
          <w:tcPr/>
          <w:p>
            <w:pPr>
              <w:pStyle w:val="Compact"/>
              <w:jc w:val="left"/>
            </w:pPr>
            <w:r>
              <w:t xml:space="preserve">Prolongation jusqu’à 168 semaines (Thompson 2024), PMID 38602181</w:t>
            </w:r>
          </w:p>
        </w:tc>
        <w:tc>
          <w:tcPr/>
          <w:p>
            <w:pPr>
              <w:pStyle w:val="Compact"/>
              <w:jc w:val="left"/>
            </w:pPr>
            <w:r>
              <w:t xml:space="preserve">10 incluses, 8 jusqu’à la semaine 168</w:t>
            </w:r>
          </w:p>
        </w:tc>
        <w:tc>
          <w:tcPr/>
          <w:p>
            <w:pPr>
              <w:pStyle w:val="Compact"/>
              <w:jc w:val="left"/>
            </w:pPr>
            <w:r>
              <w:t xml:space="preserve">168 semaines</w:t>
            </w:r>
          </w:p>
        </w:tc>
        <w:tc>
          <w:tcPr/>
          <w:p>
            <w:pPr>
              <w:pStyle w:val="Compact"/>
              <w:jc w:val="left"/>
            </w:pPr>
            <w:r>
              <w:t xml:space="preserve">distance de marche cumulée +96,1 m ; volumes cardiaques améliorés</w:t>
            </w:r>
          </w:p>
        </w:tc>
      </w:tr>
      <w:tr>
        <w:tc>
          <w:tcPr/>
          <w:p>
            <w:pPr>
              <w:pStyle w:val="Compact"/>
              <w:jc w:val="left"/>
            </w:pPr>
            <w:r>
              <w:t xml:space="preserve">Comparaison avec l’évolution naturelle (Hornby 2022), PMID 36056411</w:t>
            </w:r>
          </w:p>
        </w:tc>
        <w:tc>
          <w:tcPr/>
          <w:p>
            <w:pPr>
              <w:pStyle w:val="Compact"/>
              <w:jc w:val="left"/>
            </w:pPr>
            <w:r>
              <w:t xml:space="preserve">8 personnes traitées vs 19 non traitées issues d’un registre de la maladie</w:t>
            </w:r>
          </w:p>
        </w:tc>
        <w:tc>
          <w:tcPr/>
          <w:p>
            <w:pPr>
              <w:pStyle w:val="Compact"/>
              <w:jc w:val="left"/>
            </w:pPr>
            <w:r>
              <w:t xml:space="preserve">64–76 semaines</w:t>
            </w:r>
          </w:p>
        </w:tc>
        <w:tc>
          <w:tcPr/>
          <w:p>
            <w:pPr>
              <w:pStyle w:val="Compact"/>
              <w:jc w:val="left"/>
            </w:pPr>
            <w:r>
              <w:t xml:space="preserve">différence au test de marche de 79,7 et 91,0 m en faveur de l’élamipretide</w:t>
            </w:r>
          </w:p>
        </w:tc>
      </w:tr>
    </w:tbl>
    <w:p>
      <w:pPr>
        <w:pStyle w:val="BodyText"/>
      </w:pPr>
      <w:r>
        <w:t xml:space="preserve">L’histoire de l’autorisation illustre de manière exemplaire comment les décisions sont prises pour les maladies extrêmement rares :</w:t>
      </w:r>
    </w:p>
    <w:p>
      <w:pPr>
        <w:pStyle w:val="BodyText"/>
      </w:pPr>
      <w:r>
        <w:rPr>
          <w:bCs/>
          <w:b/>
        </w:rPr>
        <w:t xml:space="preserve">La partie contrôlée a échoué.</w:t>
      </w:r>
      <w:r>
        <w:t xml:space="preserve"> </w:t>
      </w:r>
      <w:r>
        <w:t xml:space="preserve">Dans TAZPOWER</w:t>
      </w:r>
      <w:r>
        <w:rPr>
          <w:rStyle w:val="FootnoteReference"/>
        </w:rPr>
        <w:footnoteReference w:id="1869"/>
      </w:r>
      <w:r>
        <w:t xml:space="preserve">, douze personnes atteintes du syndrome de Barth ont reçu pendant douze semaines, chaque jour par voie sous-cutanée, de l’élamipretide ou un placebo, puis l’autre traitement. Dans cette partie en aveugle, aucune différence significative n’a été atteinte, ni au test de marche de 6 minutes ni sur l’échelle de symptômes</w:t>
      </w:r>
      <w:r>
        <w:rPr>
          <w:rStyle w:val="FootnoteReference"/>
        </w:rPr>
        <w:footnoteReference w:id="1870"/>
      </w:r>
      <w:r>
        <w:t xml:space="preserve">.</w:t>
      </w:r>
    </w:p>
    <w:p>
      <w:pPr>
        <w:pStyle w:val="BodyText"/>
      </w:pPr>
      <w:r>
        <w:rPr>
          <w:bCs/>
          <w:b/>
        </w:rPr>
        <w:t xml:space="preserve">La prolongation ouverte a été positive.</w:t>
      </w:r>
      <w:r>
        <w:t xml:space="preserve"> </w:t>
      </w:r>
      <w:r>
        <w:t xml:space="preserve">Dix personnes ont poursuivi le traitement en ouvert. Après 36 semaines, elles marchaient en moyenne 95,9 m de plus qu’au début ; la force d’extension du genou et certains paramètres cardiaques se sont aussi améliorés</w:t>
      </w:r>
      <w:r>
        <w:rPr>
          <w:rStyle w:val="FootnoteReference"/>
        </w:rPr>
        <w:footnoteReference w:id="1871"/>
      </w:r>
      <w:r>
        <w:t xml:space="preserve">. L’amélioration s’est maintenue jusqu’à la semaine 168 ; huit personnes ont atteint ce point</w:t>
      </w:r>
      <w:r>
        <w:rPr>
          <w:rStyle w:val="FootnoteReference"/>
        </w:rPr>
        <w:footnoteReference w:id="1872"/>
      </w:r>
      <w:r>
        <w:t xml:space="preserve">. Sans groupe témoin, on ne peut toutefois pas distinguer quelle part revient au médicament et quelle part à l’habituation au test, à la motivation ou au hasard.</w:t>
      </w:r>
    </w:p>
    <w:p>
      <w:pPr>
        <w:pStyle w:val="BodyText"/>
      </w:pPr>
      <w:r>
        <w:rPr>
          <w:bCs/>
          <w:b/>
        </w:rPr>
        <w:t xml:space="preserve">Comparaison avec un témoin issu d’un registre.</w:t>
      </w:r>
      <w:r>
        <w:t xml:space="preserve"> </w:t>
      </w:r>
      <w:r>
        <w:t xml:space="preserve">Pour éclaircir ce point, une autre étude a comparé huit personnes traitées à 19 personnes non traitées issues d’une observation de l’évolution de la maladie. L’avantage au test de marche était de 79,7 m après 64 semaines</w:t>
      </w:r>
      <w:r>
        <w:rPr>
          <w:rStyle w:val="FootnoteReference"/>
        </w:rPr>
        <w:footnoteReference w:id="1873"/>
      </w:r>
      <w:r>
        <w:t xml:space="preserve">. De tels « témoins historiques » sont souvent la seule possibilité dans les maladies rares, mais sont considérés comme nettement moins solides qu’une randomisation.</w:t>
      </w:r>
    </w:p>
    <w:p>
      <w:pPr>
        <w:pStyle w:val="BodyText"/>
      </w:pPr>
      <w:r>
        <w:rPr>
          <w:bCs/>
          <w:b/>
        </w:rPr>
        <w:t xml:space="preserve">La décision de la FDA en 2025.</w:t>
      </w:r>
      <w:r>
        <w:t xml:space="preserve"> </w:t>
      </w:r>
      <w:r>
        <w:t xml:space="preserve">L’autorité américaine du médicament a d’abord rejeté la demande en mai 2025 (Complete Response Letter). En septembre 2025, elle a ensuite accordé une</w:t>
      </w:r>
      <w:r>
        <w:t xml:space="preserve"> </w:t>
      </w:r>
      <w:r>
        <w:rPr>
          <w:bCs/>
          <w:b/>
        </w:rPr>
        <w:t xml:space="preserve">autorisation accélérée</w:t>
      </w:r>
      <w:r>
        <w:t xml:space="preserve"> </w:t>
      </w:r>
      <w:r>
        <w:t xml:space="preserve">à l’élamipretide (Forzinity) pour améliorer la force musculaire dans le syndrome de Barth chez les patientes et patients de 30 kg ou plus – premier traitement spécifique de cette maladie</w:t>
      </w:r>
      <w:r>
        <w:rPr>
          <w:rStyle w:val="FootnoteReference"/>
        </w:rPr>
        <w:footnoteReference w:id="1874"/>
      </w:r>
      <w:r>
        <w:t xml:space="preserve">. La base en était l’amélioration de la force d’extension du genou, que l’autorité considère comme un critère de substitution rendant un bénéfice clinique « raisonnablement probable ». Une autorisation accélérée oblige le fabricant à mener une étude de confirmation ; si le bénéfice n’y est pas confirmé, l’autorisation peut être retirée. Une étude correspondante, avec 48 participants prévus, recrute depuis juillet 2026</w:t>
      </w:r>
      <w:r>
        <w:rPr>
          <w:rStyle w:val="FootnoteReference"/>
        </w:rPr>
        <w:footnoteReference w:id="1875"/>
      </w:r>
      <w:r>
        <w:t xml:space="preserve">.</w:t>
      </w:r>
    </w:p>
    <w:bookmarkEnd w:id="1876"/>
    <w:bookmarkStart w:id="1881" w:name="X44e5149b43941d2d203f6e3280f3126bc4d2aee"/>
    <w:p>
      <w:pPr>
        <w:pStyle w:val="Heading4"/>
      </w:pPr>
      <w:r>
        <w:t xml:space="preserve">Myopathie mitochondriale primaire : MMPOWER-3</w:t>
      </w:r>
    </w:p>
    <w:p>
      <w:pPr>
        <w:pStyle w:val="FirstParagraph"/>
      </w:pPr>
      <w:r>
        <w:t xml:space="preserve">Les myopathies mitochondriales sont des maladies héréditaires dans lesquelles la production d’énergie dans les muscles est perturbée ; les personnes atteintes souffrent de faiblesse musculaire et d’une fatigabilité importante.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MMPOWER (Karaa 2018), PMID 29500292</w:t>
            </w:r>
          </w:p>
        </w:tc>
        <w:tc>
          <w:tcPr/>
          <w:p>
            <w:pPr>
              <w:pStyle w:val="Compact"/>
              <w:jc w:val="left"/>
            </w:pPr>
            <w:r>
              <w:t xml:space="preserve">36 personnes, perfusion à doses croissantes contre placebo</w:t>
            </w:r>
          </w:p>
        </w:tc>
        <w:tc>
          <w:tcPr/>
          <w:p>
            <w:pPr>
              <w:pStyle w:val="Compact"/>
              <w:jc w:val="left"/>
            </w:pPr>
            <w:r>
              <w:t xml:space="preserve">5 jours</w:t>
            </w:r>
          </w:p>
        </w:tc>
        <w:tc>
          <w:tcPr/>
          <w:p>
            <w:pPr>
              <w:pStyle w:val="Compact"/>
              <w:jc w:val="left"/>
            </w:pPr>
            <w:r>
              <w:t xml:space="preserve">dose la plus élevée +64,5 m au test de marche vs +20,4 m (p = 0,053)</w:t>
            </w:r>
          </w:p>
        </w:tc>
      </w:tr>
      <w:tr>
        <w:tc>
          <w:tcPr/>
          <w:p>
            <w:pPr>
              <w:pStyle w:val="Compact"/>
              <w:jc w:val="left"/>
            </w:pPr>
            <w:r>
              <w:t xml:space="preserve">MMPOWER-2 (Karaa 2020), PMID 32096613</w:t>
            </w:r>
          </w:p>
        </w:tc>
        <w:tc>
          <w:tcPr/>
          <w:p>
            <w:pPr>
              <w:pStyle w:val="Compact"/>
              <w:jc w:val="left"/>
            </w:pPr>
            <w:r>
              <w:t xml:space="preserve">30 personnes, plan croisé contre placebo</w:t>
            </w:r>
          </w:p>
        </w:tc>
        <w:tc>
          <w:tcPr/>
          <w:p>
            <w:pPr>
              <w:pStyle w:val="Compact"/>
              <w:jc w:val="left"/>
            </w:pPr>
            <w:r>
              <w:t xml:space="preserve">4 semaines chacune</w:t>
            </w:r>
          </w:p>
        </w:tc>
        <w:tc>
          <w:tcPr/>
          <w:p>
            <w:pPr>
              <w:pStyle w:val="Compact"/>
              <w:jc w:val="left"/>
            </w:pPr>
            <w:r>
              <w:t xml:space="preserve">test de marche +19,8 m (non significatif) ; moins de fatigue</w:t>
            </w:r>
          </w:p>
        </w:tc>
      </w:tr>
      <w:tr>
        <w:tc>
          <w:tcPr/>
          <w:p>
            <w:pPr>
              <w:pStyle w:val="Compact"/>
              <w:jc w:val="left"/>
            </w:pPr>
            <w:r>
              <w:t xml:space="preserve">MMPOWER-3 (Karaa 2023), PMID 37268435</w:t>
            </w:r>
          </w:p>
        </w:tc>
        <w:tc>
          <w:tcPr/>
          <w:p>
            <w:pPr>
              <w:pStyle w:val="Compact"/>
              <w:jc w:val="left"/>
            </w:pPr>
            <w:r>
              <w:t xml:space="preserve">218 personnes, phase 3 contre placebo</w:t>
            </w:r>
          </w:p>
        </w:tc>
        <w:tc>
          <w:tcPr/>
          <w:p>
            <w:pPr>
              <w:pStyle w:val="Compact"/>
              <w:jc w:val="left"/>
            </w:pPr>
            <w:r>
              <w:t xml:space="preserve">24 semaines</w:t>
            </w:r>
          </w:p>
        </w:tc>
        <w:tc>
          <w:tcPr/>
          <w:p>
            <w:pPr>
              <w:pStyle w:val="Compact"/>
              <w:jc w:val="left"/>
            </w:pPr>
            <w:r>
              <w:t xml:space="preserve">les deux critères principaux manqués ; différence au test de marche −3,2 m</w:t>
            </w:r>
          </w:p>
        </w:tc>
      </w:tr>
    </w:tbl>
    <w:p>
      <w:pPr>
        <w:pStyle w:val="BodyText"/>
      </w:pPr>
      <w:r>
        <w:t xml:space="preserve">Après de petites études encourageantes,</w:t>
      </w:r>
      <w:r>
        <w:t xml:space="preserve"> </w:t>
      </w:r>
      <w:r>
        <w:rPr>
          <w:bCs/>
          <w:b/>
        </w:rPr>
        <w:t xml:space="preserve">MMPOWER-3</w:t>
      </w:r>
      <w:r>
        <w:rPr>
          <w:rStyle w:val="FootnoteReference"/>
        </w:rPr>
        <w:footnoteReference w:id="1877"/>
      </w:r>
      <w:r>
        <w:t xml:space="preserve"> </w:t>
      </w:r>
      <w:r>
        <w:t xml:space="preserve">devait démontrer l’efficacité. 218 adultes atteints d’une myopathie mitochondriale confirmée génétiquement ont reçu pendant 24 semaines de l’élamipretide ou un placebo. L’étude a manqué ses deux critères principaux : au test de marche de 6 minutes, la différence était de −3,2 m (IC à 95 % −18,7 à 12,3), et il n’y avait pas non plus de différence sur l’échelle de fatigue. La tolérance était bonne</w:t>
      </w:r>
      <w:r>
        <w:rPr>
          <w:rStyle w:val="FootnoteReference"/>
        </w:rPr>
        <w:footnoteReference w:id="1878"/>
      </w:r>
      <w:r>
        <w:t xml:space="preserve">. Les auteures et auteurs considèrent qu’il s’agit d’une preuve de la plus haute classe que l’élamipretide n’améliore ni la distance de marche ni la fatigue dans ce groupe.</w:t>
      </w:r>
    </w:p>
    <w:p>
      <w:pPr>
        <w:pStyle w:val="BodyText"/>
      </w:pPr>
      <w:r>
        <w:t xml:space="preserve">Une analyse a posteriori a trouvé des indices d’un bénéfice dans un sous-groupe : les personnes présentant des défauts dans des gènes nucléaires nécessaires à la réplication de l’ADN mitochondrial (comme</w:t>
      </w:r>
      <w:r>
        <w:t xml:space="preserve"> </w:t>
      </w:r>
      <w:r>
        <w:rPr>
          <w:iCs/>
          <w:i/>
        </w:rPr>
        <w:t xml:space="preserve">POLG</w:t>
      </w:r>
      <w:r>
        <w:t xml:space="preserve"> </w:t>
      </w:r>
      <w:r>
        <w:t xml:space="preserve">et</w:t>
      </w:r>
      <w:r>
        <w:t xml:space="preserve"> </w:t>
      </w:r>
      <w:r>
        <w:rPr>
          <w:iCs/>
          <w:i/>
        </w:rPr>
        <w:t xml:space="preserve">TWNK</w:t>
      </w:r>
      <w:r>
        <w:t xml:space="preserve">) marchaient sous élamipretide 25,2 m de plus, contre 2,0 m sous placebo (p = 0,06)</w:t>
      </w:r>
      <w:r>
        <w:rPr>
          <w:rStyle w:val="FootnoteReference"/>
        </w:rPr>
        <w:footnoteReference w:id="1879"/>
      </w:r>
      <w:r>
        <w:t xml:space="preserve">. Les analyses de sous-groupes a posteriori génèrent des hypothèses, pas des preuves. Sur cette base a été menée l’étude de phase 3 NuPOWER</w:t>
      </w:r>
      <w:r>
        <w:rPr>
          <w:rStyle w:val="FootnoteReference"/>
        </w:rPr>
        <w:footnoteReference w:id="1880"/>
      </w:r>
      <w:r>
        <w:t xml:space="preserve">, avec 102 participants ; selon le registre, elle est terminée depuis décembre 2024, et les résultats n’étaient pas publiés au moment de notre recherche.</w:t>
      </w:r>
    </w:p>
    <w:bookmarkEnd w:id="1881"/>
    <w:bookmarkStart w:id="1886" w:name="cœur-rein-œil-et-vieillissement"/>
    <w:p>
      <w:pPr>
        <w:pStyle w:val="Heading4"/>
      </w:pPr>
      <w:r>
        <w:t xml:space="preserve">Cœur, rein, œil et vieillissement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EMBRACE STEMI (Gibson 2016), PMID 26586786</w:t>
            </w:r>
          </w:p>
        </w:tc>
        <w:tc>
          <w:tcPr/>
          <w:p>
            <w:pPr>
              <w:pStyle w:val="Compact"/>
              <w:jc w:val="left"/>
            </w:pPr>
            <w:r>
              <w:t xml:space="preserve">personnes avec premier infarctus antérieur, perfusion lors du traitement par cathéter, double aveugle</w:t>
            </w:r>
          </w:p>
        </w:tc>
        <w:tc>
          <w:tcPr/>
          <w:p>
            <w:pPr>
              <w:pStyle w:val="Compact"/>
              <w:jc w:val="left"/>
            </w:pPr>
            <w:r>
              <w:t xml:space="preserve">72 heures</w:t>
            </w:r>
          </w:p>
        </w:tc>
        <w:tc>
          <w:tcPr/>
          <w:p>
            <w:pPr>
              <w:pStyle w:val="Compact"/>
              <w:jc w:val="left"/>
            </w:pPr>
            <w:r>
              <w:t xml:space="preserve">taille de l’infarctus non réduite</w:t>
            </w:r>
          </w:p>
        </w:tc>
      </w:tr>
      <w:tr>
        <w:tc>
          <w:tcPr/>
          <w:p>
            <w:pPr>
              <w:pStyle w:val="Compact"/>
              <w:jc w:val="left"/>
            </w:pPr>
            <w:r>
              <w:t xml:space="preserve">PROGRESS-HF (Butler 2020), PMID 32068002</w:t>
            </w:r>
          </w:p>
        </w:tc>
        <w:tc>
          <w:tcPr/>
          <w:p>
            <w:pPr>
              <w:pStyle w:val="Compact"/>
              <w:jc w:val="left"/>
            </w:pPr>
            <w:r>
              <w:t xml:space="preserve">71 personnes atteintes d’insuffisance cardiaque (HFrEF), contre placebo</w:t>
            </w:r>
          </w:p>
        </w:tc>
        <w:tc>
          <w:tcPr/>
          <w:p>
            <w:pPr>
              <w:pStyle w:val="Compact"/>
              <w:jc w:val="left"/>
            </w:pPr>
            <w:r>
              <w:t xml:space="preserve">4 semaines</w:t>
            </w:r>
          </w:p>
        </w:tc>
        <w:tc>
          <w:tcPr/>
          <w:p>
            <w:pPr>
              <w:pStyle w:val="Compact"/>
              <w:jc w:val="left"/>
            </w:pPr>
            <w:r>
              <w:t xml:space="preserve">pas d’amélioration des volumes cardiaques</w:t>
            </w:r>
          </w:p>
        </w:tc>
      </w:tr>
      <w:tr>
        <w:tc>
          <w:tcPr/>
          <w:p>
            <w:pPr>
              <w:pStyle w:val="Compact"/>
              <w:jc w:val="left"/>
            </w:pPr>
            <w:r>
              <w:t xml:space="preserve">Daubert 2017, PMID 29217757</w:t>
            </w:r>
          </w:p>
        </w:tc>
        <w:tc>
          <w:tcPr/>
          <w:p>
            <w:pPr>
              <w:pStyle w:val="Compact"/>
              <w:jc w:val="left"/>
            </w:pPr>
            <w:r>
              <w:t xml:space="preserve">36 personnes atteintes d’insuffisance cardiaque, perfusion unique</w:t>
            </w:r>
          </w:p>
        </w:tc>
        <w:tc>
          <w:tcPr/>
          <w:p>
            <w:pPr>
              <w:pStyle w:val="Compact"/>
              <w:jc w:val="left"/>
            </w:pPr>
            <w:r>
              <w:t xml:space="preserve">24 heures</w:t>
            </w:r>
          </w:p>
        </w:tc>
        <w:tc>
          <w:tcPr/>
          <w:p>
            <w:pPr>
              <w:pStyle w:val="Compact"/>
              <w:jc w:val="left"/>
            </w:pPr>
            <w:r>
              <w:t xml:space="preserve">volumes cardiaques réduits à court terme à la dose la plus élevée</w:t>
            </w:r>
          </w:p>
        </w:tc>
      </w:tr>
      <w:tr>
        <w:tc>
          <w:tcPr/>
          <w:p>
            <w:pPr>
              <w:pStyle w:val="Compact"/>
              <w:jc w:val="left"/>
            </w:pPr>
            <w:r>
              <w:t xml:space="preserve">Saad 2017, PMID 28916603</w:t>
            </w:r>
          </w:p>
        </w:tc>
        <w:tc>
          <w:tcPr/>
          <w:p>
            <w:pPr>
              <w:pStyle w:val="Compact"/>
              <w:jc w:val="left"/>
            </w:pPr>
            <w:r>
              <w:t xml:space="preserve">14 personnes avec sténose de l’artère rénale lors de la pose d’un stent</w:t>
            </w:r>
          </w:p>
        </w:tc>
        <w:tc>
          <w:tcPr/>
          <w:p>
            <w:pPr>
              <w:pStyle w:val="Compact"/>
              <w:jc w:val="left"/>
            </w:pPr>
            <w:r>
              <w:t xml:space="preserve">3 mois</w:t>
            </w:r>
          </w:p>
        </w:tc>
        <w:tc>
          <w:tcPr/>
          <w:p>
            <w:pPr>
              <w:pStyle w:val="Compact"/>
              <w:jc w:val="left"/>
            </w:pPr>
            <w:r>
              <w:t xml:space="preserve">moins de manque d’oxygène, meilleure perfusion rénale (étude pilote)</w:t>
            </w:r>
          </w:p>
        </w:tc>
      </w:tr>
      <w:tr>
        <w:tc>
          <w:tcPr/>
          <w:p>
            <w:pPr>
              <w:pStyle w:val="Compact"/>
              <w:jc w:val="left"/>
            </w:pPr>
            <w:r>
              <w:t xml:space="preserve">ReCLAIM-2 (Ehlers 2025), PMID 39605874</w:t>
            </w:r>
          </w:p>
        </w:tc>
        <w:tc>
          <w:tcPr/>
          <w:p>
            <w:pPr>
              <w:pStyle w:val="Compact"/>
              <w:jc w:val="left"/>
            </w:pPr>
            <w:r>
              <w:t xml:space="preserve">176 personnes atteintes de dégénérescence maculaire sèche, contre placebo</w:t>
            </w:r>
          </w:p>
        </w:tc>
        <w:tc>
          <w:tcPr/>
          <w:p>
            <w:pPr>
              <w:pStyle w:val="Compact"/>
              <w:jc w:val="left"/>
            </w:pPr>
            <w:r>
              <w:t xml:space="preserve">48 semaines</w:t>
            </w:r>
          </w:p>
        </w:tc>
        <w:tc>
          <w:tcPr/>
          <w:p>
            <w:pPr>
              <w:pStyle w:val="Compact"/>
              <w:jc w:val="left"/>
            </w:pPr>
            <w:r>
              <w:t xml:space="preserve">critères principaux manqués ; perte plus lente des structures des photorécepteurs (critère secondaire)</w:t>
            </w:r>
          </w:p>
        </w:tc>
      </w:tr>
      <w:tr>
        <w:tc>
          <w:tcPr/>
          <w:p>
            <w:pPr>
              <w:pStyle w:val="Compact"/>
              <w:jc w:val="left"/>
            </w:pPr>
            <w:r>
              <w:t xml:space="preserve">Roshanravan 2021, PMID 34264994</w:t>
            </w:r>
          </w:p>
        </w:tc>
        <w:tc>
          <w:tcPr/>
          <w:p>
            <w:pPr>
              <w:pStyle w:val="Compact"/>
              <w:jc w:val="left"/>
            </w:pPr>
            <w:r>
              <w:t xml:space="preserve">39 personnes âgées en bonne santé, perfusion unique contre placebo</w:t>
            </w:r>
          </w:p>
        </w:tc>
        <w:tc>
          <w:tcPr/>
          <w:p>
            <w:pPr>
              <w:pStyle w:val="Compact"/>
              <w:jc w:val="left"/>
            </w:pPr>
            <w:r>
              <w:t xml:space="preserve">7 jours</w:t>
            </w:r>
          </w:p>
        </w:tc>
        <w:tc>
          <w:tcPr/>
          <w:p>
            <w:pPr>
              <w:pStyle w:val="Compact"/>
              <w:jc w:val="left"/>
            </w:pPr>
            <w:r>
              <w:t xml:space="preserve">capacité énergétique d’un muscle de la main plus élevée à court terme, mais pas de meilleure résistance à la fatigue</w:t>
            </w:r>
          </w:p>
        </w:tc>
      </w:tr>
    </w:tbl>
    <w:p>
      <w:pPr>
        <w:pStyle w:val="BodyText"/>
      </w:pPr>
      <w:r>
        <w:t xml:space="preserve">Le schéma est frappant : dans l’</w:t>
      </w:r>
      <w:r>
        <w:rPr>
          <w:bCs/>
          <w:b/>
        </w:rPr>
        <w:t xml:space="preserve">infarctus du myocarde</w:t>
      </w:r>
      <w:r>
        <w:t xml:space="preserve"> </w:t>
      </w:r>
      <w:r>
        <w:t xml:space="preserve">et l’</w:t>
      </w:r>
      <w:r>
        <w:rPr>
          <w:bCs/>
          <w:b/>
        </w:rPr>
        <w:t xml:space="preserve">insuffisance cardiaque</w:t>
      </w:r>
      <w:r>
        <w:t xml:space="preserve">, les études contrôlées les plus vastes n’ont montré aucun bénéfice</w:t>
      </w:r>
      <w:r>
        <w:rPr>
          <w:rStyle w:val="FootnoteReference"/>
        </w:rPr>
        <w:footnoteReference w:id="1882"/>
      </w:r>
      <w:r>
        <w:t xml:space="preserve">. Dans la</w:t>
      </w:r>
      <w:r>
        <w:t xml:space="preserve"> </w:t>
      </w:r>
      <w:r>
        <w:rPr>
          <w:bCs/>
          <w:b/>
        </w:rPr>
        <w:t xml:space="preserve">dégénérescence maculaire sèche</w:t>
      </w:r>
      <w:r>
        <w:t xml:space="preserve">, cause fréquente de perte de vision avec l’âge, ReCLAIM-2 a manqué ses deux critères principaux (acuité visuelle en faible luminosité et extension de la zone rétinienne lésée) ; un critère secondaire fixé à l’avance – la perte de la couche des photorécepteurs – progressait plus lentement sous élamipretide</w:t>
      </w:r>
      <w:r>
        <w:rPr>
          <w:rStyle w:val="FootnoteReference"/>
        </w:rPr>
        <w:footnoteReference w:id="1883"/>
      </w:r>
      <w:r>
        <w:t xml:space="preserve">. Cette mesure sert désormais de critère principal à l’étude de phase 3 en cours ReNEW</w:t>
      </w:r>
      <w:r>
        <w:rPr>
          <w:rStyle w:val="FootnoteReference"/>
        </w:rPr>
        <w:footnoteReference w:id="1884"/>
      </w:r>
      <w:r>
        <w:t xml:space="preserve">.</w:t>
      </w:r>
    </w:p>
    <w:p>
      <w:pPr>
        <w:pStyle w:val="BodyText"/>
      </w:pPr>
      <w:r>
        <w:t xml:space="preserve">Pour la scène de la longévité, l’étude chez des personnes âgées est intéressante : une seule perfusion a augmenté la capacité énergétique d’un muscle de la main immédiatement après ; au bout de sept jours, l’effet avait disparu, et l’endurance musculaire ne s’était pas améliorée</w:t>
      </w:r>
      <w:r>
        <w:rPr>
          <w:rStyle w:val="FootnoteReference"/>
        </w:rPr>
        <w:footnoteReference w:id="1885"/>
      </w:r>
      <w:r>
        <w:t xml:space="preserve">. On ne peut en déduire aucun bénéfice « anti-âge ».</w:t>
      </w:r>
    </w:p>
    <w:bookmarkEnd w:id="1886"/>
    <w:bookmarkEnd w:id="1887"/>
    <w:bookmarkStart w:id="1891" w:name="études-animales-et-de-laboratoire-43"/>
    <w:p>
      <w:pPr>
        <w:pStyle w:val="Heading3"/>
      </w:pPr>
      <w:r>
        <w:t xml:space="preserve">Études animales et de laboratoire</w:t>
      </w:r>
    </w:p>
    <w:p>
      <w:pPr>
        <w:pStyle w:val="FirstParagraph"/>
      </w:pPr>
      <w:r>
        <w:t xml:space="preserve">Dans des modèles animaux, des effets favorables ont été décrits dans l’insuffisance cardiaque, les lésions rénales, la faiblesse musculaire, les maladies oculaires et nerveuses</w:t>
      </w:r>
      <w:r>
        <w:rPr>
          <w:rStyle w:val="FootnoteReference"/>
        </w:rPr>
        <w:footnoteReference w:id="1888"/>
      </w:r>
      <w:r>
        <w:t xml:space="preserve">. Chez des chiens atteints d’insuffisance cardiaque avancée, un traitement prolongé a amélioré la fonction de pompe et la fonction mitochondriale</w:t>
      </w:r>
      <w:r>
        <w:rPr>
          <w:rStyle w:val="FootnoteReference"/>
        </w:rPr>
        <w:footnoteReference w:id="1889"/>
      </w:r>
      <w:r>
        <w:t xml:space="preserve">. Dans un modèle de rat d’insuffisance cardiaque à fraction d’éjection préservée, l’élamipretide a certes amélioré le métabolisme énergétique du muscle cardiaque, mais pas la fonction cardiaque</w:t>
      </w:r>
      <w:r>
        <w:rPr>
          <w:rStyle w:val="FootnoteReference"/>
        </w:rPr>
        <w:footnoteReference w:id="1890"/>
      </w:r>
      <w:r>
        <w:t xml:space="preserve">. Ce décalage entre un meilleur métabolisme énergétique et l’absence de bénéfice clinique se retrouve dans les études chez l’humain.</w:t>
      </w:r>
    </w:p>
    <w:bookmarkEnd w:id="1891"/>
    <w:bookmarkStart w:id="1896" w:name="risques-et-effets-indésirables-43"/>
    <w:p>
      <w:pPr>
        <w:pStyle w:val="Heading3"/>
      </w:pPr>
      <w:r>
        <w:t xml:space="preserve">Risques et effets indésirables</w:t>
      </w:r>
    </w:p>
    <w:p>
      <w:pPr>
        <w:pStyle w:val="FirstParagraph"/>
      </w:pPr>
      <w:r>
        <w:rPr>
          <w:bCs/>
          <w:b/>
        </w:rPr>
        <w:t xml:space="preserve">Établi :</w:t>
      </w:r>
    </w:p>
    <w:p>
      <w:pPr>
        <w:numPr>
          <w:ilvl w:val="0"/>
          <w:numId w:val="1237"/>
        </w:numPr>
        <w:pStyle w:val="Compact"/>
      </w:pPr>
      <w:r>
        <w:t xml:space="preserve">Les effets indésirables les plus fréquents sont des</w:t>
      </w:r>
      <w:r>
        <w:t xml:space="preserve"> </w:t>
      </w:r>
      <w:r>
        <w:rPr>
          <w:bCs/>
          <w:b/>
        </w:rPr>
        <w:t xml:space="preserve">réactions au point d’injection</w:t>
      </w:r>
      <w:r>
        <w:t xml:space="preserve"> </w:t>
      </w:r>
      <w:r>
        <w:t xml:space="preserve">(démangeaisons, douleurs, hématomes, rougeurs). Dans MMPOWER-2, elles sont survenues chez 80 % des personnes traitées, le plus souvent légères</w:t>
      </w:r>
      <w:r>
        <w:rPr>
          <w:rStyle w:val="FootnoteReference"/>
        </w:rPr>
        <w:footnoteReference w:id="1892"/>
      </w:r>
      <w:r>
        <w:t xml:space="preserve">. Dans ReCLAIM-2, 86 % des participants sous élamipretide et 71 % sous placebo ont signalé un événement indésirable quelconque</w:t>
      </w:r>
      <w:r>
        <w:rPr>
          <w:rStyle w:val="FootnoteReference"/>
        </w:rPr>
        <w:footnoteReference w:id="1893"/>
      </w:r>
      <w:r>
        <w:t xml:space="preserve">.</w:t>
      </w:r>
    </w:p>
    <w:p>
      <w:pPr>
        <w:numPr>
          <w:ilvl w:val="0"/>
          <w:numId w:val="1237"/>
        </w:numPr>
        <w:pStyle w:val="Compact"/>
      </w:pPr>
      <w:r>
        <w:t xml:space="preserve">Les effets indésirables graves n’étaient pas plus fréquents dans les études ; dans MMPOWER-3, les événements étaient majoritairement légers à modérés</w:t>
      </w:r>
      <w:r>
        <w:rPr>
          <w:rStyle w:val="FootnoteReference"/>
        </w:rPr>
        <w:footnoteReference w:id="1894"/>
      </w:r>
      <w:r>
        <w:t xml:space="preserve">.</w:t>
      </w:r>
    </w:p>
    <w:p>
      <w:pPr>
        <w:numPr>
          <w:ilvl w:val="0"/>
          <w:numId w:val="1237"/>
        </w:numPr>
        <w:pStyle w:val="Compact"/>
      </w:pPr>
      <w:r>
        <w:t xml:space="preserve">Des données à long terme n’existent que pour quelques personnes atteintes du syndrome de Barth, sur un peu plus de trois ans</w:t>
      </w:r>
      <w:r>
        <w:rPr>
          <w:rStyle w:val="FootnoteReference"/>
        </w:rPr>
        <w:footnoteReference w:id="1895"/>
      </w:r>
      <w:r>
        <w:t xml:space="preserve">.</w:t>
      </w:r>
    </w:p>
    <w:p>
      <w:pPr>
        <w:pStyle w:val="FirstParagraph"/>
      </w:pPr>
      <w:r>
        <w:rPr>
          <w:bCs/>
          <w:b/>
        </w:rPr>
        <w:t xml:space="preserve">Théorique :</w:t>
      </w:r>
      <w:r>
        <w:t xml:space="preserve"> </w:t>
      </w:r>
      <w:r>
        <w:t xml:space="preserve">une substance qui intervient durablement dans les mitochondries de toutes les cellules de l’organisme pourrait avoir des effets inconnus en cas d’utilisation pendant des années chez des personnes en bonne santé ; il n’existe pas de données à ce sujet.</w:t>
      </w:r>
    </w:p>
    <w:p>
      <w:pPr>
        <w:pStyle w:val="BodyText"/>
      </w:pPr>
      <w:r>
        <w:rPr>
          <w:bCs/>
          <w:b/>
        </w:rPr>
        <w:t xml:space="preserve">Marché gris :</w:t>
      </w:r>
      <w:r>
        <w:t xml:space="preserve"> </w:t>
      </w:r>
      <w:r>
        <w:t xml:space="preserve">le « SS-31 » est vendu en ligne sous forme de poudre pour injection en vue d’un « rajeunissement des mitochondries ». Ces produits ne sont pas le médicament autorisé ; la teneur et la pureté ne sont pas contrôlées. Pour les personnes en bonne santé, aucun bénéfice n’est démontré.</w:t>
      </w:r>
    </w:p>
    <w:bookmarkEnd w:id="1896"/>
    <w:bookmarkStart w:id="1898" w:name="statut-juridique-43"/>
    <w:p>
      <w:pPr>
        <w:pStyle w:val="Heading3"/>
      </w:pPr>
      <w:r>
        <w:t xml:space="preserve">Statut juridique</w:t>
      </w:r>
    </w:p>
    <w:p>
      <w:pPr>
        <w:numPr>
          <w:ilvl w:val="0"/>
          <w:numId w:val="1238"/>
        </w:numPr>
        <w:pStyle w:val="Compact"/>
      </w:pPr>
      <w:r>
        <w:rPr>
          <w:bCs/>
          <w:b/>
        </w:rPr>
        <w:t xml:space="preserve">UE / Autriche / Allemagne :</w:t>
      </w:r>
      <w:r>
        <w:t xml:space="preserve"> </w:t>
      </w:r>
      <w:r>
        <w:t xml:space="preserve">non autorisé. L’élamipretide est un médicament ; une utilisation n’est possible que dans le cadre d’études ou de programmes d’usage compassionnel.</w:t>
      </w:r>
    </w:p>
    <w:p>
      <w:pPr>
        <w:numPr>
          <w:ilvl w:val="0"/>
          <w:numId w:val="1238"/>
        </w:numPr>
        <w:pStyle w:val="Compact"/>
      </w:pPr>
      <w:r>
        <w:rPr>
          <w:bCs/>
          <w:b/>
        </w:rPr>
        <w:t xml:space="preserve">États-Unis :</w:t>
      </w:r>
      <w:r>
        <w:t xml:space="preserve"> </w:t>
      </w:r>
      <w:r>
        <w:t xml:space="preserve">autorisation accélérée (Forzinity, septembre 2025) uniquement pour le syndrome de Barth à partir de 30 kg de poids corporel ; se référer au résumé des caractéristiques du produit et à un encadrement médical. Pour d’autres maladies, il existe un programme d’usage compassionnel</w:t>
      </w:r>
      <w:r>
        <w:rPr>
          <w:rStyle w:val="FootnoteReference"/>
        </w:rPr>
        <w:footnoteReference w:id="1897"/>
      </w:r>
      <w:r>
        <w:t xml:space="preserve">.</w:t>
      </w:r>
    </w:p>
    <w:p>
      <w:pPr>
        <w:numPr>
          <w:ilvl w:val="0"/>
          <w:numId w:val="1238"/>
        </w:numPr>
        <w:pStyle w:val="Compact"/>
      </w:pPr>
      <w:r>
        <w:rPr>
          <w:bCs/>
          <w:b/>
        </w:rPr>
        <w:t xml:space="preserve">Sport :</w:t>
      </w:r>
      <w:r>
        <w:t xml:space="preserve"> </w:t>
      </w:r>
      <w:r>
        <w:t xml:space="preserve">pas nommément sur la liste de l’AMA (état 2026, à vérifier).</w:t>
      </w:r>
    </w:p>
    <w:bookmarkEnd w:id="1898"/>
    <w:bookmarkStart w:id="1903" w:name="études-en-cours-et-perspectives-43"/>
    <w:p>
      <w:pPr>
        <w:pStyle w:val="Heading3"/>
      </w:pPr>
      <w:r>
        <w:t xml:space="preserve">Études en cours et perspectives</w:t>
      </w:r>
    </w:p>
    <w:p>
      <w:pPr>
        <w:pStyle w:val="FirstParagraph"/>
      </w:pPr>
      <w:r>
        <w:rPr>
          <w:bCs/>
          <w:b/>
        </w:rPr>
        <w:t xml:space="preserve">Établi (études enregistrées, état octobre 2026) :</w:t>
      </w:r>
    </w:p>
    <w:p>
      <w:pPr>
        <w:numPr>
          <w:ilvl w:val="0"/>
          <w:numId w:val="1239"/>
        </w:numPr>
        <w:pStyle w:val="Compact"/>
      </w:pPr>
      <w:r>
        <w:rPr>
          <w:bCs/>
          <w:b/>
        </w:rPr>
        <w:t xml:space="preserve">ReNEW</w:t>
      </w:r>
      <w:r>
        <w:rPr>
          <w:rStyle w:val="FootnoteReference"/>
        </w:rPr>
        <w:footnoteReference w:id="1899"/>
      </w:r>
      <w:r>
        <w:t xml:space="preserve"> </w:t>
      </w:r>
      <w:r>
        <w:t xml:space="preserve">: phase 3 dans la dégénérescence maculaire sèche, 313 participants, recrutement terminé, fin prévue en 2027.</w:t>
      </w:r>
    </w:p>
    <w:p>
      <w:pPr>
        <w:numPr>
          <w:ilvl w:val="0"/>
          <w:numId w:val="1239"/>
        </w:numPr>
        <w:pStyle w:val="Compact"/>
      </w:pPr>
      <w:r>
        <w:rPr>
          <w:bCs/>
          <w:b/>
        </w:rPr>
        <w:t xml:space="preserve">4TAZPower</w:t>
      </w:r>
      <w:r>
        <w:rPr>
          <w:rStyle w:val="FootnoteReference"/>
        </w:rPr>
        <w:footnoteReference w:id="1900"/>
      </w:r>
      <w:r>
        <w:t xml:space="preserve"> </w:t>
      </w:r>
      <w:r>
        <w:t xml:space="preserve">: étude de confirmation dans le syndrome de Barth avec 48 participants prévus, en recrutement.</w:t>
      </w:r>
    </w:p>
    <w:p>
      <w:pPr>
        <w:numPr>
          <w:ilvl w:val="0"/>
          <w:numId w:val="1239"/>
        </w:numPr>
        <w:pStyle w:val="Compact"/>
      </w:pPr>
      <w:r>
        <w:rPr>
          <w:bCs/>
          <w:b/>
        </w:rPr>
        <w:t xml:space="preserve">NuPOWER</w:t>
      </w:r>
      <w:r>
        <w:rPr>
          <w:rStyle w:val="FootnoteReference"/>
        </w:rPr>
        <w:footnoteReference w:id="1901"/>
      </w:r>
      <w:r>
        <w:t xml:space="preserve"> </w:t>
      </w:r>
      <w:r>
        <w:t xml:space="preserve">: phase 3 dans une maladie mitochondriale due à des mutations de l’ADN nucléaire, 102 participants, terminée ; résultats en attente.</w:t>
      </w:r>
    </w:p>
    <w:p>
      <w:pPr>
        <w:numPr>
          <w:ilvl w:val="0"/>
          <w:numId w:val="1239"/>
        </w:numPr>
        <w:pStyle w:val="Compact"/>
      </w:pPr>
      <w:r>
        <w:t xml:space="preserve">Une petite étude de phase 2 chez des personnes âgées en bonne santé examine la fonction physique</w:t>
      </w:r>
      <w:r>
        <w:rPr>
          <w:rStyle w:val="FootnoteReference"/>
        </w:rPr>
        <w:footnoteReference w:id="1902"/>
      </w:r>
      <w:r>
        <w:t xml:space="preserve">.</w:t>
      </w:r>
    </w:p>
    <w:p>
      <w:pPr>
        <w:pStyle w:val="FirstParagraph"/>
      </w:pPr>
      <w:r>
        <w:rPr>
          <w:bCs/>
          <w:b/>
        </w:rPr>
        <w:t xml:space="preserve">Appréciation :</w:t>
      </w:r>
      <w:r>
        <w:t xml:space="preserve"> </w:t>
      </w:r>
      <w:r>
        <w:t xml:space="preserve">ReNEW et NuPOWER décideront si l’élamipretide trouve une place au-delà du syndrome de Barth. L’expérience de MMPOWER-3, EMBRACE et PROGRESS-HF invite à la prudence : un mécanisme convaincant ne garantit pas un bénéfice clinique.</w:t>
      </w:r>
    </w:p>
    <w:bookmarkEnd w:id="1903"/>
    <w:bookmarkStart w:id="1904" w:name="conclusion-43"/>
    <w:p>
      <w:pPr>
        <w:pStyle w:val="Heading3"/>
      </w:pPr>
      <w:r>
        <w:t xml:space="preserve">Conclusion</w:t>
      </w:r>
    </w:p>
    <w:p>
      <w:pPr>
        <w:pStyle w:val="FirstParagraph"/>
      </w:pPr>
      <w:r>
        <w:t xml:space="preserve">L’élamipretide (SS-31) est un tétrapeptide qui se lie à la cardiolipine dans les mitochondries et qui a obtenu en 2025 aux États-Unis, en tant que premier médicament mitochondrial, une autorisation accélérée pour le très rare syndrome de Barth – sur la base d’une étude portant sur douze personnes, dont la partie contrôlée a manqué ses critères principaux, et de données ouvertes à long terme. Dans des études randomisées plus vastes sur la myopathie mitochondriale, l’infarctus du myocarde, l’insuffisance cardiaque et la dégénérescence maculaire, les critères principaux n’ont pas été atteints. Le médicament est bien toléré ; les réactions au point d’injection, surtout, sont fréquentes. Pour les personnes en bonne santé ou comme produit « anti-âge », aucun bénéfice n’est démontré.</w:t>
      </w:r>
    </w:p>
    <w:bookmarkEnd w:id="1904"/>
    <w:bookmarkEnd w:id="1905"/>
    <w:bookmarkStart w:id="1924" w:name="foxo4-dri"/>
    <w:p>
      <w:pPr>
        <w:pStyle w:val="Heading2"/>
      </w:pPr>
      <w:r>
        <w:t xml:space="preserve">FOXO4-DRI</w:t>
      </w:r>
    </w:p>
    <w:bookmarkStart w:id="1906" w:name="fiche-signalétique-44"/>
    <w:p>
      <w:pPr>
        <w:pStyle w:val="Heading3"/>
      </w:pPr>
      <w:r>
        <w:t xml:space="preserve">Fiche signalétique</w:t>
      </w:r>
    </w:p>
    <w:p>
      <w:pPr>
        <w:numPr>
          <w:ilvl w:val="0"/>
          <w:numId w:val="1240"/>
        </w:numPr>
        <w:pStyle w:val="Compact"/>
      </w:pPr>
      <w:r>
        <w:rPr>
          <w:bCs/>
          <w:b/>
        </w:rPr>
        <w:t xml:space="preserve">Nature et structure :</w:t>
      </w:r>
      <w:r>
        <w:t xml:space="preserve"> </w:t>
      </w:r>
      <w:r>
        <w:t xml:space="preserve">peptide de synthèse relativement long, dérivé d’un segment de la protéine FOXO4. « DRI » signifie</w:t>
      </w:r>
      <w:r>
        <w:t xml:space="preserve"> </w:t>
      </w:r>
      <w:r>
        <w:rPr>
          <w:iCs/>
          <w:i/>
        </w:rPr>
        <w:t xml:space="preserve">D-retro-inverso</w:t>
      </w:r>
      <w:r>
        <w:t xml:space="preserve"> </w:t>
      </w:r>
      <w:r>
        <w:t xml:space="preserve">: le peptide est constitué d’acides aminés D, images en miroir, disposés dans l’ordre inverse. Il n’est ainsi presque pas dégradé par les enzymes de l’organisme. Un segment ajouté, chargé positivement (dérivé d’une protéine virale), doit le faire pénétrer dans les cellules.</w:t>
      </w:r>
    </w:p>
    <w:p>
      <w:pPr>
        <w:numPr>
          <w:ilvl w:val="0"/>
          <w:numId w:val="1240"/>
        </w:numPr>
        <w:pStyle w:val="Compact"/>
      </w:pPr>
      <w:r>
        <w:rPr>
          <w:bCs/>
          <w:b/>
        </w:rPr>
        <w:t xml:space="preserve">Origine :</w:t>
      </w:r>
      <w:r>
        <w:t xml:space="preserve"> </w:t>
      </w:r>
      <w:r>
        <w:t xml:space="preserve">présenté en 2017 par un groupe de recherche néerlandais dirigé par Peter de Keizer (Erasmus MC, Rotterdam).</w:t>
      </w:r>
    </w:p>
    <w:p>
      <w:pPr>
        <w:numPr>
          <w:ilvl w:val="0"/>
          <w:numId w:val="1240"/>
        </w:numPr>
        <w:pStyle w:val="Compact"/>
      </w:pPr>
      <w:r>
        <w:rPr>
          <w:bCs/>
          <w:b/>
        </w:rPr>
        <w:t xml:space="preserve">Principe d’action :</w:t>
      </w:r>
      <w:r>
        <w:t xml:space="preserve"> </w:t>
      </w:r>
      <w:r>
        <w:rPr>
          <w:bCs/>
          <w:b/>
        </w:rPr>
        <w:t xml:space="preserve">sénolytique</w:t>
      </w:r>
      <w:r>
        <w:t xml:space="preserve"> </w:t>
      </w:r>
      <w:r>
        <w:t xml:space="preserve">– une substance censée pousser de manière ciblée les cellules vieillies, dites sénescentes, vers la mort cellulaire programmée, en perturbant la liaison entre FOXO4 et la protéine protectrice p53.</w:t>
      </w:r>
    </w:p>
    <w:p>
      <w:pPr>
        <w:numPr>
          <w:ilvl w:val="0"/>
          <w:numId w:val="1240"/>
        </w:numPr>
        <w:pStyle w:val="Compact"/>
      </w:pPr>
      <w:r>
        <w:rPr>
          <w:bCs/>
          <w:b/>
        </w:rPr>
        <w:t xml:space="preserve">Autorisation UE :</w:t>
      </w:r>
      <w:r>
        <w:t xml:space="preserve"> </w:t>
      </w:r>
      <w:r>
        <w:t xml:space="preserve">non.</w:t>
      </w:r>
    </w:p>
    <w:p>
      <w:pPr>
        <w:numPr>
          <w:ilvl w:val="0"/>
          <w:numId w:val="1240"/>
        </w:numPr>
        <w:pStyle w:val="Compact"/>
      </w:pPr>
      <w:r>
        <w:rPr>
          <w:bCs/>
          <w:b/>
        </w:rPr>
        <w:t xml:space="preserve">Autorisation États-Unis :</w:t>
      </w:r>
      <w:r>
        <w:t xml:space="preserve"> </w:t>
      </w:r>
      <w:r>
        <w:t xml:space="preserve">non.</w:t>
      </w:r>
    </w:p>
    <w:p>
      <w:pPr>
        <w:numPr>
          <w:ilvl w:val="0"/>
          <w:numId w:val="1240"/>
        </w:numPr>
        <w:pStyle w:val="Compact"/>
      </w:pPr>
      <w:r>
        <w:rPr>
          <w:bCs/>
          <w:b/>
        </w:rPr>
        <w:t xml:space="preserve">AMA (WADA) :</w:t>
      </w:r>
      <w:r>
        <w:t xml:space="preserve"> </w:t>
      </w:r>
      <w:r>
        <w:t xml:space="preserve">pas nommément listé ; en tant que substance autorisée nulle part, le FOXO4-DRI relève selon notre appréciation de la catégorie générale S0.</w:t>
      </w:r>
    </w:p>
    <w:p>
      <w:pPr>
        <w:numPr>
          <w:ilvl w:val="0"/>
          <w:numId w:val="1240"/>
        </w:numPr>
        <w:pStyle w:val="Compact"/>
      </w:pPr>
      <w:r>
        <w:rPr>
          <w:bCs/>
          <w:b/>
        </w:rPr>
        <w:t xml:space="preserve">Niveau de preuve :</w:t>
      </w:r>
      <w:r>
        <w:t xml:space="preserve"> </w:t>
      </w:r>
      <w:r>
        <w:rPr>
          <w:bCs/>
          <w:b/>
        </w:rPr>
        <w:t xml:space="preserve">D</w:t>
      </w:r>
      <w:r>
        <w:t xml:space="preserve"> </w:t>
      </w:r>
      <w:r>
        <w:t xml:space="preserve">– exclusivement des études animales et de laboratoire.</w:t>
      </w:r>
    </w:p>
    <w:bookmarkEnd w:id="1906"/>
    <w:bookmarkStart w:id="1912" w:name="mode-daction-supposé-44"/>
    <w:p>
      <w:pPr>
        <w:pStyle w:val="Heading3"/>
      </w:pPr>
      <w:r>
        <w:t xml:space="preserve">Mode d’action supposé</w:t>
      </w:r>
    </w:p>
    <w:p>
      <w:pPr>
        <w:pStyle w:val="FirstParagraph"/>
      </w:pPr>
      <w:r>
        <w:t xml:space="preserve">Les</w:t>
      </w:r>
      <w:r>
        <w:t xml:space="preserve"> </w:t>
      </w:r>
      <w:r>
        <w:rPr>
          <w:bCs/>
          <w:b/>
        </w:rPr>
        <w:t xml:space="preserve">cellules sénescentes</w:t>
      </w:r>
      <w:r>
        <w:t xml:space="preserve"> </w:t>
      </w:r>
      <w:r>
        <w:t xml:space="preserve">sont des cellules qui, après des dommages – par exemple dus aux rayonnements, à une chimiothérapie, au stress oxydatif ou simplement à de nombreuses divisions –, ne se divisent plus, mais ne meurent pas non plus. Elles restent dans le tissu et libèrent un mélange de messagers inflammatoires et d’enzymes qui dégradent les tissus, appelé SASP (</w:t>
      </w:r>
      <w:r>
        <w:rPr>
          <w:iCs/>
          <w:i/>
        </w:rPr>
        <w:t xml:space="preserve">senescence-associated secretory phenotype</w:t>
      </w:r>
      <w:r>
        <w:t xml:space="preserve">). Avec l’âge, elles deviennent plus nombreuses dans de nombreux organes. Chez des souris dont ces cellules étaient éliminées de façon ciblée par génie génétique, diverses manifestations du vieillissement ont été retardées. C’est de là qu’est née l’idée des</w:t>
      </w:r>
      <w:r>
        <w:t xml:space="preserve"> </w:t>
      </w:r>
      <w:r>
        <w:rPr>
          <w:bCs/>
          <w:b/>
        </w:rPr>
        <w:t xml:space="preserve">sénolytiques</w:t>
      </w:r>
      <w:r>
        <w:t xml:space="preserve"> </w:t>
      </w:r>
      <w:r>
        <w:t xml:space="preserve">: des médicaments qui éliminent les cellules sénescentes.</w:t>
      </w:r>
    </w:p>
    <w:p>
      <w:pPr>
        <w:pStyle w:val="BodyText"/>
      </w:pPr>
      <w:r>
        <w:t xml:space="preserve">Les cellules sénescentes survivent notamment parce qu’elles répriment des programmes d’autodestruction. Le groupe de Rotterdam a découvert que la protéine FOXO4 joue ici un rôle clé : elle retient dans le noyau la protéine p53, qui déclencherait sinon la mort cellulaire. Le peptide FOXO4-DRI perturbe cette liaison ; p53 est chassée du noyau, et la cellule sénescente meurt. Les cellules saines, qui se divisent normalement, devraient être largement épargnées</w:t>
      </w:r>
      <w:r>
        <w:rPr>
          <w:rStyle w:val="FootnoteReference"/>
        </w:rPr>
        <w:footnoteReference w:id="1907"/>
      </w:r>
      <w:r>
        <w:t xml:space="preserve">. Des études structurales de 2025 ont confirmé que le FOXO4-DRI se lie à un segment désordonné de p53 – le segment du peptide assurant la pénétration cellulaire participant lui aussi à la liaison</w:t>
      </w:r>
      <w:r>
        <w:rPr>
          <w:rStyle w:val="FootnoteReference"/>
        </w:rPr>
        <w:footnoteReference w:id="1908"/>
      </w:r>
      <w:r>
        <w:t xml:space="preserve">.</w:t>
      </w:r>
    </w:p>
    <w:bookmarkStart w:id="1911" w:name="X497b4de5acb2c463133c85f69df5d1fa50ad14b"/>
    <w:p>
      <w:pPr>
        <w:pStyle w:val="Heading4"/>
      </w:pPr>
      <w:r>
        <w:t xml:space="preserve">Les sénolytiques chez l’humain : le contexte</w:t>
      </w:r>
    </w:p>
    <w:p>
      <w:pPr>
        <w:pStyle w:val="FirstParagraph"/>
      </w:pPr>
      <w:r>
        <w:t xml:space="preserve">Le FOXO4-DRI lui-même n’a jamais été testé chez l’humain. Pour le situer, il est utile d’examiner d’autres sénolytiques déjà étudiés en clinique – surtout l’association du médicament anticancéreux dasatinib et de la substance végétale quercétine (en abrégé D+Q) :</w:t>
      </w:r>
    </w:p>
    <w:p>
      <w:pPr>
        <w:numPr>
          <w:ilvl w:val="0"/>
          <w:numId w:val="1241"/>
        </w:numPr>
        <w:pStyle w:val="Compact"/>
      </w:pPr>
      <w:r>
        <w:t xml:space="preserve">Dans une première étude pilote ouverte portant sur 14 personnes atteintes de fibrose pulmonaire idiopathique, la distance et la vitesse de marche se sont améliorées, mais pas la fonction pulmonaire ; un événement indésirable grave est survenu</w:t>
      </w:r>
      <w:r>
        <w:rPr>
          <w:rStyle w:val="FootnoteReference"/>
        </w:rPr>
        <w:footnoteReference w:id="1909"/>
      </w:r>
      <w:r>
        <w:t xml:space="preserve">.</w:t>
      </w:r>
    </w:p>
    <w:p>
      <w:pPr>
        <w:numPr>
          <w:ilvl w:val="0"/>
          <w:numId w:val="1241"/>
        </w:numPr>
        <w:pStyle w:val="Compact"/>
      </w:pPr>
      <w:r>
        <w:t xml:space="preserve">Dans une étude randomisée de phase 2 portant sur 60 femmes ménopausées, le D+Q n’a pas réduit le marqueur de la résorption osseuse (critère principal manqué) ; ce n’est que dans un sous-groupe examiné a posteriori, riche en cellules sénescentes, que des effets favorables sont apparus</w:t>
      </w:r>
      <w:r>
        <w:rPr>
          <w:rStyle w:val="FootnoteReference"/>
        </w:rPr>
        <w:footnoteReference w:id="1910"/>
      </w:r>
      <w:r>
        <w:t xml:space="preserve">.</w:t>
      </w:r>
    </w:p>
    <w:p>
      <w:pPr>
        <w:pStyle w:val="FirstParagraph"/>
      </w:pPr>
      <w:r>
        <w:t xml:space="preserve">La recherche clinique sur les sénolytiques n’en est donc qu’à ses débuts, et les premiers résultats contrôlés sont réservés. C’est sur ce fond que le FOXO4-DRI est vendu sur Internet comme « peptide de rajeunissement ».</w:t>
      </w:r>
    </w:p>
    <w:bookmarkEnd w:id="1911"/>
    <w:bookmarkEnd w:id="1912"/>
    <w:bookmarkStart w:id="1914" w:name="études-chez-lhumain-44"/>
    <w:p>
      <w:pPr>
        <w:pStyle w:val="Heading3"/>
      </w:pPr>
      <w:r>
        <w:t xml:space="preserve">Études chez l’humain</w:t>
      </w:r>
    </w:p>
    <w:p>
      <w:pPr>
        <w:pStyle w:val="FirstParagraph"/>
      </w:pPr>
      <w:r>
        <w:rPr>
          <w:bCs/>
          <w:b/>
        </w:rPr>
        <w:t xml:space="preserve">Ampleur des données :</w:t>
      </w:r>
      <w:r>
        <w:t xml:space="preserve"> </w:t>
      </w:r>
      <w:r>
        <w:t xml:space="preserve">la requête PubMed automatisée (octobre 2026) n’a donné</w:t>
      </w:r>
      <w:r>
        <w:t xml:space="preserve"> </w:t>
      </w:r>
      <w:r>
        <w:rPr>
          <w:bCs/>
          <w:b/>
        </w:rPr>
        <w:t xml:space="preserve">aucune</w:t>
      </w:r>
      <w:r>
        <w:t xml:space="preserve"> </w:t>
      </w:r>
      <w:r>
        <w:t xml:space="preserve">étude chez l’humain avec le FOXO4-DRI ; au total, PubMed recense environ 20 travaux avec ce terme. Aucune étude n’est enregistrée sur ClinicalTrials.gov. On n’a pas non plus trouvé de rapports de cas d’utilisation chez l’humain ni d’analyses de produits du marché gris.</w:t>
      </w:r>
    </w:p>
    <w:p>
      <w:pPr>
        <w:pStyle w:val="BodyText"/>
      </w:pPr>
      <w:r>
        <w:t xml:space="preserve">Ce qui s’approche le plus de l’humain est une étude de laboratoire sur des cellules cartilagineuses humaines : dans des cellules multipliées en laboratoire en vue d’une greffe de cartilage, le FOXO4-DRI a éliminé plus de la moitié des cellules fortement multipliées (et donc plus souvent sénescentes), mais n’a pas amélioré la capacité à former du nouveau cartilage</w:t>
      </w:r>
      <w:r>
        <w:rPr>
          <w:rStyle w:val="FootnoteReference"/>
        </w:rPr>
        <w:footnoteReference w:id="1913"/>
      </w:r>
      <w:r>
        <w:t xml:space="preserve">.</w:t>
      </w:r>
    </w:p>
    <w:bookmarkEnd w:id="1914"/>
    <w:bookmarkStart w:id="1917" w:name="études-animales-et-de-laboratoire-44"/>
    <w:p>
      <w:pPr>
        <w:pStyle w:val="Heading3"/>
      </w:pPr>
      <w:r>
        <w:t xml:space="preserve">Études animales et de laboratoire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Étude</w:t>
            </w:r>
          </w:p>
        </w:tc>
        <w:tc>
          <w:tcPr/>
          <w:p>
            <w:pPr>
              <w:pStyle w:val="Compact"/>
              <w:jc w:val="left"/>
            </w:pPr>
            <w:r>
              <w:t xml:space="preserve">Modèle</w:t>
            </w:r>
          </w:p>
        </w:tc>
        <w:tc>
          <w:tcPr/>
          <w:p>
            <w:pPr>
              <w:pStyle w:val="Compact"/>
              <w:jc w:val="left"/>
            </w:pPr>
            <w:r>
              <w:t xml:space="preserve">Résultat</w:t>
            </w:r>
          </w:p>
        </w:tc>
      </w:tr>
      <w:tr>
        <w:tc>
          <w:tcPr/>
          <w:p>
            <w:pPr>
              <w:pStyle w:val="Compact"/>
              <w:jc w:val="left"/>
            </w:pPr>
            <w:r>
              <w:t xml:space="preserve">Baar 2017, PMID 28340339</w:t>
            </w:r>
          </w:p>
        </w:tc>
        <w:tc>
          <w:tcPr/>
          <w:p>
            <w:pPr>
              <w:pStyle w:val="Compact"/>
              <w:jc w:val="left"/>
            </w:pPr>
            <w:r>
              <w:t xml:space="preserve">souris à vieillissement accéléré et souris naturellement âgées ; lésions dues à la chimiothérapie</w:t>
            </w:r>
          </w:p>
        </w:tc>
        <w:tc>
          <w:tcPr/>
          <w:p>
            <w:pPr>
              <w:pStyle w:val="Compact"/>
              <w:jc w:val="left"/>
            </w:pPr>
            <w:r>
              <w:t xml:space="preserve">meilleure condition physique, pelage plus dense, meilleure fonction rénale ; protection contre les lésions dues à la doxorubicine</w:t>
            </w:r>
          </w:p>
        </w:tc>
      </w:tr>
      <w:tr>
        <w:tc>
          <w:tcPr/>
          <w:p>
            <w:pPr>
              <w:pStyle w:val="Compact"/>
              <w:jc w:val="left"/>
            </w:pPr>
            <w:r>
              <w:t xml:space="preserve">Zhang 2020, PMID 31959736</w:t>
            </w:r>
          </w:p>
        </w:tc>
        <w:tc>
          <w:tcPr/>
          <w:p>
            <w:pPr>
              <w:pStyle w:val="Compact"/>
              <w:jc w:val="left"/>
            </w:pPr>
            <w:r>
              <w:t xml:space="preserve">souris naturellement âgées</w:t>
            </w:r>
          </w:p>
        </w:tc>
        <w:tc>
          <w:tcPr/>
          <w:p>
            <w:pPr>
              <w:pStyle w:val="Compact"/>
              <w:jc w:val="left"/>
            </w:pPr>
            <w:r>
              <w:t xml:space="preserve">production de testostérone dans les testicules améliorée</w:t>
            </w:r>
          </w:p>
        </w:tc>
      </w:tr>
      <w:tr>
        <w:tc>
          <w:tcPr/>
          <w:p>
            <w:pPr>
              <w:pStyle w:val="Compact"/>
              <w:jc w:val="left"/>
            </w:pPr>
            <w:r>
              <w:t xml:space="preserve">Han 2022, PMID 35510614</w:t>
            </w:r>
          </w:p>
        </w:tc>
        <w:tc>
          <w:tcPr/>
          <w:p>
            <w:pPr>
              <w:pStyle w:val="Compact"/>
              <w:jc w:val="left"/>
            </w:pPr>
            <w:r>
              <w:t xml:space="preserve">fibrose pulmonaire chez la souris</w:t>
            </w:r>
          </w:p>
        </w:tc>
        <w:tc>
          <w:tcPr/>
          <w:p>
            <w:pPr>
              <w:pStyle w:val="Compact"/>
              <w:jc w:val="left"/>
            </w:pPr>
            <w:r>
              <w:t xml:space="preserve">moins de fibrose</w:t>
            </w:r>
          </w:p>
        </w:tc>
      </w:tr>
      <w:tr>
        <w:tc>
          <w:tcPr/>
          <w:p>
            <w:pPr>
              <w:pStyle w:val="Compact"/>
              <w:jc w:val="left"/>
            </w:pPr>
            <w:r>
              <w:t xml:space="preserve">Kong 2025, PMID 39994346</w:t>
            </w:r>
          </w:p>
        </w:tc>
        <w:tc>
          <w:tcPr/>
          <w:p>
            <w:pPr>
              <w:pStyle w:val="Compact"/>
              <w:jc w:val="left"/>
            </w:pPr>
            <w:r>
              <w:t xml:space="preserve">tissu de chéloïde (cicatrices excessives) en laboratoire</w:t>
            </w:r>
          </w:p>
        </w:tc>
        <w:tc>
          <w:tcPr/>
          <w:p>
            <w:pPr>
              <w:pStyle w:val="Compact"/>
              <w:jc w:val="left"/>
            </w:pPr>
            <w:r>
              <w:t xml:space="preserve">davantage de mort cellulaire des cellules conjonctives sénescentes</w:t>
            </w:r>
          </w:p>
        </w:tc>
      </w:tr>
      <w:tr>
        <w:tc>
          <w:tcPr/>
          <w:p>
            <w:pPr>
              <w:pStyle w:val="Compact"/>
              <w:jc w:val="left"/>
            </w:pPr>
            <w:r>
              <w:t xml:space="preserve">Born 2023, PMID 36515093</w:t>
            </w:r>
          </w:p>
        </w:tc>
        <w:tc>
          <w:tcPr/>
          <w:p>
            <w:pPr>
              <w:pStyle w:val="Compact"/>
              <w:jc w:val="left"/>
            </w:pPr>
            <w:r>
              <w:t xml:space="preserve">modèles d’hypertension pulmonaire chez la souris et le rat</w:t>
            </w:r>
          </w:p>
        </w:tc>
        <w:tc>
          <w:tcPr/>
          <w:p>
            <w:pPr>
              <w:pStyle w:val="Compact"/>
              <w:jc w:val="left"/>
            </w:pPr>
            <w:r>
              <w:t xml:space="preserve">l’élimination des cellules sénescentes, y compris par FOXO4-DRI, a</w:t>
            </w:r>
            <w:r>
              <w:t xml:space="preserve"> </w:t>
            </w:r>
            <w:r>
              <w:rPr>
                <w:bCs/>
                <w:b/>
              </w:rPr>
              <w:t xml:space="preserve">aggravé</w:t>
            </w:r>
            <w:r>
              <w:t xml:space="preserve"> </w:t>
            </w:r>
            <w:r>
              <w:t xml:space="preserve">la circulation pulmonaire</w:t>
            </w:r>
          </w:p>
        </w:tc>
      </w:tr>
    </w:tbl>
    <w:p>
      <w:pPr>
        <w:pStyle w:val="BodyText"/>
      </w:pPr>
      <w:r>
        <w:t xml:space="preserve">La première description a suscité une grande attention : chez des souris à vieillissement accéléré et chez des animaux naturellement âgés, la condition physique, l’aspect du pelage et la fonction rénale se sont améliorés</w:t>
      </w:r>
      <w:r>
        <w:rPr>
          <w:rStyle w:val="FootnoteReference"/>
        </w:rPr>
        <w:footnoteReference w:id="1915"/>
      </w:r>
      <w:r>
        <w:t xml:space="preserve">. Des travaux ultérieurs d’autres groupes, principalement chinois, ont décrit des effets sur les testicules, les poumons et la peau.</w:t>
      </w:r>
    </w:p>
    <w:p>
      <w:pPr>
        <w:pStyle w:val="BodyText"/>
      </w:pPr>
      <w:r>
        <w:t xml:space="preserve">Un important résultat contraire provient de la recherche cardiovasculaire : dans des modèles d’hypertension pulmonaire, l’élimination des cellules sénescentes – aussi bien par génie génétique qu’avec les sénolytiques ABT263 ou FOXO4-DRI – a aggravé la pression dans la circulation pulmonaire et entraîné la perte de cellules endothéliales des vaisseaux pulmonaires. Les auteurs en concluent que les sénolytiques pourraient nuire aux vaisseaux pulmonaires</w:t>
      </w:r>
      <w:r>
        <w:rPr>
          <w:rStyle w:val="FootnoteReference"/>
        </w:rPr>
        <w:footnoteReference w:id="1916"/>
      </w:r>
      <w:r>
        <w:t xml:space="preserve">. Cela montre que les cellules sénescentes ne sont pas seulement un « fardeau », mais peuvent aussi avoir des fonctions stabilisatrices dans certains tissus.</w:t>
      </w:r>
    </w:p>
    <w:bookmarkEnd w:id="1917"/>
    <w:bookmarkStart w:id="1920" w:name="risques-et-effets-indésirables-44"/>
    <w:p>
      <w:pPr>
        <w:pStyle w:val="Heading3"/>
      </w:pPr>
      <w:r>
        <w:t xml:space="preserve">Risques et effets indésirables</w:t>
      </w:r>
    </w:p>
    <w:p>
      <w:pPr>
        <w:pStyle w:val="FirstParagraph"/>
      </w:pPr>
      <w:r>
        <w:rPr>
          <w:bCs/>
          <w:b/>
        </w:rPr>
        <w:t xml:space="preserve">Établi :</w:t>
      </w:r>
      <w:r>
        <w:t xml:space="preserve"> </w:t>
      </w:r>
      <w:r>
        <w:t xml:space="preserve">aucune donnée chez l’humain.</w:t>
      </w:r>
    </w:p>
    <w:p>
      <w:pPr>
        <w:pStyle w:val="BodyText"/>
      </w:pPr>
      <w:r>
        <w:rPr>
          <w:bCs/>
          <w:b/>
        </w:rPr>
        <w:t xml:space="preserve">Théorique – et en partie étayé par des données animales :</w:t>
      </w:r>
    </w:p>
    <w:p>
      <w:pPr>
        <w:numPr>
          <w:ilvl w:val="0"/>
          <w:numId w:val="1242"/>
        </w:numPr>
        <w:pStyle w:val="Compact"/>
      </w:pPr>
      <w:r>
        <w:rPr>
          <w:bCs/>
          <w:b/>
        </w:rPr>
        <w:t xml:space="preserve">Vaisseaux et poumons :</w:t>
      </w:r>
      <w:r>
        <w:t xml:space="preserve"> </w:t>
      </w:r>
      <w:r>
        <w:t xml:space="preserve">dans le modèle animal, le FOXO4-DRI a aggravé une hypertension pulmonaire existante</w:t>
      </w:r>
      <w:r>
        <w:rPr>
          <w:rStyle w:val="FootnoteReference"/>
        </w:rPr>
        <w:footnoteReference w:id="1918"/>
      </w:r>
      <w:r>
        <w:t xml:space="preserve">.</w:t>
      </w:r>
    </w:p>
    <w:p>
      <w:pPr>
        <w:numPr>
          <w:ilvl w:val="0"/>
          <w:numId w:val="1242"/>
        </w:numPr>
        <w:pStyle w:val="Compact"/>
      </w:pPr>
      <w:r>
        <w:rPr>
          <w:bCs/>
          <w:b/>
        </w:rPr>
        <w:t xml:space="preserve">p53 et cancer :</w:t>
      </w:r>
      <w:r>
        <w:t xml:space="preserve"> </w:t>
      </w:r>
      <w:r>
        <w:t xml:space="preserve">p53 est l’un des principaux suppresseurs de tumeurs de l’organisme. Le FOXO4-DRI modifie de manière ciblée l’endroit où p53 se trouve dans la cellule. Les conséquences à long terme pour la défense anticancéreuse n’ont pas été étudiées. Les concepteurs voient inversement dans ce principe aussi une approche de traitement du cancer</w:t>
      </w:r>
      <w:r>
        <w:rPr>
          <w:rStyle w:val="FootnoteReference"/>
        </w:rPr>
        <w:footnoteReference w:id="1919"/>
      </w:r>
      <w:r>
        <w:t xml:space="preserve">.</w:t>
      </w:r>
    </w:p>
    <w:p>
      <w:pPr>
        <w:numPr>
          <w:ilvl w:val="0"/>
          <w:numId w:val="1242"/>
        </w:numPr>
        <w:pStyle w:val="Compact"/>
      </w:pPr>
      <w:r>
        <w:rPr>
          <w:bCs/>
          <w:b/>
        </w:rPr>
        <w:t xml:space="preserve">Cicatrisation et réparation tissulaire :</w:t>
      </w:r>
      <w:r>
        <w:t xml:space="preserve"> </w:t>
      </w:r>
      <w:r>
        <w:t xml:space="preserve">les cellules sénescentes participent aussi à la cicatrisation et au remodelage tissulaire ; leur élimination peut perturber ces processus.</w:t>
      </w:r>
    </w:p>
    <w:p>
      <w:pPr>
        <w:numPr>
          <w:ilvl w:val="0"/>
          <w:numId w:val="1242"/>
        </w:numPr>
        <w:pStyle w:val="Compact"/>
      </w:pPr>
      <w:r>
        <w:rPr>
          <w:bCs/>
          <w:b/>
        </w:rPr>
        <w:t xml:space="preserve">Réactions immunitaires :</w:t>
      </w:r>
      <w:r>
        <w:t xml:space="preserve"> </w:t>
      </w:r>
      <w:r>
        <w:t xml:space="preserve">le peptide contient un segment issu d’une protéine virale et est relativement volumineux ; des réactions immunitaires en cas d’administration répétée sont envisageables, mais n’ont pas été étudiées.</w:t>
      </w:r>
    </w:p>
    <w:p>
      <w:pPr>
        <w:pStyle w:val="FirstParagraph"/>
      </w:pPr>
      <w:r>
        <w:rPr>
          <w:bCs/>
          <w:b/>
        </w:rPr>
        <w:t xml:space="preserve">Marché gris :</w:t>
      </w:r>
      <w:r>
        <w:t xml:space="preserve"> </w:t>
      </w:r>
      <w:r>
        <w:t xml:space="preserve">le FOXO4-DRI est proposé en ligne comme « sénolytique » pour injection, souvent à des prix élevés. La fabrication d’un long peptide composé d’acides aminés D est exigeante ; on n’a pas vérifié si les produits vendus présentent réellement la bonne séquence et la bonne pureté.</w:t>
      </w:r>
    </w:p>
    <w:bookmarkEnd w:id="1920"/>
    <w:bookmarkStart w:id="1921" w:name="statut-juridique-44"/>
    <w:p>
      <w:pPr>
        <w:pStyle w:val="Heading3"/>
      </w:pPr>
      <w:r>
        <w:t xml:space="preserve">Statut juridique</w:t>
      </w:r>
    </w:p>
    <w:p>
      <w:pPr>
        <w:numPr>
          <w:ilvl w:val="0"/>
          <w:numId w:val="1243"/>
        </w:numPr>
        <w:pStyle w:val="Compact"/>
      </w:pPr>
      <w:r>
        <w:rPr>
          <w:bCs/>
          <w:b/>
        </w:rPr>
        <w:t xml:space="preserve">UE / Autriche / Allemagne :</w:t>
      </w:r>
      <w:r>
        <w:t xml:space="preserve"> </w:t>
      </w:r>
      <w:r>
        <w:t xml:space="preserve">non autorisé ; en tant que substance à effet pharmacologique, le FOXO4-DRI est considéré comme un médicament, et sa vente en vue d’un usage humain n’est pas permise.</w:t>
      </w:r>
    </w:p>
    <w:p>
      <w:pPr>
        <w:numPr>
          <w:ilvl w:val="0"/>
          <w:numId w:val="1243"/>
        </w:numPr>
        <w:pStyle w:val="Compact"/>
      </w:pPr>
      <w:r>
        <w:rPr>
          <w:bCs/>
          <w:b/>
        </w:rPr>
        <w:t xml:space="preserve">États-Unis :</w:t>
      </w:r>
      <w:r>
        <w:t xml:space="preserve"> </w:t>
      </w:r>
      <w:r>
        <w:t xml:space="preserve">non autorisé.</w:t>
      </w:r>
    </w:p>
    <w:p>
      <w:pPr>
        <w:numPr>
          <w:ilvl w:val="0"/>
          <w:numId w:val="1243"/>
        </w:numPr>
        <w:pStyle w:val="Compact"/>
      </w:pPr>
      <w:r>
        <w:rPr>
          <w:bCs/>
          <w:b/>
        </w:rPr>
        <w:t xml:space="preserve">Sport :</w:t>
      </w:r>
      <w:r>
        <w:t xml:space="preserve"> </w:t>
      </w:r>
      <w:r>
        <w:t xml:space="preserve">selon notre appréciation, catégorie S0 de l’AMA (état 2026, à vérifier).</w:t>
      </w:r>
    </w:p>
    <w:bookmarkEnd w:id="1921"/>
    <w:bookmarkStart w:id="1922" w:name="études-en-cours-et-perspectives-44"/>
    <w:p>
      <w:pPr>
        <w:pStyle w:val="Heading3"/>
      </w:pPr>
      <w:r>
        <w:t xml:space="preserve">Études en cours et perspectives</w:t>
      </w:r>
    </w:p>
    <w:p>
      <w:pPr>
        <w:pStyle w:val="FirstParagraph"/>
      </w:pPr>
      <w:r>
        <w:rPr>
          <w:bCs/>
          <w:b/>
        </w:rPr>
        <w:t xml:space="preserve">Établi :</w:t>
      </w:r>
      <w:r>
        <w:t xml:space="preserve"> </w:t>
      </w:r>
      <w:r>
        <w:t xml:space="preserve">aucune étude clinique enregistrée avec le FOXO4-DRI (requête d’octobre 2026). Le groupe des concepteurs travaille à des développements du principe ; les études cliniques sur les sénolytiques portent surtout sur d’autres substances.</w:t>
      </w:r>
    </w:p>
    <w:p>
      <w:pPr>
        <w:pStyle w:val="BodyText"/>
      </w:pPr>
      <w:r>
        <w:rPr>
          <w:bCs/>
          <w:b/>
        </w:rPr>
        <w:t xml:space="preserve">Appréciation :</w:t>
      </w:r>
      <w:r>
        <w:t xml:space="preserve"> </w:t>
      </w:r>
      <w:r>
        <w:t xml:space="preserve">la recherche sur les sénolytiques est l’un des domaines les plus passionnants de la recherche sur le vieillissement, mais les premières études contrôlées chez l’humain ont été décevantes. Pour le FOXO4-DRI, il faudrait d’abord des études de toxicité systématiques et une première étude prudente chez l’humain – idéalement dans une maladie clairement définie, et non comme « anti-âge » général.</w:t>
      </w:r>
    </w:p>
    <w:bookmarkEnd w:id="1922"/>
    <w:bookmarkStart w:id="1923" w:name="conclusion-44"/>
    <w:p>
      <w:pPr>
        <w:pStyle w:val="Heading3"/>
      </w:pPr>
      <w:r>
        <w:t xml:space="preserve">Conclusion</w:t>
      </w:r>
    </w:p>
    <w:p>
      <w:pPr>
        <w:pStyle w:val="FirstParagraph"/>
      </w:pPr>
      <w:r>
        <w:t xml:space="preserve">Le FOXO4-DRI est un peptide artificiel qui a éliminé de manière ciblée des cellules sénescentes dans des cultures cellulaires et chez la souris, et qui a amélioré la condition physique, le pelage et la fonction rénale chez des animaux âgés. Il n’a jamais été étudié chez l’humain. Dans des modèles animaux d’hypertension pulmonaire, l’élimination des cellules sénescentes par FOXO4-DRI a aggravé l’évolution de la maladie, et l’intervention sur la protéine de protection anticancéreuse p53 soulève des questions ouvertes. Les données ne suffisent pas pour juger du bénéfice ou de la sécurité chez l’humain.</w:t>
      </w:r>
    </w:p>
    <w:bookmarkEnd w:id="1923"/>
    <w:bookmarkEnd w:id="1924"/>
    <w:bookmarkStart w:id="1956" w:name="glutathion"/>
    <w:p>
      <w:pPr>
        <w:pStyle w:val="Heading2"/>
      </w:pPr>
      <w:r>
        <w:t xml:space="preserve">Glutathion</w:t>
      </w:r>
    </w:p>
    <w:bookmarkStart w:id="1925" w:name="fiche-signalétique-45"/>
    <w:p>
      <w:pPr>
        <w:pStyle w:val="Heading3"/>
      </w:pPr>
      <w:r>
        <w:t xml:space="preserve">Fiche signalétique</w:t>
      </w:r>
    </w:p>
    <w:p>
      <w:pPr>
        <w:numPr>
          <w:ilvl w:val="0"/>
          <w:numId w:val="1244"/>
        </w:numPr>
        <w:pStyle w:val="Compact"/>
      </w:pPr>
      <w:r>
        <w:rPr>
          <w:bCs/>
          <w:b/>
        </w:rPr>
        <w:t xml:space="preserve">Nature et structure :</w:t>
      </w:r>
      <w:r>
        <w:t xml:space="preserve"> </w:t>
      </w:r>
      <w:r>
        <w:t xml:space="preserve">tripeptide de trois acides aminés – acide glutamique, cystéine et glycine (γ-glutamyl-cystéinyl-glycine, en abrégé GSH). La forme réduite (GSH) est la forme active ; lors de la défense contre l’oxydation, deux molécules s’unissent pour former du glutathion oxydé (GSSG).</w:t>
      </w:r>
    </w:p>
    <w:p>
      <w:pPr>
        <w:numPr>
          <w:ilvl w:val="0"/>
          <w:numId w:val="1244"/>
        </w:numPr>
        <w:pStyle w:val="Compact"/>
      </w:pPr>
      <w:r>
        <w:rPr>
          <w:bCs/>
          <w:b/>
        </w:rPr>
        <w:t xml:space="preserve">Origine :</w:t>
      </w:r>
      <w:r>
        <w:t xml:space="preserve"> </w:t>
      </w:r>
      <w:r>
        <w:t xml:space="preserve">produit par pratiquement toutes les cellules de l’organisme, en quantité particulièrement importante dans le foie. En tant que préparation, il est le plus souvent fabriqué par fermentation à l’aide de levures.</w:t>
      </w:r>
    </w:p>
    <w:p>
      <w:pPr>
        <w:numPr>
          <w:ilvl w:val="0"/>
          <w:numId w:val="1244"/>
        </w:numPr>
        <w:pStyle w:val="Compact"/>
      </w:pPr>
      <w:r>
        <w:rPr>
          <w:bCs/>
          <w:b/>
        </w:rPr>
        <w:t xml:space="preserve">Principe d’action :</w:t>
      </w:r>
      <w:r>
        <w:t xml:space="preserve"> </w:t>
      </w:r>
      <w:r>
        <w:t xml:space="preserve">principale substance protectrice endogène contre l’oxydation dans les cellules ; participe à la détoxication de médicaments et de polluants (par exemple lors de la dégradation du paracétamol) et à la régulation des cellules immunitaires. Dans la peau, il fait basculer la production de pigment de la mélanine foncée vers une mélanine plus claire.</w:t>
      </w:r>
    </w:p>
    <w:p>
      <w:pPr>
        <w:numPr>
          <w:ilvl w:val="0"/>
          <w:numId w:val="1244"/>
        </w:numPr>
        <w:pStyle w:val="Compact"/>
      </w:pPr>
      <w:r>
        <w:rPr>
          <w:bCs/>
          <w:b/>
        </w:rPr>
        <w:t xml:space="preserve">Autorisation UE :</w:t>
      </w:r>
      <w:r>
        <w:t xml:space="preserve"> </w:t>
      </w:r>
      <w:r>
        <w:t xml:space="preserve">largement commercialisé comme complément alimentaire ; comme médicament injectable, seulement dans certains pays pour des indications étroitement délimitées, pas pour l’éclaircissement de la peau.</w:t>
      </w:r>
    </w:p>
    <w:p>
      <w:pPr>
        <w:numPr>
          <w:ilvl w:val="0"/>
          <w:numId w:val="1244"/>
        </w:numPr>
        <w:pStyle w:val="Compact"/>
      </w:pPr>
      <w:r>
        <w:rPr>
          <w:bCs/>
          <w:b/>
        </w:rPr>
        <w:t xml:space="preserve">Autorisation États-Unis :</w:t>
      </w:r>
      <w:r>
        <w:t xml:space="preserve"> </w:t>
      </w:r>
      <w:r>
        <w:t xml:space="preserve">aucun médicament à base de glutathion autorisé par la FDA ; disponible comme complément alimentaire et en préparation magistrale.</w:t>
      </w:r>
    </w:p>
    <w:p>
      <w:pPr>
        <w:numPr>
          <w:ilvl w:val="0"/>
          <w:numId w:val="1244"/>
        </w:numPr>
        <w:pStyle w:val="Compact"/>
      </w:pPr>
      <w:r>
        <w:rPr>
          <w:bCs/>
          <w:b/>
        </w:rPr>
        <w:t xml:space="preserve">AMA (WADA) :</w:t>
      </w:r>
      <w:r>
        <w:t xml:space="preserve"> </w:t>
      </w:r>
      <w:r>
        <w:t xml:space="preserve">le glutathion lui-même n’est pas interdit. Les perfusions ou injections de plus de 100 ml en douze heures sont toutefois classées comme méthode interdite (M2), sauf dans le cadre d’un traitement hospitalier ou d’un examen.</w:t>
      </w:r>
    </w:p>
    <w:p>
      <w:pPr>
        <w:numPr>
          <w:ilvl w:val="0"/>
          <w:numId w:val="1244"/>
        </w:numPr>
        <w:pStyle w:val="Compact"/>
      </w:pPr>
      <w:r>
        <w:rPr>
          <w:bCs/>
          <w:b/>
        </w:rPr>
        <w:t xml:space="preserve">Niveau de preuve :</w:t>
      </w:r>
      <w:r>
        <w:t xml:space="preserve"> </w:t>
      </w:r>
      <w:r>
        <w:rPr>
          <w:bCs/>
          <w:b/>
        </w:rPr>
        <w:t xml:space="preserve">B</w:t>
      </w:r>
      <w:r>
        <w:t xml:space="preserve"> </w:t>
      </w:r>
      <w:r>
        <w:t xml:space="preserve">– de nombreuses études randomisées, majoritairement petites, aux résultats variables ; aucune autorisation fondée sur de grandes études sur critères cliniques.</w:t>
      </w:r>
    </w:p>
    <w:bookmarkEnd w:id="1925"/>
    <w:bookmarkStart w:id="1926" w:name="mode-daction-supposé-45"/>
    <w:p>
      <w:pPr>
        <w:pStyle w:val="Heading3"/>
      </w:pPr>
      <w:r>
        <w:t xml:space="preserve">Mode d’action supposé</w:t>
      </w:r>
    </w:p>
    <w:p>
      <w:pPr>
        <w:pStyle w:val="FirstParagraph"/>
      </w:pPr>
      <w:r>
        <w:t xml:space="preserve">Le glutathion est un constituant tout à fait ordinaire de chaque cellule. Il capte les espèces réactives de l’oxygène, aide les enzymes dans la détoxication et maintient d’autres substances protectrices comme les vitamines C et E sous leur forme active. Dans de nombreuses maladies – par exemple le diabète, les maladies du foie, le VIH, la maladie de Parkinson – et avec l’âge, les taux de glutathion dans le sang ou les tissus sont plus bas. De là est née l’idée évidente d’apporter du glutathion de l’extérieur.</w:t>
      </w:r>
    </w:p>
    <w:p>
      <w:pPr>
        <w:pStyle w:val="BodyText"/>
      </w:pPr>
      <w:r>
        <w:t xml:space="preserve">C’est plus difficile qu’il n’y paraît, pour trois raisons :</w:t>
      </w:r>
    </w:p>
    <w:p>
      <w:pPr>
        <w:numPr>
          <w:ilvl w:val="0"/>
          <w:numId w:val="1245"/>
        </w:numPr>
        <w:pStyle w:val="Compact"/>
      </w:pPr>
      <w:r>
        <w:rPr>
          <w:bCs/>
          <w:b/>
        </w:rPr>
        <w:t xml:space="preserve">Digestion :</w:t>
      </w:r>
      <w:r>
        <w:t xml:space="preserve"> </w:t>
      </w:r>
      <w:r>
        <w:t xml:space="preserve">en tant que peptide, le glutathion est partiellement scindé dans l’intestin ; il a donc longtemps été considéré comme presque inefficace par voie orale.</w:t>
      </w:r>
    </w:p>
    <w:p>
      <w:pPr>
        <w:numPr>
          <w:ilvl w:val="0"/>
          <w:numId w:val="1245"/>
        </w:numPr>
        <w:pStyle w:val="Compact"/>
      </w:pPr>
      <w:r>
        <w:rPr>
          <w:bCs/>
          <w:b/>
        </w:rPr>
        <w:t xml:space="preserve">Pénétration dans les cellules :</w:t>
      </w:r>
      <w:r>
        <w:t xml:space="preserve"> </w:t>
      </w:r>
      <w:r>
        <w:t xml:space="preserve">le glutathion est principalement produit</w:t>
      </w:r>
      <w:r>
        <w:t xml:space="preserve"> </w:t>
      </w:r>
      <w:r>
        <w:rPr>
          <w:iCs/>
          <w:i/>
        </w:rPr>
        <w:t xml:space="preserve">à l’intérieur</w:t>
      </w:r>
      <w:r>
        <w:t xml:space="preserve"> </w:t>
      </w:r>
      <w:r>
        <w:t xml:space="preserve">des cellules ; depuis le sang, il n’y pénètre que de façon limitée.</w:t>
      </w:r>
    </w:p>
    <w:p>
      <w:pPr>
        <w:numPr>
          <w:ilvl w:val="0"/>
          <w:numId w:val="1245"/>
        </w:numPr>
        <w:pStyle w:val="Compact"/>
      </w:pPr>
      <w:r>
        <w:rPr>
          <w:bCs/>
          <w:b/>
        </w:rPr>
        <w:t xml:space="preserve">Courte durée de séjour :</w:t>
      </w:r>
      <w:r>
        <w:t xml:space="preserve"> </w:t>
      </w:r>
      <w:r>
        <w:t xml:space="preserve">le glutathion perfusé est rapidement dégradé dans le sang.</w:t>
      </w:r>
    </w:p>
    <w:p>
      <w:pPr>
        <w:pStyle w:val="FirstParagraph"/>
      </w:pPr>
      <w:r>
        <w:t xml:space="preserve">C’est pourquoi différentes formes galéniques sont proposées : gélules et comprimés, glutathion</w:t>
      </w:r>
      <w:r>
        <w:t xml:space="preserve"> </w:t>
      </w:r>
      <w:r>
        <w:rPr>
          <w:bCs/>
          <w:b/>
        </w:rPr>
        <w:t xml:space="preserve">liposomal</w:t>
      </w:r>
      <w:r>
        <w:t xml:space="preserve"> </w:t>
      </w:r>
      <w:r>
        <w:t xml:space="preserve">(enveloppé dans des vésicules lipidiques), comprimés à sucer et films pour la muqueuse buccale, spray nasal, crèmes – et</w:t>
      </w:r>
      <w:r>
        <w:t xml:space="preserve"> </w:t>
      </w:r>
      <w:r>
        <w:rPr>
          <w:bCs/>
          <w:b/>
        </w:rPr>
        <w:t xml:space="preserve">perfusions</w:t>
      </w:r>
      <w:r>
        <w:t xml:space="preserve"> </w:t>
      </w:r>
      <w:r>
        <w:t xml:space="preserve">intraveineuses. Il existe en outre des précurseurs comme la N-acétylcystéine (NAC) ou la glycine plus NAC, que l’organisme utilise pour sa propre production ; ils ne sont pas le sujet de ce chapitre.</w:t>
      </w:r>
    </w:p>
    <w:p>
      <w:pPr>
        <w:pStyle w:val="BodyText"/>
      </w:pPr>
      <w:r>
        <w:t xml:space="preserve">Pour l’éclaircissement de la peau, un autre mécanisme est supposé : dans des expériences de laboratoire, le glutathion inhibe l’enzyme tyrosinase et oriente la production de pigment de l’eumélanine foncée vers la phéomélanine, plus claire.</w:t>
      </w:r>
    </w:p>
    <w:bookmarkEnd w:id="1926"/>
    <w:bookmarkStart w:id="1946" w:name="études-chez-lhumain-45"/>
    <w:p>
      <w:pPr>
        <w:pStyle w:val="Heading3"/>
      </w:pPr>
      <w:r>
        <w:t xml:space="preserve">Études chez l’humain</w:t>
      </w:r>
    </w:p>
    <w:p>
      <w:pPr>
        <w:pStyle w:val="FirstParagraph"/>
      </w:pPr>
      <w:r>
        <w:rPr>
          <w:bCs/>
          <w:b/>
        </w:rPr>
        <w:t xml:space="preserve">Ampleur des données :</w:t>
      </w:r>
      <w:r>
        <w:t xml:space="preserve"> </w:t>
      </w:r>
      <w:r>
        <w:t xml:space="preserve">la requête PubMed automatisée (octobre 2026) a donné 161 publications classées comme études chez l’humain, ainsi que 15 revues et méta-analyses. Sur ClinicalTrials.gov, 273 études étaient enregistrées. Ces deux chiffres surestiment nettement l’état des données directes : de nombreux résultats ne mesurent le glutathion que comme valeur de laboratoire (par exemple sous sélénium, vitamines, sport ou NAC) ou concernent l’enzyme glutathion-S-transférase. Les études dans lesquelles le glutathion lui-même a été administré sont minoritaires – mais il y en a tout de même quelques dizaines.</w:t>
      </w:r>
    </w:p>
    <w:bookmarkStart w:id="1930" w:name="X1d677a4d48e1087ee441977a7d0a288920727dc"/>
    <w:p>
      <w:pPr>
        <w:pStyle w:val="Heading4"/>
      </w:pPr>
      <w:r>
        <w:t xml:space="preserve">Le glutathion avalé arrive-t-il seulement à destination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Allen 2011, PMID 21875351</w:t>
            </w:r>
          </w:p>
        </w:tc>
        <w:tc>
          <w:tcPr/>
          <w:p>
            <w:pPr>
              <w:pStyle w:val="Compact"/>
              <w:jc w:val="left"/>
            </w:pPr>
            <w:r>
              <w:t xml:space="preserve">40 personnes en bonne santé, gélules contre placebo, double aveugle</w:t>
            </w:r>
          </w:p>
        </w:tc>
        <w:tc>
          <w:tcPr/>
          <w:p>
            <w:pPr>
              <w:pStyle w:val="Compact"/>
              <w:jc w:val="left"/>
            </w:pPr>
            <w:r>
              <w:t xml:space="preserve">4 semaines</w:t>
            </w:r>
          </w:p>
        </w:tc>
        <w:tc>
          <w:tcPr/>
          <w:p>
            <w:pPr>
              <w:pStyle w:val="Compact"/>
              <w:jc w:val="left"/>
            </w:pPr>
            <w:r>
              <w:t xml:space="preserve">aucune modification des taux de glutathion ni des marqueurs d’oxydation</w:t>
            </w:r>
          </w:p>
        </w:tc>
      </w:tr>
      <w:tr>
        <w:tc>
          <w:tcPr/>
          <w:p>
            <w:pPr>
              <w:pStyle w:val="Compact"/>
              <w:jc w:val="left"/>
            </w:pPr>
            <w:r>
              <w:t xml:space="preserve">Richie 2015, PMID 24791752</w:t>
            </w:r>
          </w:p>
        </w:tc>
        <w:tc>
          <w:tcPr/>
          <w:p>
            <w:pPr>
              <w:pStyle w:val="Compact"/>
              <w:jc w:val="left"/>
            </w:pPr>
            <w:r>
              <w:t xml:space="preserve">54 personnes en bonne santé, deux doses contre placebo, double aveugle</w:t>
            </w:r>
          </w:p>
        </w:tc>
        <w:tc>
          <w:tcPr/>
          <w:p>
            <w:pPr>
              <w:pStyle w:val="Compact"/>
              <w:jc w:val="left"/>
            </w:pPr>
            <w:r>
              <w:t xml:space="preserve">6 mois</w:t>
            </w:r>
          </w:p>
        </w:tc>
        <w:tc>
          <w:tcPr/>
          <w:p>
            <w:pPr>
              <w:pStyle w:val="Compact"/>
              <w:jc w:val="left"/>
            </w:pPr>
            <w:r>
              <w:t xml:space="preserve">taux dans les cellules sanguines et le plasma supérieurs de 30–35 % (dose élevée) ; retour à la normale après l’arrêt</w:t>
            </w:r>
          </w:p>
        </w:tc>
      </w:tr>
      <w:tr>
        <w:tc>
          <w:tcPr/>
          <w:p>
            <w:pPr>
              <w:pStyle w:val="Compact"/>
              <w:jc w:val="left"/>
            </w:pPr>
            <w:r>
              <w:t xml:space="preserve">Sinha 2018, PMID 28853742</w:t>
            </w:r>
          </w:p>
        </w:tc>
        <w:tc>
          <w:tcPr/>
          <w:p>
            <w:pPr>
              <w:pStyle w:val="Compact"/>
              <w:jc w:val="left"/>
            </w:pPr>
            <w:r>
              <w:t xml:space="preserve">12 personnes en bonne santé, glutathion liposomal, sans placebo</w:t>
            </w:r>
          </w:p>
        </w:tc>
        <w:tc>
          <w:tcPr/>
          <w:p>
            <w:pPr>
              <w:pStyle w:val="Compact"/>
              <w:jc w:val="left"/>
            </w:pPr>
            <w:r>
              <w:t xml:space="preserve">4 semaines</w:t>
            </w:r>
          </w:p>
        </w:tc>
        <w:tc>
          <w:tcPr/>
          <w:p>
            <w:pPr>
              <w:pStyle w:val="Compact"/>
              <w:jc w:val="left"/>
            </w:pPr>
            <w:r>
              <w:t xml:space="preserve">taux dans le sang total jusqu’à 40 % plus élevés, dans les cellules immunitaires jusqu’à 100 %</w:t>
            </w:r>
          </w:p>
        </w:tc>
      </w:tr>
      <w:tr>
        <w:tc>
          <w:tcPr/>
          <w:p>
            <w:pPr>
              <w:pStyle w:val="Compact"/>
              <w:jc w:val="left"/>
            </w:pPr>
            <w:r>
              <w:t xml:space="preserve">Schmitt 2015, PMID 26262996</w:t>
            </w:r>
          </w:p>
        </w:tc>
        <w:tc>
          <w:tcPr/>
          <w:p>
            <w:pPr>
              <w:pStyle w:val="Compact"/>
              <w:jc w:val="left"/>
            </w:pPr>
            <w:r>
              <w:t xml:space="preserve">20 personnes atteintes de syndrome métabolique, plan croisé : gélule, forme sublinguale, NAC</w:t>
            </w:r>
          </w:p>
        </w:tc>
        <w:tc>
          <w:tcPr/>
          <w:p>
            <w:pPr>
              <w:pStyle w:val="Compact"/>
              <w:jc w:val="left"/>
            </w:pPr>
            <w:r>
              <w:t xml:space="preserve">3 semaines chacune</w:t>
            </w:r>
          </w:p>
        </w:tc>
        <w:tc>
          <w:tcPr/>
          <w:p>
            <w:pPr>
              <w:pStyle w:val="Compact"/>
              <w:jc w:val="left"/>
            </w:pPr>
            <w:r>
              <w:t xml:space="preserve">la forme sublinguale a davantage augmenté les taux plasmatiques que les gélules</w:t>
            </w:r>
          </w:p>
        </w:tc>
      </w:tr>
      <w:tr>
        <w:tc>
          <w:tcPr/>
          <w:p>
            <w:pPr>
              <w:pStyle w:val="Compact"/>
              <w:jc w:val="left"/>
            </w:pPr>
            <w:r>
              <w:t xml:space="preserve">Jung 2026, PMID 42392376</w:t>
            </w:r>
          </w:p>
        </w:tc>
        <w:tc>
          <w:tcPr/>
          <w:p>
            <w:pPr>
              <w:pStyle w:val="Compact"/>
              <w:jc w:val="left"/>
            </w:pPr>
            <w:r>
              <w:t xml:space="preserve">personnes en bonne santé, film à dissoudre dans la bouche contre comprimé</w:t>
            </w:r>
          </w:p>
        </w:tc>
        <w:tc>
          <w:tcPr/>
          <w:p>
            <w:pPr>
              <w:pStyle w:val="Compact"/>
              <w:jc w:val="left"/>
            </w:pPr>
            <w:r>
              <w:t xml:space="preserve">dose unique et 4 semaines</w:t>
            </w:r>
          </w:p>
        </w:tc>
        <w:tc>
          <w:tcPr/>
          <w:p>
            <w:pPr>
              <w:pStyle w:val="Compact"/>
              <w:jc w:val="left"/>
            </w:pPr>
            <w:r>
              <w:t xml:space="preserve">les deux formes ont augmenté les taux sanguins ; pas de modification des marqueurs d’oxydation</w:t>
            </w:r>
          </w:p>
        </w:tc>
      </w:tr>
    </w:tbl>
    <w:p>
      <w:pPr>
        <w:pStyle w:val="BodyText"/>
      </w:pPr>
      <w:r>
        <w:t xml:space="preserve">La question a longtemps été controversée. Une courte étude portant sur 40 personnes en bonne santé n’a trouvé aucune modification après quatre semaines</w:t>
      </w:r>
      <w:r>
        <w:rPr>
          <w:rStyle w:val="FootnoteReference"/>
        </w:rPr>
        <w:footnoteReference w:id="1927"/>
      </w:r>
      <w:r>
        <w:t xml:space="preserve">. Une étude plus longue, également en double aveugle, portant sur 54 personnes en bonne santé, a en revanche trouvé après six mois des taux de glutathion plus élevés, de façon dose-dépendante, dans le sang, les cellules sanguines et la muqueuse buccale ; un mois après l’arrêt, les valeurs étaient revenues au niveau initial</w:t>
      </w:r>
      <w:r>
        <w:rPr>
          <w:rStyle w:val="FootnoteReference"/>
        </w:rPr>
        <w:footnoteReference w:id="1928"/>
      </w:r>
      <w:r>
        <w:t xml:space="preserve">. Une petite étude pilote sans groupe placebo a rapporté des hausses dès une à deux semaines pour le glutathion liposomal</w:t>
      </w:r>
      <w:r>
        <w:rPr>
          <w:rStyle w:val="FootnoteReference"/>
        </w:rPr>
        <w:footnoteReference w:id="1929"/>
      </w:r>
      <w:r>
        <w:t xml:space="preserve">.</w:t>
      </w:r>
    </w:p>
    <w:p>
      <w:pPr>
        <w:pStyle w:val="BodyText"/>
      </w:pPr>
      <w:r>
        <w:t xml:space="preserve">En résumé : le glutathion avalé peut augmenter de façon mesurable les taux sanguins, probablement en fonction de la dose, de la durée et de la forme galénique. Que des taux sanguins plus élevés apportent aussi un bénéfice pour la santé est une autre question.</w:t>
      </w:r>
    </w:p>
    <w:bookmarkEnd w:id="1930"/>
    <w:bookmarkStart w:id="1938" w:name="études-liées-à-des-maladies"/>
    <w:p>
      <w:pPr>
        <w:pStyle w:val="Heading4"/>
      </w:pPr>
      <w:r>
        <w:t xml:space="preserve">Études liées à des maladies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Leal 2014, PMID 24619793</w:t>
            </w:r>
          </w:p>
        </w:tc>
        <w:tc>
          <w:tcPr/>
          <w:p>
            <w:pPr>
              <w:pStyle w:val="Compact"/>
              <w:jc w:val="left"/>
            </w:pPr>
            <w:r>
              <w:t xml:space="preserve">185 patientes et patients atteints de cancer sous paclitaxel/carboplatine, perfusion contre placebo, phase 3</w:t>
            </w:r>
          </w:p>
        </w:tc>
        <w:tc>
          <w:tcPr/>
          <w:p>
            <w:pPr>
              <w:pStyle w:val="Compact"/>
              <w:jc w:val="left"/>
            </w:pPr>
            <w:r>
              <w:t xml:space="preserve">durée de la chimiothérapie</w:t>
            </w:r>
          </w:p>
        </w:tc>
        <w:tc>
          <w:tcPr/>
          <w:p>
            <w:pPr>
              <w:pStyle w:val="Compact"/>
              <w:jc w:val="left"/>
            </w:pPr>
            <w:r>
              <w:rPr>
                <w:bCs/>
                <w:b/>
              </w:rPr>
              <w:t xml:space="preserve">aucune</w:t>
            </w:r>
            <w:r>
              <w:t xml:space="preserve"> </w:t>
            </w:r>
            <w:r>
              <w:t xml:space="preserve">réduction des lésions nerveuses dues à la chimiothérapie</w:t>
            </w:r>
          </w:p>
        </w:tc>
      </w:tr>
      <w:tr>
        <w:tc>
          <w:tcPr/>
          <w:p>
            <w:pPr>
              <w:pStyle w:val="Compact"/>
              <w:jc w:val="left"/>
            </w:pPr>
            <w:r>
              <w:t xml:space="preserve">Hauser 2009, PMID 19230029</w:t>
            </w:r>
          </w:p>
        </w:tc>
        <w:tc>
          <w:tcPr/>
          <w:p>
            <w:pPr>
              <w:pStyle w:val="Compact"/>
              <w:jc w:val="left"/>
            </w:pPr>
            <w:r>
              <w:t xml:space="preserve">21 personnes atteintes de la maladie de Parkinson, perfusion contre placebo</w:t>
            </w:r>
          </w:p>
        </w:tc>
        <w:tc>
          <w:tcPr/>
          <w:p>
            <w:pPr>
              <w:pStyle w:val="Compact"/>
              <w:jc w:val="left"/>
            </w:pPr>
            <w:r>
              <w:t xml:space="preserve">4 semaines</w:t>
            </w:r>
          </w:p>
        </w:tc>
        <w:tc>
          <w:tcPr/>
          <w:p>
            <w:pPr>
              <w:pStyle w:val="Compact"/>
              <w:jc w:val="left"/>
            </w:pPr>
            <w:r>
              <w:t xml:space="preserve">pas de différence significative sur l’échelle de Parkinson</w:t>
            </w:r>
          </w:p>
        </w:tc>
      </w:tr>
      <w:tr>
        <w:tc>
          <w:tcPr/>
          <w:p>
            <w:pPr>
              <w:pStyle w:val="Compact"/>
              <w:jc w:val="left"/>
            </w:pPr>
            <w:r>
              <w:t xml:space="preserve">Mischley 2017, PMID 28436395</w:t>
            </w:r>
          </w:p>
        </w:tc>
        <w:tc>
          <w:tcPr/>
          <w:p>
            <w:pPr>
              <w:pStyle w:val="Compact"/>
              <w:jc w:val="left"/>
            </w:pPr>
            <w:r>
              <w:t xml:space="preserve">45 personnes atteintes de la maladie de Parkinson, spray nasal à deux doses contre placebo</w:t>
            </w:r>
          </w:p>
        </w:tc>
        <w:tc>
          <w:tcPr/>
          <w:p>
            <w:pPr>
              <w:pStyle w:val="Compact"/>
              <w:jc w:val="left"/>
            </w:pPr>
            <w:r>
              <w:t xml:space="preserve">3 mois</w:t>
            </w:r>
          </w:p>
        </w:tc>
        <w:tc>
          <w:tcPr/>
          <w:p>
            <w:pPr>
              <w:pStyle w:val="Compact"/>
              <w:jc w:val="left"/>
            </w:pPr>
            <w:r>
              <w:t xml:space="preserve">tous les groupes se sont améliorés, glutathion pas meilleur que le placebo</w:t>
            </w:r>
          </w:p>
        </w:tc>
      </w:tr>
      <w:tr>
        <w:tc>
          <w:tcPr/>
          <w:p>
            <w:pPr>
              <w:pStyle w:val="Compact"/>
              <w:jc w:val="left"/>
            </w:pPr>
            <w:r>
              <w:t xml:space="preserve">Bozic 2020, PMID 32960827</w:t>
            </w:r>
          </w:p>
        </w:tc>
        <w:tc>
          <w:tcPr/>
          <w:p>
            <w:pPr>
              <w:pStyle w:val="Compact"/>
              <w:jc w:val="left"/>
            </w:pPr>
            <w:r>
              <w:t xml:space="preserve">58 enfants atteints de mucoviscidose, gélules contre placebo</w:t>
            </w:r>
          </w:p>
        </w:tc>
        <w:tc>
          <w:tcPr/>
          <w:p>
            <w:pPr>
              <w:pStyle w:val="Compact"/>
              <w:jc w:val="left"/>
            </w:pPr>
            <w:r>
              <w:t xml:space="preserve">24 semaines</w:t>
            </w:r>
          </w:p>
        </w:tc>
        <w:tc>
          <w:tcPr/>
          <w:p>
            <w:pPr>
              <w:pStyle w:val="Compact"/>
              <w:jc w:val="left"/>
            </w:pPr>
            <w:r>
              <w:t xml:space="preserve">aucun effet sur la croissance et les marqueurs inflammatoires</w:t>
            </w:r>
          </w:p>
        </w:tc>
      </w:tr>
      <w:tr>
        <w:tc>
          <w:tcPr/>
          <w:p>
            <w:pPr>
              <w:pStyle w:val="Compact"/>
              <w:jc w:val="left"/>
            </w:pPr>
            <w:r>
              <w:t xml:space="preserve">Søndergård 2021, PMID 33740389</w:t>
            </w:r>
          </w:p>
        </w:tc>
        <w:tc>
          <w:tcPr/>
          <w:p>
            <w:pPr>
              <w:pStyle w:val="Compact"/>
              <w:jc w:val="left"/>
            </w:pPr>
            <w:r>
              <w:t xml:space="preserve">20 hommes en surpoids avec et sans diabète de type 2, contre placebo</w:t>
            </w:r>
          </w:p>
        </w:tc>
        <w:tc>
          <w:tcPr/>
          <w:p>
            <w:pPr>
              <w:pStyle w:val="Compact"/>
              <w:jc w:val="left"/>
            </w:pPr>
            <w:r>
              <w:t xml:space="preserve">3 semaines</w:t>
            </w:r>
          </w:p>
        </w:tc>
        <w:tc>
          <w:tcPr/>
          <w:p>
            <w:pPr>
              <w:pStyle w:val="Compact"/>
              <w:jc w:val="left"/>
            </w:pPr>
            <w:r>
              <w:t xml:space="preserve">sensibilité à l’insuline améliorée ; marqueurs d’oxydation inchangés</w:t>
            </w:r>
          </w:p>
        </w:tc>
      </w:tr>
      <w:tr>
        <w:tc>
          <w:tcPr/>
          <w:p>
            <w:pPr>
              <w:pStyle w:val="Compact"/>
              <w:jc w:val="left"/>
            </w:pPr>
            <w:r>
              <w:t xml:space="preserve">Honda 2017, PMID 28789631</w:t>
            </w:r>
          </w:p>
        </w:tc>
        <w:tc>
          <w:tcPr/>
          <w:p>
            <w:pPr>
              <w:pStyle w:val="Compact"/>
              <w:jc w:val="left"/>
            </w:pPr>
            <w:r>
              <w:t xml:space="preserve">34 personnes atteintes de stéatose hépatique, en ouvert, sans groupe témoin</w:t>
            </w:r>
          </w:p>
        </w:tc>
        <w:tc>
          <w:tcPr/>
          <w:p>
            <w:pPr>
              <w:pStyle w:val="Compact"/>
              <w:jc w:val="left"/>
            </w:pPr>
            <w:r>
              <w:t xml:space="preserve">4 mois</w:t>
            </w:r>
          </w:p>
        </w:tc>
        <w:tc>
          <w:tcPr/>
          <w:p>
            <w:pPr>
              <w:pStyle w:val="Compact"/>
              <w:jc w:val="left"/>
            </w:pPr>
            <w:r>
              <w:t xml:space="preserve">valeur hépatique ALAT diminuée</w:t>
            </w:r>
          </w:p>
        </w:tc>
      </w:tr>
      <w:tr>
        <w:tc>
          <w:tcPr/>
          <w:p>
            <w:pPr>
              <w:pStyle w:val="Compact"/>
              <w:jc w:val="left"/>
            </w:pPr>
            <w:r>
              <w:t xml:space="preserve">Arrivi 2023, PMID 36083043</w:t>
            </w:r>
          </w:p>
        </w:tc>
        <w:tc>
          <w:tcPr/>
          <w:p>
            <w:pPr>
              <w:pStyle w:val="Compact"/>
              <w:jc w:val="left"/>
            </w:pPr>
            <w:r>
              <w:t xml:space="preserve">100 personnes ayant subi un infarctus du myocarde, perfusion contre placebo (analyse a posteriori)</w:t>
            </w:r>
          </w:p>
        </w:tc>
        <w:tc>
          <w:tcPr/>
          <w:p>
            <w:pPr>
              <w:pStyle w:val="Compact"/>
              <w:jc w:val="left"/>
            </w:pPr>
            <w:r>
              <w:t xml:space="preserve">séjour hospitalier</w:t>
            </w:r>
          </w:p>
        </w:tc>
        <w:tc>
          <w:tcPr/>
          <w:p>
            <w:pPr>
              <w:pStyle w:val="Compact"/>
              <w:jc w:val="left"/>
            </w:pPr>
            <w:r>
              <w:t xml:space="preserve">séjour à l’hôpital de 8,6 au lieu de 10,8 jours</w:t>
            </w:r>
          </w:p>
        </w:tc>
      </w:tr>
    </w:tbl>
    <w:p>
      <w:pPr>
        <w:pStyle w:val="BodyText"/>
      </w:pPr>
      <w:r>
        <w:t xml:space="preserve">Le tableau est décevant : la plus grande étude, et la plus solide sur le plan méthodologique – une étude de phase 3 portant sur 185 patientes et patients atteints de cancer – n’a trouvé aucune protection contre les lésions nerveuses dues à la chimiothérapie ; pour certains objectifs secondaires, le placebo a même obtenu de meilleurs résultats</w:t>
      </w:r>
      <w:r>
        <w:rPr>
          <w:rStyle w:val="FootnoteReference"/>
        </w:rPr>
        <w:footnoteReference w:id="1931"/>
      </w:r>
      <w:r>
        <w:t xml:space="preserve">. Dans la maladie de Parkinson, le glutathion n’a été meilleur que le placebo ni en perfusion</w:t>
      </w:r>
      <w:r>
        <w:rPr>
          <w:rStyle w:val="FootnoteReference"/>
        </w:rPr>
        <w:footnoteReference w:id="1932"/>
      </w:r>
      <w:r>
        <w:t xml:space="preserve"> </w:t>
      </w:r>
      <w:r>
        <w:t xml:space="preserve">ni en spray nasal ; dans l’étude sur le spray nasal, une personne sous la dose la plus élevée a développé une maladie du muscle cardiaque</w:t>
      </w:r>
      <w:r>
        <w:rPr>
          <w:rStyle w:val="FootnoteReference"/>
        </w:rPr>
        <w:footnoteReference w:id="1933"/>
      </w:r>
      <w:r>
        <w:t xml:space="preserve">. Chez les enfants atteints de mucoviscidose, la croissance n’a pas été influencée</w:t>
      </w:r>
      <w:r>
        <w:rPr>
          <w:rStyle w:val="FootnoteReference"/>
        </w:rPr>
        <w:footnoteReference w:id="1934"/>
      </w:r>
      <w:r>
        <w:t xml:space="preserve">.</w:t>
      </w:r>
    </w:p>
    <w:p>
      <w:pPr>
        <w:pStyle w:val="BodyText"/>
      </w:pPr>
      <w:r>
        <w:t xml:space="preserve">Les signaux positifs proviennent de petites études : chez 20 hommes en surpoids, la sensibilité à l’insuline s’est améliorée après trois semaines</w:t>
      </w:r>
      <w:r>
        <w:rPr>
          <w:rStyle w:val="FootnoteReference"/>
        </w:rPr>
        <w:footnoteReference w:id="1935"/>
      </w:r>
      <w:r>
        <w:t xml:space="preserve"> </w:t>
      </w:r>
      <w:r>
        <w:t xml:space="preserve">; dans la stéatose hépatique, les valeurs hépatiques ont baissé dans une étude non contrôlée</w:t>
      </w:r>
      <w:r>
        <w:rPr>
          <w:rStyle w:val="FootnoteReference"/>
        </w:rPr>
        <w:footnoteReference w:id="1936"/>
      </w:r>
      <w:r>
        <w:t xml:space="preserve"> </w:t>
      </w:r>
      <w:r>
        <w:t xml:space="preserve">; après un infarctus du myocarde, la durée d’hospitalisation était plus courte dans une analyse a posteriori</w:t>
      </w:r>
      <w:r>
        <w:rPr>
          <w:rStyle w:val="FootnoteReference"/>
        </w:rPr>
        <w:footnoteReference w:id="1937"/>
      </w:r>
      <w:r>
        <w:t xml:space="preserve">. Aucun de ces résultats n’a été confirmé à ce jour dans une étude plus vaste.</w:t>
      </w:r>
    </w:p>
    <w:bookmarkEnd w:id="1938"/>
    <w:bookmarkStart w:id="1945" w:name="X9c2c444ecf7398ab1dc9726aa6f2c7ee23a90dd"/>
    <w:p>
      <w:pPr>
        <w:pStyle w:val="Heading4"/>
      </w:pPr>
      <w:r>
        <w:t xml:space="preserve">Éclaircissement de la peau : par voie orale, locale, intraveineuse</w:t>
      </w:r>
    </w:p>
    <w:p>
      <w:pPr>
        <w:pStyle w:val="FirstParagraph"/>
      </w:pPr>
      <w:r>
        <w:t xml:space="preserve">Dans certaines régions d’Asie, d’Afrique et de plus en plus aussi en Europe, le glutathion est surtout commercialisé comme « éclaircissant de la peau » – en gélules, en crèmes et sous forme de perfusions dans des cliniques esthétiques.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Arjinpathana 2012, PMID 20524875</w:t>
            </w:r>
          </w:p>
        </w:tc>
        <w:tc>
          <w:tcPr/>
          <w:p>
            <w:pPr>
              <w:pStyle w:val="Compact"/>
              <w:jc w:val="left"/>
            </w:pPr>
            <w:r>
              <w:t xml:space="preserve">60 étudiantes et étudiants en médecine en Thaïlande, gélules contre placebo</w:t>
            </w:r>
          </w:p>
        </w:tc>
        <w:tc>
          <w:tcPr/>
          <w:p>
            <w:pPr>
              <w:pStyle w:val="Compact"/>
              <w:jc w:val="left"/>
            </w:pPr>
            <w:r>
              <w:t xml:space="preserve">4 semaines</w:t>
            </w:r>
          </w:p>
        </w:tc>
        <w:tc>
          <w:tcPr/>
          <w:p>
            <w:pPr>
              <w:pStyle w:val="Compact"/>
              <w:jc w:val="left"/>
            </w:pPr>
            <w:r>
              <w:t xml:space="preserve">indice de mélanine davantage abaissé sur 2 des 6 sites de mesure</w:t>
            </w:r>
          </w:p>
        </w:tc>
      </w:tr>
      <w:tr>
        <w:tc>
          <w:tcPr/>
          <w:p>
            <w:pPr>
              <w:pStyle w:val="Compact"/>
              <w:jc w:val="left"/>
            </w:pPr>
            <w:r>
              <w:t xml:space="preserve">Weschawalit 2017, PMID 28490897</w:t>
            </w:r>
          </w:p>
        </w:tc>
        <w:tc>
          <w:tcPr/>
          <w:p>
            <w:pPr>
              <w:pStyle w:val="Compact"/>
              <w:jc w:val="left"/>
            </w:pPr>
            <w:r>
              <w:t xml:space="preserve">femmes en bonne santé, glutathion réduit ou oxydé contre placebo</w:t>
            </w:r>
          </w:p>
        </w:tc>
        <w:tc>
          <w:tcPr/>
          <w:p>
            <w:pPr>
              <w:pStyle w:val="Compact"/>
              <w:jc w:val="left"/>
            </w:pPr>
            <w:r>
              <w:t xml:space="preserve">12 semaines</w:t>
            </w:r>
          </w:p>
        </w:tc>
        <w:tc>
          <w:tcPr/>
          <w:p>
            <w:pPr>
              <w:pStyle w:val="Compact"/>
              <w:jc w:val="left"/>
            </w:pPr>
            <w:r>
              <w:t xml:space="preserve">indice de mélanine tendanciellement plus bas ; en partie moins de rides</w:t>
            </w:r>
          </w:p>
        </w:tc>
      </w:tr>
      <w:tr>
        <w:tc>
          <w:tcPr/>
          <w:p>
            <w:pPr>
              <w:pStyle w:val="Compact"/>
              <w:jc w:val="left"/>
            </w:pPr>
            <w:r>
              <w:t xml:space="preserve">Handog 2016, PMID 26148180</w:t>
            </w:r>
          </w:p>
        </w:tc>
        <w:tc>
          <w:tcPr/>
          <w:p>
            <w:pPr>
              <w:pStyle w:val="Compact"/>
              <w:jc w:val="left"/>
            </w:pPr>
            <w:r>
              <w:t xml:space="preserve">30 femmes aux Philippines, comprimé à sucer, sans groupe témoin</w:t>
            </w:r>
          </w:p>
        </w:tc>
        <w:tc>
          <w:tcPr/>
          <w:p>
            <w:pPr>
              <w:pStyle w:val="Compact"/>
              <w:jc w:val="left"/>
            </w:pPr>
            <w:r>
              <w:t xml:space="preserve">8 semaines</w:t>
            </w:r>
          </w:p>
        </w:tc>
        <w:tc>
          <w:tcPr/>
          <w:p>
            <w:pPr>
              <w:pStyle w:val="Compact"/>
              <w:jc w:val="left"/>
            </w:pPr>
            <w:r>
              <w:t xml:space="preserve">indice de mélanine diminué</w:t>
            </w:r>
          </w:p>
        </w:tc>
      </w:tr>
      <w:tr>
        <w:tc>
          <w:tcPr/>
          <w:p>
            <w:pPr>
              <w:pStyle w:val="Compact"/>
              <w:jc w:val="left"/>
            </w:pPr>
            <w:r>
              <w:t xml:space="preserve">Wahab 2021, PMID 33871071</w:t>
            </w:r>
          </w:p>
        </w:tc>
        <w:tc>
          <w:tcPr/>
          <w:p>
            <w:pPr>
              <w:pStyle w:val="Compact"/>
              <w:jc w:val="left"/>
            </w:pPr>
            <w:r>
              <w:t xml:space="preserve">46 personnes, association crème et gélule contre placebo</w:t>
            </w:r>
          </w:p>
        </w:tc>
        <w:tc>
          <w:tcPr/>
          <w:p>
            <w:pPr>
              <w:pStyle w:val="Compact"/>
              <w:jc w:val="left"/>
            </w:pPr>
            <w:r>
              <w:t xml:space="preserve">8 semaines</w:t>
            </w:r>
          </w:p>
        </w:tc>
        <w:tc>
          <w:tcPr/>
          <w:p>
            <w:pPr>
              <w:pStyle w:val="Compact"/>
              <w:jc w:val="left"/>
            </w:pPr>
            <w:r>
              <w:t xml:space="preserve">association peut-être plus efficace qu’une utilisation isolée</w:t>
            </w:r>
          </w:p>
        </w:tc>
      </w:tr>
    </w:tbl>
    <w:p>
      <w:pPr>
        <w:pStyle w:val="BodyText"/>
      </w:pPr>
      <w:r>
        <w:rPr>
          <w:bCs/>
          <w:b/>
        </w:rPr>
        <w:t xml:space="preserve">Par voie orale et locale :</w:t>
      </w:r>
      <w:r>
        <w:t xml:space="preserve"> </w:t>
      </w:r>
      <w:r>
        <w:t xml:space="preserve">plusieurs petites études randomisées montrent un léger éclaircissement, surtout sur les zones exposées au soleil. Dans la première étude, l’effet n’était statistiquement significatif que sur deux des six sites de mesure</w:t>
      </w:r>
      <w:r>
        <w:rPr>
          <w:rStyle w:val="FootnoteReference"/>
        </w:rPr>
        <w:footnoteReference w:id="1939"/>
      </w:r>
      <w:r>
        <w:t xml:space="preserve">. Une revue systématique a conclu en 2019 que les preuves n’étaient « pas encore concluantes » en raison de la qualité des études et de résultats contradictoires</w:t>
      </w:r>
      <w:r>
        <w:rPr>
          <w:rStyle w:val="FootnoteReference"/>
        </w:rPr>
        <w:footnoteReference w:id="1940"/>
      </w:r>
      <w:r>
        <w:t xml:space="preserve">. Une revue plus récente juge les crèmes et les gélules modérément efficaces, avec des effets qui ne persistent pas après l’arrêt</w:t>
      </w:r>
      <w:r>
        <w:rPr>
          <w:rStyle w:val="FootnoteReference"/>
        </w:rPr>
        <w:footnoteReference w:id="1941"/>
      </w:r>
      <w:r>
        <w:t xml:space="preserve">.</w:t>
      </w:r>
    </w:p>
    <w:p>
      <w:pPr>
        <w:pStyle w:val="BodyText"/>
      </w:pPr>
      <w:r>
        <w:rPr>
          <w:bCs/>
          <w:b/>
        </w:rPr>
        <w:t xml:space="preserve">Par voie intraveineuse :</w:t>
      </w:r>
      <w:r>
        <w:t xml:space="preserve"> </w:t>
      </w:r>
      <w:r>
        <w:t xml:space="preserve">pour les perfusions destinées à éclaircir la peau, il n’existe selon la même revue qu’une seule étude contrôlée contre placebo, qui n’a trouvé aucune différence significative (37,5 % contre 18,7 %, p = 0,054). Les auteures et auteurs considèrent le glutathion intraveineux pour l’éclaircissement de la peau comme</w:t>
      </w:r>
      <w:r>
        <w:t xml:space="preserve"> </w:t>
      </w:r>
      <w:r>
        <w:rPr>
          <w:bCs/>
          <w:b/>
        </w:rPr>
        <w:t xml:space="preserve">contre-indiqué</w:t>
      </w:r>
      <w:r>
        <w:t xml:space="preserve">, c’est-à-dire non défendable, en raison de son absence d’efficacité et de ses effets indésirables</w:t>
      </w:r>
      <w:r>
        <w:rPr>
          <w:rStyle w:val="FootnoteReference"/>
        </w:rPr>
        <w:footnoteReference w:id="1942"/>
      </w:r>
      <w:r>
        <w:t xml:space="preserve">. Une revue sud-africaine n’a trouvé pas une seule étude sur la sécurité de perfusions répétées, quelle qu’en soit l’utilisation</w:t>
      </w:r>
      <w:r>
        <w:rPr>
          <w:rStyle w:val="FootnoteReference"/>
        </w:rPr>
        <w:footnoteReference w:id="1943"/>
      </w:r>
      <w:r>
        <w:t xml:space="preserve">. Dans le British Medical Journal, cette pratique a été critiquée comme un « blanchiment contraire à l’éthique »</w:t>
      </w:r>
      <w:r>
        <w:rPr>
          <w:rStyle w:val="FootnoteReference"/>
        </w:rPr>
        <w:footnoteReference w:id="1944"/>
      </w:r>
      <w:r>
        <w:t xml:space="preserve">.</w:t>
      </w:r>
    </w:p>
    <w:bookmarkEnd w:id="1945"/>
    <w:bookmarkEnd w:id="1946"/>
    <w:bookmarkStart w:id="1947" w:name="études-animales-et-de-laboratoire-45"/>
    <w:p>
      <w:pPr>
        <w:pStyle w:val="Heading3"/>
      </w:pPr>
      <w:r>
        <w:t xml:space="preserve">Études animales et de laboratoire</w:t>
      </w:r>
    </w:p>
    <w:p>
      <w:pPr>
        <w:pStyle w:val="FirstParagraph"/>
      </w:pPr>
      <w:r>
        <w:t xml:space="preserve">La recherche en laboratoire sur le glutathion est extrêmement abondante et concerne presque tous les domaines de la biologie cellulaire. Ce qui est pertinent pour ce livre, c’est surtout que, dans des expériences cellulaires et animales, le glutathion ou ses précurseurs ont pu protéger contre les dommages oxydatifs, la toxicité médicamenteuse et les réactions inflammatoires – des effets qui ne se retrouvent que partiellement, et le plus souvent faiblement, dans les études cliniques chez l’humain.</w:t>
      </w:r>
    </w:p>
    <w:bookmarkEnd w:id="1947"/>
    <w:bookmarkStart w:id="1951" w:name="risques-et-effets-indésirables-45"/>
    <w:p>
      <w:pPr>
        <w:pStyle w:val="Heading3"/>
      </w:pPr>
      <w:r>
        <w:t xml:space="preserve">Risques et effets indésirables</w:t>
      </w:r>
    </w:p>
    <w:p>
      <w:pPr>
        <w:pStyle w:val="FirstParagraph"/>
      </w:pPr>
      <w:r>
        <w:rPr>
          <w:bCs/>
          <w:b/>
        </w:rPr>
        <w:t xml:space="preserve">Prise orale :</w:t>
      </w:r>
      <w:r>
        <w:t xml:space="preserve"> </w:t>
      </w:r>
      <w:r>
        <w:t xml:space="preserve">bien tolérée dans les études ; des troubles gastro-intestinaux isolés sont rapportés. Les données à long terme au-delà de six mois font largement défaut.</w:t>
      </w:r>
    </w:p>
    <w:p>
      <w:pPr>
        <w:pStyle w:val="BodyText"/>
      </w:pPr>
      <w:r>
        <w:rPr>
          <w:bCs/>
          <w:b/>
        </w:rPr>
        <w:t xml:space="preserve">Spray nasal :</w:t>
      </w:r>
      <w:r>
        <w:t xml:space="preserve"> </w:t>
      </w:r>
      <w:r>
        <w:t xml:space="preserve">dans une étude sur la maladie de Parkinson, une maladie du muscle cardiaque est survenue chez une personne sous la dose la plus élevée ; un lien n’est pas établi</w:t>
      </w:r>
      <w:r>
        <w:rPr>
          <w:rStyle w:val="FootnoteReference"/>
        </w:rPr>
        <w:footnoteReference w:id="1948"/>
      </w:r>
      <w:r>
        <w:t xml:space="preserve">.</w:t>
      </w:r>
    </w:p>
    <w:p>
      <w:pPr>
        <w:pStyle w:val="BodyText"/>
      </w:pPr>
      <w:r>
        <w:rPr>
          <w:bCs/>
          <w:b/>
        </w:rPr>
        <w:t xml:space="preserve">Perfusions – les véritables risques :</w:t>
      </w:r>
    </w:p>
    <w:p>
      <w:pPr>
        <w:numPr>
          <w:ilvl w:val="0"/>
          <w:numId w:val="1246"/>
        </w:numPr>
        <w:pStyle w:val="Compact"/>
      </w:pPr>
      <w:r>
        <w:rPr>
          <w:bCs/>
          <w:b/>
        </w:rPr>
        <w:t xml:space="preserve">Préparations contaminées :</w:t>
      </w:r>
      <w:r>
        <w:t xml:space="preserve"> </w:t>
      </w:r>
      <w:r>
        <w:t xml:space="preserve">en 2019, l’autorité américaine du médicament FDA a mis en garde les pharmacies contre l’utilisation, pour des perfusions, de glutathion provenant d’un grossiste déterminé, après que des patientes et patients eurent présenté des nausées, des vomissements et une détresse respiratoire après des perfusions et que des taux élevés d’endotoxines (composants bactériens pouvant provoquer fièvre et choc) eurent été mesurés. En août 2026, la FDA a de nouveau demandé aux pharmacies de ne pas utiliser de glutathion de qualité complément alimentaire pour des injections ; après des perfusions issues d’un lot déterminé, de la fièvre, des frissons, des états de type choc et des hospitalisations étaient survenus.</w:t>
      </w:r>
    </w:p>
    <w:p>
      <w:pPr>
        <w:numPr>
          <w:ilvl w:val="0"/>
          <w:numId w:val="1246"/>
        </w:numPr>
        <w:pStyle w:val="Compact"/>
      </w:pPr>
      <w:r>
        <w:rPr>
          <w:bCs/>
          <w:b/>
        </w:rPr>
        <w:t xml:space="preserve">Mises en garde des autorités concernant l’éclaircissement de la peau :</w:t>
      </w:r>
      <w:r>
        <w:t xml:space="preserve"> </w:t>
      </w:r>
      <w:r>
        <w:t xml:space="preserve">l’autorité philippine du médicament a mis en garde en 2011 et 2019 contre les injections de glutathion destinées à éclaircir la peau ; elle a cité des effets indésirables allant des éruptions cutanées aux réactions cutanées potentiellement mortelles que sont le syndrome de Stevens-Johnson et la nécrolyse épidermique toxique, ainsi que les risques liés à des injections inappropriées comme la septicémie et la transmission d’infections. La FDA américaine a également averti les consommatrices et consommateurs qu’aucune préparation injectable n’est autorisée pour éclaircir la peau et que de tels produits peuvent contenir des composants inconnus et nocifs.</w:t>
      </w:r>
    </w:p>
    <w:p>
      <w:pPr>
        <w:numPr>
          <w:ilvl w:val="0"/>
          <w:numId w:val="1246"/>
        </w:numPr>
        <w:pStyle w:val="Compact"/>
      </w:pPr>
      <w:r>
        <w:rPr>
          <w:bCs/>
          <w:b/>
        </w:rPr>
        <w:t xml:space="preserve">Cancer de la peau (théorique) :</w:t>
      </w:r>
      <w:r>
        <w:t xml:space="preserve"> </w:t>
      </w:r>
      <w:r>
        <w:t xml:space="preserve">le passage de la mélanine foncée à la mélanine claire pourrait réduire la protection solaire naturelle de la peau</w:t>
      </w:r>
      <w:r>
        <w:rPr>
          <w:rStyle w:val="FootnoteReference"/>
        </w:rPr>
        <w:footnoteReference w:id="1949"/>
      </w:r>
      <w:r>
        <w:t xml:space="preserve">.</w:t>
      </w:r>
    </w:p>
    <w:p>
      <w:pPr>
        <w:pStyle w:val="FirstParagraph"/>
      </w:pPr>
      <w:r>
        <w:rPr>
          <w:bCs/>
          <w:b/>
        </w:rPr>
        <w:t xml:space="preserve">Interactions :</w:t>
      </w:r>
      <w:r>
        <w:t xml:space="preserve"> </w:t>
      </w:r>
      <w:r>
        <w:t xml:space="preserve">dans une étude sur le cancer, le glutathion a été administré avant la chimiothérapie ; le délai jusqu’à la progression de la maladie n’y différait pas de celui sous placebo</w:t>
      </w:r>
      <w:r>
        <w:rPr>
          <w:rStyle w:val="FootnoteReference"/>
        </w:rPr>
        <w:footnoteReference w:id="1950"/>
      </w:r>
      <w:r>
        <w:t xml:space="preserve">. De manière générale, on se demande si les antioxydants pourraient atténuer l’effet de certains traitements anticancéreux. Les personnes en cours de traitement anticancéreux ne devraient prendre du glutathion qu’après en avoir parlé avec l’équipe soignante.</w:t>
      </w:r>
    </w:p>
    <w:bookmarkEnd w:id="1951"/>
    <w:bookmarkStart w:id="1952" w:name="statut-juridique-45"/>
    <w:p>
      <w:pPr>
        <w:pStyle w:val="Heading3"/>
      </w:pPr>
      <w:r>
        <w:t xml:space="preserve">Statut juridique</w:t>
      </w:r>
    </w:p>
    <w:p>
      <w:pPr>
        <w:numPr>
          <w:ilvl w:val="0"/>
          <w:numId w:val="1247"/>
        </w:numPr>
        <w:pStyle w:val="Compact"/>
      </w:pPr>
      <w:r>
        <w:rPr>
          <w:bCs/>
          <w:b/>
        </w:rPr>
        <w:t xml:space="preserve">UE / Autriche / Allemagne :</w:t>
      </w:r>
      <w:r>
        <w:t xml:space="preserve"> </w:t>
      </w:r>
      <w:r>
        <w:t xml:space="preserve">le glutathion est vendu comme complément alimentaire en gélules et en poudres ; les promesses de santé dans la publicité ne sont pas permises sans allégations de santé autorisées. Les perfusions et injections sont des médicaments ; les préparations destinées à éclaircir la peau par perfusion ne sont pas autorisées. Dans certains pays (à notre connaissance, par exemple l’Italie), il existe des injections de glutathion autorisées pour des applications médicales particulières ; pour les détails, se reporter au résumé des caractéristiques du produit correspondant.</w:t>
      </w:r>
    </w:p>
    <w:p>
      <w:pPr>
        <w:numPr>
          <w:ilvl w:val="0"/>
          <w:numId w:val="1247"/>
        </w:numPr>
        <w:pStyle w:val="Compact"/>
      </w:pPr>
      <w:r>
        <w:rPr>
          <w:bCs/>
          <w:b/>
        </w:rPr>
        <w:t xml:space="preserve">États-Unis :</w:t>
      </w:r>
      <w:r>
        <w:t xml:space="preserve"> </w:t>
      </w:r>
      <w:r>
        <w:t xml:space="preserve">aucun médicament à base de glutathion autorisé ; les compléments alimentaires sont permis, et les perfusions sont fabriquées en préparation magistrale et soumises aux exigences de la FDA pour les préparations stériles.</w:t>
      </w:r>
    </w:p>
    <w:p>
      <w:pPr>
        <w:numPr>
          <w:ilvl w:val="0"/>
          <w:numId w:val="1247"/>
        </w:numPr>
        <w:pStyle w:val="Compact"/>
      </w:pPr>
      <w:r>
        <w:rPr>
          <w:bCs/>
          <w:b/>
        </w:rPr>
        <w:t xml:space="preserve">Sport :</w:t>
      </w:r>
      <w:r>
        <w:t xml:space="preserve"> </w:t>
      </w:r>
      <w:r>
        <w:t xml:space="preserve">le glutathion n’est pas interdit ; les perfusions de plus de 100 ml en douze heures relèvent, en dehors des traitements hospitaliers, de la méthode M2 de l’AMA (état 2026, à vérifier).</w:t>
      </w:r>
    </w:p>
    <w:bookmarkEnd w:id="1952"/>
    <w:bookmarkStart w:id="1954" w:name="études-en-cours-et-perspectives-45"/>
    <w:p>
      <w:pPr>
        <w:pStyle w:val="Heading3"/>
      </w:pPr>
      <w:r>
        <w:t xml:space="preserve">Études en cours et perspectives</w:t>
      </w:r>
    </w:p>
    <w:p>
      <w:pPr>
        <w:pStyle w:val="FirstParagraph"/>
      </w:pPr>
      <w:r>
        <w:rPr>
          <w:bCs/>
          <w:b/>
        </w:rPr>
        <w:t xml:space="preserve">Établi (études enregistrées, état octobre 2026) :</w:t>
      </w:r>
    </w:p>
    <w:p>
      <w:pPr>
        <w:numPr>
          <w:ilvl w:val="0"/>
          <w:numId w:val="1248"/>
        </w:numPr>
        <w:pStyle w:val="Compact"/>
      </w:pPr>
      <w:r>
        <w:t xml:space="preserve">Une étude de phase 1 en Chine examine le glutathion en complément de l’immunothérapie et de la chimiothérapie dans le cancer du poumon avancé (NCT06896422, 80 participants prévus).</w:t>
      </w:r>
    </w:p>
    <w:p>
      <w:pPr>
        <w:numPr>
          <w:ilvl w:val="0"/>
          <w:numId w:val="1248"/>
        </w:numPr>
        <w:pStyle w:val="Compact"/>
      </w:pPr>
      <w:r>
        <w:t xml:space="preserve">Une étude sur le microneedling assisté par glutathion dans le mélasma (taches pigmentaires) est enregistrée</w:t>
      </w:r>
      <w:r>
        <w:rPr>
          <w:rStyle w:val="FootnoteReference"/>
        </w:rPr>
        <w:footnoteReference w:id="1953"/>
      </w:r>
      <w:r>
        <w:t xml:space="preserve">.</w:t>
      </w:r>
    </w:p>
    <w:p>
      <w:pPr>
        <w:numPr>
          <w:ilvl w:val="0"/>
          <w:numId w:val="1248"/>
        </w:numPr>
        <w:pStyle w:val="Compact"/>
      </w:pPr>
      <w:r>
        <w:t xml:space="preserve">Plusieurs petites études examinent de nouvelles formes galéniques (liposomales, micellaires) et la récupération sportive, souvent financées par des fabricants.</w:t>
      </w:r>
    </w:p>
    <w:p>
      <w:pPr>
        <w:pStyle w:val="FirstParagraph"/>
      </w:pPr>
      <w:r>
        <w:rPr>
          <w:bCs/>
          <w:b/>
        </w:rPr>
        <w:t xml:space="preserve">Appréciation :</w:t>
      </w:r>
      <w:r>
        <w:t xml:space="preserve"> </w:t>
      </w:r>
      <w:r>
        <w:t xml:space="preserve">la principale question ouverte n’est plus de savoir si le glutathion est absorbé, mais si des taux plus élevés apportent un bénéfice clinique. Les grandes études menées jusqu’ici plaident plutôt contre. Pour les perfusions destinées à éclaircir la peau ou en « drip » de bien-être, les risques dépassent un bénéfice non démontré.</w:t>
      </w:r>
    </w:p>
    <w:bookmarkEnd w:id="1954"/>
    <w:bookmarkStart w:id="1955" w:name="conclusion-45"/>
    <w:p>
      <w:pPr>
        <w:pStyle w:val="Heading3"/>
      </w:pPr>
      <w:r>
        <w:t xml:space="preserve">Conclusion</w:t>
      </w:r>
    </w:p>
    <w:p>
      <w:pPr>
        <w:pStyle w:val="FirstParagraph"/>
      </w:pPr>
      <w:r>
        <w:t xml:space="preserve">Le glutathion est le principal peptide protecteur endogène contre l’oxydation ; pris en gélule, il peut augmenter de façon mesurable les taux sanguins en cas de prise prolongée. Sur le plan clinique, les études plus vastes n’ont toutefois montré aucun bénéfice – ni contre les lésions nerveuses dues à la chimiothérapie, ni dans la maladie de Parkinson ou la mucoviscidose ; les indices positifs proviennent de petites études. Les gélules et les crèmes ont éclairci la peau légèrement et temporairement dans de petites études. Les perfusions destinées à éclaircir la peau n’ont pas d’efficacité démontrée, ne sont pas autorisées et ont fait l’objet de mises en garde expresses de plusieurs autorités en raison d’effets indésirables graves et de préparations contaminées.</w:t>
      </w:r>
    </w:p>
    <w:bookmarkEnd w:id="1955"/>
    <w:bookmarkEnd w:id="1956"/>
    <w:bookmarkEnd w:id="1957"/>
    <w:bookmarkStart w:id="2313" w:name="X463ae904b745bdb5da96a42d3d76977fa02412f"/>
    <w:p>
      <w:pPr>
        <w:pStyle w:val="Heading1"/>
      </w:pPr>
      <w:r>
        <w:t xml:space="preserve">Partie II · E – Hormones, sexualité et pigmentation</w:t>
      </w:r>
    </w:p>
    <w:p>
      <w:pPr>
        <w:pStyle w:val="FirstParagraph"/>
      </w:pPr>
      <w:r>
        <w:t xml:space="preserve">Les six peptides de ce groupe agissent sur des choses très différentes : la couleur de la peau, le désir sexuel, la fertilité et le comportement social. Leur point commun est d’imiter des voies de signalisation propres à l’organisme, celles du cerveau et des glandes endocrines, étroitement imbriquées les unes avec les autres. Trois d’entre eux appartiennent à une seule et même famille, le système des mélanocortines ; trois autres pilotent l’axe hormonal de la reproduction ou y sont liés.</w:t>
      </w:r>
    </w:p>
    <w:bookmarkStart w:id="1960" w:name="le-système-des-mélanocortines"/>
    <w:p>
      <w:pPr>
        <w:pStyle w:val="Heading3"/>
      </w:pPr>
      <w:r>
        <w:t xml:space="preserve">Le système des mélanocortines</w:t>
      </w:r>
    </w:p>
    <w:p>
      <w:pPr>
        <w:pStyle w:val="FirstParagraph"/>
      </w:pPr>
      <w:r>
        <w:t xml:space="preserve">Tout commence par une grande protéine précurseur appelée pro-opiomélanocortine (POMC). Des enzymes y découpent plusieurs peptides plus petits, parmi lesquels l’hormone du stress ACTH et les hormones mélanotropes (MSH), surtout l’alpha-MSH. Ces messagers sont désignés ensemble sous le nom de mélanocortines. Ils agissent par l’intermédiaire de cinq récepteurs, MC1R à MC5R, présents dans différents tissus :</w:t>
      </w:r>
    </w:p>
    <w:p>
      <w:pPr>
        <w:numPr>
          <w:ilvl w:val="0"/>
          <w:numId w:val="1249"/>
        </w:numPr>
        <w:pStyle w:val="Compact"/>
      </w:pPr>
      <w:r>
        <w:rPr>
          <w:bCs/>
          <w:b/>
        </w:rPr>
        <w:t xml:space="preserve">MC1R</w:t>
      </w:r>
      <w:r>
        <w:t xml:space="preserve">, sur les cellules pigmentaires de la peau, détermine si celles-ci produisent de l’eumélanine, un pigment foncé et protecteur. Les personnes rousses à la peau claire portent souvent des variantes moins efficaces de ce récepteur.</w:t>
      </w:r>
    </w:p>
    <w:p>
      <w:pPr>
        <w:numPr>
          <w:ilvl w:val="0"/>
          <w:numId w:val="1249"/>
        </w:numPr>
        <w:pStyle w:val="Compact"/>
      </w:pPr>
      <w:r>
        <w:rPr>
          <w:bCs/>
          <w:b/>
        </w:rPr>
        <w:t xml:space="preserve">MC2R</w:t>
      </w:r>
      <w:r>
        <w:t xml:space="preserve">, dans la glande surrénale, est le récepteur de l’ACTH et règle la production de cortisol.</w:t>
      </w:r>
    </w:p>
    <w:p>
      <w:pPr>
        <w:numPr>
          <w:ilvl w:val="0"/>
          <w:numId w:val="1249"/>
        </w:numPr>
        <w:pStyle w:val="Compact"/>
      </w:pPr>
      <w:r>
        <w:rPr>
          <w:bCs/>
          <w:b/>
        </w:rPr>
        <w:t xml:space="preserve">MC3R et MC4R</w:t>
      </w:r>
      <w:r>
        <w:t xml:space="preserve">, dans le cerveau, influencent l’appétit, la dépense énergétique et – comme on l’a découvert par hasard – l’excitation sexuelle. Les anomalies du MC4R sont la cause génétique la plus fréquente d’obésité sévère.</w:t>
      </w:r>
    </w:p>
    <w:p>
      <w:pPr>
        <w:numPr>
          <w:ilvl w:val="0"/>
          <w:numId w:val="1249"/>
        </w:numPr>
        <w:pStyle w:val="Compact"/>
      </w:pPr>
      <w:r>
        <w:rPr>
          <w:bCs/>
          <w:b/>
        </w:rPr>
        <w:t xml:space="preserve">MC5R</w:t>
      </w:r>
      <w:r>
        <w:t xml:space="preserve"> </w:t>
      </w:r>
      <w:r>
        <w:t xml:space="preserve">agit entre autres sur les glandes sébacées et d’autres glandes.</w:t>
      </w:r>
    </w:p>
    <w:p>
      <w:pPr>
        <w:pStyle w:val="FirstParagraph"/>
      </w:pPr>
      <w:r>
        <w:t xml:space="preserve">L’histoire des trois peptides mélanocortinergiques de cette partie commence à l’université de l’Arizona. Dans les années 1980 et 1990, des chercheurs y ont mis au point deux dérivés stabilisés de l’alpha-MSH afin d’obtenir un bronzage sans soleil : le Melanotan I, linéaire, et le Melanotan II, cyclique</w:t>
      </w:r>
      <w:r>
        <w:rPr>
          <w:rStyle w:val="FootnoteReference"/>
        </w:rPr>
        <w:footnoteReference w:id="1958"/>
      </w:r>
      <w:r>
        <w:t xml:space="preserve">. Lors des essais avec le Melanotan II, des hommes ont rapporté des érections spontanées – c’est ainsi que l’on a découvert que les mélanocortines influencent la fonction sexuelle dans le cerveau</w:t>
      </w:r>
      <w:r>
        <w:rPr>
          <w:rStyle w:val="FootnoteReference"/>
        </w:rPr>
        <w:footnoteReference w:id="1959"/>
      </w:r>
      <w:r>
        <w:t xml:space="preserve">.</w:t>
      </w:r>
    </w:p>
    <w:p>
      <w:pPr>
        <w:pStyle w:val="BodyText"/>
      </w:pPr>
      <w:r>
        <w:t xml:space="preserve">De ces débuts sont nées trois voies :</w:t>
      </w:r>
    </w:p>
    <w:p>
      <w:pPr>
        <w:numPr>
          <w:ilvl w:val="0"/>
          <w:numId w:val="1250"/>
        </w:numPr>
        <w:pStyle w:val="Compact"/>
      </w:pPr>
      <w:r>
        <w:t xml:space="preserve">Le</w:t>
      </w:r>
      <w:r>
        <w:t xml:space="preserve"> </w:t>
      </w:r>
      <w:r>
        <w:rPr>
          <w:bCs/>
          <w:b/>
        </w:rPr>
        <w:t xml:space="preserve">Melanotan I</w:t>
      </w:r>
      <w:r>
        <w:t xml:space="preserve"> </w:t>
      </w:r>
      <w:r>
        <w:t xml:space="preserve">a été développé, sous le nom d’</w:t>
      </w:r>
      <w:r>
        <w:rPr>
          <w:bCs/>
          <w:b/>
        </w:rPr>
        <w:t xml:space="preserve">afamélanotide</w:t>
      </w:r>
      <w:r>
        <w:t xml:space="preserve">, en implant contre une photosensibilité rare et douloureuse ; il est autorisé dans l’UE et aux États-Unis.</w:t>
      </w:r>
    </w:p>
    <w:p>
      <w:pPr>
        <w:numPr>
          <w:ilvl w:val="0"/>
          <w:numId w:val="1250"/>
        </w:numPr>
        <w:pStyle w:val="Compact"/>
      </w:pPr>
      <w:r>
        <w:t xml:space="preserve">Le</w:t>
      </w:r>
      <w:r>
        <w:t xml:space="preserve"> </w:t>
      </w:r>
      <w:r>
        <w:rPr>
          <w:bCs/>
          <w:b/>
        </w:rPr>
        <w:t xml:space="preserve">Melanotan II</w:t>
      </w:r>
      <w:r>
        <w:t xml:space="preserve"> </w:t>
      </w:r>
      <w:r>
        <w:t xml:space="preserve">n’a jamais été autorisé, mais il circule sur le marché gris comme « injection bronzante ».</w:t>
      </w:r>
    </w:p>
    <w:p>
      <w:pPr>
        <w:numPr>
          <w:ilvl w:val="0"/>
          <w:numId w:val="1250"/>
        </w:numPr>
        <w:pStyle w:val="Compact"/>
      </w:pPr>
      <w:r>
        <w:t xml:space="preserve">Le</w:t>
      </w:r>
      <w:r>
        <w:t xml:space="preserve"> </w:t>
      </w:r>
      <w:r>
        <w:rPr>
          <w:bCs/>
          <w:b/>
        </w:rPr>
        <w:t xml:space="preserve">brémélanotide</w:t>
      </w:r>
      <w:r>
        <w:t xml:space="preserve">, un dérivé du Melanotan II, est autorisé aux États-Unis contre la baisse du désir sexuel chez la femme.</w:t>
      </w:r>
    </w:p>
    <w:p>
      <w:pPr>
        <w:pStyle w:val="FirstParagraph"/>
      </w:pPr>
      <w:r>
        <w:t xml:space="preserve">Un quatrième principe actif mélanocortinergique, le setmélanotide, cible spécifiquement le MC4R et est utilisé dans des formes génétiques rares d’obésité ; il est traité dans la partie II · A. Plus un principe actif cible sélectivement un récepteur, plus son action est ciblée. Le Melanotan II stimule presque tous les récepteurs et réunit donc en une seule molécule bronzage, nausées, perte d’appétit et érections.</w:t>
      </w:r>
    </w:p>
    <w:bookmarkEnd w:id="1960"/>
    <w:bookmarkStart w:id="1961" w:name="laxe-hormonal-de-la-reproduction"/>
    <w:p>
      <w:pPr>
        <w:pStyle w:val="Heading3"/>
      </w:pPr>
      <w:r>
        <w:t xml:space="preserve">L’axe hormonal de la reproduction</w:t>
      </w:r>
    </w:p>
    <w:p>
      <w:pPr>
        <w:pStyle w:val="FirstParagraph"/>
      </w:pPr>
      <w:r>
        <w:t xml:space="preserve">Les trois autres peptides de cette partie agissent sur l’axe qui pilote la puberté, le cycle et la fertilité. La</w:t>
      </w:r>
      <w:r>
        <w:t xml:space="preserve"> </w:t>
      </w:r>
      <w:r>
        <w:rPr>
          <w:bCs/>
          <w:b/>
        </w:rPr>
        <w:t xml:space="preserve">kisspeptine</w:t>
      </w:r>
      <w:r>
        <w:t xml:space="preserve"> </w:t>
      </w:r>
      <w:r>
        <w:t xml:space="preserve">active les neurones à GnRH dans l’hypothalamus. La</w:t>
      </w:r>
      <w:r>
        <w:t xml:space="preserve"> </w:t>
      </w:r>
      <w:r>
        <w:rPr>
          <w:bCs/>
          <w:b/>
        </w:rPr>
        <w:t xml:space="preserve">gonadoréline</w:t>
      </w:r>
      <w:r>
        <w:t xml:space="preserve"> </w:t>
      </w:r>
      <w:r>
        <w:t xml:space="preserve">est la forme synthétique de la GnRH elle-même, qui, libérée par pulses, stimule l’hypophyse pour qu’elle sécrète la LH et la FSH. Toutes deux illustrent un principe commun : administrées au bon rythme, elles activent l’axe ; en stimulation continue, elles le freinent. L’</w:t>
      </w:r>
      <w:r>
        <w:rPr>
          <w:bCs/>
          <w:b/>
        </w:rPr>
        <w:t xml:space="preserve">ocytocine</w:t>
      </w:r>
      <w:r>
        <w:t xml:space="preserve">, enfin, provient des mêmes régions cérébrales, pilote l’accouchement et l’allaitement et est étudiée depuis deux décennies sous forme de spray nasal pour le comportement social – avec des résultats décevants.</w:t>
      </w:r>
    </w:p>
    <w:bookmarkEnd w:id="1961"/>
    <w:bookmarkStart w:id="1962" w:name="vue-densemble-3"/>
    <w:p>
      <w:pPr>
        <w:pStyle w:val="Heading3"/>
      </w:pPr>
      <w:r>
        <w:t xml:space="preserve">Vue d’ensemble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Preuve</w:t>
            </w:r>
          </w:p>
        </w:tc>
        <w:tc>
          <w:tcPr/>
          <w:p>
            <w:pPr>
              <w:pStyle w:val="Compact"/>
              <w:jc w:val="left"/>
            </w:pPr>
            <w:r>
              <w:t xml:space="preserve">Autorisation</w:t>
            </w:r>
          </w:p>
        </w:tc>
        <w:tc>
          <w:tcPr/>
          <w:p>
            <w:pPr>
              <w:pStyle w:val="Compact"/>
              <w:jc w:val="left"/>
            </w:pPr>
            <w:r>
              <w:t xml:space="preserve">En bref</w:t>
            </w:r>
          </w:p>
        </w:tc>
      </w:tr>
      <w:tr>
        <w:tc>
          <w:tcPr/>
          <w:p>
            <w:pPr>
              <w:pStyle w:val="Compact"/>
              <w:jc w:val="left"/>
            </w:pPr>
            <w:r>
              <w:t xml:space="preserve">Brémélanotide (PT-141)</w:t>
            </w:r>
          </w:p>
        </w:tc>
        <w:tc>
          <w:tcPr/>
          <w:p>
            <w:pPr>
              <w:pStyle w:val="Compact"/>
              <w:jc w:val="left"/>
            </w:pPr>
            <w:r>
              <w:t xml:space="preserve">A</w:t>
            </w:r>
          </w:p>
        </w:tc>
        <w:tc>
          <w:tcPr/>
          <w:p>
            <w:pPr>
              <w:pStyle w:val="Compact"/>
              <w:jc w:val="left"/>
            </w:pPr>
            <w:r>
              <w:t xml:space="preserve">États-Unis (Vyleesi), pas l’UE</w:t>
            </w:r>
          </w:p>
        </w:tc>
        <w:tc>
          <w:tcPr/>
          <w:p>
            <w:pPr>
              <w:pStyle w:val="Compact"/>
              <w:jc w:val="left"/>
            </w:pPr>
            <w:r>
              <w:t xml:space="preserve">Désir chez les femmes atteintes de HSDD ; effet faible, beaucoup de nausées</w:t>
            </w:r>
          </w:p>
        </w:tc>
      </w:tr>
      <w:tr>
        <w:tc>
          <w:tcPr/>
          <w:p>
            <w:pPr>
              <w:pStyle w:val="Compact"/>
              <w:jc w:val="left"/>
            </w:pPr>
            <w:r>
              <w:t xml:space="preserve">Melanotan II</w:t>
            </w:r>
          </w:p>
        </w:tc>
        <w:tc>
          <w:tcPr/>
          <w:p>
            <w:pPr>
              <w:pStyle w:val="Compact"/>
              <w:jc w:val="left"/>
            </w:pPr>
            <w:r>
              <w:t xml:space="preserve">C</w:t>
            </w:r>
          </w:p>
        </w:tc>
        <w:tc>
          <w:tcPr/>
          <w:p>
            <w:pPr>
              <w:pStyle w:val="Compact"/>
              <w:jc w:val="left"/>
            </w:pPr>
            <w:r>
              <w:t xml:space="preserve">aucune</w:t>
            </w:r>
          </w:p>
        </w:tc>
        <w:tc>
          <w:tcPr/>
          <w:p>
            <w:pPr>
              <w:pStyle w:val="Compact"/>
              <w:jc w:val="left"/>
            </w:pPr>
            <w:r>
              <w:t xml:space="preserve">Bronzage du marché gris ; cas rapportés de grains de beauté et de priapisme</w:t>
            </w:r>
          </w:p>
        </w:tc>
      </w:tr>
      <w:tr>
        <w:tc>
          <w:tcPr/>
          <w:p>
            <w:pPr>
              <w:pStyle w:val="Compact"/>
              <w:jc w:val="left"/>
            </w:pPr>
            <w:r>
              <w:t xml:space="preserve">Afamélanotide</w:t>
            </w:r>
          </w:p>
        </w:tc>
        <w:tc>
          <w:tcPr/>
          <w:p>
            <w:pPr>
              <w:pStyle w:val="Compact"/>
              <w:jc w:val="left"/>
            </w:pPr>
            <w:r>
              <w:t xml:space="preserve">A</w:t>
            </w:r>
          </w:p>
        </w:tc>
        <w:tc>
          <w:tcPr/>
          <w:p>
            <w:pPr>
              <w:pStyle w:val="Compact"/>
              <w:jc w:val="left"/>
            </w:pPr>
            <w:r>
              <w:t xml:space="preserve">UE et États-Unis (Scenesse)</w:t>
            </w:r>
          </w:p>
        </w:tc>
        <w:tc>
          <w:tcPr/>
          <w:p>
            <w:pPr>
              <w:pStyle w:val="Compact"/>
              <w:jc w:val="left"/>
            </w:pPr>
            <w:r>
              <w:t xml:space="preserve">Photoprotection dans la PPE ; vitiligo en cours d’évaluation</w:t>
            </w:r>
          </w:p>
        </w:tc>
      </w:tr>
      <w:tr>
        <w:tc>
          <w:tcPr/>
          <w:p>
            <w:pPr>
              <w:pStyle w:val="Compact"/>
              <w:jc w:val="left"/>
            </w:pPr>
            <w:r>
              <w:t xml:space="preserve">Kisspeptine</w:t>
            </w:r>
          </w:p>
        </w:tc>
        <w:tc>
          <w:tcPr/>
          <w:p>
            <w:pPr>
              <w:pStyle w:val="Compact"/>
              <w:jc w:val="left"/>
            </w:pPr>
            <w:r>
              <w:t xml:space="preserve">B</w:t>
            </w:r>
          </w:p>
        </w:tc>
        <w:tc>
          <w:tcPr/>
          <w:p>
            <w:pPr>
              <w:pStyle w:val="Compact"/>
              <w:jc w:val="left"/>
            </w:pPr>
            <w:r>
              <w:t xml:space="preserve">aucune</w:t>
            </w:r>
          </w:p>
        </w:tc>
        <w:tc>
          <w:tcPr/>
          <w:p>
            <w:pPr>
              <w:pStyle w:val="Compact"/>
              <w:jc w:val="left"/>
            </w:pPr>
            <w:r>
              <w:t xml:space="preserve">Maturation ovocytaire en FIV, tests hormonaux ; recherche</w:t>
            </w:r>
          </w:p>
        </w:tc>
      </w:tr>
      <w:tr>
        <w:tc>
          <w:tcPr/>
          <w:p>
            <w:pPr>
              <w:pStyle w:val="Compact"/>
              <w:jc w:val="left"/>
            </w:pPr>
            <w:r>
              <w:t xml:space="preserve">Ocytocine (spray nasal)</w:t>
            </w:r>
          </w:p>
        </w:tc>
        <w:tc>
          <w:tcPr/>
          <w:p>
            <w:pPr>
              <w:pStyle w:val="Compact"/>
              <w:jc w:val="left"/>
            </w:pPr>
            <w:r>
              <w:t xml:space="preserve">B</w:t>
            </w:r>
          </w:p>
        </w:tc>
        <w:tc>
          <w:tcPr/>
          <w:p>
            <w:pPr>
              <w:pStyle w:val="Compact"/>
              <w:jc w:val="left"/>
            </w:pPr>
            <w:r>
              <w:t xml:space="preserve">uniquement en perfusion (obstétrique)</w:t>
            </w:r>
          </w:p>
        </w:tc>
        <w:tc>
          <w:tcPr/>
          <w:p>
            <w:pPr>
              <w:pStyle w:val="Compact"/>
              <w:jc w:val="left"/>
            </w:pPr>
            <w:r>
              <w:t xml:space="preserve">Autisme et confiance : grandes études négatives</w:t>
            </w:r>
          </w:p>
        </w:tc>
      </w:tr>
      <w:tr>
        <w:tc>
          <w:tcPr/>
          <w:p>
            <w:pPr>
              <w:pStyle w:val="Compact"/>
              <w:jc w:val="left"/>
            </w:pPr>
            <w:r>
              <w:t xml:space="preserve">Gonadoréline</w:t>
            </w:r>
          </w:p>
        </w:tc>
        <w:tc>
          <w:tcPr/>
          <w:p>
            <w:pPr>
              <w:pStyle w:val="Compact"/>
              <w:jc w:val="left"/>
            </w:pPr>
            <w:r>
              <w:t xml:space="preserve">B</w:t>
            </w:r>
          </w:p>
        </w:tc>
        <w:tc>
          <w:tcPr/>
          <w:p>
            <w:pPr>
              <w:pStyle w:val="Compact"/>
              <w:jc w:val="left"/>
            </w:pPr>
            <w:r>
              <w:t xml:space="preserve">nationale (UE), plus aux États-Unis</w:t>
            </w:r>
          </w:p>
        </w:tc>
        <w:tc>
          <w:tcPr/>
          <w:p>
            <w:pPr>
              <w:pStyle w:val="Compact"/>
              <w:jc w:val="left"/>
            </w:pPr>
            <w:r>
              <w:t xml:space="preserve">Test à la GnRH et pompe en cas de désir d’enfant ; interdite pour dopage</w:t>
            </w:r>
          </w:p>
        </w:tc>
      </w:tr>
    </w:tbl>
    <w:p>
      <w:pPr>
        <w:pStyle w:val="BodyText"/>
      </w:pPr>
      <w:r>
        <w:t xml:space="preserve">Les informations sur les autorisations correspondent à l’état 2026 et doivent être vérifiées.</w:t>
      </w:r>
    </w:p>
    <w:bookmarkEnd w:id="1962"/>
    <w:bookmarkStart w:id="1963" w:name="conseil-de-lecture-1"/>
    <w:p>
      <w:pPr>
        <w:pStyle w:val="Heading3"/>
      </w:pPr>
      <w:r>
        <w:t xml:space="preserve">Conseil de lecture</w:t>
      </w:r>
    </w:p>
    <w:p>
      <w:pPr>
        <w:pStyle w:val="FirstParagraph"/>
      </w:pPr>
      <w:r>
        <w:t xml:space="preserve">Si les produits bronzants vous intéressent, lisez ensemble les chapitres sur le Melanotan II et l’afamélanotide : ils montrent à quel point une même idée de départ peut aboutir à des résultats différents – d’un côté un médicament évalué, utilisé dans un centre spécialisé, de l’autre une poudre non contrôlée achetée sur Internet. Pour le thème de la sexualité, il vaut la peine de comparer le brémélanotide, la kisspeptine et l’ocytocine ; tous trois montrent la force des effets placebo dans ce domaine. La kisspeptine et la gonadoréline expliquent ensemble l’axe hormonal de la fertilité. Les généralités sur les produits du marché gris se trouvent dans la partie I, la comparaison des risques dans la partie IV.</w:t>
      </w:r>
    </w:p>
    <w:bookmarkEnd w:id="1963"/>
    <w:bookmarkStart w:id="2020" w:name="brémélanotide-pt-141"/>
    <w:p>
      <w:pPr>
        <w:pStyle w:val="Heading2"/>
      </w:pPr>
      <w:r>
        <w:t xml:space="preserve">Brémélanotide (PT-141)</w:t>
      </w:r>
    </w:p>
    <w:bookmarkStart w:id="1966" w:name="fiche-signalétique-46"/>
    <w:p>
      <w:pPr>
        <w:pStyle w:val="Heading3"/>
      </w:pPr>
      <w:r>
        <w:t xml:space="preserve">Fiche signalétique</w:t>
      </w:r>
    </w:p>
    <w:p>
      <w:pPr>
        <w:numPr>
          <w:ilvl w:val="0"/>
          <w:numId w:val="1251"/>
        </w:numPr>
        <w:pStyle w:val="Compact"/>
      </w:pPr>
      <w:r>
        <w:rPr>
          <w:bCs/>
          <w:b/>
        </w:rPr>
        <w:t xml:space="preserve">Type/structure :</w:t>
      </w:r>
      <w:r>
        <w:t xml:space="preserve"> </w:t>
      </w:r>
      <w:r>
        <w:t xml:space="preserve">peptide cyclique de sept acides aminés, obtenu par synthèse. Il dérive de l’hormone endogène alpha-MSH (hormone alpha-mélanotrope) et est un proche parent du Melanotan II (chapitre 2E02). Dans la littérature, il est aussi appelé PT-141.</w:t>
      </w:r>
    </w:p>
    <w:p>
      <w:pPr>
        <w:numPr>
          <w:ilvl w:val="0"/>
          <w:numId w:val="1251"/>
        </w:numPr>
        <w:pStyle w:val="Compact"/>
      </w:pPr>
      <w:r>
        <w:rPr>
          <w:bCs/>
          <w:b/>
        </w:rPr>
        <w:t xml:space="preserve">Origine :</w:t>
      </w:r>
      <w:r>
        <w:t xml:space="preserve"> </w:t>
      </w:r>
      <w:r>
        <w:t xml:space="preserve">issu du développement du Melanotan II à l’université de l’Arizona ; développé ensuite par la société Palatin Technologies</w:t>
      </w:r>
      <w:r>
        <w:rPr>
          <w:rStyle w:val="FootnoteReference"/>
        </w:rPr>
        <w:footnoteReference w:id="1964"/>
      </w:r>
      <w:r>
        <w:t xml:space="preserve">.</w:t>
      </w:r>
    </w:p>
    <w:p>
      <w:pPr>
        <w:numPr>
          <w:ilvl w:val="0"/>
          <w:numId w:val="1251"/>
        </w:numPr>
        <w:pStyle w:val="Compact"/>
      </w:pPr>
      <w:r>
        <w:rPr>
          <w:bCs/>
          <w:b/>
        </w:rPr>
        <w:t xml:space="preserve">Principe d’action :</w:t>
      </w:r>
      <w:r>
        <w:t xml:space="preserve"> </w:t>
      </w:r>
      <w:r>
        <w:t xml:space="preserve">agoniste des récepteurs des mélanocortines, surtout du MC4R dans le cerveau. Il n’agit pas sur les vaisseaux sanguins des organes génitaux comme le sildénafil, mais sur les régions cérébrales impliquées dans le désir sexuel.</w:t>
      </w:r>
    </w:p>
    <w:p>
      <w:pPr>
        <w:numPr>
          <w:ilvl w:val="0"/>
          <w:numId w:val="1251"/>
        </w:numPr>
        <w:pStyle w:val="Compact"/>
      </w:pPr>
      <w:r>
        <w:rPr>
          <w:bCs/>
          <w:b/>
        </w:rPr>
        <w:t xml:space="preserve">Forme galénique :</w:t>
      </w:r>
      <w:r>
        <w:t xml:space="preserve"> </w:t>
      </w:r>
      <w:r>
        <w:t xml:space="preserve">seringue préremplie (auto-injecteur) pour une injection sous-cutanée à la demande, environ 45 minutes avant l’activité sexuelle. Les premières études utilisaient un spray nasal.</w:t>
      </w:r>
    </w:p>
    <w:p>
      <w:pPr>
        <w:numPr>
          <w:ilvl w:val="0"/>
          <w:numId w:val="1251"/>
        </w:numPr>
        <w:pStyle w:val="Compact"/>
      </w:pPr>
      <w:r>
        <w:rPr>
          <w:bCs/>
          <w:b/>
        </w:rPr>
        <w:t xml:space="preserve">Autorisation UE :</w:t>
      </w:r>
      <w:r>
        <w:t xml:space="preserve"> </w:t>
      </w:r>
      <w:r>
        <w:t xml:space="preserve">non.</w:t>
      </w:r>
    </w:p>
    <w:p>
      <w:pPr>
        <w:numPr>
          <w:ilvl w:val="0"/>
          <w:numId w:val="1251"/>
        </w:numPr>
        <w:pStyle w:val="Compact"/>
      </w:pPr>
      <w:r>
        <w:rPr>
          <w:bCs/>
          <w:b/>
        </w:rPr>
        <w:t xml:space="preserve">Autorisation États-Unis :</w:t>
      </w:r>
      <w:r>
        <w:t xml:space="preserve"> </w:t>
      </w:r>
      <w:r>
        <w:t xml:space="preserve">oui, depuis 2019 sous le nom de Vyleesi pour les femmes non ménopausées présentant un trouble acquis et généralisé du désir sexuel (trouble du désir sexuel hypoactif, HSDD)</w:t>
      </w:r>
      <w:r>
        <w:rPr>
          <w:rStyle w:val="FootnoteReference"/>
        </w:rPr>
        <w:footnoteReference w:id="1965"/>
      </w:r>
      <w:r>
        <w:t xml:space="preserve">. Utilisation uniquement sur prescription médicale et conformément au résumé des caractéristiques du produit.</w:t>
      </w:r>
    </w:p>
    <w:p>
      <w:pPr>
        <w:numPr>
          <w:ilvl w:val="0"/>
          <w:numId w:val="1251"/>
        </w:numPr>
        <w:pStyle w:val="Compact"/>
      </w:pPr>
      <w:r>
        <w:rPr>
          <w:bCs/>
          <w:b/>
        </w:rPr>
        <w:t xml:space="preserve">AMA (WADA) :</w:t>
      </w:r>
      <w:r>
        <w:t xml:space="preserve"> </w:t>
      </w:r>
      <w:r>
        <w:t xml:space="preserve">pas mentionné nommément.</w:t>
      </w:r>
    </w:p>
    <w:p>
      <w:pPr>
        <w:numPr>
          <w:ilvl w:val="0"/>
          <w:numId w:val="1251"/>
        </w:numPr>
        <w:pStyle w:val="Compact"/>
      </w:pPr>
      <w:r>
        <w:rPr>
          <w:bCs/>
          <w:b/>
        </w:rPr>
        <w:t xml:space="preserve">Niveau de preuve :</w:t>
      </w:r>
      <w:r>
        <w:t xml:space="preserve"> </w:t>
      </w:r>
      <w:r>
        <w:rPr>
          <w:bCs/>
          <w:b/>
        </w:rPr>
        <w:t xml:space="preserve">A</w:t>
      </w:r>
      <w:r>
        <w:t xml:space="preserve"> </w:t>
      </w:r>
      <w:r>
        <w:t xml:space="preserve">– deux grandes études randomisées de phase 3 réunissant au total plus de 1 200 participantes, autorisation aux États-Unis. Le bénéfice clinique est toutefois faible et controversé (voir plus bas).</w:t>
      </w:r>
    </w:p>
    <w:bookmarkEnd w:id="1966"/>
    <w:bookmarkStart w:id="1971" w:name="mode-daction-supposé-46"/>
    <w:p>
      <w:pPr>
        <w:pStyle w:val="Heading3"/>
      </w:pPr>
      <w:r>
        <w:t xml:space="preserve">Mode d’action supposé</w:t>
      </w:r>
    </w:p>
    <w:p>
      <w:pPr>
        <w:pStyle w:val="FirstParagraph"/>
      </w:pPr>
      <w:r>
        <w:t xml:space="preserve">Le système des mélanocortines est un réseau de messagers et de cinq récepteurs (MC1R à MC5R), décrit plus en détail dans l’introduction de cette partie. Pour le brémélanotide, c’est surtout le récepteur MC4R qui compte. Il se trouve notamment dans l’hypothalamus, un centre de commande du diencéphale, où il influence l’appétit, la dépense énergétique et – comme on l’a découvert par hasard – l’excitation sexuelle.</w:t>
      </w:r>
    </w:p>
    <w:p>
      <w:pPr>
        <w:pStyle w:val="BodyText"/>
      </w:pPr>
      <w:r>
        <w:t xml:space="preserve">Cette découverte a été un sous-produit de la recherche sur le bronzage : des hommes qui avaient reçu du Melanotan II dans les années 1990 pour bronzer leur peau ont rapporté des érections spontanées</w:t>
      </w:r>
      <w:r>
        <w:rPr>
          <w:rStyle w:val="FootnoteReference"/>
        </w:rPr>
        <w:footnoteReference w:id="1967"/>
      </w:r>
      <w:r>
        <w:t xml:space="preserve">. Le brémélanotide est une forme légèrement modifiée de cette molécule. Il active plusieurs récepteurs des mélanocortines, mais aux doses utilisées, le MC4R est le plus important</w:t>
      </w:r>
      <w:r>
        <w:rPr>
          <w:rStyle w:val="FootnoteReference"/>
        </w:rPr>
        <w:footnoteReference w:id="1968"/>
      </w:r>
      <w:r>
        <w:t xml:space="preserve">. Il n’est toutefois pas totalement dépourvu d’effet sur la peau – ce qui explique les taches pigmentaires observées.</w:t>
      </w:r>
    </w:p>
    <w:p>
      <w:pPr>
        <w:pStyle w:val="BodyText"/>
      </w:pPr>
      <w:r>
        <w:t xml:space="preserve">La manière exacte dont l’activation du MC4R influence le désir sexuel n’est que partiellement comprise. Des expérimentations animales suggèrent que le brémélanotide stimule, dans une région particulière de l’hypothalamus (l’aire préoptique médiane), la libération de dopamine, un messager qui favorise le désir sexuel</w:t>
      </w:r>
      <w:r>
        <w:rPr>
          <w:rStyle w:val="FootnoteReference"/>
        </w:rPr>
        <w:footnoteReference w:id="1969"/>
      </w:r>
      <w:r>
        <w:t xml:space="preserve">. Une étude britannique en imagerie par résonance magnétique fonctionnelle (IRMf) chez 31 femmes atteintes de HSDD a observé, sous un agoniste du MC4R, une activité modifiée dans les régions cérébrales qui traitent les stimuli érotiques</w:t>
      </w:r>
      <w:r>
        <w:rPr>
          <w:rStyle w:val="FootnoteReference"/>
        </w:rPr>
        <w:footnoteReference w:id="1970"/>
      </w:r>
      <w:r>
        <w:t xml:space="preserve">. Les auteurs y voient une diminution de l’auto-observation et une réceptivité accrue aux stimuli érotiques – une interprétation, pas une explication démontrée.</w:t>
      </w:r>
    </w:p>
    <w:p>
      <w:pPr>
        <w:pStyle w:val="BodyText"/>
      </w:pPr>
      <w:r>
        <w:t xml:space="preserve">Point important pour la compréhension : l’autorisation ne vise pas à donner « plus de désir » aux personnes en bonne santé, mais un diagnostic défini. Le HSDD désigne un désir sexuel durablement faible, qui cause une souffrance et ne s’explique pas par une autre maladie, des médicaments ou des problèmes relationnels.</w:t>
      </w:r>
    </w:p>
    <w:bookmarkEnd w:id="1971"/>
    <w:bookmarkStart w:id="1997" w:name="études-chez-lhumain-46"/>
    <w:p>
      <w:pPr>
        <w:pStyle w:val="Heading3"/>
      </w:pPr>
      <w:r>
        <w:t xml:space="preserve">Études chez l’humain</w:t>
      </w:r>
    </w:p>
    <w:p>
      <w:pPr>
        <w:pStyle w:val="FirstParagraph"/>
      </w:pPr>
      <w:r>
        <w:rPr>
          <w:bCs/>
          <w:b/>
        </w:rPr>
        <w:t xml:space="preserve">Ampleur des données (requête d’octobre 2026) :</w:t>
      </w:r>
      <w:r>
        <w:t xml:space="preserve"> </w:t>
      </w:r>
      <w:r>
        <w:t xml:space="preserve">la recherche automatisée de ce livre a trouvé</w:t>
      </w:r>
      <w:r>
        <w:t xml:space="preserve"> </w:t>
      </w:r>
      <w:r>
        <w:rPr>
          <w:bCs/>
          <w:b/>
        </w:rPr>
        <w:t xml:space="preserve">16</w:t>
      </w:r>
      <w:r>
        <w:t xml:space="preserve"> </w:t>
      </w:r>
      <w:r>
        <w:t xml:space="preserve">études chez l’humain dans PubMed (</w:t>
      </w:r>
      <w:r>
        <w:rPr>
          <w:rStyle w:val="VerbatimChar"/>
        </w:rPr>
        <w:t xml:space="preserve">humanstudien_alle</w:t>
      </w:r>
      <w:r>
        <w:t xml:space="preserve">) et</w:t>
      </w:r>
      <w:r>
        <w:t xml:space="preserve"> </w:t>
      </w:r>
      <w:r>
        <w:rPr>
          <w:bCs/>
          <w:b/>
        </w:rPr>
        <w:t xml:space="preserve">10</w:t>
      </w:r>
      <w:r>
        <w:t xml:space="preserve"> </w:t>
      </w:r>
      <w:r>
        <w:t xml:space="preserve">entrées sur ClinicalTrials.gov. S’y ajoutent plusieurs revues et méta-analyses. Pour l’évaluation, ce sont surtout les deux études d’autorisation RECONNECT, leur extension et l’analyse de sécurité de l’ensemble du programme de développement qui comptent.</w:t>
      </w:r>
    </w:p>
    <w:bookmarkStart w:id="1977" w:name="premières-études-chez-lhomme"/>
    <w:p>
      <w:pPr>
        <w:pStyle w:val="Heading4"/>
      </w:pPr>
      <w:r>
        <w:t xml:space="preserve">Premières études chez l’homme</w:t>
      </w:r>
    </w:p>
    <w:p>
      <w:pPr>
        <w:pStyle w:val="FirstParagraph"/>
      </w:pPr>
      <w:r>
        <w:t xml:space="preserve">Le brémélanotide a d’abord été développé contre les troubles de l’érection. Dans des études de phase 1 avec un spray nasal</w:t>
      </w:r>
      <w:r>
        <w:rPr>
          <w:rStyle w:val="FootnoteReference"/>
        </w:rPr>
        <w:footnoteReference w:id="1972"/>
      </w:r>
      <w:r>
        <w:t xml:space="preserve"> </w:t>
      </w:r>
      <w:r>
        <w:t xml:space="preserve">et une injection</w:t>
      </w:r>
      <w:r>
        <w:rPr>
          <w:rStyle w:val="FootnoteReference"/>
        </w:rPr>
        <w:footnoteReference w:id="1973"/>
      </w:r>
      <w:r>
        <w:t xml:space="preserve">, il a provoqué des érections mesurables chez des hommes en bonne santé et chez des hommes souffrant de troubles de l’érection, y compris chez ceux qui répondaient insuffisamment au Viagra. Dans une petite étude portant sur 19 patients, une faible dose de brémélanotide a renforcé l’effet d’une faible dose de sildénafil</w:t>
      </w:r>
      <w:r>
        <w:rPr>
          <w:rStyle w:val="FootnoteReference"/>
        </w:rPr>
        <w:footnoteReference w:id="1974"/>
      </w:r>
      <w:r>
        <w:t xml:space="preserve">.</w:t>
      </w:r>
    </w:p>
    <w:p>
      <w:pPr>
        <w:pStyle w:val="BodyText"/>
      </w:pPr>
      <w:r>
        <w:t xml:space="preserve">Une étude portant sur 342 hommes chez qui le sildénafil n’avait pas fonctionné a rapporté un résultat positif chez 33,5 % des hommes sous spray nasal de brémélanotide contre 8,5 % sous placebo</w:t>
      </w:r>
      <w:r>
        <w:rPr>
          <w:rStyle w:val="FootnoteReference"/>
        </w:rPr>
        <w:footnoteReference w:id="1975"/>
      </w:r>
      <w:r>
        <w:t xml:space="preserve">. Ce travail doit être lu avec prudence : une seconde étude sur le brémélanotide du même premier auteur, menée chez des femmes, a été rétractée par la revue parce que les méthodes et les résultats n’étaient pas vérifiables</w:t>
      </w:r>
      <w:r>
        <w:rPr>
          <w:rStyle w:val="FootnoteReference"/>
        </w:rPr>
        <w:footnoteReference w:id="1976"/>
      </w:r>
      <w:r>
        <w:t xml:space="preserve"> </w:t>
      </w:r>
      <w:r>
        <w:t xml:space="preserve">; d’autres travaux de cet auteur ont également été rétractés.</w:t>
      </w:r>
    </w:p>
    <w:p>
      <w:pPr>
        <w:pStyle w:val="BodyText"/>
      </w:pPr>
      <w:r>
        <w:t xml:space="preserve">Le développement du spray nasal a été abandonné après que des hausses de la pression artérielle ont été constatées dans les études. L’entreprise est passée à l’injection et a changé de groupe cible pour les femmes.</w:t>
      </w:r>
    </w:p>
    <w:bookmarkEnd w:id="1977"/>
    <w:bookmarkStart w:id="1981" w:name="recherche-de-dose-chez-la-femme"/>
    <w:p>
      <w:pPr>
        <w:pStyle w:val="Heading4"/>
      </w:pPr>
      <w:r>
        <w:t xml:space="preserve">Recherche de dose chez la femme</w:t>
      </w:r>
    </w:p>
    <w:p>
      <w:pPr>
        <w:pStyle w:val="FirstParagraph"/>
      </w:pPr>
      <w:r>
        <w:t xml:space="preserve">Une première petite étude en laboratoire chez 18 femmes souffrant d’un trouble de l’excitation a montré, après une administration unique, un désir modéré à élevé plus fréquent qu’après placebo, mais aucune modification mesurable de l’irrigation vaginale lors du visionnage de films érotiques</w:t>
      </w:r>
      <w:r>
        <w:rPr>
          <w:rStyle w:val="FootnoteReference"/>
        </w:rPr>
        <w:footnoteReference w:id="1978"/>
      </w:r>
      <w:r>
        <w:t xml:space="preserve">.</w:t>
      </w:r>
    </w:p>
    <w:p>
      <w:pPr>
        <w:pStyle w:val="BodyText"/>
      </w:pPr>
      <w:r>
        <w:t xml:space="preserve">L’étude décisive de phase 2b</w:t>
      </w:r>
      <w:r>
        <w:rPr>
          <w:rStyle w:val="FootnoteReference"/>
        </w:rPr>
        <w:footnoteReference w:id="1979"/>
      </w:r>
      <w:r>
        <w:t xml:space="preserve"> </w:t>
      </w:r>
      <w:r>
        <w:t xml:space="preserve">a comparé trois doses à un placebo pendant douze semaines chez des femmes non ménopausées. 327 participantes ont été analysées. Pour les deux doses les plus élevées réunies, le nombre d’« événements sexuels satisfaisants » a augmenté de 0,7 par mois contre 0,2 sous placebo. Sur le questionnaire FSFI (Female Sexual Function Index, un score de la fonction sexuelle), la hausse a été de 3,6 points contre 1,9. Une analyse a posteriori a fixé à partir de quelle variation un effet est considéré comme cliniquement significatif ; ces seuils ont ensuite été repris pour les études de phase 3</w:t>
      </w:r>
      <w:r>
        <w:rPr>
          <w:rStyle w:val="FootnoteReference"/>
        </w:rPr>
        <w:footnoteReference w:id="1980"/>
      </w:r>
      <w:r>
        <w:t xml:space="preserve">.</w:t>
      </w:r>
    </w:p>
    <w:bookmarkEnd w:id="1981"/>
    <w:bookmarkStart w:id="1985" w:name="les-études-dautorisation-reconnect"/>
    <w:p>
      <w:pPr>
        <w:pStyle w:val="Heading4"/>
      </w:pPr>
      <w:r>
        <w:t xml:space="preserve">Les études d’autorisation RECONNECT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protocole</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RECONNECT 301 et 302 (Kingsberg 2019), PMID 31599840</w:t>
            </w:r>
          </w:p>
        </w:tc>
        <w:tc>
          <w:tcPr/>
          <w:p>
            <w:pPr>
              <w:pStyle w:val="Compact"/>
              <w:jc w:val="left"/>
            </w:pPr>
            <w:r>
              <w:t xml:space="preserve">1 267 femmes non ménopausées atteintes de HSDD, deux ECR contre placebo, utilisation à la demande</w:t>
            </w:r>
          </w:p>
        </w:tc>
        <w:tc>
          <w:tcPr/>
          <w:p>
            <w:pPr>
              <w:pStyle w:val="Compact"/>
              <w:jc w:val="left"/>
            </w:pPr>
            <w:r>
              <w:t xml:space="preserve">24 semaines</w:t>
            </w:r>
          </w:p>
        </w:tc>
        <w:tc>
          <w:tcPr/>
          <w:p>
            <w:pPr>
              <w:pStyle w:val="Compact"/>
              <w:jc w:val="left"/>
            </w:pPr>
            <w:r>
              <w:t xml:space="preserve">Désir (FSFI-Desire) +0,35 point de plus que le placebo ; souffrance réduite de 0,33 point de plus</w:t>
            </w:r>
          </w:p>
        </w:tc>
      </w:tr>
      <w:tr>
        <w:tc>
          <w:tcPr/>
          <w:p>
            <w:pPr>
              <w:pStyle w:val="Compact"/>
              <w:jc w:val="left"/>
            </w:pPr>
            <w:r>
              <w:t xml:space="preserve">Extension en ouvert (Simon 2019), PMID 31599847</w:t>
            </w:r>
          </w:p>
        </w:tc>
        <w:tc>
          <w:tcPr/>
          <w:p>
            <w:pPr>
              <w:pStyle w:val="Compact"/>
              <w:jc w:val="left"/>
            </w:pPr>
            <w:r>
              <w:t xml:space="preserve">684 femmes issues des deux études, toutes sous brémélanotide</w:t>
            </w:r>
          </w:p>
        </w:tc>
        <w:tc>
          <w:tcPr/>
          <w:p>
            <w:pPr>
              <w:pStyle w:val="Compact"/>
              <w:jc w:val="left"/>
            </w:pPr>
            <w:r>
              <w:t xml:space="preserve">52 semaines</w:t>
            </w:r>
          </w:p>
        </w:tc>
        <w:tc>
          <w:tcPr/>
          <w:p>
            <w:pPr>
              <w:pStyle w:val="Compact"/>
              <w:jc w:val="left"/>
            </w:pPr>
            <w:r>
              <w:t xml:space="preserve">272 ont terminé l’extension ; aucun nouveau signal de sécurité</w:t>
            </w:r>
          </w:p>
        </w:tc>
      </w:tr>
      <w:tr>
        <w:tc>
          <w:tcPr/>
          <w:p>
            <w:pPr>
              <w:pStyle w:val="Compact"/>
              <w:jc w:val="left"/>
            </w:pPr>
            <w:r>
              <w:t xml:space="preserve">Analyse de sous-groupes (Simon 2022), PMID 35230162</w:t>
            </w:r>
          </w:p>
        </w:tc>
        <w:tc>
          <w:tcPr/>
          <w:p>
            <w:pPr>
              <w:pStyle w:val="Compact"/>
              <w:jc w:val="left"/>
            </w:pPr>
            <w:r>
              <w:t xml:space="preserve">1 202 femmes issues des deux études</w:t>
            </w:r>
          </w:p>
        </w:tc>
        <w:tc>
          <w:tcPr/>
          <w:p>
            <w:pPr>
              <w:pStyle w:val="Compact"/>
              <w:jc w:val="left"/>
            </w:pPr>
            <w:r>
              <w:t xml:space="preserve">24 semaines</w:t>
            </w:r>
          </w:p>
        </w:tc>
        <w:tc>
          <w:tcPr/>
          <w:p>
            <w:pPr>
              <w:pStyle w:val="Compact"/>
              <w:jc w:val="left"/>
            </w:pPr>
            <w:r>
              <w:t xml:space="preserve">Effet similaire dans presque tous les sous-groupes d’âge, de poids et hormonaux</w:t>
            </w:r>
          </w:p>
        </w:tc>
      </w:tr>
      <w:tr>
        <w:tc>
          <w:tcPr/>
          <w:p>
            <w:pPr>
              <w:pStyle w:val="Compact"/>
              <w:jc w:val="left"/>
            </w:pPr>
            <w:r>
              <w:t xml:space="preserve">Analyse de sécurité (Clayton 2022), PMID 35147466</w:t>
            </w:r>
          </w:p>
        </w:tc>
        <w:tc>
          <w:tcPr/>
          <w:p>
            <w:pPr>
              <w:pStyle w:val="Compact"/>
              <w:jc w:val="left"/>
            </w:pPr>
            <w:r>
              <w:t xml:space="preserve">environ 3 500 personnes dans 43 études</w:t>
            </w:r>
          </w:p>
        </w:tc>
        <w:tc>
          <w:tcPr/>
          <w:p>
            <w:pPr>
              <w:pStyle w:val="Compact"/>
              <w:jc w:val="left"/>
            </w:pPr>
            <w:r>
              <w:t xml:space="preserve">jusqu’à 18 mois</w:t>
            </w:r>
          </w:p>
        </w:tc>
        <w:tc>
          <w:tcPr/>
          <w:p>
            <w:pPr>
              <w:pStyle w:val="Compact"/>
              <w:jc w:val="left"/>
            </w:pPr>
            <w:r>
              <w:t xml:space="preserve">Nausées 40,0 % contre 1,3 %, bouffées de chaleur 20,3 % contre 1,3 %</w:t>
            </w:r>
          </w:p>
        </w:tc>
      </w:tr>
    </w:tbl>
    <w:p>
      <w:pPr>
        <w:pStyle w:val="BodyText"/>
      </w:pPr>
      <w:r>
        <w:t xml:space="preserve">Les deux études identiques 301 et 302</w:t>
      </w:r>
      <w:r>
        <w:rPr>
          <w:rStyle w:val="FootnoteReference"/>
        </w:rPr>
        <w:footnoteReference w:id="1982"/>
      </w:r>
      <w:r>
        <w:t xml:space="preserve"> </w:t>
      </w:r>
      <w:r>
        <w:t xml:space="preserve">se sont déroulées en 2015 et 2016, principalement aux États-Unis. Les participantes s’injectaient à la demande, avant une activité sexuelle, 1,75 mg de brémélanotide ou un placebo à l’aide d’un auto-injecteur. Deux critères principaux ont été mesurés : le désir sexuel (domaine Desire du FSFI, échelle de 1,2 à 6) et la souffrance liée au faible désir (une question isolée du questionnaire FSDS-DAO, échelle de 0 à 4).</w:t>
      </w:r>
    </w:p>
    <w:p>
      <w:pPr>
        <w:pStyle w:val="BodyText"/>
      </w:pPr>
      <w:r>
        <w:t xml:space="preserve">Les deux études ont atteint leurs objectifs principaux. Dans l’analyse commune, le désir a augmenté de 0,35 point de plus que sous placebo et la souffrance a diminué de 0,33 point de plus</w:t>
      </w:r>
      <w:r>
        <w:rPr>
          <w:rStyle w:val="FootnoteReference"/>
        </w:rPr>
        <w:footnoteReference w:id="1983"/>
      </w:r>
      <w:r>
        <w:t xml:space="preserve">. Ces chiffres sont statistiquement nets, mais faibles : sur une échelle allant jusqu’à 6, un tiers de point représente une différence modeste. Les valeurs se sont aussi nettement améliorées sous placebo – un schéma bien connu en médecine sexuelle.</w:t>
      </w:r>
    </w:p>
    <w:p>
      <w:pPr>
        <w:pStyle w:val="BodyText"/>
      </w:pPr>
      <w:r>
        <w:t xml:space="preserve">Lors d’entretiens de fin d’étude avec 242 participantes qui ne savaient pas encore ce qu’elles avaient reçu, les femmes sous brémélanotide ont plus souvent décrit une excitation physique et davantage de désir ; sous placebo, elles évoquaient plutôt une meilleure communication dans le couple</w:t>
      </w:r>
      <w:r>
        <w:rPr>
          <w:rStyle w:val="FootnoteReference"/>
        </w:rPr>
        <w:footnoteReference w:id="1984"/>
      </w:r>
      <w:r>
        <w:t xml:space="preserve">.</w:t>
      </w:r>
    </w:p>
    <w:bookmarkEnd w:id="1985"/>
    <w:bookmarkStart w:id="1988" w:name="les-critiques-des-études-dautorisation"/>
    <w:p>
      <w:pPr>
        <w:pStyle w:val="Heading4"/>
      </w:pPr>
      <w:r>
        <w:t xml:space="preserve">Les critiques des études d’autorisation</w:t>
      </w:r>
    </w:p>
    <w:p>
      <w:pPr>
        <w:pStyle w:val="FirstParagraph"/>
      </w:pPr>
      <w:r>
        <w:t xml:space="preserve">Une réanalyse indépendante, fondée sur les documents soumis à l’autorité américaine du médicament (FDA), est parvenue à un jugement global différent</w:t>
      </w:r>
      <w:r>
        <w:rPr>
          <w:rStyle w:val="FootnoteReference"/>
        </w:rPr>
        <w:footnoteReference w:id="1986"/>
      </w:r>
      <w:r>
        <w:t xml:space="preserve">. L’auteur confirme les petits effets, mais critique le fait qu’environ 73 % des résultats prévus dans le protocole d’étude n’aient pas été publiés. Deux constats manquaient dans la publication principale :</w:t>
      </w:r>
    </w:p>
    <w:p>
      <w:pPr>
        <w:numPr>
          <w:ilvl w:val="0"/>
          <w:numId w:val="1252"/>
        </w:numPr>
        <w:pStyle w:val="Compact"/>
      </w:pPr>
      <w:r>
        <w:t xml:space="preserve">Les abandons pour effets indésirables étaient nettement plus fréquents sous brémélanotide (odds ratio 11,98). Par le calcul, environ une femme traitée sur six a abandonné en raison d’effets indésirables alors qu’elle ne l’aurait pas fait sous placebo.</w:t>
      </w:r>
    </w:p>
    <w:p>
      <w:pPr>
        <w:numPr>
          <w:ilvl w:val="0"/>
          <w:numId w:val="1252"/>
        </w:numPr>
        <w:pStyle w:val="Compact"/>
      </w:pPr>
      <w:r>
        <w:t xml:space="preserve">Les femmes qui ont terminé l’étude puis sont passées à l’extension en ouvert venaient plus souvent du groupe placebo. L’analyse de sécurité du fabricant cite aussi ces chiffres : 70 % du groupe brémélanotide contre 87 % du groupe placebo sont passées à l’extension</w:t>
      </w:r>
      <w:r>
        <w:rPr>
          <w:rStyle w:val="FootnoteReference"/>
        </w:rPr>
        <w:footnoteReference w:id="1987"/>
      </w:r>
      <w:r>
        <w:t xml:space="preserve">.</w:t>
      </w:r>
    </w:p>
    <w:p>
      <w:pPr>
        <w:pStyle w:val="FirstParagraph"/>
      </w:pPr>
      <w:r>
        <w:t xml:space="preserve">Spielmans en conclut que le produit n’est pas utile pour la plupart des femmes. C’est une opinion individuelle tranchée, mais elle repose sur des données que le fabricant a lui aussi publiées.</w:t>
      </w:r>
    </w:p>
    <w:bookmarkEnd w:id="1988"/>
    <w:bookmarkStart w:id="1992" w:name="méta-analyses-1"/>
    <w:p>
      <w:pPr>
        <w:pStyle w:val="Heading4"/>
      </w:pPr>
      <w:r>
        <w:t xml:space="preserve">Méta-analyses</w:t>
      </w:r>
    </w:p>
    <w:p>
      <w:pPr>
        <w:pStyle w:val="FirstParagraph"/>
      </w:pPr>
      <w:r>
        <w:t xml:space="preserve">Une méta-analyse portant sur les médicaments contre les troubles sexuels féminins (dont le brémélanotide, la flibansérine et l’ocytocine intranasale) a montré qu’environ 67,7 % de l’amélioration observée dans les groupes traités apparaissait aussi sous placebo</w:t>
      </w:r>
      <w:r>
        <w:rPr>
          <w:rStyle w:val="FootnoteReference"/>
        </w:rPr>
        <w:footnoteReference w:id="1989"/>
      </w:r>
      <w:r>
        <w:t xml:space="preserve">. Une méta-analyse plus récente confirme pour le brémélanotide de petites améliorations du désir et de l’excitation ainsi qu’une diminution de la souffrance, sans comparaison avec la psychothérapie</w:t>
      </w:r>
      <w:r>
        <w:rPr>
          <w:rStyle w:val="FootnoteReference"/>
        </w:rPr>
        <w:footnoteReference w:id="1990"/>
      </w:r>
      <w:r>
        <w:t xml:space="preserve">. Une revue des études terminées enregistrées sur ClinicalTrials.gov déplore des critères d’évaluation hétérogènes et des comptes rendus incomplets</w:t>
      </w:r>
      <w:r>
        <w:rPr>
          <w:rStyle w:val="FootnoteReference"/>
        </w:rPr>
        <w:footnoteReference w:id="1991"/>
      </w:r>
      <w:r>
        <w:t xml:space="preserve">.</w:t>
      </w:r>
    </w:p>
    <w:bookmarkEnd w:id="1992"/>
    <w:bookmarkStart w:id="1996" w:name="autres-questions"/>
    <w:p>
      <w:pPr>
        <w:pStyle w:val="Heading4"/>
      </w:pPr>
      <w:r>
        <w:t xml:space="preserve">Autres questions</w:t>
      </w:r>
    </w:p>
    <w:p>
      <w:pPr>
        <w:numPr>
          <w:ilvl w:val="0"/>
          <w:numId w:val="1253"/>
        </w:numPr>
        <w:pStyle w:val="Compact"/>
      </w:pPr>
      <w:r>
        <w:rPr>
          <w:bCs/>
          <w:b/>
        </w:rPr>
        <w:t xml:space="preserve">Alcool :</w:t>
      </w:r>
      <w:r>
        <w:t xml:space="preserve"> </w:t>
      </w:r>
      <w:r>
        <w:t xml:space="preserve">dans une étude de phase 1 chez 24 personnes en bonne santé, aucune interaction significative n’est survenue en cas de consommation simultanée d’alcool</w:t>
      </w:r>
      <w:r>
        <w:rPr>
          <w:rStyle w:val="FootnoteReference"/>
        </w:rPr>
        <w:footnoteReference w:id="1993"/>
      </w:r>
      <w:r>
        <w:t xml:space="preserve">.</w:t>
      </w:r>
    </w:p>
    <w:p>
      <w:pPr>
        <w:numPr>
          <w:ilvl w:val="0"/>
          <w:numId w:val="1253"/>
        </w:numPr>
        <w:pStyle w:val="Compact"/>
      </w:pPr>
      <w:r>
        <w:rPr>
          <w:bCs/>
          <w:b/>
        </w:rPr>
        <w:t xml:space="preserve">Poids :</w:t>
      </w:r>
      <w:r>
        <w:t xml:space="preserve"> </w:t>
      </w:r>
      <w:r>
        <w:t xml:space="preserve">comme le MC4R pilote aussi l’appétit, le brémélanotide a été testé chez des femmes atteintes d’obésité. Dans deux petites études de phase 1, l’apport calorique a diminué d’environ 400 kcal par jour ; après 16 jours, le poids était inférieur de 1,3 kg à celui du groupe placebo</w:t>
      </w:r>
      <w:r>
        <w:rPr>
          <w:rStyle w:val="FootnoteReference"/>
        </w:rPr>
        <w:footnoteReference w:id="1994"/>
      </w:r>
      <w:r>
        <w:t xml:space="preserve">. Ce sont des données à court terme, qui ne disent rien d’un traitement au long cours.</w:t>
      </w:r>
    </w:p>
    <w:p>
      <w:pPr>
        <w:numPr>
          <w:ilvl w:val="0"/>
          <w:numId w:val="1253"/>
        </w:numPr>
        <w:pStyle w:val="Compact"/>
      </w:pPr>
      <w:r>
        <w:rPr>
          <w:bCs/>
          <w:b/>
        </w:rPr>
        <w:t xml:space="preserve">Cerveau :</w:t>
      </w:r>
      <w:r>
        <w:t xml:space="preserve"> </w:t>
      </w:r>
      <w:r>
        <w:t xml:space="preserve">l’étude en IRMf déjà mentionnée</w:t>
      </w:r>
      <w:r>
        <w:rPr>
          <w:rStyle w:val="FootnoteReference"/>
        </w:rPr>
        <w:footnoteReference w:id="1995"/>
      </w:r>
      <w:r>
        <w:t xml:space="preserve"> </w:t>
      </w:r>
      <w:r>
        <w:t xml:space="preserve">est l’un des rares travaux qui n’ont pas été dirigés par le fabricant.</w:t>
      </w:r>
    </w:p>
    <w:bookmarkEnd w:id="1996"/>
    <w:bookmarkEnd w:id="1997"/>
    <w:bookmarkStart w:id="2001" w:name="études-animales-et-de-laboratoire-46"/>
    <w:p>
      <w:pPr>
        <w:pStyle w:val="Heading3"/>
      </w:pPr>
      <w:r>
        <w:t xml:space="preserve">Études animales et de laboratoire</w:t>
      </w:r>
    </w:p>
    <w:p>
      <w:pPr>
        <w:pStyle w:val="FirstParagraph"/>
      </w:pPr>
      <w:r>
        <w:t xml:space="preserve">La recherche animale sur le brémélanotide provient surtout de rats. Une revue la résume ainsi : le brémélanotide active le MC4R sur des neurones de l’hypothalamus, qui libèrent alors davantage de dopamine ; chez les rates, les comportements par lesquels les femelles manifestent un intérêt sexuel ont augmenté</w:t>
      </w:r>
      <w:r>
        <w:rPr>
          <w:rStyle w:val="FootnoteReference"/>
        </w:rPr>
        <w:footnoteReference w:id="1998"/>
      </w:r>
      <w:r>
        <w:t xml:space="preserve">. Cette revue émane de chercheurs liés au développement du produit.</w:t>
      </w:r>
    </w:p>
    <w:p>
      <w:pPr>
        <w:pStyle w:val="BodyText"/>
      </w:pPr>
      <w:r>
        <w:t xml:space="preserve">Une étude indépendante chez des hamsters femelles a abouti à un résultat décevant : le brémélanotide n’a ni modifié les récepteurs du système de récompense ni renforcé la « valeur de récompense » des rencontres sexuelles dans un test comportemental</w:t>
      </w:r>
      <w:r>
        <w:rPr>
          <w:rStyle w:val="FootnoteReference"/>
        </w:rPr>
        <w:footnoteReference w:id="1999"/>
      </w:r>
      <w:r>
        <w:t xml:space="preserve">. Les auteurs en concluent que le produit n’agit pas par le circuit classique de la récompense. Son mode d’action exact reste donc à éclaircir.</w:t>
      </w:r>
    </w:p>
    <w:p>
      <w:pPr>
        <w:pStyle w:val="BodyText"/>
      </w:pPr>
      <w:r>
        <w:t xml:space="preserve">En culture cellulaire, le brémélanotide a inhibé la croissance de cellules de glioblastome, un type de tumeur cérébrale</w:t>
      </w:r>
      <w:r>
        <w:rPr>
          <w:rStyle w:val="FootnoteReference"/>
        </w:rPr>
        <w:footnoteReference w:id="2000"/>
      </w:r>
      <w:r>
        <w:t xml:space="preserve">. Il s’agit d’un résultat purement de laboratoire, sans portée clinique.</w:t>
      </w:r>
    </w:p>
    <w:bookmarkEnd w:id="2001"/>
    <w:bookmarkStart w:id="2012" w:name="risques-et-effets-indésirables-46"/>
    <w:p>
      <w:pPr>
        <w:pStyle w:val="Heading3"/>
      </w:pPr>
      <w:r>
        <w:t xml:space="preserve">Risques et effets indésirables</w:t>
      </w:r>
    </w:p>
    <w:bookmarkStart w:id="2007" w:name="établis"/>
    <w:p>
      <w:pPr>
        <w:pStyle w:val="Heading4"/>
      </w:pPr>
      <w:r>
        <w:t xml:space="preserve">Établis</w:t>
      </w:r>
    </w:p>
    <w:p>
      <w:pPr>
        <w:numPr>
          <w:ilvl w:val="0"/>
          <w:numId w:val="1254"/>
        </w:numPr>
        <w:pStyle w:val="Compact"/>
      </w:pPr>
      <w:r>
        <w:rPr>
          <w:bCs/>
          <w:b/>
        </w:rPr>
        <w:t xml:space="preserve">Nausées :</w:t>
      </w:r>
      <w:r>
        <w:t xml:space="preserve"> </w:t>
      </w:r>
      <w:r>
        <w:t xml:space="preserve">l’effet indésirable le plus fréquent. Dans les études de phase 3, elles ont touché 40,0 % des participantes contre 1,3 % sous placebo et ont été le motif d’abandon le plus fréquent</w:t>
      </w:r>
      <w:r>
        <w:rPr>
          <w:rStyle w:val="FootnoteReference"/>
        </w:rPr>
        <w:footnoteReference w:id="2002"/>
      </w:r>
      <w:r>
        <w:t xml:space="preserve">. Une étude spécifique chez 228 femmes en bonne santé a examiné si l’antinauséeux ondansétron aide en prévention</w:t>
      </w:r>
      <w:r>
        <w:rPr>
          <w:rStyle w:val="FootnoteReference"/>
        </w:rPr>
        <w:footnoteReference w:id="2003"/>
      </w:r>
      <w:r>
        <w:t xml:space="preserve">.</w:t>
      </w:r>
    </w:p>
    <w:p>
      <w:pPr>
        <w:numPr>
          <w:ilvl w:val="0"/>
          <w:numId w:val="1254"/>
        </w:numPr>
        <w:pStyle w:val="Compact"/>
      </w:pPr>
      <w:r>
        <w:rPr>
          <w:bCs/>
          <w:b/>
        </w:rPr>
        <w:t xml:space="preserve">Bouffées de chaleur (flushing)</w:t>
      </w:r>
      <w:r>
        <w:t xml:space="preserve"> </w:t>
      </w:r>
      <w:r>
        <w:t xml:space="preserve">chez 20,3 %,</w:t>
      </w:r>
      <w:r>
        <w:t xml:space="preserve"> </w:t>
      </w:r>
      <w:r>
        <w:rPr>
          <w:bCs/>
          <w:b/>
        </w:rPr>
        <w:t xml:space="preserve">maux de tête</w:t>
      </w:r>
      <w:r>
        <w:t xml:space="preserve"> </w:t>
      </w:r>
      <w:r>
        <w:t xml:space="preserve">chez 11,3 %,</w:t>
      </w:r>
      <w:r>
        <w:t xml:space="preserve"> </w:t>
      </w:r>
      <w:r>
        <w:rPr>
          <w:bCs/>
          <w:b/>
        </w:rPr>
        <w:t xml:space="preserve">réactions au point d’injection</w:t>
      </w:r>
      <w:r>
        <w:t xml:space="preserve"> </w:t>
      </w:r>
      <w:r>
        <w:t xml:space="preserve">chez 5,4 % (contre 1,3 %, 1,9 % et 0,5 % sous placebo).</w:t>
      </w:r>
    </w:p>
    <w:p>
      <w:pPr>
        <w:numPr>
          <w:ilvl w:val="0"/>
          <w:numId w:val="1254"/>
        </w:numPr>
        <w:pStyle w:val="Compact"/>
      </w:pPr>
      <w:r>
        <w:rPr>
          <w:bCs/>
          <w:b/>
        </w:rPr>
        <w:t xml:space="preserve">Pression artérielle :</w:t>
      </w:r>
      <w:r>
        <w:t xml:space="preserve"> </w:t>
      </w:r>
      <w:r>
        <w:t xml:space="preserve">dans une étude avec mesure sur 24 heures chez 397 femmes, la pression systolique a augmenté transitoirement de 2,4 à 3,2 mmHg après l’administration ; les pics duraient le plus souvent moins de 15 minutes. Dans le même temps, la fréquence cardiaque a baissé d’environ 4,6 battements par minute</w:t>
      </w:r>
      <w:r>
        <w:rPr>
          <w:rStyle w:val="FootnoteReference"/>
        </w:rPr>
        <w:footnoteReference w:id="2004"/>
      </w:r>
      <w:r>
        <w:t xml:space="preserve">. Le résumé des caractéristiques du produit déconseille donc l’utilisation en cas d’hypertension non contrôlée ou de maladie cardiovasculaire connue.</w:t>
      </w:r>
    </w:p>
    <w:p>
      <w:pPr>
        <w:numPr>
          <w:ilvl w:val="0"/>
          <w:numId w:val="1254"/>
        </w:numPr>
        <w:pStyle w:val="Compact"/>
      </w:pPr>
      <w:r>
        <w:rPr>
          <w:bCs/>
          <w:b/>
        </w:rPr>
        <w:t xml:space="preserve">Taches pigmentaires :</w:t>
      </w:r>
      <w:r>
        <w:t xml:space="preserve"> </w:t>
      </w:r>
      <w:r>
        <w:t xml:space="preserve">rares en cas d’utilisation conforme au résumé des caractéristiques du produit. Mais lorsque le brémélanotide a été administré jusqu’à 16 jours consécutifs, plus d’un tiers des participants ont développé des taches sombres circonscrites</w:t>
      </w:r>
      <w:r>
        <w:rPr>
          <w:rStyle w:val="FootnoteReference"/>
        </w:rPr>
        <w:footnoteReference w:id="2005"/>
      </w:r>
      <w:r>
        <w:t xml:space="preserve"> </w:t>
      </w:r>
      <w:r>
        <w:t xml:space="preserve">– un indice de l’effet résiduel sur le récepteur pigmentaire.</w:t>
      </w:r>
    </w:p>
    <w:p>
      <w:pPr>
        <w:numPr>
          <w:ilvl w:val="0"/>
          <w:numId w:val="1254"/>
        </w:numPr>
        <w:pStyle w:val="Compact"/>
      </w:pPr>
      <w:r>
        <w:rPr>
          <w:bCs/>
          <w:b/>
        </w:rPr>
        <w:t xml:space="preserve">Interactions :</w:t>
      </w:r>
      <w:r>
        <w:t xml:space="preserve"> </w:t>
      </w:r>
      <w:r>
        <w:t xml:space="preserve">le brémélanotide ralentit brièvement la vidange gastrique et a abaissé, dans des études, les taux sanguins d’indométacine et de naltrexone</w:t>
      </w:r>
      <w:r>
        <w:rPr>
          <w:rStyle w:val="FootnoteReference"/>
        </w:rPr>
        <w:footnoteReference w:id="2006"/>
      </w:r>
      <w:r>
        <w:t xml:space="preserve">.</w:t>
      </w:r>
    </w:p>
    <w:bookmarkEnd w:id="2007"/>
    <w:bookmarkStart w:id="2009" w:name="incertains"/>
    <w:p>
      <w:pPr>
        <w:pStyle w:val="Heading4"/>
      </w:pPr>
      <w:r>
        <w:t xml:space="preserve">Incertains</w:t>
      </w:r>
    </w:p>
    <w:p>
      <w:pPr>
        <w:pStyle w:val="FirstParagraph"/>
      </w:pPr>
      <w:r>
        <w:t xml:space="preserve">Les données sont insuffisantes pour la grossesse. Une petite étude mesure actuellement le passage dans le lait maternel</w:t>
      </w:r>
      <w:r>
        <w:rPr>
          <w:rStyle w:val="FootnoteReference"/>
        </w:rPr>
        <w:footnoteReference w:id="2008"/>
      </w:r>
      <w:r>
        <w:t xml:space="preserve">. Les données à long terme au-delà de 18 mois font défaut.</w:t>
      </w:r>
    </w:p>
    <w:bookmarkEnd w:id="2009"/>
    <w:bookmarkStart w:id="2011" w:name="marché-gris-1"/>
    <w:p>
      <w:pPr>
        <w:pStyle w:val="Heading4"/>
      </w:pPr>
      <w:r>
        <w:t xml:space="preserve">Marché gris</w:t>
      </w:r>
    </w:p>
    <w:p>
      <w:pPr>
        <w:pStyle w:val="FirstParagraph"/>
      </w:pPr>
      <w:r>
        <w:t xml:space="preserve">Sous le nom de « PT-141 », le brémélanotide est proposé sur Internet sous forme de poudre pour auto-injection, souvent à côté du Melanotan II. Des laboratoires de police scientifique ont identifié ces deux substances dans des échantillons saisis par la police dans le milieu du culturisme</w:t>
      </w:r>
      <w:r>
        <w:rPr>
          <w:rStyle w:val="FootnoteReference"/>
        </w:rPr>
        <w:footnoteReference w:id="2010"/>
      </w:r>
      <w:r>
        <w:t xml:space="preserve">. Ces produits comportent les mêmes risques que les autres peptides du marché gris (partie I, chapitre « Le marché gris ») : pureté inconnue, quantités erronées, contaminations, fabrication non stérile. On sait que le spray nasal de brémélanotide agissait plus fortement sur la pression artérielle ; les sprays du marché gris ne sont pas contrôlés.</w:t>
      </w:r>
    </w:p>
    <w:bookmarkEnd w:id="2011"/>
    <w:bookmarkEnd w:id="2012"/>
    <w:bookmarkStart w:id="2014" w:name="statut-juridique-46"/>
    <w:p>
      <w:pPr>
        <w:pStyle w:val="Heading3"/>
      </w:pPr>
      <w:r>
        <w:t xml:space="preserve">Statut juridique</w:t>
      </w:r>
    </w:p>
    <w:p>
      <w:pPr>
        <w:pStyle w:val="FirstParagraph"/>
      </w:pPr>
      <w:r>
        <w:rPr>
          <w:iCs/>
          <w:i/>
        </w:rPr>
        <w:t xml:space="preserve">État 2026, à vérifier.</w:t>
      </w:r>
    </w:p>
    <w:p>
      <w:pPr>
        <w:numPr>
          <w:ilvl w:val="0"/>
          <w:numId w:val="1255"/>
        </w:numPr>
        <w:pStyle w:val="Compact"/>
      </w:pPr>
      <w:r>
        <w:rPr>
          <w:bCs/>
          <w:b/>
        </w:rPr>
        <w:t xml:space="preserve">UE :</w:t>
      </w:r>
      <w:r>
        <w:t xml:space="preserve"> </w:t>
      </w:r>
      <w:r>
        <w:t xml:space="preserve">pas d’autorisation, et aucune procédure d’autorisation en cours n’est connue. La vente pour un usage chez l’humain est illégale dans l’UE.</w:t>
      </w:r>
    </w:p>
    <w:p>
      <w:pPr>
        <w:numPr>
          <w:ilvl w:val="0"/>
          <w:numId w:val="1255"/>
        </w:numPr>
        <w:pStyle w:val="Compact"/>
      </w:pPr>
      <w:r>
        <w:rPr>
          <w:bCs/>
          <w:b/>
        </w:rPr>
        <w:t xml:space="preserve">Allemagne et Autriche :</w:t>
      </w:r>
      <w:r>
        <w:t xml:space="preserve"> </w:t>
      </w:r>
      <w:r>
        <w:t xml:space="preserve">pas d’autorisation. L’importation individuelle d’un médicament autorisé aux États-Unis sur prescription médicale est juridiquement possible dans des limites étroites ; les produits du marché gris n’en relèvent pas.</w:t>
      </w:r>
    </w:p>
    <w:p>
      <w:pPr>
        <w:numPr>
          <w:ilvl w:val="0"/>
          <w:numId w:val="1255"/>
        </w:numPr>
        <w:pStyle w:val="Compact"/>
      </w:pPr>
      <w:r>
        <w:rPr>
          <w:bCs/>
          <w:b/>
        </w:rPr>
        <w:t xml:space="preserve">États-Unis :</w:t>
      </w:r>
      <w:r>
        <w:t xml:space="preserve"> </w:t>
      </w:r>
      <w:r>
        <w:t xml:space="preserve">autorisé depuis juin 2019 (Vyleesi) pour les femmes non ménopausées atteintes de HSDD acquis et généralisé. Non autorisé pour les hommes, pour les femmes ménopausées ni pour augmenter le désir chez les personnes en bonne santé. Les droits de commercialisation ont changé de mains plusieurs fois ; selon les registres, c’est désormais la société Cosette Pharmaceuticals qui en est responsable.</w:t>
      </w:r>
    </w:p>
    <w:p>
      <w:pPr>
        <w:numPr>
          <w:ilvl w:val="0"/>
          <w:numId w:val="1255"/>
        </w:numPr>
        <w:pStyle w:val="Compact"/>
      </w:pPr>
      <w:r>
        <w:rPr>
          <w:bCs/>
          <w:b/>
        </w:rPr>
        <w:t xml:space="preserve">Autres pays :</w:t>
      </w:r>
      <w:r>
        <w:t xml:space="preserve"> </w:t>
      </w:r>
      <w:r>
        <w:t xml:space="preserve">en Corée du Sud, une étude de transposition (bridging study) a été menée chez 193 femmes en vue d’une autorisation locale</w:t>
      </w:r>
      <w:r>
        <w:rPr>
          <w:rStyle w:val="FootnoteReference"/>
        </w:rPr>
        <w:footnoteReference w:id="2013"/>
      </w:r>
      <w:r>
        <w:t xml:space="preserve">.</w:t>
      </w:r>
    </w:p>
    <w:p>
      <w:pPr>
        <w:numPr>
          <w:ilvl w:val="0"/>
          <w:numId w:val="1255"/>
        </w:numPr>
        <w:pStyle w:val="Compact"/>
      </w:pPr>
      <w:r>
        <w:rPr>
          <w:bCs/>
          <w:b/>
        </w:rPr>
        <w:t xml:space="preserve">AMA (WADA) :</w:t>
      </w:r>
      <w:r>
        <w:t xml:space="preserve"> </w:t>
      </w:r>
      <w:r>
        <w:t xml:space="preserve">pas mentionné nommément. Veuillez consulter la liste des interdictions en vigueur.</w:t>
      </w:r>
    </w:p>
    <w:bookmarkEnd w:id="2014"/>
    <w:bookmarkStart w:id="2018" w:name="études-en-cours-et-perspectives-46"/>
    <w:p>
      <w:pPr>
        <w:pStyle w:val="Heading3"/>
      </w:pPr>
      <w:r>
        <w:t xml:space="preserve">Études en cours et perspectives</w:t>
      </w:r>
    </w:p>
    <w:p>
      <w:pPr>
        <w:pStyle w:val="FirstParagraph"/>
      </w:pPr>
      <w:r>
        <w:rPr>
          <w:bCs/>
          <w:b/>
        </w:rPr>
        <w:t xml:space="preserve">Établi (études enregistrées) :</w:t>
      </w:r>
    </w:p>
    <w:p>
      <w:pPr>
        <w:numPr>
          <w:ilvl w:val="0"/>
          <w:numId w:val="1256"/>
        </w:numPr>
        <w:pStyle w:val="Compact"/>
      </w:pPr>
      <w:r>
        <w:t xml:space="preserve">Une étude de phase 2 chez 108 personnes évalue le brémélanotide en complément du tirzépatide dans l’obésité</w:t>
      </w:r>
      <w:r>
        <w:rPr>
          <w:rStyle w:val="FootnoteReference"/>
        </w:rPr>
        <w:footnoteReference w:id="2015"/>
      </w:r>
      <w:r>
        <w:t xml:space="preserve">. Le contexte est l’effet coupe-faim passant par le MC4R. Aucun résultat publié et évalué par les pairs n’était disponible dans PubMed à la date de clôture de la rédaction.</w:t>
      </w:r>
    </w:p>
    <w:p>
      <w:pPr>
        <w:numPr>
          <w:ilvl w:val="0"/>
          <w:numId w:val="1256"/>
        </w:numPr>
        <w:pStyle w:val="Compact"/>
      </w:pPr>
      <w:r>
        <w:t xml:space="preserve">Une petite étude ouverte de phase 2 chez 16 personnes atteintes de néphropathie diabétique est terminée</w:t>
      </w:r>
      <w:r>
        <w:rPr>
          <w:rStyle w:val="FootnoteReference"/>
        </w:rPr>
        <w:footnoteReference w:id="2016"/>
      </w:r>
      <w:r>
        <w:t xml:space="preserve">, elle aussi sans résultat publié dans PubMed.</w:t>
      </w:r>
    </w:p>
    <w:p>
      <w:pPr>
        <w:numPr>
          <w:ilvl w:val="0"/>
          <w:numId w:val="1256"/>
        </w:numPr>
        <w:pStyle w:val="Compact"/>
      </w:pPr>
      <w:r>
        <w:t xml:space="preserve">L’étude sur l’allaitement</w:t>
      </w:r>
      <w:r>
        <w:rPr>
          <w:rStyle w:val="FootnoteReference"/>
        </w:rPr>
        <w:footnoteReference w:id="2017"/>
      </w:r>
      <w:r>
        <w:t xml:space="preserve">, portant sur 10 femmes, s’est achevée en 2025.</w:t>
      </w:r>
    </w:p>
    <w:p>
      <w:pPr>
        <w:pStyle w:val="FirstParagraph"/>
      </w:pPr>
      <w:r>
        <w:rPr>
          <w:bCs/>
          <w:b/>
        </w:rPr>
        <w:t xml:space="preserve">Appréciation de l’auteur :</w:t>
      </w:r>
      <w:r>
        <w:t xml:space="preserve"> </w:t>
      </w:r>
      <w:r>
        <w:t xml:space="preserve">en l’état actuel, l’intérêt économique manque pour une autorisation en Europe ; aucune demande n’est connue. Le rôle du MC4R dans la recherche sur l’obésité est plus intéressant : avec le setmélanotide (chapitre dans la partie II · A), un agoniste du MC4R y est déjà autorisé pour des formes génétiques rares. Que le brémélanotide y trouve une niche dépendra des résultats d’études encore attendus.</w:t>
      </w:r>
    </w:p>
    <w:bookmarkEnd w:id="2018"/>
    <w:bookmarkStart w:id="2019" w:name="conclusion-46"/>
    <w:p>
      <w:pPr>
        <w:pStyle w:val="Heading3"/>
      </w:pPr>
      <w:r>
        <w:t xml:space="preserve">Conclusion</w:t>
      </w:r>
    </w:p>
    <w:p>
      <w:pPr>
        <w:pStyle w:val="FirstParagraph"/>
      </w:pPr>
      <w:r>
        <w:t xml:space="preserve">Le brémélanotide est le seul médicament autorisé qui cible le désir sexuel par le système des mélanocortines dans le cerveau – mais uniquement aux États-Unis et seulement pour un groupe de femmes étroitement défini. Dans deux grandes études de phase 3, le désir et la souffrance se sont améliorés de façon statistiquement nette, mais dans une faible mesure et avec un effet placebo élevé. Les nausées touchent près de la moitié des utilisatrices et entraînent souvent l’arrêt ; les hausses brèves de la pression artérielle imposent la prudence en cas de risque cardiovasculaire. Les produits du marché gris vendus sous le nom de « PT-141 » ne sont pas contrôlés, et il n’existe aucune preuve suffisante pour une autorisation chez les hommes ou chez les personnes sans diagnostic.</w:t>
      </w:r>
    </w:p>
    <w:bookmarkEnd w:id="2019"/>
    <w:bookmarkEnd w:id="2020"/>
    <w:bookmarkStart w:id="2075" w:name="melanotan-ii"/>
    <w:p>
      <w:pPr>
        <w:pStyle w:val="Heading2"/>
      </w:pPr>
      <w:r>
        <w:t xml:space="preserve">Melanotan II</w:t>
      </w:r>
    </w:p>
    <w:bookmarkStart w:id="2023" w:name="fiche-signalétique-47"/>
    <w:p>
      <w:pPr>
        <w:pStyle w:val="Heading3"/>
      </w:pPr>
      <w:r>
        <w:t xml:space="preserve">Fiche signalétique</w:t>
      </w:r>
    </w:p>
    <w:p>
      <w:pPr>
        <w:numPr>
          <w:ilvl w:val="0"/>
          <w:numId w:val="1257"/>
        </w:numPr>
        <w:pStyle w:val="Compact"/>
      </w:pPr>
      <w:r>
        <w:rPr>
          <w:bCs/>
          <w:b/>
        </w:rPr>
        <w:t xml:space="preserve">Type/structure :</w:t>
      </w:r>
      <w:r>
        <w:t xml:space="preserve"> </w:t>
      </w:r>
      <w:r>
        <w:t xml:space="preserve">peptide cyclique de sept acides aminés, dérivé raccourci et chimiquement stabilisé de l’hormone endogène alpha-MSH. La structure en anneau protège contre une dégradation rapide et rend la molécule nettement plus puissante que son modèle naturel</w:t>
      </w:r>
      <w:r>
        <w:rPr>
          <w:rStyle w:val="FootnoteReference"/>
        </w:rPr>
        <w:footnoteReference w:id="2021"/>
      </w:r>
      <w:r>
        <w:t xml:space="preserve">.</w:t>
      </w:r>
    </w:p>
    <w:p>
      <w:pPr>
        <w:numPr>
          <w:ilvl w:val="0"/>
          <w:numId w:val="1257"/>
        </w:numPr>
        <w:pStyle w:val="Compact"/>
      </w:pPr>
      <w:r>
        <w:rPr>
          <w:bCs/>
          <w:b/>
        </w:rPr>
        <w:t xml:space="preserve">Origine :</w:t>
      </w:r>
      <w:r>
        <w:t xml:space="preserve"> </w:t>
      </w:r>
      <w:r>
        <w:t xml:space="preserve">mis au point à la fin des années 1980 et au début des années 1990 à l’université de l’Arizona à Tucson, initialement dans le but d’obtenir un bronzage sans soleil et de prévenir ainsi le cancer de la peau</w:t>
      </w:r>
      <w:r>
        <w:rPr>
          <w:rStyle w:val="FootnoteReference"/>
        </w:rPr>
        <w:footnoteReference w:id="2022"/>
      </w:r>
      <w:r>
        <w:t xml:space="preserve">.</w:t>
      </w:r>
    </w:p>
    <w:p>
      <w:pPr>
        <w:numPr>
          <w:ilvl w:val="0"/>
          <w:numId w:val="1257"/>
        </w:numPr>
        <w:pStyle w:val="Compact"/>
      </w:pPr>
      <w:r>
        <w:rPr>
          <w:bCs/>
          <w:b/>
        </w:rPr>
        <w:t xml:space="preserve">Principe d’action :</w:t>
      </w:r>
      <w:r>
        <w:t xml:space="preserve"> </w:t>
      </w:r>
      <w:r>
        <w:t xml:space="preserve">agoniste non sélectif des récepteurs des mélanocortines : MC1R (pigmentation de la peau), MC3R et MC4R (appétit, fonction sexuelle) et d’autres.</w:t>
      </w:r>
    </w:p>
    <w:p>
      <w:pPr>
        <w:numPr>
          <w:ilvl w:val="0"/>
          <w:numId w:val="1257"/>
        </w:numPr>
        <w:pStyle w:val="Compact"/>
      </w:pPr>
      <w:r>
        <w:rPr>
          <w:bCs/>
          <w:b/>
        </w:rPr>
        <w:t xml:space="preserve">Autorisation UE :</w:t>
      </w:r>
      <w:r>
        <w:t xml:space="preserve"> </w:t>
      </w:r>
      <w:r>
        <w:t xml:space="preserve">non.</w:t>
      </w:r>
    </w:p>
    <w:p>
      <w:pPr>
        <w:numPr>
          <w:ilvl w:val="0"/>
          <w:numId w:val="1257"/>
        </w:numPr>
        <w:pStyle w:val="Compact"/>
      </w:pPr>
      <w:r>
        <w:rPr>
          <w:bCs/>
          <w:b/>
        </w:rPr>
        <w:t xml:space="preserve">Autorisation États-Unis :</w:t>
      </w:r>
      <w:r>
        <w:t xml:space="preserve"> </w:t>
      </w:r>
      <w:r>
        <w:t xml:space="preserve">non.</w:t>
      </w:r>
    </w:p>
    <w:p>
      <w:pPr>
        <w:numPr>
          <w:ilvl w:val="0"/>
          <w:numId w:val="1257"/>
        </w:numPr>
        <w:pStyle w:val="Compact"/>
      </w:pPr>
      <w:r>
        <w:rPr>
          <w:bCs/>
          <w:b/>
        </w:rPr>
        <w:t xml:space="preserve">AMA (WADA) :</w:t>
      </w:r>
      <w:r>
        <w:t xml:space="preserve"> </w:t>
      </w:r>
      <w:r>
        <w:t xml:space="preserve">pas mentionné nommément ; en tant que principe actif autorisé nulle part, il relève du groupe S0 (substances non approuvées) et est donc interdit en permanence.</w:t>
      </w:r>
    </w:p>
    <w:p>
      <w:pPr>
        <w:numPr>
          <w:ilvl w:val="0"/>
          <w:numId w:val="1257"/>
        </w:numPr>
        <w:pStyle w:val="Compact"/>
      </w:pPr>
      <w:r>
        <w:rPr>
          <w:bCs/>
          <w:b/>
        </w:rPr>
        <w:t xml:space="preserve">Niveau de preuve :</w:t>
      </w:r>
      <w:r>
        <w:t xml:space="preserve"> </w:t>
      </w:r>
      <w:r>
        <w:rPr>
          <w:bCs/>
          <w:b/>
        </w:rPr>
        <w:t xml:space="preserve">C</w:t>
      </w:r>
      <w:r>
        <w:t xml:space="preserve"> </w:t>
      </w:r>
      <w:r>
        <w:t xml:space="preserve">– uniquement de très petites études pilotes des années 1990 réunissant au total environ deux douzaines de participants, complétées par de nombreux cas rapportés d’effets indésirables lors d’une auto-administration non contrôlée.</w:t>
      </w:r>
    </w:p>
    <w:bookmarkEnd w:id="2023"/>
    <w:bookmarkStart w:id="2025" w:name="mode-daction-supposé-47"/>
    <w:p>
      <w:pPr>
        <w:pStyle w:val="Heading3"/>
      </w:pPr>
      <w:r>
        <w:t xml:space="preserve">Mode d’action supposé</w:t>
      </w:r>
    </w:p>
    <w:p>
      <w:pPr>
        <w:pStyle w:val="FirstParagraph"/>
      </w:pPr>
      <w:r>
        <w:t xml:space="preserve">La peau bronze lorsque les cellules pigmentaires (mélanocytes) produisent davantage de mélanine. Le signal est donné notamment par l’hormone alpha-MSH, qui se fixe sur le récepteur MC1R des cellules pigmentaires. Après un bain de soleil, la production d’alpha-MSH augmente dans la peau, et les cellules pigmentaires basculent vers l’eumélanine, foncée et protectrice.</w:t>
      </w:r>
    </w:p>
    <w:p>
      <w:pPr>
        <w:pStyle w:val="BodyText"/>
      </w:pPr>
      <w:r>
        <w:t xml:space="preserve">Le Melanotan II imite ce signal – sans que les rayons UV aient à endommager la peau au préalable. C’était l’idée de départ : un « bronzage en seringue » qui protège des coups de soleil. Le problème : le Melanotan II ne se fixe pas seulement sur le MC1R, mais aussi sur les récepteurs MC3R et MC4R du cerveau. Ceux-ci pilotent l’appétit, la dépense énergétique et l’excitation sexuelle. D’où les effets d’accompagnement typiques : nausées, bâillements et étirements, baisse de l’appétit et érections spontanées.</w:t>
      </w:r>
    </w:p>
    <w:p>
      <w:pPr>
        <w:pStyle w:val="BodyText"/>
      </w:pPr>
      <w:r>
        <w:t xml:space="preserve">L’étude de cet « effet indésirable » a donné naissance à deux autres principes actifs qui, contrairement au Melanotan II, ont fait l’objet d’un développement clinique :</w:t>
      </w:r>
    </w:p>
    <w:p>
      <w:pPr>
        <w:numPr>
          <w:ilvl w:val="0"/>
          <w:numId w:val="1258"/>
        </w:numPr>
        <w:pStyle w:val="Compact"/>
      </w:pPr>
      <w:r>
        <w:t xml:space="preserve">L’</w:t>
      </w:r>
      <w:r>
        <w:rPr>
          <w:bCs/>
          <w:b/>
        </w:rPr>
        <w:t xml:space="preserve">afamélanotide</w:t>
      </w:r>
      <w:r>
        <w:t xml:space="preserve">, autrefois appelé Melanotan I, est une molécule linéaire plus longue qui agit de préférence sur la peau et est autorisée sous forme d’implant pour une maladie rare liée à la lumière (chapitre 2E03).</w:t>
      </w:r>
    </w:p>
    <w:p>
      <w:pPr>
        <w:numPr>
          <w:ilvl w:val="0"/>
          <w:numId w:val="1258"/>
        </w:numPr>
        <w:pStyle w:val="Compact"/>
      </w:pPr>
      <w:r>
        <w:t xml:space="preserve">Le</w:t>
      </w:r>
      <w:r>
        <w:t xml:space="preserve"> </w:t>
      </w:r>
      <w:r>
        <w:rPr>
          <w:bCs/>
          <w:b/>
        </w:rPr>
        <w:t xml:space="preserve">brémélanotide</w:t>
      </w:r>
      <w:r>
        <w:t xml:space="preserve"> </w:t>
      </w:r>
      <w:r>
        <w:t xml:space="preserve">(PT-141) est une forme légèrement modifiée du Melanotan II, autorisée aux États-Unis pour le traitement de la baisse du désir sexuel chez la femme (chapitre 2E01).</w:t>
      </w:r>
    </w:p>
    <w:p>
      <w:pPr>
        <w:pStyle w:val="FirstParagraph"/>
      </w:pPr>
      <w:r>
        <w:t xml:space="preserve">Sur Internet, ces noms sont souvent confondus. « Melanotan » sans autre précision peut désigner, selon le vendeur, l’un ou l’autre – ou tout autre chose</w:t>
      </w:r>
      <w:r>
        <w:rPr>
          <w:rStyle w:val="FootnoteReference"/>
        </w:rPr>
        <w:footnoteReference w:id="2024"/>
      </w:r>
      <w:r>
        <w:t xml:space="preserve">.</w:t>
      </w:r>
    </w:p>
    <w:bookmarkEnd w:id="2025"/>
    <w:bookmarkStart w:id="2039" w:name="études-chez-lhumain-47"/>
    <w:p>
      <w:pPr>
        <w:pStyle w:val="Heading3"/>
      </w:pPr>
      <w:r>
        <w:t xml:space="preserve">Études chez l’humain</w:t>
      </w:r>
    </w:p>
    <w:p>
      <w:pPr>
        <w:pStyle w:val="FirstParagraph"/>
      </w:pPr>
      <w:r>
        <w:rPr>
          <w:bCs/>
          <w:b/>
        </w:rPr>
        <w:t xml:space="preserve">Ampleur des données (requête d’octobre 2026) :</w:t>
      </w:r>
      <w:r>
        <w:t xml:space="preserve"> </w:t>
      </w:r>
      <w:r>
        <w:t xml:space="preserve">la recherche automatisée de ce livre a trouvé</w:t>
      </w:r>
      <w:r>
        <w:t xml:space="preserve"> </w:t>
      </w:r>
      <w:r>
        <w:rPr>
          <w:bCs/>
          <w:b/>
        </w:rPr>
        <w:t xml:space="preserve">8</w:t>
      </w:r>
      <w:r>
        <w:t xml:space="preserve"> </w:t>
      </w:r>
      <w:r>
        <w:t xml:space="preserve">études chez l’humain dans PubMed (</w:t>
      </w:r>
      <w:r>
        <w:rPr>
          <w:rStyle w:val="VerbatimChar"/>
        </w:rPr>
        <w:t xml:space="preserve">humanstudien_alle</w:t>
      </w:r>
      <w:r>
        <w:t xml:space="preserve">) et une seule entrée sur ClinicalTrials.gov, qui s’est révélée peu fiable à l’examen (voir Perspectives) – il n’existe donc</w:t>
      </w:r>
      <w:r>
        <w:t xml:space="preserve"> </w:t>
      </w:r>
      <w:r>
        <w:rPr>
          <w:bCs/>
          <w:b/>
        </w:rPr>
        <w:t xml:space="preserve">0</w:t>
      </w:r>
      <w:r>
        <w:t xml:space="preserve"> </w:t>
      </w:r>
      <w:r>
        <w:t xml:space="preserve">étude enregistrée solide. Le chiffre de PubMed est lui aussi trompeur : quatre des huit études portaient sur le Melanotan I, c’est-à-dire le futur afamélanotide, et non sur le Melanotan II. Sur le Melanotan II lui-même, il n’existe que trois petites études originales et une synthèse du même groupe de recherche. La littérature sur les effets indésirables est bien plus abondante : cas rapportés, séries de cas, analyses de forums Internet et analyses en laboratoire de produits du marché gris.</w:t>
      </w:r>
    </w:p>
    <w:bookmarkStart w:id="2029" w:name="les-études-cliniques-des-années-1990"/>
    <w:p>
      <w:pPr>
        <w:pStyle w:val="Heading4"/>
      </w:pPr>
      <w:r>
        <w:t xml:space="preserve">Les études cliniques des années 1990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protocole</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Dorr 1996, PMID 8637402</w:t>
            </w:r>
          </w:p>
        </w:tc>
        <w:tc>
          <w:tcPr/>
          <w:p>
            <w:pPr>
              <w:pStyle w:val="Compact"/>
              <w:jc w:val="left"/>
            </w:pPr>
            <w:r>
              <w:t xml:space="preserve">3 hommes en bonne santé, simple aveugle, alternance principe actif et sérum physiologique</w:t>
            </w:r>
          </w:p>
        </w:tc>
        <w:tc>
          <w:tcPr/>
          <w:p>
            <w:pPr>
              <w:pStyle w:val="Compact"/>
              <w:jc w:val="left"/>
            </w:pPr>
            <w:r>
              <w:t xml:space="preserve">2 semaines</w:t>
            </w:r>
          </w:p>
        </w:tc>
        <w:tc>
          <w:tcPr/>
          <w:p>
            <w:pPr>
              <w:pStyle w:val="Compact"/>
              <w:jc w:val="left"/>
            </w:pPr>
            <w:r>
              <w:t xml:space="preserve">Bronzage du visage, du haut du corps et des fesses chez 2 sur 3 ; érections spontanées ; nausées, fatigue</w:t>
            </w:r>
          </w:p>
        </w:tc>
      </w:tr>
      <w:tr>
        <w:tc>
          <w:tcPr/>
          <w:p>
            <w:pPr>
              <w:pStyle w:val="Compact"/>
              <w:jc w:val="left"/>
            </w:pPr>
            <w:r>
              <w:t xml:space="preserve">Wessells 1998, PMID 9679884</w:t>
            </w:r>
          </w:p>
        </w:tc>
        <w:tc>
          <w:tcPr/>
          <w:p>
            <w:pPr>
              <w:pStyle w:val="Compact"/>
              <w:jc w:val="left"/>
            </w:pPr>
            <w:r>
              <w:t xml:space="preserve">10 hommes atteints de dysfonction érectile d’origine psychogène, étude croisée en double aveugle contre placebo</w:t>
            </w:r>
          </w:p>
        </w:tc>
        <w:tc>
          <w:tcPr/>
          <w:p>
            <w:pPr>
              <w:pStyle w:val="Compact"/>
              <w:jc w:val="left"/>
            </w:pPr>
            <w:r>
              <w:t xml:space="preserve">Doses uniques</w:t>
            </w:r>
          </w:p>
        </w:tc>
        <w:tc>
          <w:tcPr/>
          <w:p>
            <w:pPr>
              <w:pStyle w:val="Compact"/>
              <w:jc w:val="left"/>
            </w:pPr>
            <w:r>
              <w:t xml:space="preserve">Érections chez 8 sur 10 ; durée de rigidité élevée 38,0 contre 3,0 minutes</w:t>
            </w:r>
          </w:p>
        </w:tc>
      </w:tr>
      <w:tr>
        <w:tc>
          <w:tcPr/>
          <w:p>
            <w:pPr>
              <w:pStyle w:val="Compact"/>
              <w:jc w:val="left"/>
            </w:pPr>
            <w:r>
              <w:t xml:space="preserve">Wessells 2000, PMID 11018622</w:t>
            </w:r>
          </w:p>
        </w:tc>
        <w:tc>
          <w:tcPr/>
          <w:p>
            <w:pPr>
              <w:pStyle w:val="Compact"/>
              <w:jc w:val="left"/>
            </w:pPr>
            <w:r>
              <w:t xml:space="preserve">10 hommes atteints de dysfonction érectile d’origine organique, étude croisée en double aveugle</w:t>
            </w:r>
          </w:p>
        </w:tc>
        <w:tc>
          <w:tcPr/>
          <w:p>
            <w:pPr>
              <w:pStyle w:val="Compact"/>
              <w:jc w:val="left"/>
            </w:pPr>
            <w:r>
              <w:t xml:space="preserve">Doses uniques</w:t>
            </w:r>
          </w:p>
        </w:tc>
        <w:tc>
          <w:tcPr/>
          <w:p>
            <w:pPr>
              <w:pStyle w:val="Compact"/>
              <w:jc w:val="left"/>
            </w:pPr>
            <w:r>
              <w:t xml:space="preserve">Érections après 12 injections sur 19 contre 1 administration de placebo sur 21 ; 4 injections sur 19 avec fortes nausées</w:t>
            </w:r>
          </w:p>
        </w:tc>
      </w:tr>
      <w:tr>
        <w:tc>
          <w:tcPr/>
          <w:p>
            <w:pPr>
              <w:pStyle w:val="Compact"/>
              <w:jc w:val="left"/>
            </w:pPr>
            <w:r>
              <w:t xml:space="preserve">Wessells 2000 (synthèse), PMID 11035391</w:t>
            </w:r>
          </w:p>
        </w:tc>
        <w:tc>
          <w:tcPr/>
          <w:p>
            <w:pPr>
              <w:pStyle w:val="Compact"/>
              <w:jc w:val="left"/>
            </w:pPr>
            <w:r>
              <w:t xml:space="preserve">les deux études réunies, 20 hommes</w:t>
            </w:r>
          </w:p>
        </w:tc>
        <w:tc>
          <w:tcPr/>
          <w:p>
            <w:pPr>
              <w:pStyle w:val="Compact"/>
              <w:jc w:val="left"/>
            </w:pPr>
            <w:r>
              <w:t xml:space="preserve">Doses uniques</w:t>
            </w:r>
          </w:p>
        </w:tc>
        <w:tc>
          <w:tcPr/>
          <w:p>
            <w:pPr>
              <w:pStyle w:val="Compact"/>
              <w:jc w:val="left"/>
            </w:pPr>
            <w:r>
              <w:t xml:space="preserve">Érections sans stimulation sexuelle chez 17 sur 20 ; désir accru après 68 % contre 19 % des administrations</w:t>
            </w:r>
          </w:p>
        </w:tc>
      </w:tr>
    </w:tbl>
    <w:p>
      <w:pPr>
        <w:pStyle w:val="BodyText"/>
      </w:pPr>
      <w:r>
        <w:t xml:space="preserve">La première étude chez l’humain</w:t>
      </w:r>
      <w:r>
        <w:rPr>
          <w:rStyle w:val="FootnoteReference"/>
        </w:rPr>
        <w:footnoteReference w:id="2026"/>
      </w:r>
      <w:r>
        <w:t xml:space="preserve"> </w:t>
      </w:r>
      <w:r>
        <w:t xml:space="preserve">était une étude pilote portant sur seulement trois hommes. Tous les effets que décriront plus tard les utilisateurs sur Internet y apparaissaient déjà : deux des trois hommes ont visiblement bronzé, de légères nausées sont survenues à la plupart des paliers de dose, l’un d’eux a ressenti une fatigue plus marquée. Un « complexe d’étirements et de bâillements » s’accompagnait d’érections spontanées qui revenaient à répétition pendant une à cinq heures selon la dose.</w:t>
      </w:r>
    </w:p>
    <w:p>
      <w:pPr>
        <w:pStyle w:val="BodyText"/>
      </w:pPr>
      <w:r>
        <w:t xml:space="preserve">Le groupe de travail de l’urologue Hunter Wessells a ensuite étudié l’effet érectile. Dans deux petites études croisées (chaque participant recevait dans un ordre aléatoire le principe actif et le placebo), le Melanotan II a déclenché des érections chez la majorité des hommes atteints de dysfonction érectile, même sans stimulation sexuelle</w:t>
      </w:r>
      <w:r>
        <w:rPr>
          <w:rStyle w:val="FootnoteReference"/>
        </w:rPr>
        <w:footnoteReference w:id="2027"/>
      </w:r>
      <w:r>
        <w:t xml:space="preserve">. Dans la synthèse des deux études, les hommes ont rapporté un désir accru après 68 % des administrations de Melanotan, contre 19 % après placebo. De fortes nausées sont survenues dans 12,9 % des cas</w:t>
      </w:r>
      <w:r>
        <w:rPr>
          <w:rStyle w:val="FootnoteReference"/>
        </w:rPr>
        <w:footnoteReference w:id="2028"/>
      </w:r>
      <w:r>
        <w:t xml:space="preserve">.</w:t>
      </w:r>
    </w:p>
    <w:p>
      <w:pPr>
        <w:pStyle w:val="BodyText"/>
      </w:pPr>
      <w:r>
        <w:t xml:space="preserve">La recherche clinique sur le Melanotan II s’est arrêtée là. Le développement s’est orienté vers le brémélanotide, évalué sous forme de spray nasal puis d’injection. Pour le bronzage chez les personnes en bonne santé, il n’existe pas une seule étude contrôlée avec le Melanotan II.</w:t>
      </w:r>
    </w:p>
    <w:bookmarkEnd w:id="2029"/>
    <w:bookmarkStart w:id="2032" w:name="les-études-sur-le-melanotan-i"/>
    <w:p>
      <w:pPr>
        <w:pStyle w:val="Heading4"/>
      </w:pPr>
      <w:r>
        <w:t xml:space="preserve">Les études sur le Melanotan I</w:t>
      </w:r>
    </w:p>
    <w:p>
      <w:pPr>
        <w:pStyle w:val="FirstParagraph"/>
      </w:pPr>
      <w:r>
        <w:t xml:space="preserve">Pour situer les choses : les autres études issues de la requête dans la base de données concernent le Melanotan I. Dans ces études, des volontaires ont produit davantage d’eumélanine après les injections, presque deux fois plus qu’auparavant dans la peau de l’avant-bras</w:t>
      </w:r>
      <w:r>
        <w:rPr>
          <w:rStyle w:val="FootnoteReference"/>
        </w:rPr>
        <w:footnoteReference w:id="2030"/>
      </w:r>
      <w:r>
        <w:t xml:space="preserve">. Combiné à la lumière du soleil, le bronzage était renforcé et prolongé</w:t>
      </w:r>
      <w:r>
        <w:rPr>
          <w:rStyle w:val="FootnoteReference"/>
        </w:rPr>
        <w:footnoteReference w:id="2031"/>
      </w:r>
      <w:r>
        <w:t xml:space="preserve">. Ces résultats appartiennent à l’histoire de l’afamélanotide et ne peuvent pas être transposés au Melanotan II, qui agit davantage sur le cerveau.</w:t>
      </w:r>
    </w:p>
    <w:bookmarkEnd w:id="2032"/>
    <w:bookmarkStart w:id="2038" w:name="qui-utilise-le-melanotan-ii"/>
    <w:p>
      <w:pPr>
        <w:pStyle w:val="Heading4"/>
      </w:pPr>
      <w:r>
        <w:t xml:space="preserve">Qui utilise le Melanotan II</w:t>
      </w:r>
    </w:p>
    <w:p>
      <w:pPr>
        <w:pStyle w:val="FirstParagraph"/>
      </w:pPr>
      <w:r>
        <w:t xml:space="preserve">Le Melanotan II n’ayant jamais été autorisé, presque tout ce que l’on sait de son usage actuel provient d’observations faites en dehors d’études. Dès 2009, des spécialistes britanniques ont décrit dans le British Medical Journal la diffusion du Melanotan I et II dans la population générale</w:t>
      </w:r>
      <w:r>
        <w:rPr>
          <w:rStyle w:val="FootnoteReference"/>
        </w:rPr>
        <w:footnoteReference w:id="2033"/>
      </w:r>
      <w:r>
        <w:t xml:space="preserve">. Une revue systématique a classé le Melanotan parmi les produits fréquemment injectés pour l’optimisation du corps et des performances, aux côtés des stéroïdes anabolisants et de l’hormone de croissance</w:t>
      </w:r>
      <w:r>
        <w:rPr>
          <w:rStyle w:val="FootnoteReference"/>
        </w:rPr>
        <w:footnoteReference w:id="2034"/>
      </w:r>
      <w:r>
        <w:t xml:space="preserve">.</w:t>
      </w:r>
    </w:p>
    <w:p>
      <w:pPr>
        <w:pStyle w:val="BodyText"/>
      </w:pPr>
      <w:r>
        <w:t xml:space="preserve">Une analyse de forums Internet britanniques et irlandais des années 2016 et 2017 a examiné 623 messages de 205 personnes</w:t>
      </w:r>
      <w:r>
        <w:rPr>
          <w:rStyle w:val="FootnoteReference"/>
        </w:rPr>
        <w:footnoteReference w:id="2035"/>
      </w:r>
      <w:r>
        <w:t xml:space="preserve">. Comme motivations, les utilisatrices et utilisateurs citaient surtout un teint hâlé avant les vacances et avant les compétitions de culturisme. Les forums révélaient des informations erronées, des schémas de dosage élaborés par les utilisateurs eux-mêmes, la combinaison avec des cabines de bronzage et d’autres pratiques à risque. Une enquête en ligne auprès d’utilisateurs décrit à quel point la substance était facile à obtenir</w:t>
      </w:r>
      <w:r>
        <w:rPr>
          <w:rStyle w:val="FootnoteReference"/>
        </w:rPr>
        <w:footnoteReference w:id="2036"/>
      </w:r>
      <w:r>
        <w:t xml:space="preserve">.</w:t>
      </w:r>
    </w:p>
    <w:p>
      <w:pPr>
        <w:pStyle w:val="BodyText"/>
      </w:pPr>
      <w:r>
        <w:t xml:space="preserve">Ces dernières années, la publicité s’est de plus en plus déplacée vers les réseaux sociaux comme TikTok, où le Melanotan est promu comme « Barbie Drug ». Plusieurs revues de dermatologie ont analysé ces contenus et mettent en garde contre leur banalisation</w:t>
      </w:r>
      <w:r>
        <w:rPr>
          <w:rStyle w:val="FootnoteReference"/>
        </w:rPr>
        <w:footnoteReference w:id="2037"/>
      </w:r>
      <w:r>
        <w:t xml:space="preserve">.</w:t>
      </w:r>
    </w:p>
    <w:bookmarkEnd w:id="2038"/>
    <w:bookmarkEnd w:id="2039"/>
    <w:bookmarkStart w:id="2043" w:name="études-animales-et-de-laboratoire-47"/>
    <w:p>
      <w:pPr>
        <w:pStyle w:val="Heading3"/>
      </w:pPr>
      <w:r>
        <w:t xml:space="preserve">Études animales et de laboratoire</w:t>
      </w:r>
    </w:p>
    <w:p>
      <w:pPr>
        <w:pStyle w:val="FirstParagraph"/>
      </w:pPr>
      <w:r>
        <w:t xml:space="preserve">En recherche fondamentale, le Melanotan II est un outil standard pour activer les récepteurs des mélanocortines. Les expérimentations animales sont donc nombreuses, mais elles répondent le plus souvent à des questions de neurosciences et ne concernent pas la sécurité chez l’humain :</w:t>
      </w:r>
    </w:p>
    <w:p>
      <w:pPr>
        <w:numPr>
          <w:ilvl w:val="0"/>
          <w:numId w:val="1259"/>
        </w:numPr>
        <w:pStyle w:val="Compact"/>
      </w:pPr>
      <w:r>
        <w:rPr>
          <w:bCs/>
          <w:b/>
        </w:rPr>
        <w:t xml:space="preserve">Poids et graisse :</w:t>
      </w:r>
      <w:r>
        <w:t xml:space="preserve"> </w:t>
      </w:r>
      <w:r>
        <w:t xml:space="preserve">chez des souris et des rats en surpoids soumis à un régime riche en graisses, le Melanotan II a réduit le poids et la masse grasse, principalement par une diminution de la prise alimentaire</w:t>
      </w:r>
      <w:r>
        <w:rPr>
          <w:rStyle w:val="FootnoteReference"/>
        </w:rPr>
        <w:footnoteReference w:id="2040"/>
      </w:r>
      <w:r>
        <w:t xml:space="preserve">.</w:t>
      </w:r>
    </w:p>
    <w:p>
      <w:pPr>
        <w:numPr>
          <w:ilvl w:val="0"/>
          <w:numId w:val="1259"/>
        </w:numPr>
        <w:pStyle w:val="Compact"/>
      </w:pPr>
      <w:r>
        <w:rPr>
          <w:bCs/>
          <w:b/>
        </w:rPr>
        <w:t xml:space="preserve">Température corporelle :</w:t>
      </w:r>
      <w:r>
        <w:t xml:space="preserve"> </w:t>
      </w:r>
      <w:r>
        <w:t xml:space="preserve">chez la souris, il a provoqué une forte hypothermie transitoire, médiée par les mastocytes et l’histamine</w:t>
      </w:r>
      <w:r>
        <w:rPr>
          <w:rStyle w:val="FootnoteReference"/>
        </w:rPr>
        <w:footnoteReference w:id="2041"/>
      </w:r>
      <w:r>
        <w:t xml:space="preserve">.</w:t>
      </w:r>
    </w:p>
    <w:p>
      <w:pPr>
        <w:numPr>
          <w:ilvl w:val="0"/>
          <w:numId w:val="1259"/>
        </w:numPr>
        <w:pStyle w:val="Compact"/>
      </w:pPr>
      <w:r>
        <w:rPr>
          <w:bCs/>
          <w:b/>
        </w:rPr>
        <w:t xml:space="preserve">Comportement social :</w:t>
      </w:r>
      <w:r>
        <w:t xml:space="preserve"> </w:t>
      </w:r>
      <w:r>
        <w:t xml:space="preserve">dans un modèle murin d’autisme, une administration d’une semaine a amélioré des mesures du comportement social</w:t>
      </w:r>
      <w:r>
        <w:rPr>
          <w:rStyle w:val="FootnoteReference"/>
        </w:rPr>
        <w:footnoteReference w:id="2042"/>
      </w:r>
      <w:r>
        <w:t xml:space="preserve">. La voie supposée passe par une activation du système de l’ocytocine (chapitre 2E05).</w:t>
      </w:r>
    </w:p>
    <w:p>
      <w:pPr>
        <w:pStyle w:val="FirstParagraph"/>
      </w:pPr>
      <w:r>
        <w:t xml:space="preserve">Aucun de ces résultats n’a été confirmé chez l’humain.</w:t>
      </w:r>
    </w:p>
    <w:bookmarkEnd w:id="2043"/>
    <w:bookmarkStart w:id="2069" w:name="risques-et-effets-indésirables-47"/>
    <w:p>
      <w:pPr>
        <w:pStyle w:val="Heading3"/>
      </w:pPr>
      <w:r>
        <w:t xml:space="preserve">Risques et effets indésirables</w:t>
      </w:r>
    </w:p>
    <w:p>
      <w:pPr>
        <w:pStyle w:val="FirstParagraph"/>
      </w:pPr>
      <w:r>
        <w:t xml:space="preserve">Les risques du Melanotan II peuvent être classés en trois groupes : les effets attendus via les récepteurs des mélanocortines, les modifications cutanées avec la question non résolue du cancer de la peau, et les cas isolés graves.</w:t>
      </w:r>
    </w:p>
    <w:bookmarkStart w:id="2048" w:name="effets-attendus"/>
    <w:p>
      <w:pPr>
        <w:pStyle w:val="Heading4"/>
      </w:pPr>
      <w:r>
        <w:t xml:space="preserve">Effets attendus</w:t>
      </w:r>
    </w:p>
    <w:p>
      <w:pPr>
        <w:pStyle w:val="FirstParagraph"/>
      </w:pPr>
      <w:r>
        <w:t xml:space="preserve">Nausées, rougeur du visage, bâillements et étirements, perte d’appétit, fatigue et érections spontanées sont déjà apparus dans les études</w:t>
      </w:r>
      <w:r>
        <w:rPr>
          <w:rStyle w:val="FootnoteReference"/>
        </w:rPr>
        <w:footnoteReference w:id="2044"/>
      </w:r>
      <w:r>
        <w:t xml:space="preserve">. La pigmentation ne concerne pas seulement la peau : des cas rapportés décrivent des bandes sombres transversales dans les ongles des doigts</w:t>
      </w:r>
      <w:r>
        <w:rPr>
          <w:rStyle w:val="FootnoteReference"/>
        </w:rPr>
        <w:footnoteReference w:id="2045"/>
      </w:r>
      <w:r>
        <w:t xml:space="preserve"> </w:t>
      </w:r>
      <w:r>
        <w:t xml:space="preserve">et des modifications pigmentaires de la muqueuse buccale</w:t>
      </w:r>
      <w:r>
        <w:rPr>
          <w:rStyle w:val="FootnoteReference"/>
        </w:rPr>
        <w:footnoteReference w:id="2046"/>
      </w:r>
      <w:r>
        <w:t xml:space="preserve">. Paradoxalement, des taches claires, dépigmentées, ont aussi été décrites</w:t>
      </w:r>
      <w:r>
        <w:rPr>
          <w:rStyle w:val="FootnoteReference"/>
        </w:rPr>
        <w:footnoteReference w:id="2047"/>
      </w:r>
      <w:r>
        <w:t xml:space="preserve">.</w:t>
      </w:r>
    </w:p>
    <w:bookmarkEnd w:id="2048"/>
    <w:bookmarkStart w:id="2056" w:name="grains-de-beauté-et-mélanome"/>
    <w:p>
      <w:pPr>
        <w:pStyle w:val="Heading4"/>
      </w:pPr>
      <w:r>
        <w:t xml:space="preserve">Grains de beauté et mélanome</w:t>
      </w:r>
    </w:p>
    <w:p>
      <w:pPr>
        <w:pStyle w:val="FirstParagraph"/>
      </w:pPr>
      <w:r>
        <w:t xml:space="preserve">C’est la préoccupation qui occupe le plus les dermatologues. Le Melanotan II stimule toutes les cellules pigmentaires, y compris celles des grains de beauté existants (nævus). Plusieurs cas rapportés décrivent :</w:t>
      </w:r>
    </w:p>
    <w:p>
      <w:pPr>
        <w:numPr>
          <w:ilvl w:val="0"/>
          <w:numId w:val="1260"/>
        </w:numPr>
        <w:pStyle w:val="Compact"/>
      </w:pPr>
      <w:r>
        <w:rPr>
          <w:bCs/>
          <w:b/>
        </w:rPr>
        <w:t xml:space="preserve">l’apparition de nombreux nouveaux grains de beauté</w:t>
      </w:r>
      <w:r>
        <w:t xml:space="preserve"> </w:t>
      </w:r>
      <w:r>
        <w:t xml:space="preserve">(nævus éruptifs) après des injections de Melanotan</w:t>
      </w:r>
      <w:r>
        <w:rPr>
          <w:rStyle w:val="FootnoteReference"/>
        </w:rPr>
        <w:footnoteReference w:id="2049"/>
      </w:r>
      <w:r>
        <w:t xml:space="preserve">, parfois d’aspect inhabituel, atypique</w:t>
      </w:r>
      <w:r>
        <w:rPr>
          <w:rStyle w:val="FootnoteReference"/>
        </w:rPr>
        <w:footnoteReference w:id="2050"/>
      </w:r>
      <w:r>
        <w:t xml:space="preserve"> </w:t>
      </w:r>
      <w:r>
        <w:t xml:space="preserve">;</w:t>
      </w:r>
    </w:p>
    <w:p>
      <w:pPr>
        <w:numPr>
          <w:ilvl w:val="0"/>
          <w:numId w:val="1260"/>
        </w:numPr>
        <w:pStyle w:val="Compact"/>
      </w:pPr>
      <w:r>
        <w:rPr>
          <w:bCs/>
          <w:b/>
        </w:rPr>
        <w:t xml:space="preserve">des grains de beauté existants qui foncent et se modifient</w:t>
      </w:r>
      <w:r>
        <w:t xml:space="preserve"> </w:t>
      </w:r>
      <w:r>
        <w:t xml:space="preserve">;</w:t>
      </w:r>
    </w:p>
    <w:p>
      <w:pPr>
        <w:numPr>
          <w:ilvl w:val="0"/>
          <w:numId w:val="1260"/>
        </w:numPr>
        <w:pStyle w:val="Compact"/>
      </w:pPr>
      <w:r>
        <w:rPr>
          <w:bCs/>
          <w:b/>
        </w:rPr>
        <w:t xml:space="preserve">des mélanomes</w:t>
      </w:r>
      <w:r>
        <w:t xml:space="preserve">, c’est-à-dire des cancers de la peau pigmentés, pendant ou peu après l’utilisation</w:t>
      </w:r>
      <w:r>
        <w:rPr>
          <w:rStyle w:val="FootnoteReference"/>
        </w:rPr>
        <w:footnoteReference w:id="2051"/>
      </w:r>
      <w:r>
        <w:t xml:space="preserve">. Une femme de 20 ans à la peau claire a développé un mélanome sur la fesse trois mois après une auto-administration de trois à quatre semaines, combinée à des séances de bronzage en cabine</w:t>
      </w:r>
      <w:r>
        <w:rPr>
          <w:rStyle w:val="FootnoteReference"/>
        </w:rPr>
        <w:footnoteReference w:id="2052"/>
      </w:r>
      <w:r>
        <w:t xml:space="preserve">. Un cas publié en 2025 décrit un mélanome de la muqueuse buccale chez une jeune femme de 22 ans qui avait utilisé un spray nasal de Melanotan II</w:t>
      </w:r>
      <w:r>
        <w:rPr>
          <w:rStyle w:val="FootnoteReference"/>
        </w:rPr>
        <w:footnoteReference w:id="2053"/>
      </w:r>
      <w:r>
        <w:t xml:space="preserve">.</w:t>
      </w:r>
    </w:p>
    <w:p>
      <w:pPr>
        <w:pStyle w:val="FirstParagraph"/>
      </w:pPr>
      <w:r>
        <w:t xml:space="preserve">Une revue de tous les cas publiés de grains de beauté apparus brutalement (179 personnes) a relevé parmi les facteurs déclenchants, outre l’immunosuppression et la chimiothérapie, le Melanotan ; 16 % des cas présentaient au moins un nævus dysplasique, c’est-à-dire anormalement modifié</w:t>
      </w:r>
      <w:r>
        <w:rPr>
          <w:rStyle w:val="FootnoteReference"/>
        </w:rPr>
        <w:footnoteReference w:id="2054"/>
      </w:r>
      <w:r>
        <w:t xml:space="preserve">.</w:t>
      </w:r>
    </w:p>
    <w:p>
      <w:pPr>
        <w:pStyle w:val="BodyText"/>
      </w:pPr>
      <w:r>
        <w:rPr>
          <w:bCs/>
          <w:b/>
        </w:rPr>
        <w:t xml:space="preserve">Ce que signifient ces données :</w:t>
      </w:r>
      <w:r>
        <w:t xml:space="preserve"> </w:t>
      </w:r>
      <w:r>
        <w:t xml:space="preserve">les cas rapportés ne prouvent pas de lien de causalité. Beaucoup de personnes concernées utilisaient en même temps des cabines de bronzage ou s’exposaient intensément au soleil, ce qui augmente indépendamment le risque de mélanome. Une revue conclut qu’un lien n’est pas démontré de façon concluante, mais que l’accumulation des cas incite à la prudence</w:t>
      </w:r>
      <w:r>
        <w:rPr>
          <w:rStyle w:val="FootnoteReference"/>
        </w:rPr>
        <w:footnoteReference w:id="2055"/>
      </w:r>
      <w:r>
        <w:t xml:space="preserve">. Le Melanotan II n’ayant jamais été étudié de manière systématique, personne ne peut dire quelle est l’ampleur d’un éventuel risque. À titre de comparaison : pour l’afamélanotide, apparenté et autorisé, une étude par dermoscopie n’a montré que des modifications transitoires des grains de beauté, sans indice de transformation maligne (chapitre 2E03) – mais ces données ne valent pas pour le Melanotan II.</w:t>
      </w:r>
    </w:p>
    <w:bookmarkEnd w:id="2056"/>
    <w:bookmarkStart w:id="2064" w:name="cas-isolés-graves"/>
    <w:p>
      <w:pPr>
        <w:pStyle w:val="Heading4"/>
      </w:pPr>
      <w:r>
        <w:t xml:space="preserve">Cas isolés graves</w:t>
      </w:r>
    </w:p>
    <w:p>
      <w:pPr>
        <w:numPr>
          <w:ilvl w:val="0"/>
          <w:numId w:val="1261"/>
        </w:numPr>
        <w:pStyle w:val="Compact"/>
      </w:pPr>
      <w:r>
        <w:rPr>
          <w:bCs/>
          <w:b/>
        </w:rPr>
        <w:t xml:space="preserve">Priapisme :</w:t>
      </w:r>
      <w:r>
        <w:t xml:space="preserve"> </w:t>
      </w:r>
      <w:r>
        <w:t xml:space="preserve">érection prolongée douloureuse, une urgence urologique. Plusieurs cas rapportés la décrivent après des injections de Melanotan</w:t>
      </w:r>
      <w:r>
        <w:rPr>
          <w:rStyle w:val="FootnoteReference"/>
        </w:rPr>
        <w:footnoteReference w:id="2057"/>
      </w:r>
      <w:r>
        <w:t xml:space="preserve">. Dans un cas, un drainage chirurgical a été nécessaire</w:t>
      </w:r>
      <w:r>
        <w:rPr>
          <w:rStyle w:val="FootnoteReference"/>
        </w:rPr>
        <w:footnoteReference w:id="2058"/>
      </w:r>
      <w:r>
        <w:t xml:space="preserve"> </w:t>
      </w:r>
      <w:r>
        <w:t xml:space="preserve">; dans un autre, la capacité érectile n’était toujours pas rétablie quatre semaines plus tard</w:t>
      </w:r>
      <w:r>
        <w:rPr>
          <w:rStyle w:val="FootnoteReference"/>
        </w:rPr>
        <w:footnoteReference w:id="2059"/>
      </w:r>
      <w:r>
        <w:t xml:space="preserve">.</w:t>
      </w:r>
    </w:p>
    <w:p>
      <w:pPr>
        <w:numPr>
          <w:ilvl w:val="0"/>
          <w:numId w:val="1261"/>
        </w:numPr>
        <w:pStyle w:val="Compact"/>
      </w:pPr>
      <w:r>
        <w:rPr>
          <w:bCs/>
          <w:b/>
        </w:rPr>
        <w:t xml:space="preserve">Destruction musculaire et atteinte rénale :</w:t>
      </w:r>
      <w:r>
        <w:t xml:space="preserve"> </w:t>
      </w:r>
      <w:r>
        <w:t xml:space="preserve">un homme de 39 ans s’est injecté, selon ses propres dires, six fois la quantité de départ recommandée. Il a développé une tachycardie, une agitation et une destruction musculaire sévère (rhabdomyolyse), avec une élévation de l’enzyme musculaire CK à 17 773 UI/l et une atteinte rénale transitoire ; la substance a été confirmée en laboratoire comme étant du Melanotan II</w:t>
      </w:r>
      <w:r>
        <w:rPr>
          <w:rStyle w:val="FootnoteReference"/>
        </w:rPr>
        <w:footnoteReference w:id="2060"/>
      </w:r>
      <w:r>
        <w:t xml:space="preserve">.</w:t>
      </w:r>
    </w:p>
    <w:p>
      <w:pPr>
        <w:numPr>
          <w:ilvl w:val="0"/>
          <w:numId w:val="1261"/>
        </w:numPr>
        <w:pStyle w:val="Compact"/>
      </w:pPr>
      <w:r>
        <w:rPr>
          <w:bCs/>
          <w:b/>
        </w:rPr>
        <w:t xml:space="preserve">Infarctus rénal :</w:t>
      </w:r>
      <w:r>
        <w:t xml:space="preserve"> </w:t>
      </w:r>
      <w:r>
        <w:t xml:space="preserve">un cas rapporté avec revue de la littérature soupçonne le Melanotan II d’être à l’origine d’une occlusion de vaisseaux rénaux</w:t>
      </w:r>
      <w:r>
        <w:rPr>
          <w:rStyle w:val="FootnoteReference"/>
        </w:rPr>
        <w:footnoteReference w:id="2061"/>
      </w:r>
      <w:r>
        <w:t xml:space="preserve">.</w:t>
      </w:r>
    </w:p>
    <w:p>
      <w:pPr>
        <w:numPr>
          <w:ilvl w:val="0"/>
          <w:numId w:val="1261"/>
        </w:numPr>
        <w:pStyle w:val="Compact"/>
      </w:pPr>
      <w:r>
        <w:rPr>
          <w:bCs/>
          <w:b/>
        </w:rPr>
        <w:t xml:space="preserve">Œdème cérébral :</w:t>
      </w:r>
      <w:r>
        <w:t xml:space="preserve"> </w:t>
      </w:r>
      <w:r>
        <w:t xml:space="preserve">un cas rapporté décrit un syndrome d’encéphalopathie postérieure réversible (PRES), un œdème de la région occipitale du cerveau, en lien avec le Melanotan</w:t>
      </w:r>
      <w:r>
        <w:rPr>
          <w:rStyle w:val="FootnoteReference"/>
        </w:rPr>
        <w:footnoteReference w:id="2062"/>
      </w:r>
      <w:r>
        <w:t xml:space="preserve">.</w:t>
      </w:r>
    </w:p>
    <w:p>
      <w:pPr>
        <w:numPr>
          <w:ilvl w:val="0"/>
          <w:numId w:val="1261"/>
        </w:numPr>
        <w:pStyle w:val="Compact"/>
      </w:pPr>
      <w:r>
        <w:rPr>
          <w:bCs/>
          <w:b/>
        </w:rPr>
        <w:t xml:space="preserve">Inflammation cutanée :</w:t>
      </w:r>
      <w:r>
        <w:t xml:space="preserve"> </w:t>
      </w:r>
      <w:r>
        <w:t xml:space="preserve">un pyoderma gangrenosum, une maladie cutanée ulcéreuse grave, a également été décrit</w:t>
      </w:r>
      <w:r>
        <w:rPr>
          <w:rStyle w:val="FootnoteReference"/>
        </w:rPr>
        <w:footnoteReference w:id="2063"/>
      </w:r>
      <w:r>
        <w:t xml:space="preserve">.</w:t>
      </w:r>
    </w:p>
    <w:bookmarkEnd w:id="2064"/>
    <w:bookmarkStart w:id="2068" w:name="risques-liés-au-marché-gris"/>
    <w:p>
      <w:pPr>
        <w:pStyle w:val="Heading4"/>
      </w:pPr>
      <w:r>
        <w:t xml:space="preserve">Risques liés au marché gris</w:t>
      </w:r>
    </w:p>
    <w:p>
      <w:pPr>
        <w:pStyle w:val="FirstParagraph"/>
      </w:pPr>
      <w:r>
        <w:t xml:space="preserve">Un laboratoire a acheté des flacons de Melanotan II auprès de trois boutiques en ligne. Toutes promettaient 10 mg par flacon ; en réalité, ils contenaient entre 4,32 et 8,84 mg. Les produits de deux boutiques contenaient 4,1 à 5,9 % d’impuretés inconnues</w:t>
      </w:r>
      <w:r>
        <w:rPr>
          <w:rStyle w:val="FootnoteReference"/>
        </w:rPr>
        <w:footnoteReference w:id="2065"/>
      </w:r>
      <w:r>
        <w:t xml:space="preserve">. Un laboratoire de police scientifique a mesuré une pureté de 30 % dans un échantillon saisi</w:t>
      </w:r>
      <w:r>
        <w:rPr>
          <w:rStyle w:val="FootnoteReference"/>
        </w:rPr>
        <w:footnoteReference w:id="2066"/>
      </w:r>
      <w:r>
        <w:t xml:space="preserve">. S’y ajoutent les risques d’une préparation non stérile et du partage d’aiguilles, sur lesquels les spécialistes attirent expressément l’attention</w:t>
      </w:r>
      <w:r>
        <w:rPr>
          <w:rStyle w:val="FootnoteReference"/>
        </w:rPr>
        <w:footnoteReference w:id="2067"/>
      </w:r>
      <w:r>
        <w:t xml:space="preserve">. Pour en savoir plus sur la pureté et les contrefaçons sur le marché gris, voir les parties I et IV.</w:t>
      </w:r>
    </w:p>
    <w:bookmarkEnd w:id="2068"/>
    <w:bookmarkEnd w:id="2069"/>
    <w:bookmarkStart w:id="2072" w:name="statut-juridique-47"/>
    <w:p>
      <w:pPr>
        <w:pStyle w:val="Heading3"/>
      </w:pPr>
      <w:r>
        <w:t xml:space="preserve">Statut juridique</w:t>
      </w:r>
    </w:p>
    <w:p>
      <w:pPr>
        <w:pStyle w:val="FirstParagraph"/>
      </w:pPr>
      <w:r>
        <w:rPr>
          <w:iCs/>
          <w:i/>
        </w:rPr>
        <w:t xml:space="preserve">État 2026, à vérifier.</w:t>
      </w:r>
    </w:p>
    <w:p>
      <w:pPr>
        <w:numPr>
          <w:ilvl w:val="0"/>
          <w:numId w:val="1262"/>
        </w:numPr>
        <w:pStyle w:val="Compact"/>
      </w:pPr>
      <w:r>
        <w:rPr>
          <w:bCs/>
          <w:b/>
        </w:rPr>
        <w:t xml:space="preserve">UE :</w:t>
      </w:r>
      <w:r>
        <w:t xml:space="preserve"> </w:t>
      </w:r>
      <w:r>
        <w:t xml:space="preserve">le Melanotan II n’est autorisé dans aucun État membre. Comme il est proposé pour un usage chez l’humain avec un effet sur les fonctions corporelles, il est juridiquement considéré comme un médicament ; sa fabrication, son importation et sa vente sans autorisation sont interdites. La mention « réservé à la recherche » n’y change rien.</w:t>
      </w:r>
    </w:p>
    <w:p>
      <w:pPr>
        <w:numPr>
          <w:ilvl w:val="0"/>
          <w:numId w:val="1262"/>
        </w:numPr>
        <w:pStyle w:val="Compact"/>
      </w:pPr>
      <w:r>
        <w:rPr>
          <w:bCs/>
          <w:b/>
        </w:rPr>
        <w:t xml:space="preserve">Allemagne et Autriche :</w:t>
      </w:r>
      <w:r>
        <w:t xml:space="preserve"> </w:t>
      </w:r>
      <w:r>
        <w:t xml:space="preserve">non autorisé. La remise en vue d’un usage chez l’humain enfreint la loi sur les médicaments de chacun de ces pays. Les autorités et les douanes saisissent les envois.</w:t>
      </w:r>
    </w:p>
    <w:p>
      <w:pPr>
        <w:numPr>
          <w:ilvl w:val="0"/>
          <w:numId w:val="1262"/>
        </w:numPr>
        <w:pStyle w:val="Compact"/>
      </w:pPr>
      <w:r>
        <w:rPr>
          <w:bCs/>
          <w:b/>
        </w:rPr>
        <w:t xml:space="preserve">Mises en garde des autorités :</w:t>
      </w:r>
      <w:r>
        <w:t xml:space="preserve"> </w:t>
      </w:r>
      <w:r>
        <w:t xml:space="preserve">plusieurs autorités nationales du médicament et de la santé ont mis en garde contre le Melanotan I et II</w:t>
      </w:r>
      <w:r>
        <w:rPr>
          <w:rStyle w:val="FootnoteReference"/>
        </w:rPr>
        <w:footnoteReference w:id="2070"/>
      </w:r>
      <w:r>
        <w:t xml:space="preserve">. À la connaissance de l’auteur, les autorités britanniques et irlandaises ont été parmi les premières à partir de 2008, suivies plus tard par d’autres pays européens et l’Australie. Au Royaume-Uni, la vente est expressément illégale</w:t>
      </w:r>
      <w:r>
        <w:rPr>
          <w:rStyle w:val="FootnoteReference"/>
        </w:rPr>
        <w:footnoteReference w:id="2071"/>
      </w:r>
      <w:r>
        <w:t xml:space="preserve">.</w:t>
      </w:r>
    </w:p>
    <w:p>
      <w:pPr>
        <w:numPr>
          <w:ilvl w:val="0"/>
          <w:numId w:val="1262"/>
        </w:numPr>
        <w:pStyle w:val="Compact"/>
      </w:pPr>
      <w:r>
        <w:rPr>
          <w:bCs/>
          <w:b/>
        </w:rPr>
        <w:t xml:space="preserve">États-Unis :</w:t>
      </w:r>
      <w:r>
        <w:t xml:space="preserve"> </w:t>
      </w:r>
      <w:r>
        <w:t xml:space="preserve">pas d’autorisation de la FDA ; la distribution comme médicament à usage humain n’est pas permise.</w:t>
      </w:r>
    </w:p>
    <w:p>
      <w:pPr>
        <w:numPr>
          <w:ilvl w:val="0"/>
          <w:numId w:val="1262"/>
        </w:numPr>
        <w:pStyle w:val="Compact"/>
      </w:pPr>
      <w:r>
        <w:rPr>
          <w:bCs/>
          <w:b/>
        </w:rPr>
        <w:t xml:space="preserve">AMA (WADA) :</w:t>
      </w:r>
      <w:r>
        <w:t xml:space="preserve"> </w:t>
      </w:r>
      <w:r>
        <w:t xml:space="preserve">interdit en tant que substance non approuvée (S0).</w:t>
      </w:r>
    </w:p>
    <w:bookmarkEnd w:id="2072"/>
    <w:bookmarkStart w:id="2073" w:name="études-en-cours-et-perspectives-47"/>
    <w:p>
      <w:pPr>
        <w:pStyle w:val="Heading3"/>
      </w:pPr>
      <w:r>
        <w:t xml:space="preserve">Études en cours et perspectives</w:t>
      </w:r>
    </w:p>
    <w:p>
      <w:pPr>
        <w:pStyle w:val="FirstParagraph"/>
      </w:pPr>
      <w:r>
        <w:rPr>
          <w:bCs/>
          <w:b/>
        </w:rPr>
        <w:t xml:space="preserve">Établi (études enregistrées) :</w:t>
      </w:r>
      <w:r>
        <w:t xml:space="preserve"> </w:t>
      </w:r>
      <w:r>
        <w:t xml:space="preserve">aucune. Une entrée sur le Melanotan II dans le vitiligo figurait certes sur ClinicalTrials.gov ; mais le promoteur de cette entrée a aussi enregistré des entrées qui se présentent elles-mêmes comme fictives. Cette entrée n’est donc pas considérée ici comme une véritable étude. Cela montre au passage qu’une entrée de registre ne prouve pas qu’une étude a réellement lieu.</w:t>
      </w:r>
    </w:p>
    <w:p>
      <w:pPr>
        <w:pStyle w:val="BodyText"/>
      </w:pPr>
      <w:r>
        <w:rPr>
          <w:bCs/>
          <w:b/>
        </w:rPr>
        <w:t xml:space="preserve">Appréciation de l’auteur :</w:t>
      </w:r>
      <w:r>
        <w:t xml:space="preserve"> </w:t>
      </w:r>
      <w:r>
        <w:t xml:space="preserve">il n’existe aucune voie réaliste vers une autorisation comme produit bronzant chez les personnes en bonne santé : le bénéfice est cosmétique, les effets indésirables passant par le cerveau sont marqués, et la question des grains de beauté et du mélanome devrait être tranchée par de grandes études de longue durée. Les applications médicalement pertinentes des agonistes des mélanocortines sont poursuivies avec des molécules plus sélectives – l’afamélanotide pour la peau, le brémélanotide et le setmélanotide pour le cerveau. La popularité sur les réseaux sociaux devrait encore faire augmenter le nombre de cas rapportés.</w:t>
      </w:r>
    </w:p>
    <w:bookmarkEnd w:id="2073"/>
    <w:bookmarkStart w:id="2074" w:name="conclusion-47"/>
    <w:p>
      <w:pPr>
        <w:pStyle w:val="Heading3"/>
      </w:pPr>
      <w:r>
        <w:t xml:space="preserve">Conclusion</w:t>
      </w:r>
    </w:p>
    <w:p>
      <w:pPr>
        <w:pStyle w:val="FirstParagraph"/>
      </w:pPr>
      <w:r>
        <w:t xml:space="preserve">Le Melanotan II est un peptide de recherche des années 1990, testé seulement chez environ deux douzaines de personnes dans de petites études et jamais autorisé. Il fait bronzer la peau, mais provoque régulièrement, via des récepteurs cérébraux, des nausées et des érections spontanées. Des cas rapportés décrivent des grains de beauté nouveaux ou modifiés, des mélanomes, des priapismes et une destruction musculaire ; un lien de causalité avec le cancer de la peau n’est pas prouvé, mais n’est pas non plus exclu. Lors d’analyses en laboratoire, les produits du marché gris contenaient moins de principe actif qu’annoncé ainsi que des impuretés inconnues. Les données sont insuffisantes pour qualifier le Melanotan II de sûr.</w:t>
      </w:r>
    </w:p>
    <w:bookmarkEnd w:id="2074"/>
    <w:bookmarkEnd w:id="2075"/>
    <w:bookmarkStart w:id="2135" w:name="afamélanotide"/>
    <w:p>
      <w:pPr>
        <w:pStyle w:val="Heading2"/>
      </w:pPr>
      <w:r>
        <w:t xml:space="preserve">Afamélanotide</w:t>
      </w:r>
    </w:p>
    <w:bookmarkStart w:id="2078" w:name="fiche-signalétique-48"/>
    <w:p>
      <w:pPr>
        <w:pStyle w:val="Heading3"/>
      </w:pPr>
      <w:r>
        <w:t xml:space="preserve">Fiche signalétique</w:t>
      </w:r>
    </w:p>
    <w:p>
      <w:pPr>
        <w:numPr>
          <w:ilvl w:val="0"/>
          <w:numId w:val="1263"/>
        </w:numPr>
        <w:pStyle w:val="Compact"/>
      </w:pPr>
      <w:r>
        <w:rPr>
          <w:bCs/>
          <w:b/>
        </w:rPr>
        <w:t xml:space="preserve">Type/structure :</w:t>
      </w:r>
      <w:r>
        <w:t xml:space="preserve"> </w:t>
      </w:r>
      <w:r>
        <w:t xml:space="preserve">peptide linéaire de 13 acides aminés. Il correspond à l’hormone endogène alpha-MSH dans laquelle deux constituants ont été remplacés (en position 4 par la norleucine, en position 7 par la forme D, image en miroir, de la phénylalanine). Ces modifications le rendent plus stable et plus puissant. Anciens noms : Melanotan I, MT-I, NDP-MSH, CUV1647.</w:t>
      </w:r>
    </w:p>
    <w:p>
      <w:pPr>
        <w:numPr>
          <w:ilvl w:val="0"/>
          <w:numId w:val="1263"/>
        </w:numPr>
        <w:pStyle w:val="Compact"/>
      </w:pPr>
      <w:r>
        <w:rPr>
          <w:bCs/>
          <w:b/>
        </w:rPr>
        <w:t xml:space="preserve">Origine :</w:t>
      </w:r>
      <w:r>
        <w:t xml:space="preserve"> </w:t>
      </w:r>
      <w:r>
        <w:t xml:space="preserve">mis au point à l’université de l’Arizona en même temps que le Melanotan II</w:t>
      </w:r>
      <w:r>
        <w:rPr>
          <w:rStyle w:val="FootnoteReference"/>
        </w:rPr>
        <w:footnoteReference w:id="2076"/>
      </w:r>
      <w:r>
        <w:t xml:space="preserve"> </w:t>
      </w:r>
      <w:r>
        <w:t xml:space="preserve">; développé ensuite en médicament par l’entreprise australienne Clinuvel.</w:t>
      </w:r>
    </w:p>
    <w:p>
      <w:pPr>
        <w:numPr>
          <w:ilvl w:val="0"/>
          <w:numId w:val="1263"/>
        </w:numPr>
        <w:pStyle w:val="Compact"/>
      </w:pPr>
      <w:r>
        <w:rPr>
          <w:bCs/>
          <w:b/>
        </w:rPr>
        <w:t xml:space="preserve">Principe d’action :</w:t>
      </w:r>
      <w:r>
        <w:t xml:space="preserve"> </w:t>
      </w:r>
      <w:r>
        <w:t xml:space="preserve">agoniste du récepteur 1 des mélanocortines (MC1R) des cellules pigmentaires. Il stimule la production d’eumélanine, le pigment foncé photoprotecteur – sans exposition préalable aux UV.</w:t>
      </w:r>
    </w:p>
    <w:p>
      <w:pPr>
        <w:numPr>
          <w:ilvl w:val="0"/>
          <w:numId w:val="1263"/>
        </w:numPr>
        <w:pStyle w:val="Compact"/>
      </w:pPr>
      <w:r>
        <w:rPr>
          <w:bCs/>
          <w:b/>
        </w:rPr>
        <w:t xml:space="preserve">Forme galénique :</w:t>
      </w:r>
      <w:r>
        <w:t xml:space="preserve"> </w:t>
      </w:r>
      <w:r>
        <w:t xml:space="preserve">petit implant résorbable (16 mg), placé sous la peau, qui libère le principe actif pendant plusieurs semaines. Il est posé dans des centres spécialisés.</w:t>
      </w:r>
    </w:p>
    <w:p>
      <w:pPr>
        <w:numPr>
          <w:ilvl w:val="0"/>
          <w:numId w:val="1263"/>
        </w:numPr>
        <w:pStyle w:val="Compact"/>
      </w:pPr>
      <w:r>
        <w:rPr>
          <w:bCs/>
          <w:b/>
        </w:rPr>
        <w:t xml:space="preserve">Autorisation UE :</w:t>
      </w:r>
      <w:r>
        <w:t xml:space="preserve"> </w:t>
      </w:r>
      <w:r>
        <w:t xml:space="preserve">oui, depuis 2014 (Scenesse) pour la prévention de la phototoxicité chez les adultes atteints de protoporphyrie érythropoïétique (PPE). L’autorisation était assortie de conditions, notamment une étude de sécurité post-autorisation et un registre de patients</w:t>
      </w:r>
      <w:r>
        <w:rPr>
          <w:rStyle w:val="FootnoteReference"/>
        </w:rPr>
        <w:footnoteReference w:id="2077"/>
      </w:r>
      <w:r>
        <w:t xml:space="preserve">.</w:t>
      </w:r>
    </w:p>
    <w:p>
      <w:pPr>
        <w:numPr>
          <w:ilvl w:val="0"/>
          <w:numId w:val="1263"/>
        </w:numPr>
        <w:pStyle w:val="Compact"/>
      </w:pPr>
      <w:r>
        <w:rPr>
          <w:bCs/>
          <w:b/>
        </w:rPr>
        <w:t xml:space="preserve">Autorisation États-Unis :</w:t>
      </w:r>
      <w:r>
        <w:t xml:space="preserve"> </w:t>
      </w:r>
      <w:r>
        <w:t xml:space="preserve">oui, depuis 2019 pour les adultes atteints de PPE.</w:t>
      </w:r>
    </w:p>
    <w:p>
      <w:pPr>
        <w:numPr>
          <w:ilvl w:val="0"/>
          <w:numId w:val="1263"/>
        </w:numPr>
        <w:pStyle w:val="Compact"/>
      </w:pPr>
      <w:r>
        <w:rPr>
          <w:bCs/>
          <w:b/>
        </w:rPr>
        <w:t xml:space="preserve">AMA (WADA) :</w:t>
      </w:r>
      <w:r>
        <w:t xml:space="preserve"> </w:t>
      </w:r>
      <w:r>
        <w:t xml:space="preserve">pas listé.</w:t>
      </w:r>
    </w:p>
    <w:p>
      <w:pPr>
        <w:numPr>
          <w:ilvl w:val="0"/>
          <w:numId w:val="1263"/>
        </w:numPr>
        <w:pStyle w:val="Compact"/>
      </w:pPr>
      <w:r>
        <w:rPr>
          <w:bCs/>
          <w:b/>
        </w:rPr>
        <w:t xml:space="preserve">Niveau de preuve :</w:t>
      </w:r>
      <w:r>
        <w:t xml:space="preserve"> </w:t>
      </w:r>
      <w:r>
        <w:rPr>
          <w:bCs/>
          <w:b/>
        </w:rPr>
        <w:t xml:space="preserve">A</w:t>
      </w:r>
      <w:r>
        <w:t xml:space="preserve"> </w:t>
      </w:r>
      <w:r>
        <w:t xml:space="preserve">– autorisation dans l’UE et aux États-Unis sur la base de deux études randomisées contrôlées contre placebo, complétées par plusieurs cohortes à long terme. En raison de la rareté de la maladie, les études sont plus petites que pour les maladies fréquentes.</w:t>
      </w:r>
    </w:p>
    <w:bookmarkEnd w:id="2078"/>
    <w:bookmarkStart w:id="2081" w:name="mode-daction-supposé-48"/>
    <w:p>
      <w:pPr>
        <w:pStyle w:val="Heading3"/>
      </w:pPr>
      <w:r>
        <w:t xml:space="preserve">Mode d’action supposé</w:t>
      </w:r>
    </w:p>
    <w:p>
      <w:pPr>
        <w:pStyle w:val="FirstParagraph"/>
      </w:pPr>
      <w:r>
        <w:t xml:space="preserve">La protoporphyrie érythropoïétique (PPE) est une maladie héréditaire rare. En Europe, au moins une personne sur 140 000 est concernée</w:t>
      </w:r>
      <w:r>
        <w:rPr>
          <w:rStyle w:val="FootnoteReference"/>
        </w:rPr>
        <w:footnoteReference w:id="2079"/>
      </w:r>
      <w:r>
        <w:t xml:space="preserve">. En raison d’un déficit enzymatique dans la synthèse du pigment rouge du sang, un précurseur, la protoporphyrine IX, s’accumule dans le sang et la peau. Cette substance est activée par la lumière visible et endommage alors les tissus et les petits vaisseaux sanguins de la peau.</w:t>
      </w:r>
    </w:p>
    <w:p>
      <w:pPr>
        <w:pStyle w:val="BodyText"/>
      </w:pPr>
      <w:r>
        <w:t xml:space="preserve">Il en résulte des douleurs brûlantes, persistant souvent plusieurs jours, après quelques minutes au soleil – fréquemment sans modification visible de la peau. Les personnes concernées évitent la lumière du jour dès l’enfance. La protection solaire classique n’aide guère, car c’est surtout la lumière visible, et non le rayonnement UV, qui déclenche la réaction. Une partie des personnes atteintes développe en outre des lésions du foie, car la protoporphyrine excédentaire est éliminée par la bile</w:t>
      </w:r>
      <w:r>
        <w:rPr>
          <w:rStyle w:val="FootnoteReference"/>
        </w:rPr>
        <w:footnoteReference w:id="2080"/>
      </w:r>
      <w:r>
        <w:t xml:space="preserve">.</w:t>
      </w:r>
    </w:p>
    <w:p>
      <w:pPr>
        <w:pStyle w:val="BodyText"/>
      </w:pPr>
      <w:r>
        <w:t xml:space="preserve">L’afamélanotide n’agit pas sur la cause, mais sur la peau : il la fait bronzer, et l’eumélanine supplémentaire intercepte une partie de la lumière avant qu’elle n’atteigne la protoporphyrine. Des expériences de laboratoire suggèrent en outre des effets anti-inflammatoires et antioxydants. La part de ces effets chez l’humain n’est pas claire.</w:t>
      </w:r>
    </w:p>
    <w:p>
      <w:pPr>
        <w:pStyle w:val="BodyText"/>
      </w:pPr>
      <w:r>
        <w:t xml:space="preserve">Contrairement au Melanotan II (chapitre 2E02), l’afamélanotide agit principalement sur le récepteur pigmentaire MC1R et peu sur les récepteurs cérébraux. C’est pourquoi les nausées et les effets d’accompagnement sexuels sont nettement plus rares.</w:t>
      </w:r>
    </w:p>
    <w:bookmarkEnd w:id="2081"/>
    <w:bookmarkStart w:id="2109" w:name="études-chez-lhumain-48"/>
    <w:p>
      <w:pPr>
        <w:pStyle w:val="Heading3"/>
      </w:pPr>
      <w:r>
        <w:t xml:space="preserve">Études chez l’humain</w:t>
      </w:r>
    </w:p>
    <w:p>
      <w:pPr>
        <w:pStyle w:val="FirstParagraph"/>
      </w:pPr>
      <w:r>
        <w:rPr>
          <w:bCs/>
          <w:b/>
        </w:rPr>
        <w:t xml:space="preserve">Ampleur des données (requête d’octobre 2026) :</w:t>
      </w:r>
      <w:r>
        <w:t xml:space="preserve"> </w:t>
      </w:r>
      <w:r>
        <w:t xml:space="preserve">la recherche automatisée de ce livre a trouvé</w:t>
      </w:r>
      <w:r>
        <w:t xml:space="preserve"> </w:t>
      </w:r>
      <w:r>
        <w:rPr>
          <w:bCs/>
          <w:b/>
        </w:rPr>
        <w:t xml:space="preserve">10</w:t>
      </w:r>
      <w:r>
        <w:t xml:space="preserve"> </w:t>
      </w:r>
      <w:r>
        <w:t xml:space="preserve">études chez l’humain dans PubMed (</w:t>
      </w:r>
      <w:r>
        <w:rPr>
          <w:rStyle w:val="VerbatimChar"/>
        </w:rPr>
        <w:t xml:space="preserve">humanstudien_alle</w:t>
      </w:r>
      <w:r>
        <w:t xml:space="preserve">) et</w:t>
      </w:r>
      <w:r>
        <w:t xml:space="preserve"> </w:t>
      </w:r>
      <w:r>
        <w:rPr>
          <w:bCs/>
          <w:b/>
        </w:rPr>
        <w:t xml:space="preserve">23</w:t>
      </w:r>
      <w:r>
        <w:t xml:space="preserve"> </w:t>
      </w:r>
      <w:r>
        <w:t xml:space="preserve">entrées sur ClinicalTrials.gov. La recherche ne porte toutefois que sur le nom « afamelanotide » ; les études plus anciennes sous les noms Melanotan I ou NDP-MSH ainsi que plusieurs études de cohorte n’y figurent pas et sont présentées ici en complément.</w:t>
      </w:r>
    </w:p>
    <w:bookmarkStart w:id="2085" w:name="X8dbf70b3dbfda365f9fbce45cc06a3110f7d556"/>
    <w:p>
      <w:pPr>
        <w:pStyle w:val="Heading4"/>
      </w:pPr>
      <w:r>
        <w:t xml:space="preserve">Préhistoire : le Melanotan I chez les personnes en bonne santé</w:t>
      </w:r>
    </w:p>
    <w:p>
      <w:pPr>
        <w:pStyle w:val="FirstParagraph"/>
      </w:pPr>
      <w:r>
        <w:t xml:space="preserve">Dans les années 1990 et au début des années 2000, des volontaires en bonne santé ont reçu des injections quotidiennes en Arizona. Leur peau a foncé au niveau du visage, du cou et des avant-bras ; la teneur en eumélanine de la peau de l’avant-bras a augmenté en moyenne de 98 %</w:t>
      </w:r>
      <w:r>
        <w:rPr>
          <w:rStyle w:val="FootnoteReference"/>
        </w:rPr>
        <w:footnoteReference w:id="2082"/>
      </w:r>
      <w:r>
        <w:t xml:space="preserve">. Combinée à la lumière du soleil, la peau bronzait plus fortement et plus longtemps, et les participants sans principe actif avaient besoin de 50 % de temps d’exposition en plus pour obtenir le même bronzage</w:t>
      </w:r>
      <w:r>
        <w:rPr>
          <w:rStyle w:val="FootnoteReference"/>
        </w:rPr>
        <w:footnoteReference w:id="2083"/>
      </w:r>
      <w:r>
        <w:t xml:space="preserve">. Dans une étude portant sur 77 personnes à la peau claire, l’effet était même plus marqué chez les porteurs de certaines variantes du gène MC1R – c’est-à-dire chez les personnes à la peau particulièrement sensible au soleil</w:t>
      </w:r>
      <w:r>
        <w:rPr>
          <w:rStyle w:val="FootnoteReference"/>
        </w:rPr>
        <w:footnoteReference w:id="2084"/>
      </w:r>
      <w:r>
        <w:t xml:space="preserve">. Le projet d’en faire une protection contre le cancer de la peau pour la population générale n’a pas été poursuivi.</w:t>
      </w:r>
    </w:p>
    <w:bookmarkEnd w:id="2085"/>
    <w:bookmarkStart w:id="2089" w:name="les-études-dautorisation-dans-la-ppe"/>
    <w:p>
      <w:pPr>
        <w:pStyle w:val="Heading4"/>
      </w:pPr>
      <w:r>
        <w:t xml:space="preserve">Les études d’autorisation dans la PPE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protocole</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Harms 2009, PMID 19656325</w:t>
            </w:r>
          </w:p>
        </w:tc>
        <w:tc>
          <w:tcPr/>
          <w:p>
            <w:pPr>
              <w:pStyle w:val="Compact"/>
              <w:jc w:val="left"/>
            </w:pPr>
            <w:r>
              <w:t xml:space="preserve">5 personnes atteintes de PPE, étude pilote ouverte</w:t>
            </w:r>
          </w:p>
        </w:tc>
        <w:tc>
          <w:tcPr/>
          <w:p>
            <w:pPr>
              <w:pStyle w:val="Compact"/>
              <w:jc w:val="left"/>
            </w:pPr>
            <w:r>
              <w:t xml:space="preserve">120 jours</w:t>
            </w:r>
          </w:p>
        </w:tc>
        <w:tc>
          <w:tcPr/>
          <w:p>
            <w:pPr>
              <w:pStyle w:val="Compact"/>
              <w:jc w:val="left"/>
            </w:pPr>
            <w:r>
              <w:t xml:space="preserve">Tolérance à la lumière nettement accrue</w:t>
            </w:r>
          </w:p>
        </w:tc>
      </w:tr>
      <w:tr>
        <w:tc>
          <w:tcPr/>
          <w:p>
            <w:pPr>
              <w:pStyle w:val="Compact"/>
              <w:jc w:val="left"/>
            </w:pPr>
            <w:r>
              <w:t xml:space="preserve">Étude UE (Langendonk 2015), PMID 26132941</w:t>
            </w:r>
          </w:p>
        </w:tc>
        <w:tc>
          <w:tcPr/>
          <w:p>
            <w:pPr>
              <w:pStyle w:val="Compact"/>
              <w:jc w:val="left"/>
            </w:pPr>
            <w:r>
              <w:t xml:space="preserve">74 personnes, ECR contre implant placebo</w:t>
            </w:r>
          </w:p>
        </w:tc>
        <w:tc>
          <w:tcPr/>
          <w:p>
            <w:pPr>
              <w:pStyle w:val="Compact"/>
              <w:jc w:val="left"/>
            </w:pPr>
            <w:r>
              <w:t xml:space="preserve">9 mois</w:t>
            </w:r>
          </w:p>
        </w:tc>
        <w:tc>
          <w:tcPr/>
          <w:p>
            <w:pPr>
              <w:pStyle w:val="Compact"/>
              <w:jc w:val="left"/>
            </w:pPr>
            <w:r>
              <w:t xml:space="preserve">Temps sans douleur en plein soleil, médiane 6,0 contre 0,8 heure ; 77 contre 146 réactions phototoxiques</w:t>
            </w:r>
          </w:p>
        </w:tc>
      </w:tr>
      <w:tr>
        <w:tc>
          <w:tcPr/>
          <w:p>
            <w:pPr>
              <w:pStyle w:val="Compact"/>
              <w:jc w:val="left"/>
            </w:pPr>
            <w:r>
              <w:t xml:space="preserve">Étude États-Unis (Langendonk 2015), PMID 26132941</w:t>
            </w:r>
          </w:p>
        </w:tc>
        <w:tc>
          <w:tcPr/>
          <w:p>
            <w:pPr>
              <w:pStyle w:val="Compact"/>
              <w:jc w:val="left"/>
            </w:pPr>
            <w:r>
              <w:t xml:space="preserve">94 personnes, ECR contre implant placebo</w:t>
            </w:r>
          </w:p>
        </w:tc>
        <w:tc>
          <w:tcPr/>
          <w:p>
            <w:pPr>
              <w:pStyle w:val="Compact"/>
              <w:jc w:val="left"/>
            </w:pPr>
            <w:r>
              <w:t xml:space="preserve">6 mois</w:t>
            </w:r>
          </w:p>
        </w:tc>
        <w:tc>
          <w:tcPr/>
          <w:p>
            <w:pPr>
              <w:pStyle w:val="Compact"/>
              <w:jc w:val="left"/>
            </w:pPr>
            <w:r>
              <w:t xml:space="preserve">Temps sans douleur en plein soleil, médiane 69,4 contre 40,8 heures</w:t>
            </w:r>
          </w:p>
        </w:tc>
      </w:tr>
      <w:tr>
        <w:tc>
          <w:tcPr/>
          <w:p>
            <w:pPr>
              <w:pStyle w:val="Compact"/>
              <w:jc w:val="left"/>
            </w:pPr>
            <w:r>
              <w:t xml:space="preserve">Revue systématique (Heerfordt 2023), PMID 36525819</w:t>
            </w:r>
          </w:p>
        </w:tc>
        <w:tc>
          <w:tcPr/>
          <w:p>
            <w:pPr>
              <w:pStyle w:val="Compact"/>
              <w:jc w:val="left"/>
            </w:pPr>
            <w:r>
              <w:t xml:space="preserve">40 études sur 18 traitements de la PPE</w:t>
            </w:r>
          </w:p>
        </w:tc>
        <w:tc>
          <w:tcPr/>
          <w:p>
            <w:pPr>
              <w:pStyle w:val="Compact"/>
              <w:jc w:val="left"/>
            </w:pPr>
            <w:r>
              <w:t xml:space="preserve">–</w:t>
            </w:r>
          </w:p>
        </w:tc>
        <w:tc>
          <w:tcPr/>
          <w:p>
            <w:pPr>
              <w:pStyle w:val="Compact"/>
              <w:jc w:val="left"/>
            </w:pPr>
            <w:r>
              <w:t xml:space="preserve">Effet positif modéré pour l’afamélanotide et la protection solaire minérale ; aucun effet pour le bêta-carotène, entre autres</w:t>
            </w:r>
          </w:p>
        </w:tc>
      </w:tr>
    </w:tbl>
    <w:p>
      <w:pPr>
        <w:pStyle w:val="BodyText"/>
      </w:pPr>
      <w:r>
        <w:t xml:space="preserve">Dans la première étude pilote, cinq personnes atteintes ont reçu deux implants à 60 jours d’intervalle. Elles ont ensuite toléré nettement plus de lumière lors d’un test lumineux standardisé, et la densité de mélanine de la peau a augmenté</w:t>
      </w:r>
      <w:r>
        <w:rPr>
          <w:rStyle w:val="FootnoteReference"/>
        </w:rPr>
        <w:footnoteReference w:id="2086"/>
      </w:r>
      <w:r>
        <w:t xml:space="preserve">.</w:t>
      </w:r>
    </w:p>
    <w:p>
      <w:pPr>
        <w:pStyle w:val="BodyText"/>
      </w:pPr>
      <w:r>
        <w:t xml:space="preserve">L’autorisation repose sur deux études en double aveugle publiées ensemble dans le New England Journal of Medicine</w:t>
      </w:r>
      <w:r>
        <w:rPr>
          <w:rStyle w:val="FootnoteReference"/>
        </w:rPr>
        <w:footnoteReference w:id="2087"/>
      </w:r>
      <w:r>
        <w:t xml:space="preserve">. Tous les 60 jours, les participants recevaient un implant d’afamélanotide ou un implant factice. Le critère principal était le nombre d’heures passées en plein soleil sans douleur, que les participants consignaient dans un journal.</w:t>
      </w:r>
    </w:p>
    <w:p>
      <w:pPr>
        <w:pStyle w:val="BodyText"/>
      </w:pPr>
      <w:r>
        <w:t xml:space="preserve">Les deux études ont montré un avantage pour l’afamélanotide, et dans les deux la qualité de vie s’est améliorée. Les chiffres absolus sont toutefois décevants : dans l’étude européenne, les participants ont passé sur neuf mois, en médiane, six heures sans douleur en plein soleil, contre à peine une heure sous placebo. Si les valeurs sont si basses, cela tient aussi à la maladie elle-même : une personne qui a souffert pendant des années continue d’éviter le soleil, même si elle le tolère mieux. Une telle mesure par journal dépend en outre fortement de la météo et de la saison, ce qui rend les études difficilement comparables</w:t>
      </w:r>
      <w:r>
        <w:rPr>
          <w:rStyle w:val="FootnoteReference"/>
        </w:rPr>
        <w:footnoteReference w:id="2088"/>
      </w:r>
      <w:r>
        <w:t xml:space="preserve">.</w:t>
      </w:r>
    </w:p>
    <w:bookmarkEnd w:id="2089"/>
    <w:bookmarkStart w:id="2093" w:name="X7d6b261d6a8b4f142fddc5b3d145a885bfe65b4"/>
    <w:p>
      <w:pPr>
        <w:pStyle w:val="Heading4"/>
      </w:pPr>
      <w:r>
        <w:t xml:space="preserve">Données à long terme issues de la pratique</w:t>
      </w:r>
    </w:p>
    <w:p>
      <w:pPr>
        <w:pStyle w:val="FirstParagraph"/>
      </w:pPr>
      <w:r>
        <w:t xml:space="preserve">Les études d’autorisation ayant été courtes et petites, les observations issues des soins courants sont particulièrement importantes.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protocole</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Biolcati 2015, PMID 25494545</w:t>
            </w:r>
          </w:p>
        </w:tc>
        <w:tc>
          <w:tcPr/>
          <w:p>
            <w:pPr>
              <w:pStyle w:val="Compact"/>
              <w:jc w:val="left"/>
            </w:pPr>
            <w:r>
              <w:t xml:space="preserve">115 personnes à Rome et Zurich, 1 023 implants, étude observationnelle</w:t>
            </w:r>
          </w:p>
        </w:tc>
        <w:tc>
          <w:tcPr/>
          <w:p>
            <w:pPr>
              <w:pStyle w:val="Compact"/>
              <w:jc w:val="left"/>
            </w:pPr>
            <w:r>
              <w:t xml:space="preserve">jusqu’à 8 ans</w:t>
            </w:r>
          </w:p>
        </w:tc>
        <w:tc>
          <w:tcPr/>
          <w:p>
            <w:pPr>
              <w:pStyle w:val="Compact"/>
              <w:jc w:val="left"/>
            </w:pPr>
            <w:r>
              <w:t xml:space="preserve">Qualité de vie de 31 % à 74 % de la valeur maximale</w:t>
            </w:r>
          </w:p>
        </w:tc>
      </w:tr>
      <w:tr>
        <w:tc>
          <w:tcPr/>
          <w:p>
            <w:pPr>
              <w:pStyle w:val="Compact"/>
              <w:jc w:val="left"/>
            </w:pPr>
            <w:r>
              <w:t xml:space="preserve">Wensink 2020, PMID 32186677</w:t>
            </w:r>
          </w:p>
        </w:tc>
        <w:tc>
          <w:tcPr/>
          <w:p>
            <w:pPr>
              <w:pStyle w:val="Compact"/>
              <w:jc w:val="left"/>
            </w:pPr>
            <w:r>
              <w:t xml:space="preserve">117 personnes à Rotterdam, cohorte prospective</w:t>
            </w:r>
          </w:p>
        </w:tc>
        <w:tc>
          <w:tcPr/>
          <w:p>
            <w:pPr>
              <w:pStyle w:val="Compact"/>
              <w:jc w:val="left"/>
            </w:pPr>
            <w:r>
              <w:t xml:space="preserve">médiane 2 ans</w:t>
            </w:r>
          </w:p>
        </w:tc>
        <w:tc>
          <w:tcPr/>
          <w:p>
            <w:pPr>
              <w:pStyle w:val="Compact"/>
              <w:jc w:val="left"/>
            </w:pPr>
            <w:r>
              <w:t xml:space="preserve">6,1 heures de plus par semaine en plein air ; 98 % ont poursuivi</w:t>
            </w:r>
          </w:p>
        </w:tc>
      </w:tr>
      <w:tr>
        <w:tc>
          <w:tcPr/>
          <w:p>
            <w:pPr>
              <w:pStyle w:val="Compact"/>
              <w:jc w:val="left"/>
            </w:pPr>
            <w:r>
              <w:t xml:space="preserve">Homey 2025, PMID 40082741</w:t>
            </w:r>
          </w:p>
        </w:tc>
        <w:tc>
          <w:tcPr/>
          <w:p>
            <w:pPr>
              <w:pStyle w:val="Compact"/>
              <w:jc w:val="left"/>
            </w:pPr>
            <w:r>
              <w:t xml:space="preserve">200 personnes en Allemagne, étude de sécurité post-autorisation</w:t>
            </w:r>
          </w:p>
        </w:tc>
        <w:tc>
          <w:tcPr/>
          <w:p>
            <w:pPr>
              <w:pStyle w:val="Compact"/>
              <w:jc w:val="left"/>
            </w:pPr>
            <w:r>
              <w:t xml:space="preserve">en cours</w:t>
            </w:r>
          </w:p>
        </w:tc>
        <w:tc>
          <w:tcPr/>
          <w:p>
            <w:pPr>
              <w:pStyle w:val="Compact"/>
              <w:jc w:val="left"/>
            </w:pPr>
            <w:r>
              <w:t xml:space="preserve">Qualité de vie significativement meilleure ; 91,0 % ont poursuivi</w:t>
            </w:r>
          </w:p>
        </w:tc>
      </w:tr>
      <w:tr>
        <w:tc>
          <w:tcPr/>
          <w:p>
            <w:pPr>
              <w:pStyle w:val="Compact"/>
              <w:jc w:val="left"/>
            </w:pPr>
            <w:r>
              <w:t xml:space="preserve">Seidl-Philipp 2026, PMID 41793078</w:t>
            </w:r>
          </w:p>
        </w:tc>
        <w:tc>
          <w:tcPr/>
          <w:p>
            <w:pPr>
              <w:pStyle w:val="Compact"/>
              <w:jc w:val="left"/>
            </w:pPr>
            <w:r>
              <w:t xml:space="preserve">20 personnes en Autriche</w:t>
            </w:r>
          </w:p>
        </w:tc>
        <w:tc>
          <w:tcPr/>
          <w:p>
            <w:pPr>
              <w:pStyle w:val="Compact"/>
              <w:jc w:val="left"/>
            </w:pPr>
            <w:r>
              <w:t xml:space="preserve">2023</w:t>
            </w:r>
          </w:p>
        </w:tc>
        <w:tc>
          <w:tcPr/>
          <w:p>
            <w:pPr>
              <w:pStyle w:val="Compact"/>
              <w:jc w:val="left"/>
            </w:pPr>
            <w:r>
              <w:t xml:space="preserve">Tolérance à la lumière, médiane de 15 à 250 minutes ; réactions phototoxiques chez 88 % contre 33 %</w:t>
            </w:r>
          </w:p>
        </w:tc>
      </w:tr>
    </w:tbl>
    <w:p>
      <w:pPr>
        <w:pStyle w:val="BodyText"/>
      </w:pPr>
      <w:r>
        <w:t xml:space="preserve">L’étude observationnelle italo-suisse couvrait des traitements depuis 2006. Seules trois personnes ont déclaré que l’effet ne répondait pas à leurs attentes ; 23 % ont interrompu le traitement pour d’autres raisons, par exemple une grossesse ou les coûts</w:t>
      </w:r>
      <w:r>
        <w:rPr>
          <w:rStyle w:val="FootnoteReference"/>
        </w:rPr>
        <w:footnoteReference w:id="2090"/>
      </w:r>
      <w:r>
        <w:t xml:space="preserve">. Dans la cohorte néerlandaise, les réactions phototoxiques sont devenues moins douloureuses, mais leur nombre et leur durée n’ont pas changé de façon significative</w:t>
      </w:r>
      <w:r>
        <w:rPr>
          <w:rStyle w:val="FootnoteReference"/>
        </w:rPr>
        <w:footnoteReference w:id="2091"/>
      </w:r>
      <w:r>
        <w:t xml:space="preserve">. L’analyse autrichienne de l’ensemble des 20 personnes traitées en 2023 montre des améliorations particulièrement nettes de la qualité de vie</w:t>
      </w:r>
      <w:r>
        <w:rPr>
          <w:rStyle w:val="FootnoteReference"/>
        </w:rPr>
        <w:footnoteReference w:id="2092"/>
      </w:r>
      <w:r>
        <w:t xml:space="preserve">.</w:t>
      </w:r>
    </w:p>
    <w:p>
      <w:pPr>
        <w:pStyle w:val="BodyText"/>
      </w:pPr>
      <w:r>
        <w:t xml:space="preserve">Ces cohortes n’ont pas de groupe témoin. Les personnes qui répondent bien restent plus volontiers en traitement, et les attentes envers un médicament coûteux influencent les auto-évaluations. Les taux de poursuite uniformément élevés pour un traitement qui exige une consultation médicale tous les deux mois constituent néanmoins un signal notable.</w:t>
      </w:r>
    </w:p>
    <w:bookmarkEnd w:id="2093"/>
    <w:bookmarkStart w:id="2097" w:name="autres-observations-dans-la-ppe"/>
    <w:p>
      <w:pPr>
        <w:pStyle w:val="Heading4"/>
      </w:pPr>
      <w:r>
        <w:t xml:space="preserve">Autres observations dans la PPE</w:t>
      </w:r>
    </w:p>
    <w:p>
      <w:pPr>
        <w:numPr>
          <w:ilvl w:val="0"/>
          <w:numId w:val="1264"/>
        </w:numPr>
        <w:pStyle w:val="Compact"/>
      </w:pPr>
      <w:r>
        <w:rPr>
          <w:bCs/>
          <w:b/>
        </w:rPr>
        <w:t xml:space="preserve">Foie :</w:t>
      </w:r>
      <w:r>
        <w:t xml:space="preserve"> </w:t>
      </w:r>
      <w:r>
        <w:t xml:space="preserve">dans une analyse suisse portant sur 70 personnes traitées et près de 3 000 valeurs hépatiques, l’ALAT et la bilirubine étaient d’autant plus basses que le nombre d’implants posés l’année précédente était élevé</w:t>
      </w:r>
      <w:r>
        <w:rPr>
          <w:rStyle w:val="FootnoteReference"/>
        </w:rPr>
        <w:footnoteReference w:id="2094"/>
      </w:r>
      <w:r>
        <w:t xml:space="preserve">. Il s’agit d’une association issue de données observationnelles, pas de la preuve d’une protection hépatique.</w:t>
      </w:r>
    </w:p>
    <w:p>
      <w:pPr>
        <w:numPr>
          <w:ilvl w:val="0"/>
          <w:numId w:val="1264"/>
        </w:numPr>
        <w:pStyle w:val="Compact"/>
      </w:pPr>
      <w:r>
        <w:rPr>
          <w:bCs/>
          <w:b/>
        </w:rPr>
        <w:t xml:space="preserve">Vitamine D :</w:t>
      </w:r>
      <w:r>
        <w:t xml:space="preserve"> </w:t>
      </w:r>
      <w:r>
        <w:t xml:space="preserve">l’afamélanotide n’a pas modifié le taux de vitamine D. Dans une étude portant sur 230 personnes, une carence persistait chez 71,8 % ; seule l’administration de vitamine D3 a fait monter les valeurs</w:t>
      </w:r>
      <w:r>
        <w:rPr>
          <w:rStyle w:val="FootnoteReference"/>
        </w:rPr>
        <w:footnoteReference w:id="2095"/>
      </w:r>
      <w:r>
        <w:t xml:space="preserve">.</w:t>
      </w:r>
    </w:p>
    <w:p>
      <w:pPr>
        <w:numPr>
          <w:ilvl w:val="0"/>
          <w:numId w:val="1264"/>
        </w:numPr>
        <w:pStyle w:val="Compact"/>
      </w:pPr>
      <w:r>
        <w:rPr>
          <w:bCs/>
          <w:b/>
        </w:rPr>
        <w:t xml:space="preserve">Anticorps :</w:t>
      </w:r>
      <w:r>
        <w:t xml:space="preserve"> </w:t>
      </w:r>
      <w:r>
        <w:t xml:space="preserve">chez 23 personnes sur 26, aucun anticorps contre le principe actif ne s’est formé sur une période allant jusqu’à six ans ; trois avaient déjà des anticorps mesurables avant le traitement, qui n’ont pas évolué</w:t>
      </w:r>
      <w:r>
        <w:rPr>
          <w:rStyle w:val="FootnoteReference"/>
        </w:rPr>
        <w:footnoteReference w:id="2096"/>
      </w:r>
      <w:r>
        <w:t xml:space="preserve">.</w:t>
      </w:r>
    </w:p>
    <w:bookmarkEnd w:id="2097"/>
    <w:bookmarkStart w:id="2102" w:name="vitiligo"/>
    <w:p>
      <w:pPr>
        <w:pStyle w:val="Heading4"/>
      </w:pPr>
      <w:r>
        <w:t xml:space="preserve">Vitiligo</w:t>
      </w:r>
    </w:p>
    <w:p>
      <w:pPr>
        <w:pStyle w:val="FirstParagraph"/>
      </w:pPr>
      <w:r>
        <w:t xml:space="preserve">Dans le vitiligo, le système immunitaire détruit les cellules pigmentaires ; des taches claires apparaissent. Le traitement de référence est une photothérapie par UVB à spectre étroit. L’afamélanotide est censé stimuler en plus les cellules pigmentaires restantes.</w:t>
      </w:r>
    </w:p>
    <w:p>
      <w:pPr>
        <w:pStyle w:val="BodyText"/>
      </w:pPr>
      <w:r>
        <w:t xml:space="preserve">Après une série de cas portant sur quatre personnes</w:t>
      </w:r>
      <w:r>
        <w:rPr>
          <w:rStyle w:val="FootnoteReference"/>
        </w:rPr>
        <w:footnoteReference w:id="2098"/>
      </w:r>
      <w:r>
        <w:t xml:space="preserve">, une étude randomisée a été menée chez 55 participants</w:t>
      </w:r>
      <w:r>
        <w:rPr>
          <w:rStyle w:val="FootnoteReference"/>
        </w:rPr>
        <w:footnoteReference w:id="2099"/>
      </w:r>
      <w:r>
        <w:t xml:space="preserve">. L’association de la photothérapie et d’implants mensuels a conduit plus rapidement à une repigmentation que la photothérapie seule. Après 168 jours, 48,64 % de la surface étaient repigmentés dans le bras combiné, contre 33,26 % sous photothérapie seule. L’avantage s’est manifesté surtout pour les phototypes plus foncés (IV à VI). Un inconvénient souligné par les spécialistes : la peau saine fonce aussi, si bien que le contraste avec les taches claires peut d’abord augmenter</w:t>
      </w:r>
      <w:r>
        <w:rPr>
          <w:rStyle w:val="FootnoteReference"/>
        </w:rPr>
        <w:footnoteReference w:id="2100"/>
      </w:r>
      <w:r>
        <w:t xml:space="preserve">. Une étude chez des patientes et patients asiatiques a également été publiée</w:t>
      </w:r>
      <w:r>
        <w:rPr>
          <w:rStyle w:val="FootnoteReference"/>
        </w:rPr>
        <w:footnoteReference w:id="2101"/>
      </w:r>
      <w:r>
        <w:t xml:space="preserve">.</w:t>
      </w:r>
    </w:p>
    <w:bookmarkEnd w:id="2102"/>
    <w:bookmarkStart w:id="2108" w:name="Xd2ab616eae0f95a45e72842c86d53f15025b9db"/>
    <w:p>
      <w:pPr>
        <w:pStyle w:val="Heading4"/>
      </w:pPr>
      <w:r>
        <w:t xml:space="preserve">Autres applications dans des études pilotes</w:t>
      </w:r>
    </w:p>
    <w:p>
      <w:pPr>
        <w:pStyle w:val="FirstParagraph"/>
      </w:pPr>
      <w:r>
        <w:t xml:space="preserve">Les résultats suivants proviennent d’études très petites, le plus souvent ouvertes, et doivent être compris comme des hypothèses :</w:t>
      </w:r>
    </w:p>
    <w:p>
      <w:pPr>
        <w:numPr>
          <w:ilvl w:val="0"/>
          <w:numId w:val="1265"/>
        </w:numPr>
        <w:pStyle w:val="Compact"/>
      </w:pPr>
      <w:r>
        <w:rPr>
          <w:bCs/>
          <w:b/>
        </w:rPr>
        <w:t xml:space="preserve">Urticaire solaire</w:t>
      </w:r>
      <w:r>
        <w:t xml:space="preserve"> </w:t>
      </w:r>
      <w:r>
        <w:t xml:space="preserve">(urticaire déclenchée par la lumière) : chez 5 personnes, moins de papules après un implant</w:t>
      </w:r>
      <w:r>
        <w:rPr>
          <w:rStyle w:val="FootnoteReference"/>
        </w:rPr>
        <w:footnoteReference w:id="2103"/>
      </w:r>
      <w:r>
        <w:t xml:space="preserve">.</w:t>
      </w:r>
    </w:p>
    <w:p>
      <w:pPr>
        <w:numPr>
          <w:ilvl w:val="0"/>
          <w:numId w:val="1265"/>
        </w:numPr>
        <w:pStyle w:val="Compact"/>
      </w:pPr>
      <w:r>
        <w:rPr>
          <w:bCs/>
          <w:b/>
        </w:rPr>
        <w:t xml:space="preserve">Acné :</w:t>
      </w:r>
      <w:r>
        <w:t xml:space="preserve"> </w:t>
      </w:r>
      <w:r>
        <w:t xml:space="preserve">chez 3 personnes, moins de lésions inflammatoires</w:t>
      </w:r>
      <w:r>
        <w:rPr>
          <w:rStyle w:val="FootnoteReference"/>
        </w:rPr>
        <w:footnoteReference w:id="2104"/>
      </w:r>
      <w:r>
        <w:t xml:space="preserve">.</w:t>
      </w:r>
    </w:p>
    <w:p>
      <w:pPr>
        <w:numPr>
          <w:ilvl w:val="0"/>
          <w:numId w:val="1265"/>
        </w:numPr>
        <w:pStyle w:val="Compact"/>
      </w:pPr>
      <w:r>
        <w:rPr>
          <w:bCs/>
          <w:b/>
        </w:rPr>
        <w:t xml:space="preserve">Maladie de Hailey-Hailey</w:t>
      </w:r>
      <w:r>
        <w:t xml:space="preserve"> </w:t>
      </w:r>
      <w:r>
        <w:t xml:space="preserve">(maladie bulleuse héréditaire) : guérison des lésions cutanées chez 2 personnes</w:t>
      </w:r>
      <w:r>
        <w:rPr>
          <w:rStyle w:val="FootnoteReference"/>
        </w:rPr>
        <w:footnoteReference w:id="2105"/>
      </w:r>
      <w:r>
        <w:t xml:space="preserve">.</w:t>
      </w:r>
    </w:p>
    <w:p>
      <w:pPr>
        <w:numPr>
          <w:ilvl w:val="0"/>
          <w:numId w:val="1265"/>
        </w:numPr>
        <w:pStyle w:val="Compact"/>
      </w:pPr>
      <w:r>
        <w:rPr>
          <w:bCs/>
          <w:b/>
        </w:rPr>
        <w:t xml:space="preserve">Accident vasculaire cérébral :</w:t>
      </w:r>
      <w:r>
        <w:t xml:space="preserve"> </w:t>
      </w:r>
      <w:r>
        <w:t xml:space="preserve">dans une étude de faisabilité ouverte portant sur 6 personnes, l’administration était réalisable ; une personne est décédée d’un nouvel AVC que les chercheurs n’ont pas attribué au produit</w:t>
      </w:r>
      <w:r>
        <w:rPr>
          <w:rStyle w:val="FootnoteReference"/>
        </w:rPr>
        <w:footnoteReference w:id="2106"/>
      </w:r>
      <w:r>
        <w:t xml:space="preserve">.</w:t>
      </w:r>
    </w:p>
    <w:p>
      <w:pPr>
        <w:numPr>
          <w:ilvl w:val="0"/>
          <w:numId w:val="1265"/>
        </w:numPr>
        <w:pStyle w:val="Compact"/>
      </w:pPr>
      <w:r>
        <w:rPr>
          <w:bCs/>
          <w:b/>
        </w:rPr>
        <w:t xml:space="preserve">Peau saine :</w:t>
      </w:r>
      <w:r>
        <w:t xml:space="preserve"> </w:t>
      </w:r>
      <w:r>
        <w:t xml:space="preserve">chez 9 volontaires en bonne santé, la rougeur cutanée après irradiation UV était moins marquée six jours après l’implant</w:t>
      </w:r>
      <w:r>
        <w:rPr>
          <w:rStyle w:val="FootnoteReference"/>
        </w:rPr>
        <w:footnoteReference w:id="2107"/>
      </w:r>
      <w:r>
        <w:t xml:space="preserve">.</w:t>
      </w:r>
    </w:p>
    <w:bookmarkEnd w:id="2108"/>
    <w:bookmarkEnd w:id="2109"/>
    <w:bookmarkStart w:id="2112" w:name="études-animales-et-de-laboratoire-48"/>
    <w:p>
      <w:pPr>
        <w:pStyle w:val="Heading3"/>
      </w:pPr>
      <w:r>
        <w:t xml:space="preserve">Études animales et de laboratoire</w:t>
      </w:r>
    </w:p>
    <w:p>
      <w:pPr>
        <w:pStyle w:val="FirstParagraph"/>
      </w:pPr>
      <w:r>
        <w:t xml:space="preserve">En culture cellulaire, l’afamélanotide a des effets antioxydants. Dans des cellules cutanées de personnes atteintes de la maladie de Hailey-Hailey, il a activé le facteur protecteur Nrf2 et rétabli en partie la division cellulaire perturbée</w:t>
      </w:r>
      <w:r>
        <w:rPr>
          <w:rStyle w:val="FootnoteReference"/>
        </w:rPr>
        <w:footnoteReference w:id="2110"/>
      </w:r>
      <w:r>
        <w:t xml:space="preserve">. Les études sur la stabilité et les produits de dégradation du principe actif concernent la qualité pharmaceutique</w:t>
      </w:r>
      <w:r>
        <w:rPr>
          <w:rStyle w:val="FootnoteReference"/>
        </w:rPr>
        <w:footnoteReference w:id="2111"/>
      </w:r>
      <w:r>
        <w:t xml:space="preserve">. Pour l’évaluation chez l’humain, les données animales jouent aujourd’hui un rôle secondaire, car les données cliniques sont plus probantes.</w:t>
      </w:r>
    </w:p>
    <w:bookmarkEnd w:id="2112"/>
    <w:bookmarkStart w:id="2123" w:name="risques-et-effets-indésirables-48"/>
    <w:p>
      <w:pPr>
        <w:pStyle w:val="Heading3"/>
      </w:pPr>
      <w:r>
        <w:t xml:space="preserve">Risques et effets indésirables</w:t>
      </w:r>
    </w:p>
    <w:bookmarkStart w:id="2117" w:name="établis-1"/>
    <w:p>
      <w:pPr>
        <w:pStyle w:val="Heading4"/>
      </w:pPr>
      <w:r>
        <w:t xml:space="preserve">Établis</w:t>
      </w:r>
    </w:p>
    <w:p>
      <w:pPr>
        <w:numPr>
          <w:ilvl w:val="0"/>
          <w:numId w:val="1266"/>
        </w:numPr>
        <w:pStyle w:val="Compact"/>
      </w:pPr>
      <w:r>
        <w:rPr>
          <w:bCs/>
          <w:b/>
        </w:rPr>
        <w:t xml:space="preserve">Effets indésirables fréquents, le plus souvent légers :</w:t>
      </w:r>
      <w:r>
        <w:t xml:space="preserve"> </w:t>
      </w:r>
      <w:r>
        <w:t xml:space="preserve">nausées, maux de tête, fatigue et réactions au site d’insertion de l’implant</w:t>
      </w:r>
      <w:r>
        <w:rPr>
          <w:rStyle w:val="FootnoteReference"/>
        </w:rPr>
        <w:footnoteReference w:id="2113"/>
      </w:r>
      <w:r>
        <w:t xml:space="preserve">. Dans les études d’autorisation, aucun événement indésirable grave n’a été attribué au principe actif.</w:t>
      </w:r>
    </w:p>
    <w:p>
      <w:pPr>
        <w:numPr>
          <w:ilvl w:val="0"/>
          <w:numId w:val="1266"/>
        </w:numPr>
        <w:pStyle w:val="Compact"/>
      </w:pPr>
      <w:r>
        <w:rPr>
          <w:bCs/>
          <w:b/>
        </w:rPr>
        <w:t xml:space="preserve">Peau plus foncée et grains de beauté :</w:t>
      </w:r>
      <w:r>
        <w:t xml:space="preserve"> </w:t>
      </w:r>
      <w:r>
        <w:t xml:space="preserve">le bronzage est l’effet recherché. Les grains de beauté et les taches de rousseur foncent aussi. Dans une étude portant sur 15 personnes et 103 grains de beauté, la dermoscopie a montré des modifications transitoires, qui avaient régressé au bout d’un an ; aucun nouveau grain de beauté ni signe de malignité n’est apparu</w:t>
      </w:r>
      <w:r>
        <w:rPr>
          <w:rStyle w:val="FootnoteReference"/>
        </w:rPr>
        <w:footnoteReference w:id="2114"/>
      </w:r>
      <w:r>
        <w:t xml:space="preserve">. Le résumé des caractéristiques du produit prévoit des examens cutanés réguliers.</w:t>
      </w:r>
    </w:p>
    <w:p>
      <w:pPr>
        <w:numPr>
          <w:ilvl w:val="0"/>
          <w:numId w:val="1266"/>
        </w:numPr>
        <w:pStyle w:val="Compact"/>
      </w:pPr>
      <w:r>
        <w:rPr>
          <w:bCs/>
          <w:b/>
        </w:rPr>
        <w:t xml:space="preserve">Des modifications pigmentaires de la muqueuse buccale</w:t>
      </w:r>
      <w:r>
        <w:t xml:space="preserve"> </w:t>
      </w:r>
      <w:r>
        <w:t xml:space="preserve">ont été décrites (de Baat 2020, PMID 32459219 ; cette revue mélange toutefois des observations concernant l’implant autorisé et d’autres concernant le Melanotan du marché gris), de même qu’un cas de dépigmentation apparente en présence d’une dermatite atopique</w:t>
      </w:r>
      <w:r>
        <w:rPr>
          <w:rStyle w:val="FootnoteReference"/>
        </w:rPr>
        <w:footnoteReference w:id="2115"/>
      </w:r>
      <w:r>
        <w:t xml:space="preserve">.</w:t>
      </w:r>
    </w:p>
    <w:p>
      <w:pPr>
        <w:numPr>
          <w:ilvl w:val="0"/>
          <w:numId w:val="1266"/>
        </w:numPr>
        <w:pStyle w:val="Compact"/>
      </w:pPr>
      <w:r>
        <w:rPr>
          <w:bCs/>
          <w:b/>
        </w:rPr>
        <w:t xml:space="preserve">Aucun effet sur la vitamine D :</w:t>
      </w:r>
      <w:r>
        <w:t xml:space="preserve"> </w:t>
      </w:r>
      <w:r>
        <w:t xml:space="preserve">voir plus haut</w:t>
      </w:r>
      <w:r>
        <w:rPr>
          <w:rStyle w:val="FootnoteReference"/>
        </w:rPr>
        <w:footnoteReference w:id="2116"/>
      </w:r>
      <w:r>
        <w:t xml:space="preserve">.</w:t>
      </w:r>
    </w:p>
    <w:bookmarkEnd w:id="2117"/>
    <w:bookmarkStart w:id="2120" w:name="incertains-1"/>
    <w:p>
      <w:pPr>
        <w:pStyle w:val="Heading4"/>
      </w:pPr>
      <w:r>
        <w:t xml:space="preserve">Incertains</w:t>
      </w:r>
    </w:p>
    <w:p>
      <w:pPr>
        <w:pStyle w:val="FirstParagraph"/>
      </w:pPr>
      <w:r>
        <w:t xml:space="preserve">Les données sur la grossesse font largement défaut ; en pratique, le traitement est suspendu. L’afamélanotide n’est pas autorisé chez les enfants et les adolescents</w:t>
      </w:r>
      <w:r>
        <w:rPr>
          <w:rStyle w:val="FootnoteReference"/>
        </w:rPr>
        <w:footnoteReference w:id="2118"/>
      </w:r>
      <w:r>
        <w:t xml:space="preserve">, bien que la PPE débute le plus souvent dans la petite enfance. Quelques traitements d’enfants hors autorisation ont été publiés sous forme de cas rapportés</w:t>
      </w:r>
      <w:r>
        <w:rPr>
          <w:rStyle w:val="FootnoteReference"/>
        </w:rPr>
        <w:footnoteReference w:id="2119"/>
      </w:r>
      <w:r>
        <w:t xml:space="preserve">. Les durées d’observation actuelles ne permettent pas de dire de façon définitive si la stimulation des cellules pigmentaires pendant des décennies influence le risque de cancer de la peau.</w:t>
      </w:r>
    </w:p>
    <w:bookmarkEnd w:id="2120"/>
    <w:bookmarkStart w:id="2122" w:name="distinction-avec-le-marché-gris"/>
    <w:p>
      <w:pPr>
        <w:pStyle w:val="Heading4"/>
      </w:pPr>
      <w:r>
        <w:t xml:space="preserve">Distinction avec le marché gris</w:t>
      </w:r>
    </w:p>
    <w:p>
      <w:pPr>
        <w:pStyle w:val="FirstParagraph"/>
      </w:pPr>
      <w:r>
        <w:t xml:space="preserve">Sur Internet, le « Melanotan I » est proposé comme produit bronzant. Ces produits n’ont en commun avec l’implant autorisé que le nom du principe actif : ils sont vendus sous forme de poudre pour auto-injection, leur pureté et leur teneur ne sont pas contrôlées, et il n’y a aucun suivi médical de la peau. Les données de sécurité issues du traitement de la PPE ne peuvent pas leur être transposées</w:t>
      </w:r>
      <w:r>
        <w:rPr>
          <w:rStyle w:val="FootnoteReference"/>
        </w:rPr>
        <w:footnoteReference w:id="2121"/>
      </w:r>
      <w:r>
        <w:t xml:space="preserve">.</w:t>
      </w:r>
    </w:p>
    <w:bookmarkEnd w:id="2122"/>
    <w:bookmarkEnd w:id="2123"/>
    <w:bookmarkStart w:id="2127" w:name="statut-juridique-48"/>
    <w:p>
      <w:pPr>
        <w:pStyle w:val="Heading3"/>
      </w:pPr>
      <w:r>
        <w:t xml:space="preserve">Statut juridique</w:t>
      </w:r>
    </w:p>
    <w:p>
      <w:pPr>
        <w:pStyle w:val="FirstParagraph"/>
      </w:pPr>
      <w:r>
        <w:rPr>
          <w:iCs/>
          <w:i/>
        </w:rPr>
        <w:t xml:space="preserve">État 2026, à vérifier.</w:t>
      </w:r>
    </w:p>
    <w:p>
      <w:pPr>
        <w:numPr>
          <w:ilvl w:val="0"/>
          <w:numId w:val="1267"/>
        </w:numPr>
        <w:pStyle w:val="Compact"/>
      </w:pPr>
      <w:r>
        <w:rPr>
          <w:bCs/>
          <w:b/>
        </w:rPr>
        <w:t xml:space="preserve">UE :</w:t>
      </w:r>
      <w:r>
        <w:t xml:space="preserve"> </w:t>
      </w:r>
      <w:r>
        <w:t xml:space="preserve">autorisé par procédure centralisée depuis 2014 comme médicament orphelin (Scenesse) pour les adultes atteints de PPE. Le traitement a lieu dans des centres spécialisés ; une étude de sécurité et un registre européen font partie des conditions</w:t>
      </w:r>
      <w:r>
        <w:rPr>
          <w:rStyle w:val="FootnoteReference"/>
        </w:rPr>
        <w:footnoteReference w:id="2124"/>
      </w:r>
      <w:r>
        <w:t xml:space="preserve">.</w:t>
      </w:r>
    </w:p>
    <w:p>
      <w:pPr>
        <w:numPr>
          <w:ilvl w:val="0"/>
          <w:numId w:val="1267"/>
        </w:numPr>
        <w:pStyle w:val="Compact"/>
      </w:pPr>
      <w:r>
        <w:rPr>
          <w:bCs/>
          <w:b/>
        </w:rPr>
        <w:t xml:space="preserve">Allemagne et Autriche :</w:t>
      </w:r>
      <w:r>
        <w:t xml:space="preserve"> </w:t>
      </w:r>
      <w:r>
        <w:t xml:space="preserve">disponible dans des centres spécialisés dans les porphyries et des cliniques dermatologiques ; la prise en charge des coûts doit être clarifiée au cas par cas. Des cohortes de traitement ont été publiées dans les deux pays</w:t>
      </w:r>
      <w:r>
        <w:rPr>
          <w:rStyle w:val="FootnoteReference"/>
        </w:rPr>
        <w:footnoteReference w:id="2125"/>
      </w:r>
      <w:r>
        <w:t xml:space="preserve">.</w:t>
      </w:r>
    </w:p>
    <w:p>
      <w:pPr>
        <w:numPr>
          <w:ilvl w:val="0"/>
          <w:numId w:val="1267"/>
        </w:numPr>
        <w:pStyle w:val="Compact"/>
      </w:pPr>
      <w:r>
        <w:rPr>
          <w:bCs/>
          <w:b/>
        </w:rPr>
        <w:t xml:space="preserve">États-Unis :</w:t>
      </w:r>
      <w:r>
        <w:t xml:space="preserve"> </w:t>
      </w:r>
      <w:r>
        <w:t xml:space="preserve">autorisé depuis 2019 pour les adultes atteints de PPE présentant des réactions phototoxiques.</w:t>
      </w:r>
    </w:p>
    <w:p>
      <w:pPr>
        <w:numPr>
          <w:ilvl w:val="0"/>
          <w:numId w:val="1267"/>
        </w:numPr>
        <w:pStyle w:val="Compact"/>
      </w:pPr>
      <w:r>
        <w:rPr>
          <w:bCs/>
          <w:b/>
        </w:rPr>
        <w:t xml:space="preserve">Coûts :</w:t>
      </w:r>
      <w:r>
        <w:t xml:space="preserve"> </w:t>
      </w:r>
      <w:r>
        <w:t xml:space="preserve">l’afamélanotide fait partie des médicaments coûteux destinés aux maladies rares. En Angleterre, l’autorité d’évaluation NICE a refusé son financement – c’est à ce jour la seule thérapie refusée dans son programme consacré aux maladies très rares. Les représentants des patients critiquent le calcul utilisé à cette occasion</w:t>
      </w:r>
      <w:r>
        <w:rPr>
          <w:rStyle w:val="FootnoteReference"/>
        </w:rPr>
        <w:footnoteReference w:id="2126"/>
      </w:r>
      <w:r>
        <w:t xml:space="preserve">.</w:t>
      </w:r>
    </w:p>
    <w:p>
      <w:pPr>
        <w:numPr>
          <w:ilvl w:val="0"/>
          <w:numId w:val="1267"/>
        </w:numPr>
        <w:pStyle w:val="Compact"/>
      </w:pPr>
      <w:r>
        <w:rPr>
          <w:bCs/>
          <w:b/>
        </w:rPr>
        <w:t xml:space="preserve">AMA (WADA) :</w:t>
      </w:r>
      <w:r>
        <w:t xml:space="preserve"> </w:t>
      </w:r>
      <w:r>
        <w:t xml:space="preserve">pas listé.</w:t>
      </w:r>
    </w:p>
    <w:bookmarkEnd w:id="2127"/>
    <w:bookmarkStart w:id="2133" w:name="études-en-cours-et-perspectives-48"/>
    <w:p>
      <w:pPr>
        <w:pStyle w:val="Heading3"/>
      </w:pPr>
      <w:r>
        <w:t xml:space="preserve">Études en cours et perspectives</w:t>
      </w:r>
    </w:p>
    <w:p>
      <w:pPr>
        <w:pStyle w:val="FirstParagraph"/>
      </w:pPr>
      <w:r>
        <w:rPr>
          <w:bCs/>
          <w:b/>
        </w:rPr>
        <w:t xml:space="preserve">Établi (études enregistrées) :</w:t>
      </w:r>
    </w:p>
    <w:p>
      <w:pPr>
        <w:numPr>
          <w:ilvl w:val="0"/>
          <w:numId w:val="1268"/>
        </w:numPr>
        <w:pStyle w:val="Compact"/>
      </w:pPr>
      <w:r>
        <w:rPr>
          <w:bCs/>
          <w:b/>
        </w:rPr>
        <w:t xml:space="preserve">Vitiligo, phase 3 :</w:t>
      </w:r>
      <w:r>
        <w:t xml:space="preserve"> </w:t>
      </w:r>
      <w:r>
        <w:t xml:space="preserve">une étude portant sur 200 personnes compare l’afamélanotide associé aux UVB à spectre étroit à la photothérapie seule</w:t>
      </w:r>
      <w:r>
        <w:rPr>
          <w:rStyle w:val="FootnoteReference"/>
        </w:rPr>
        <w:footnoteReference w:id="2128"/>
      </w:r>
      <w:r>
        <w:t xml:space="preserve">. La fin prévue était en juin 2026 ; à la date de clôture de la rédaction, aucun résultat évalué par les pairs n’avait été publié dans PubMed. Une petite étude sur le vitiligo du visage</w:t>
      </w:r>
      <w:r>
        <w:rPr>
          <w:rStyle w:val="FootnoteReference"/>
        </w:rPr>
        <w:footnoteReference w:id="2129"/>
      </w:r>
      <w:r>
        <w:t xml:space="preserve"> </w:t>
      </w:r>
      <w:r>
        <w:t xml:space="preserve">est enregistrée.</w:t>
      </w:r>
    </w:p>
    <w:p>
      <w:pPr>
        <w:numPr>
          <w:ilvl w:val="0"/>
          <w:numId w:val="1268"/>
        </w:numPr>
        <w:pStyle w:val="Compact"/>
      </w:pPr>
      <w:r>
        <w:rPr>
          <w:bCs/>
          <w:b/>
        </w:rPr>
        <w:t xml:space="preserve">Autres photodermatoses rares :</w:t>
      </w:r>
      <w:r>
        <w:t xml:space="preserve"> </w:t>
      </w:r>
      <w:r>
        <w:t xml:space="preserve">petites études de phase 2 sur la porphyrie variegata (NCT05854784, terminée) et sur le xeroderma pigmentosum, une maladie héréditaire avec une réparation défaillante des lésions dues aux UV</w:t>
      </w:r>
      <w:r>
        <w:rPr>
          <w:rStyle w:val="FootnoteReference"/>
        </w:rPr>
        <w:footnoteReference w:id="2130"/>
      </w:r>
      <w:r>
        <w:t xml:space="preserve">.</w:t>
      </w:r>
    </w:p>
    <w:p>
      <w:pPr>
        <w:numPr>
          <w:ilvl w:val="0"/>
          <w:numId w:val="1268"/>
        </w:numPr>
        <w:pStyle w:val="Compact"/>
      </w:pPr>
      <w:r>
        <w:rPr>
          <w:bCs/>
          <w:b/>
        </w:rPr>
        <w:t xml:space="preserve">Pharmacologie :</w:t>
      </w:r>
      <w:r>
        <w:t xml:space="preserve"> </w:t>
      </w:r>
      <w:r>
        <w:t xml:space="preserve">une étude de pharmacocinétique dans la PPE portant sur 28 personnes est terminée</w:t>
      </w:r>
      <w:r>
        <w:rPr>
          <w:rStyle w:val="FootnoteReference"/>
        </w:rPr>
        <w:footnoteReference w:id="2131"/>
      </w:r>
      <w:r>
        <w:t xml:space="preserve">.</w:t>
      </w:r>
    </w:p>
    <w:p>
      <w:pPr>
        <w:pStyle w:val="FirstParagraph"/>
      </w:pPr>
      <w:r>
        <w:rPr>
          <w:bCs/>
          <w:b/>
        </w:rPr>
        <w:t xml:space="preserve">Nouvelle concurrence :</w:t>
      </w:r>
      <w:r>
        <w:t xml:space="preserve"> </w:t>
      </w:r>
      <w:r>
        <w:t xml:space="preserve">deux comprimés sont en développement pour la PPE : le dersimélagon, un agoniste non peptidique du MC1R, et le bitopertin, qui agit sur la synthèse du pigment rouge du sang. Tous deux ont montré des effets par rapport au placebo dans des études ; les comparaisons avec l’afamélanotide manquent encore</w:t>
      </w:r>
      <w:r>
        <w:rPr>
          <w:rStyle w:val="FootnoteReference"/>
        </w:rPr>
        <w:footnoteReference w:id="2132"/>
      </w:r>
      <w:r>
        <w:t xml:space="preserve">.</w:t>
      </w:r>
    </w:p>
    <w:p>
      <w:pPr>
        <w:pStyle w:val="BodyText"/>
      </w:pPr>
      <w:r>
        <w:rPr>
          <w:bCs/>
          <w:b/>
        </w:rPr>
        <w:t xml:space="preserve">Appréciation de l’auteur :</w:t>
      </w:r>
      <w:r>
        <w:t xml:space="preserve"> </w:t>
      </w:r>
      <w:r>
        <w:t xml:space="preserve">l’afamélanotide restera pour l’instant la référence dans la PPE. Son rôle éventuel dans le vitiligo dépend du résultat de l’étude de phase 3 ; l’association avec la photothérapie est contraignante, et il existe désormais d’autres options avec les crèmes à base d’inhibiteurs de JAK. Une autorisation pour les adolescents serait particulièrement importante dans la PPE, car la maladie débute dans l’enfance.</w:t>
      </w:r>
    </w:p>
    <w:bookmarkEnd w:id="2133"/>
    <w:bookmarkStart w:id="2134" w:name="conclusion-48"/>
    <w:p>
      <w:pPr>
        <w:pStyle w:val="Heading3"/>
      </w:pPr>
      <w:r>
        <w:t xml:space="preserve">Conclusion</w:t>
      </w:r>
    </w:p>
    <w:p>
      <w:pPr>
        <w:pStyle w:val="FirstParagraph"/>
      </w:pPr>
      <w:r>
        <w:t xml:space="preserve">L’afamélanotide est le peptide le mieux étudié et le seul autorisé dans l’UE qui stimule le bronzage de la peau par le système des mélanocortines. Chez les adultes atteints de protoporphyrie érythropoïétique, il a allongé, dans deux études randomisées, le temps passé au soleil sans douleur et amélioré la qualité de vie ; des cohortes à long terme de plusieurs pays montrent des taux de poursuite élevés et des effets indésirables le plus souvent légers. Dans le vitiligo, il a accéléré la repigmentation sous photothérapie dans une étude randomisée ; les résultats de phase 3 sont attendus. L’implant contrôlé, posé en consultation spécialisée, n’a pratiquement rien en commun avec le « Melanotan I » du marché gris destiné au bronzage cosmétique.</w:t>
      </w:r>
    </w:p>
    <w:bookmarkEnd w:id="2134"/>
    <w:bookmarkEnd w:id="2135"/>
    <w:bookmarkStart w:id="2194" w:name="kisspeptine"/>
    <w:p>
      <w:pPr>
        <w:pStyle w:val="Heading2"/>
      </w:pPr>
      <w:r>
        <w:t xml:space="preserve">Kisspeptine</w:t>
      </w:r>
    </w:p>
    <w:bookmarkStart w:id="2138" w:name="fiche-signalétique-49"/>
    <w:p>
      <w:pPr>
        <w:pStyle w:val="Heading3"/>
      </w:pPr>
      <w:r>
        <w:t xml:space="preserve">Fiche signalétique</w:t>
      </w:r>
    </w:p>
    <w:p>
      <w:pPr>
        <w:numPr>
          <w:ilvl w:val="0"/>
          <w:numId w:val="1269"/>
        </w:numPr>
        <w:pStyle w:val="Compact"/>
      </w:pPr>
      <w:r>
        <w:rPr>
          <w:bCs/>
          <w:b/>
        </w:rPr>
        <w:t xml:space="preserve">Type/structure :</w:t>
      </w:r>
      <w:r>
        <w:t xml:space="preserve"> </w:t>
      </w:r>
      <w:r>
        <w:t xml:space="preserve">famille de peptides endogènes. Le gène KISS1 code une protéine précurseur dont dérivent des fragments de longueurs différentes : kisspeptine-54 (54 acides aminés, la forme prédominante dans le sang), kisspeptine-14, -13 et -10. La forme la plus courte, la kisspeptine-10, contient déjà la partie pleinement active. Les études utilisent les formes naturelles ainsi que des dérivés synthétiques plus stables (par exemple MVT-602 et TAK-448).</w:t>
      </w:r>
    </w:p>
    <w:p>
      <w:pPr>
        <w:numPr>
          <w:ilvl w:val="0"/>
          <w:numId w:val="1269"/>
        </w:numPr>
        <w:pStyle w:val="Compact"/>
      </w:pPr>
      <w:r>
        <w:rPr>
          <w:bCs/>
          <w:b/>
        </w:rPr>
        <w:t xml:space="preserve">Origine :</w:t>
      </w:r>
      <w:r>
        <w:t xml:space="preserve"> </w:t>
      </w:r>
      <w:r>
        <w:t xml:space="preserve">découverte en 1996, d’abord comme gène freinant la formation de métastases des cellules de mélanome</w:t>
      </w:r>
      <w:r>
        <w:rPr>
          <w:rStyle w:val="FootnoteReference"/>
        </w:rPr>
        <w:footnoteReference w:id="2136"/>
      </w:r>
      <w:r>
        <w:t xml:space="preserve">. Le nom vient de la ville de Hershey, en Pennsylvanie, berceau des chocolats « Kisses ». En 2001, le peptide a été identifié comme messager d’un récepteur jusque-là « orphelin » et d’abord appelé métastine</w:t>
      </w:r>
      <w:r>
        <w:rPr>
          <w:rStyle w:val="FootnoteReference"/>
        </w:rPr>
        <w:footnoteReference w:id="2137"/>
      </w:r>
      <w:r>
        <w:t xml:space="preserve">.</w:t>
      </w:r>
    </w:p>
    <w:p>
      <w:pPr>
        <w:numPr>
          <w:ilvl w:val="0"/>
          <w:numId w:val="1269"/>
        </w:numPr>
        <w:pStyle w:val="Compact"/>
      </w:pPr>
      <w:r>
        <w:rPr>
          <w:bCs/>
          <w:b/>
        </w:rPr>
        <w:t xml:space="preserve">Principe d’action :</w:t>
      </w:r>
      <w:r>
        <w:t xml:space="preserve"> </w:t>
      </w:r>
      <w:r>
        <w:t xml:space="preserve">agoniste du récepteur de la kisspeptine (KISS1R, anciennement GPR54) situé sur les neurones à GnRH de l’hypothalamus. La kisspeptine est le principal déclencheur connu de la libération de GnRH et donc de tout l’axe hormonal de la reproduction.</w:t>
      </w:r>
    </w:p>
    <w:p>
      <w:pPr>
        <w:numPr>
          <w:ilvl w:val="0"/>
          <w:numId w:val="1269"/>
        </w:numPr>
        <w:pStyle w:val="Compact"/>
      </w:pPr>
      <w:r>
        <w:rPr>
          <w:bCs/>
          <w:b/>
        </w:rPr>
        <w:t xml:space="preserve">Autorisation UE :</w:t>
      </w:r>
      <w:r>
        <w:t xml:space="preserve"> </w:t>
      </w:r>
      <w:r>
        <w:t xml:space="preserve">non.</w:t>
      </w:r>
    </w:p>
    <w:p>
      <w:pPr>
        <w:numPr>
          <w:ilvl w:val="0"/>
          <w:numId w:val="1269"/>
        </w:numPr>
        <w:pStyle w:val="Compact"/>
      </w:pPr>
      <w:r>
        <w:rPr>
          <w:bCs/>
          <w:b/>
        </w:rPr>
        <w:t xml:space="preserve">Autorisation États-Unis :</w:t>
      </w:r>
      <w:r>
        <w:t xml:space="preserve"> </w:t>
      </w:r>
      <w:r>
        <w:t xml:space="preserve">non.</w:t>
      </w:r>
    </w:p>
    <w:p>
      <w:pPr>
        <w:numPr>
          <w:ilvl w:val="0"/>
          <w:numId w:val="1269"/>
        </w:numPr>
        <w:pStyle w:val="Compact"/>
      </w:pPr>
      <w:r>
        <w:rPr>
          <w:bCs/>
          <w:b/>
        </w:rPr>
        <w:t xml:space="preserve">AMA (WADA) :</w:t>
      </w:r>
      <w:r>
        <w:t xml:space="preserve"> </w:t>
      </w:r>
      <w:r>
        <w:t xml:space="preserve">pas mentionnée nommément. En tant que principe actif non autorisé, la kisspeptine relève de S0 ; chez les hommes, le groupe S2 couvre en outre les facteurs de libération de l’hormone lutéinisante.</w:t>
      </w:r>
    </w:p>
    <w:p>
      <w:pPr>
        <w:numPr>
          <w:ilvl w:val="0"/>
          <w:numId w:val="1269"/>
        </w:numPr>
        <w:pStyle w:val="Compact"/>
      </w:pPr>
      <w:r>
        <w:rPr>
          <w:bCs/>
          <w:b/>
        </w:rPr>
        <w:t xml:space="preserve">Niveau de preuve :</w:t>
      </w:r>
      <w:r>
        <w:t xml:space="preserve"> </w:t>
      </w:r>
      <w:r>
        <w:rPr>
          <w:bCs/>
          <w:b/>
        </w:rPr>
        <w:t xml:space="preserve">B</w:t>
      </w:r>
      <w:r>
        <w:t xml:space="preserve"> </w:t>
      </w:r>
      <w:r>
        <w:t xml:space="preserve">– nombreuses petites études, en partie randomisées, et plusieurs études randomisées de phase 2, principalement à Londres et à Boston. Aucune étude de phase 3, aucune autorisation.</w:t>
      </w:r>
    </w:p>
    <w:bookmarkEnd w:id="2138"/>
    <w:bookmarkStart w:id="2140" w:name="mode-daction-supposé-49"/>
    <w:p>
      <w:pPr>
        <w:pStyle w:val="Heading3"/>
      </w:pPr>
      <w:r>
        <w:t xml:space="preserve">Mode d’action supposé</w:t>
      </w:r>
    </w:p>
    <w:p>
      <w:pPr>
        <w:pStyle w:val="FirstParagraph"/>
      </w:pPr>
      <w:r>
        <w:t xml:space="preserve">La reproduction humaine est pilotée par une chaîne d’hormones. Tout en haut se trouve la GnRH (gonadolibérine, Gonadotropin-Releasing-Hormone), produite par l’hypothalamus et sécrétée par pulses. Elle amène l’hypophyse à libérer les hormones LH (hormone lutéinisante) et FSH (hormone folliculo-stimulante). Celles-ci pilotent à leur tour les ovaires et les testicules : maturation des ovocytes et ovulation, production des spermatozoïdes, production d’œstrogènes et de testostérone. Le chapitre sur la gonadoréline (2E06) décrit cet axe plus en détail.</w:t>
      </w:r>
    </w:p>
    <w:p>
      <w:pPr>
        <w:pStyle w:val="BodyText"/>
      </w:pPr>
      <w:r>
        <w:t xml:space="preserve">La kisspeptine se situe un échelon au-dessus de la GnRH. Des neurones spécialisés de l’hypothalamus la sécrètent et « allument » ainsi les cellules à GnRH. L’importance centrale de cette fonction est apparue en 2003 : les personnes porteuses d’un récepteur de la kisspeptine défectueux n’entrent pas en puberté et restent infertiles</w:t>
      </w:r>
      <w:r>
        <w:rPr>
          <w:rStyle w:val="FootnoteReference"/>
        </w:rPr>
        <w:footnoteReference w:id="2139"/>
      </w:r>
      <w:r>
        <w:t xml:space="preserve">.</w:t>
      </w:r>
    </w:p>
    <w:p>
      <w:pPr>
        <w:pStyle w:val="BodyText"/>
      </w:pPr>
      <w:r>
        <w:t xml:space="preserve">Pour la médecine, la kisspeptine est intéressante pour deux raisons :</w:t>
      </w:r>
    </w:p>
    <w:p>
      <w:pPr>
        <w:numPr>
          <w:ilvl w:val="0"/>
          <w:numId w:val="1270"/>
        </w:numPr>
        <w:pStyle w:val="Compact"/>
      </w:pPr>
      <w:r>
        <w:rPr>
          <w:bCs/>
          <w:b/>
        </w:rPr>
        <w:t xml:space="preserve">Elle agit « par le haut ».</w:t>
      </w:r>
      <w:r>
        <w:t xml:space="preserve"> </w:t>
      </w:r>
      <w:r>
        <w:t xml:space="preserve">Contrairement aux médicaments qui remplacent directement la LH ou la FSH, la kisspeptine stimule la sécrétion endogène de GnRH. La libération hormonale qui s’ensuit reste soumise aux rétrocontrôles naturels. Cela rend une hyperstimulation des ovaires moins probable.</w:t>
      </w:r>
    </w:p>
    <w:p>
      <w:pPr>
        <w:numPr>
          <w:ilvl w:val="0"/>
          <w:numId w:val="1270"/>
        </w:numPr>
        <w:pStyle w:val="Compact"/>
      </w:pPr>
      <w:r>
        <w:rPr>
          <w:bCs/>
          <w:b/>
        </w:rPr>
        <w:t xml:space="preserve">Brièvement, elle stimule ; durablement, elle freine.</w:t>
      </w:r>
      <w:r>
        <w:t xml:space="preserve"> </w:t>
      </w:r>
      <w:r>
        <w:t xml:space="preserve">En administration continue, les récepteurs s’habituent au signal (tachyphylaxie) et l’axe hormonal ralentit. C’est un problème lorsqu’on veut favoriser la fertilité – et une opportunité lorsqu’on veut abaisser les hormones, par exemple dans le cancer de la prostate.</w:t>
      </w:r>
    </w:p>
    <w:p>
      <w:pPr>
        <w:pStyle w:val="FirstParagraph"/>
      </w:pPr>
      <w:r>
        <w:t xml:space="preserve">On trouve aussi des récepteurs de la kisspeptine dans les régions cérébrales qui traitent les émotions et les stimuli sexuels. D’où l’idée que la kisspeptine pourrait influencer le désir sexuel.</w:t>
      </w:r>
    </w:p>
    <w:bookmarkEnd w:id="2140"/>
    <w:bookmarkStart w:id="2175" w:name="études-chez-lhumain-49"/>
    <w:p>
      <w:pPr>
        <w:pStyle w:val="Heading3"/>
      </w:pPr>
      <w:r>
        <w:t xml:space="preserve">Études chez l’humain</w:t>
      </w:r>
    </w:p>
    <w:p>
      <w:pPr>
        <w:pStyle w:val="FirstParagraph"/>
      </w:pPr>
      <w:r>
        <w:rPr>
          <w:bCs/>
          <w:b/>
        </w:rPr>
        <w:t xml:space="preserve">Ampleur des données (requête d’octobre 2026) :</w:t>
      </w:r>
      <w:r>
        <w:t xml:space="preserve"> </w:t>
      </w:r>
      <w:r>
        <w:t xml:space="preserve">la recherche automatisée de ce livre a trouvé</w:t>
      </w:r>
      <w:r>
        <w:t xml:space="preserve"> </w:t>
      </w:r>
      <w:r>
        <w:rPr>
          <w:bCs/>
          <w:b/>
        </w:rPr>
        <w:t xml:space="preserve">37</w:t>
      </w:r>
      <w:r>
        <w:t xml:space="preserve"> </w:t>
      </w:r>
      <w:r>
        <w:t xml:space="preserve">études chez l’humain dans PubMed (</w:t>
      </w:r>
      <w:r>
        <w:rPr>
          <w:rStyle w:val="VerbatimChar"/>
        </w:rPr>
        <w:t xml:space="preserve">humanstudien_alle</w:t>
      </w:r>
      <w:r>
        <w:t xml:space="preserve">) et</w:t>
      </w:r>
      <w:r>
        <w:t xml:space="preserve"> </w:t>
      </w:r>
      <w:r>
        <w:rPr>
          <w:bCs/>
          <w:b/>
        </w:rPr>
        <w:t xml:space="preserve">36</w:t>
      </w:r>
      <w:r>
        <w:t xml:space="preserve"> </w:t>
      </w:r>
      <w:r>
        <w:t xml:space="preserve">entrées sur ClinicalTrials.gov. Toutes n’administrent pas la kisspeptine comme principe actif : certaines études se contentent de mesurer les taux sanguins de kisspeptine, par exemple pendant la grossesse. L’administration de kisspeptine chez l’humain a été portée par quelques groupes de recherche, principalement à l’Imperial College de Londres et au Massachusetts General Hospital de Boston. La plupart des études comptent moins de 50 participants.</w:t>
      </w:r>
    </w:p>
    <w:bookmarkStart w:id="2145" w:name="premières-administrations-et-bases"/>
    <w:p>
      <w:pPr>
        <w:pStyle w:val="Heading4"/>
      </w:pPr>
      <w:r>
        <w:t xml:space="preserve">Premières administrations et bases</w:t>
      </w:r>
    </w:p>
    <w:p>
      <w:pPr>
        <w:pStyle w:val="FirstParagraph"/>
      </w:pPr>
      <w:r>
        <w:t xml:space="preserve">La première étude chez l’humain a porté en 2005 sur six hommes en bonne santé. Une perfusion de 90 minutes de kisspeptine-54 a augmenté significativement la LH, la FSH et la testostérone par rapport au sérum physiologique</w:t>
      </w:r>
      <w:r>
        <w:rPr>
          <w:rStyle w:val="FootnoteReference"/>
        </w:rPr>
        <w:footnoteReference w:id="2141"/>
      </w:r>
      <w:r>
        <w:t xml:space="preserve">. La demi-vie dans le sang était d’un peu moins de 28 minutes. Chez la femme, l’effet dépend fortement de la phase du cycle et est le plus marqué peu avant l’ovulation</w:t>
      </w:r>
      <w:r>
        <w:rPr>
          <w:rStyle w:val="FootnoteReference"/>
        </w:rPr>
        <w:footnoteReference w:id="2142"/>
      </w:r>
      <w:r>
        <w:t xml:space="preserve">.</w:t>
      </w:r>
    </w:p>
    <w:p>
      <w:pPr>
        <w:pStyle w:val="BodyText"/>
      </w:pPr>
      <w:r>
        <w:t xml:space="preserve">Chez des hommes en bonne santé, la kisspeptine-10 a déclenché rapidement une hausse de la LH dépendante de la dose et, en perfusion continue, a augmenté la fréquence des pulses de LH</w:t>
      </w:r>
      <w:r>
        <w:rPr>
          <w:rStyle w:val="FootnoteReference"/>
        </w:rPr>
        <w:footnoteReference w:id="2143"/>
      </w:r>
      <w:r>
        <w:t xml:space="preserve">. Les enfants présentant une puberté retardée ont réagi de manière très variable : certains ont eu une réponse nette, d’autres aucune</w:t>
      </w:r>
      <w:r>
        <w:rPr>
          <w:rStyle w:val="FootnoteReference"/>
        </w:rPr>
        <w:footnoteReference w:id="2144"/>
      </w:r>
      <w:r>
        <w:t xml:space="preserve">. Cela pourrait à l’avenir aider à distinguer une simple puberté tardive d’un déficit hormonal permanent.</w:t>
      </w:r>
    </w:p>
    <w:bookmarkEnd w:id="2145"/>
    <w:bookmarkStart w:id="2152" w:name="X47cbcc117c99668409ed03089d23a6fa8467c8d"/>
    <w:p>
      <w:pPr>
        <w:pStyle w:val="Heading4"/>
      </w:pPr>
      <w:r>
        <w:t xml:space="preserve">Traitement de l’infertilité : maturation ovocytaire</w:t>
      </w:r>
    </w:p>
    <w:p>
      <w:pPr>
        <w:pStyle w:val="FirstParagraph"/>
      </w:pPr>
      <w:r>
        <w:t xml:space="preserve">L’application la plus avancée à ce jour est le déclenchement de la maturation ovocytaire lors de la fécondation in vitro (FIV). Habituellement, on injecte pour cela l’hormone hCG. La hCG agit longtemps et peut provoquer chez les femmes sensibles un syndrome d’hyperstimulation ovarienne (SHO) – un déplacement de liquides qui peut, dans les cas extrêmes, mettre la vie en danger. La kisspeptine déclenche à la place une vague de LH endogène plus courte.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protocole</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Jayasena 2014, PMID 25036713</w:t>
            </w:r>
          </w:p>
        </w:tc>
        <w:tc>
          <w:tcPr/>
          <w:p>
            <w:pPr>
              <w:pStyle w:val="Compact"/>
              <w:jc w:val="left"/>
            </w:pPr>
            <w:r>
              <w:t xml:space="preserve">53 femmes en traitement de FIV, étude de dose sans groupe témoin</w:t>
            </w:r>
          </w:p>
        </w:tc>
        <w:tc>
          <w:tcPr/>
          <w:p>
            <w:pPr>
              <w:pStyle w:val="Compact"/>
              <w:jc w:val="left"/>
            </w:pPr>
            <w:r>
              <w:t xml:space="preserve">un cycle</w:t>
            </w:r>
          </w:p>
        </w:tc>
        <w:tc>
          <w:tcPr/>
          <w:p>
            <w:pPr>
              <w:pStyle w:val="Compact"/>
              <w:jc w:val="left"/>
            </w:pPr>
            <w:r>
              <w:t xml:space="preserve">Maturation ovocytaire à toutes les doses ; grossesse clinique 23 %</w:t>
            </w:r>
          </w:p>
        </w:tc>
      </w:tr>
      <w:tr>
        <w:tc>
          <w:tcPr/>
          <w:p>
            <w:pPr>
              <w:pStyle w:val="Compact"/>
              <w:jc w:val="left"/>
            </w:pPr>
            <w:r>
              <w:t xml:space="preserve">Abbara 2015, PMID 26192876</w:t>
            </w:r>
          </w:p>
        </w:tc>
        <w:tc>
          <w:tcPr/>
          <w:p>
            <w:pPr>
              <w:pStyle w:val="Compact"/>
              <w:jc w:val="left"/>
            </w:pPr>
            <w:r>
              <w:t xml:space="preserve">60 femmes à haut risque de SHO, étude de dose randomisée</w:t>
            </w:r>
          </w:p>
        </w:tc>
        <w:tc>
          <w:tcPr/>
          <w:p>
            <w:pPr>
              <w:pStyle w:val="Compact"/>
              <w:jc w:val="left"/>
            </w:pPr>
            <w:r>
              <w:t xml:space="preserve">un cycle</w:t>
            </w:r>
          </w:p>
        </w:tc>
        <w:tc>
          <w:tcPr/>
          <w:p>
            <w:pPr>
              <w:pStyle w:val="Compact"/>
              <w:jc w:val="left"/>
            </w:pPr>
            <w:r>
              <w:t xml:space="preserve">Maturation ovocytaire chez 95 % ; naissance vivante 45 % par transfert ; aucun SHO modéré ou sévère</w:t>
            </w:r>
          </w:p>
        </w:tc>
      </w:tr>
      <w:tr>
        <w:tc>
          <w:tcPr/>
          <w:p>
            <w:pPr>
              <w:pStyle w:val="Compact"/>
              <w:jc w:val="left"/>
            </w:pPr>
            <w:r>
              <w:t xml:space="preserve">Abbara 2017, PMID 28854728</w:t>
            </w:r>
          </w:p>
        </w:tc>
        <w:tc>
          <w:tcPr/>
          <w:p>
            <w:pPr>
              <w:pStyle w:val="Compact"/>
              <w:jc w:val="left"/>
            </w:pPr>
            <w:r>
              <w:t xml:space="preserve">62 femmes à haut risque de SHO, ECR : seconde dose contre sérum physiologique</w:t>
            </w:r>
          </w:p>
        </w:tc>
        <w:tc>
          <w:tcPr/>
          <w:p>
            <w:pPr>
              <w:pStyle w:val="Compact"/>
              <w:jc w:val="left"/>
            </w:pPr>
            <w:r>
              <w:t xml:space="preserve">un cycle</w:t>
            </w:r>
          </w:p>
        </w:tc>
        <w:tc>
          <w:tcPr/>
          <w:p>
            <w:pPr>
              <w:pStyle w:val="Compact"/>
              <w:jc w:val="left"/>
            </w:pPr>
            <w:r>
              <w:t xml:space="preserve">Rendement ovocytaire suffisant chez 71 % contre 45 %</w:t>
            </w:r>
          </w:p>
        </w:tc>
      </w:tr>
      <w:tr>
        <w:tc>
          <w:tcPr/>
          <w:p>
            <w:pPr>
              <w:pStyle w:val="Compact"/>
              <w:jc w:val="left"/>
            </w:pPr>
            <w:r>
              <w:t xml:space="preserve">Abbara 2024, PMID 37925096</w:t>
            </w:r>
          </w:p>
        </w:tc>
        <w:tc>
          <w:tcPr/>
          <w:p>
            <w:pPr>
              <w:pStyle w:val="Compact"/>
              <w:jc w:val="left"/>
            </w:pPr>
            <w:r>
              <w:t xml:space="preserve">24 et 75 femmes en bonne santé, deux ECR avec l’analogue MVT-602</w:t>
            </w:r>
          </w:p>
        </w:tc>
        <w:tc>
          <w:tcPr/>
          <w:p>
            <w:pPr>
              <w:pStyle w:val="Compact"/>
              <w:jc w:val="left"/>
            </w:pPr>
            <w:r>
              <w:t xml:space="preserve">dose unique</w:t>
            </w:r>
          </w:p>
        </w:tc>
        <w:tc>
          <w:tcPr/>
          <w:p>
            <w:pPr>
              <w:pStyle w:val="Compact"/>
              <w:jc w:val="left"/>
            </w:pPr>
            <w:r>
              <w:t xml:space="preserve">Hausse de la LH semblable à celle du milieu de cycle naturel ; ovulation en 5 jours chez jusqu’à 100 %</w:t>
            </w:r>
          </w:p>
        </w:tc>
      </w:tr>
    </w:tbl>
    <w:p>
      <w:pPr>
        <w:pStyle w:val="BodyText"/>
      </w:pPr>
      <w:r>
        <w:t xml:space="preserve">Dans la première étude</w:t>
      </w:r>
      <w:r>
        <w:rPr>
          <w:rStyle w:val="FootnoteReference"/>
        </w:rPr>
        <w:footnoteReference w:id="2146"/>
      </w:r>
      <w:r>
        <w:t xml:space="preserve">, 53 femmes ont reçu une injection unique de kisspeptine. À toutes les doses testées, des ovocytes ont mûri ; chez 49 femmes, des embryons ont été transférés, et douze ont eu une grossesse clinique. Il était ainsi démontré pour la première fois qu’une grossesse est possible après une maturation ovocytaire déclenchée par la kisspeptine.</w:t>
      </w:r>
    </w:p>
    <w:p>
      <w:pPr>
        <w:pStyle w:val="BodyText"/>
      </w:pPr>
      <w:r>
        <w:t xml:space="preserve">L’étude suivante s’est concentrée sur les femmes à haut risque d’hyperstimulation</w:t>
      </w:r>
      <w:r>
        <w:rPr>
          <w:rStyle w:val="FootnoteReference"/>
        </w:rPr>
        <w:footnoteReference w:id="2147"/>
      </w:r>
      <w:r>
        <w:t xml:space="preserve">. Aucune des 60 femmes n’a développé de SHO modéré ou sévère ; le taux de naissances vivantes par transfert d’embryon était de 45 %. Une seconde dose de kisspeptine dix heures après la première a amélioré le rendement en ovocytes matures</w:t>
      </w:r>
      <w:r>
        <w:rPr>
          <w:rStyle w:val="FootnoteReference"/>
        </w:rPr>
        <w:footnoteReference w:id="2148"/>
      </w:r>
      <w:r>
        <w:t xml:space="preserve">.</w:t>
      </w:r>
    </w:p>
    <w:p>
      <w:pPr>
        <w:pStyle w:val="BodyText"/>
      </w:pPr>
      <w:r>
        <w:rPr>
          <w:bCs/>
          <w:b/>
        </w:rPr>
        <w:t xml:space="preserve">Mise en perspective :</w:t>
      </w:r>
      <w:r>
        <w:t xml:space="preserve"> </w:t>
      </w:r>
      <w:r>
        <w:t xml:space="preserve">ces études montrent que le principe fonctionne. Elles n’étaient toutefois pas conçues pour comparer directement la kisspeptine aux alternatives établies – outre la hCG, il existe déjà, pour les patientes à haut risque, le déclenchement par un agoniste de la GnRH. Les auteurs eux-mêmes réclament de telles études comparatives</w:t>
      </w:r>
      <w:r>
        <w:rPr>
          <w:rStyle w:val="FootnoteReference"/>
        </w:rPr>
        <w:footnoteReference w:id="2149"/>
      </w:r>
      <w:r>
        <w:t xml:space="preserve">.</w:t>
      </w:r>
    </w:p>
    <w:p>
      <w:pPr>
        <w:pStyle w:val="BodyText"/>
      </w:pPr>
      <w:r>
        <w:t xml:space="preserve">L’analogue synthétique MVT-602 agit nettement plus longtemps que la kisspeptine naturelle : chez des femmes en bonne santé, le pic de LH est survenu après environ 21 heures au lieu de 5, et la quantité totale de LH sécrétée était environ quatre fois plus importante</w:t>
      </w:r>
      <w:r>
        <w:rPr>
          <w:rStyle w:val="FootnoteReference"/>
        </w:rPr>
        <w:footnoteReference w:id="2150"/>
      </w:r>
      <w:r>
        <w:t xml:space="preserve">. Dans deux études randomisées réunissant au total 99 femmes, le MVT-602 a été bien toléré et a déclenché, dans la seconde étude, une ovulation en cinq jours chez 75 à 100 % des femmes selon la dose – mais aussi chez 60 % sous placebo, car les participantes étaient en bonne santé</w:t>
      </w:r>
      <w:r>
        <w:rPr>
          <w:rStyle w:val="FootnoteReference"/>
        </w:rPr>
        <w:footnoteReference w:id="2151"/>
      </w:r>
      <w:r>
        <w:t xml:space="preserve">.</w:t>
      </w:r>
    </w:p>
    <w:bookmarkEnd w:id="2152"/>
    <w:bookmarkStart w:id="2158" w:name="absence-de-règles-et-sopk"/>
    <w:p>
      <w:pPr>
        <w:pStyle w:val="Heading4"/>
      </w:pPr>
      <w:r>
        <w:t xml:space="preserve">Absence de règles et SOPK</w:t>
      </w:r>
    </w:p>
    <w:p>
      <w:pPr>
        <w:pStyle w:val="FirstParagraph"/>
      </w:pPr>
      <w:r>
        <w:t xml:space="preserve">Dans l’aménorrhée hypothalamique, les règles s’arrêtent parce que le cerveau sécrète trop peu de GnRH – souvent en raison d’un poids insuffisant, d’un sport intensif ou du stress. Une injection unique de kisspeptine a fortement augmenté la LH et la FSH chez les femmes concernées. Mais avec une administration deux fois par jour pendant deux semaines, l’effet avait presque disparu</w:t>
      </w:r>
      <w:r>
        <w:rPr>
          <w:rStyle w:val="FootnoteReference"/>
        </w:rPr>
        <w:footnoteReference w:id="2153"/>
      </w:r>
      <w:r>
        <w:t xml:space="preserve">. Des administrations deux fois par semaine n’ont entraîné qu’une accoutumance partielle</w:t>
      </w:r>
      <w:r>
        <w:rPr>
          <w:rStyle w:val="FootnoteReference"/>
        </w:rPr>
        <w:footnoteReference w:id="2154"/>
      </w:r>
      <w:r>
        <w:t xml:space="preserve">, et une perfusion continue a transitoirement triplé le nombre de pulses de LH</w:t>
      </w:r>
      <w:r>
        <w:rPr>
          <w:rStyle w:val="FootnoteReference"/>
        </w:rPr>
        <w:footnoteReference w:id="2155"/>
      </w:r>
      <w:r>
        <w:t xml:space="preserve">. Chez des personnes porteuses d’un défaut génétique du système de la neurokinine B, une perfusion de kisspeptine a rétabli la sécrétion hormonale pulsatile</w:t>
      </w:r>
      <w:r>
        <w:rPr>
          <w:rStyle w:val="FootnoteReference"/>
        </w:rPr>
        <w:footnoteReference w:id="2156"/>
      </w:r>
      <w:r>
        <w:t xml:space="preserve">.</w:t>
      </w:r>
    </w:p>
    <w:p>
      <w:pPr>
        <w:pStyle w:val="BodyText"/>
      </w:pPr>
      <w:r>
        <w:t xml:space="preserve">Dans le syndrome des ovaires polykystiques (SOPK), la situation est plus complexe. Dans une étude pilote portant sur 12 femmes, la kisspeptine n’a que légèrement augmenté le taux de LH ; deux femmes ont ovulé, chez la plupart il ne s’est rien passé</w:t>
      </w:r>
      <w:r>
        <w:rPr>
          <w:rStyle w:val="FootnoteReference"/>
        </w:rPr>
        <w:footnoteReference w:id="2157"/>
      </w:r>
      <w:r>
        <w:t xml:space="preserve">.</w:t>
      </w:r>
    </w:p>
    <w:bookmarkEnd w:id="2158"/>
    <w:bookmarkStart w:id="2161" w:name="hommes-testostérone-et-diabète"/>
    <w:p>
      <w:pPr>
        <w:pStyle w:val="Heading4"/>
      </w:pPr>
      <w:r>
        <w:t xml:space="preserve">Hommes : testostérone et diabète</w:t>
      </w:r>
    </w:p>
    <w:p>
      <w:pPr>
        <w:pStyle w:val="FirstParagraph"/>
      </w:pPr>
      <w:r>
        <w:t xml:space="preserve">Chez cinq hommes atteints de diabète de type 2 avec une testostérone basse, une perfusion de kisspeptine-10 a augmenté la LH, la fréquence des pulses de LH et la testostérone</w:t>
      </w:r>
      <w:r>
        <w:rPr>
          <w:rStyle w:val="FootnoteReference"/>
        </w:rPr>
        <w:footnoteReference w:id="2159"/>
      </w:r>
      <w:r>
        <w:t xml:space="preserve">. Une nouvelle étude chez 15 hommes en bonne santé a montré que des perfusions sous-cutanées de huit heures par jour maintenaient la sécrétion hormonale pendant douze jours, alors qu’une perfusion continue n’avait plus d’effet sur la LH et la FSH au bout de cinq jours</w:t>
      </w:r>
      <w:r>
        <w:rPr>
          <w:rStyle w:val="FootnoteReference"/>
        </w:rPr>
        <w:footnoteReference w:id="2160"/>
      </w:r>
      <w:r>
        <w:t xml:space="preserve">. C’est une étape importante vers un éventuel traitement au long cours.</w:t>
      </w:r>
    </w:p>
    <w:bookmarkEnd w:id="2161"/>
    <w:bookmarkStart w:id="2165" w:name="désir-sexuel-et-cerveau"/>
    <w:p>
      <w:pPr>
        <w:pStyle w:val="Heading4"/>
      </w:pPr>
      <w:r>
        <w:t xml:space="preserve">Désir sexuel et cerveau</w:t>
      </w:r>
    </w:p>
    <w:p>
      <w:pPr>
        <w:pStyle w:val="FirstParagraph"/>
      </w:pPr>
      <w:r>
        <w:t xml:space="preserve">Le groupe londonien a étudié par imagerie par résonance magnétique fonctionnelle (IRMf) comment la kisspeptine modifie le traitement des images érotiques.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protocole</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Comninos 2017, PMID 28112678</w:t>
            </w:r>
          </w:p>
        </w:tc>
        <w:tc>
          <w:tcPr/>
          <w:p>
            <w:pPr>
              <w:pStyle w:val="Compact"/>
              <w:jc w:val="left"/>
            </w:pPr>
            <w:r>
              <w:t xml:space="preserve">29 jeunes hommes en bonne santé, étude croisée contre placebo</w:t>
            </w:r>
          </w:p>
        </w:tc>
        <w:tc>
          <w:tcPr/>
          <w:p>
            <w:pPr>
              <w:pStyle w:val="Compact"/>
              <w:jc w:val="left"/>
            </w:pPr>
            <w:r>
              <w:t xml:space="preserve">perfusion unique</w:t>
            </w:r>
          </w:p>
        </w:tc>
        <w:tc>
          <w:tcPr/>
          <w:p>
            <w:pPr>
              <w:pStyle w:val="Compact"/>
              <w:jc w:val="left"/>
            </w:pPr>
            <w:r>
              <w:t xml:space="preserve">Davantage d’activité dans les régions cérébrales limbiques face aux stimuli sexuels ; moins d’humeur négative</w:t>
            </w:r>
          </w:p>
        </w:tc>
      </w:tr>
      <w:tr>
        <w:tc>
          <w:tcPr/>
          <w:p>
            <w:pPr>
              <w:pStyle w:val="Compact"/>
              <w:jc w:val="left"/>
            </w:pPr>
            <w:r>
              <w:t xml:space="preserve">Thurston 2022, PMID 36287566</w:t>
            </w:r>
          </w:p>
        </w:tc>
        <w:tc>
          <w:tcPr/>
          <w:p>
            <w:pPr>
              <w:pStyle w:val="Compact"/>
              <w:jc w:val="left"/>
            </w:pPr>
            <w:r>
              <w:t xml:space="preserve">32 femmes atteintes de HSDD, étude croisée en double aveugle</w:t>
            </w:r>
          </w:p>
        </w:tc>
        <w:tc>
          <w:tcPr/>
          <w:p>
            <w:pPr>
              <w:pStyle w:val="Compact"/>
              <w:jc w:val="left"/>
            </w:pPr>
            <w:r>
              <w:t xml:space="preserve">75 minutes</w:t>
            </w:r>
          </w:p>
        </w:tc>
        <w:tc>
          <w:tcPr/>
          <w:p>
            <w:pPr>
              <w:pStyle w:val="Compact"/>
              <w:jc w:val="left"/>
            </w:pPr>
            <w:r>
              <w:t xml:space="preserve">Activité modifiée dans les régions cérébrales liées aux stimuli sexuels et à l’attirance ; aucun effet indésirable</w:t>
            </w:r>
          </w:p>
        </w:tc>
      </w:tr>
      <w:tr>
        <w:tc>
          <w:tcPr/>
          <w:p>
            <w:pPr>
              <w:pStyle w:val="Compact"/>
              <w:jc w:val="left"/>
            </w:pPr>
            <w:r>
              <w:t xml:space="preserve">Mills 2023, PMID 36735255</w:t>
            </w:r>
          </w:p>
        </w:tc>
        <w:tc>
          <w:tcPr/>
          <w:p>
            <w:pPr>
              <w:pStyle w:val="Compact"/>
              <w:jc w:val="left"/>
            </w:pPr>
            <w:r>
              <w:t xml:space="preserve">32 hommes atteints de HSDD, étude croisée en double aveugle</w:t>
            </w:r>
          </w:p>
        </w:tc>
        <w:tc>
          <w:tcPr/>
          <w:p>
            <w:pPr>
              <w:pStyle w:val="Compact"/>
              <w:jc w:val="left"/>
            </w:pPr>
            <w:r>
              <w:t xml:space="preserve">75 minutes</w:t>
            </w:r>
          </w:p>
        </w:tc>
        <w:tc>
          <w:tcPr/>
          <w:p>
            <w:pPr>
              <w:pStyle w:val="Compact"/>
              <w:jc w:val="left"/>
            </w:pPr>
            <w:r>
              <w:t xml:space="preserve">Activité cérébrale modifiée ; tumescence pénienne devant des vidéos érotiques jusqu’à 56 % plus forte que sous placebo</w:t>
            </w:r>
          </w:p>
        </w:tc>
      </w:tr>
    </w:tbl>
    <w:p>
      <w:pPr>
        <w:pStyle w:val="BodyText"/>
      </w:pPr>
      <w:r>
        <w:t xml:space="preserve">Le HSDD (trouble du désir sexuel hypoactif) désigne un désir sexuel durablement faible qui s’accompagne d’une souffrance. Chez les hommes atteints de HSDD, une perfusion unique de kisspeptine a renforcé non seulement l’activité des régions cérébrales sexuelles, mais aussi l’excitation physique mesurable et certaines déclarations concernant le désir, par exemple l’« envie de faire l’amour »</w:t>
      </w:r>
      <w:r>
        <w:rPr>
          <w:rStyle w:val="FootnoteReference"/>
        </w:rPr>
        <w:footnoteReference w:id="2162"/>
      </w:r>
      <w:r>
        <w:t xml:space="preserve">. Chez les femmes atteintes de HSDD, les modifications de l’activité cérébrale étaient corrélées à la souffrance et à l’aversion sexuelle</w:t>
      </w:r>
      <w:r>
        <w:rPr>
          <w:rStyle w:val="FootnoteReference"/>
        </w:rPr>
        <w:footnoteReference w:id="2163"/>
      </w:r>
      <w:r>
        <w:t xml:space="preserve">.</w:t>
      </w:r>
    </w:p>
    <w:p>
      <w:pPr>
        <w:pStyle w:val="BodyText"/>
      </w:pPr>
      <w:r>
        <w:rPr>
          <w:bCs/>
          <w:b/>
        </w:rPr>
        <w:t xml:space="preserve">Mise en perspective :</w:t>
      </w:r>
      <w:r>
        <w:t xml:space="preserve"> </w:t>
      </w:r>
      <w:r>
        <w:t xml:space="preserve">ces études évaluent une perfusion unique en laboratoire, avec l’activité cérébrale comme critère principal. Elles ne disent rien sur la capacité de la kisspeptine à améliorer le vécu sexuel au quotidien sur plusieurs semaines. L’administration en perfusion ne convient pas à un traitement au quotidien. Une étude portant sur 95 personnes n’a trouvé aucun effet sur l’anxiété, le cortisol, la pression artérielle ou la fréquence cardiaque</w:t>
      </w:r>
      <w:r>
        <w:rPr>
          <w:rStyle w:val="FootnoteReference"/>
        </w:rPr>
        <w:footnoteReference w:id="2164"/>
      </w:r>
      <w:r>
        <w:t xml:space="preserve"> </w:t>
      </w:r>
      <w:r>
        <w:t xml:space="preserve">– un résultat rassurant pour la tolérance, pas une preuve d’efficacité.</w:t>
      </w:r>
    </w:p>
    <w:bookmarkEnd w:id="2165"/>
    <w:bookmarkStart w:id="2167" w:name="spray-nasal"/>
    <w:p>
      <w:pPr>
        <w:pStyle w:val="Heading4"/>
      </w:pPr>
      <w:r>
        <w:t xml:space="preserve">Spray nasal</w:t>
      </w:r>
    </w:p>
    <w:p>
      <w:pPr>
        <w:pStyle w:val="FirstParagraph"/>
      </w:pPr>
      <w:r>
        <w:t xml:space="preserve">Un spray nasal de kisspeptine-54 a augmenté la LH chez des hommes et des femmes en bonne santé ainsi que chez des femmes atteintes d’aménorrhée hypothalamique, sans effets indésirables</w:t>
      </w:r>
      <w:r>
        <w:rPr>
          <w:rStyle w:val="FootnoteReference"/>
        </w:rPr>
        <w:footnoteReference w:id="2166"/>
      </w:r>
      <w:r>
        <w:t xml:space="preserve">. Cela ouvre une voie possible vers un traitement sans aiguille. Chez la souris, la kisspeptine a été détectée dans la muqueuse olfactive, ce qui suggère un passage par le système olfactif.</w:t>
      </w:r>
    </w:p>
    <w:bookmarkEnd w:id="2167"/>
    <w:bookmarkStart w:id="2171" w:name="autres-résultats"/>
    <w:p>
      <w:pPr>
        <w:pStyle w:val="Heading4"/>
      </w:pPr>
      <w:r>
        <w:t xml:space="preserve">Autres résultats</w:t>
      </w:r>
    </w:p>
    <w:p>
      <w:pPr>
        <w:numPr>
          <w:ilvl w:val="0"/>
          <w:numId w:val="1271"/>
        </w:numPr>
        <w:pStyle w:val="Compact"/>
      </w:pPr>
      <w:r>
        <w:rPr>
          <w:bCs/>
          <w:b/>
        </w:rPr>
        <w:t xml:space="preserve">Os :</w:t>
      </w:r>
      <w:r>
        <w:t xml:space="preserve"> </w:t>
      </w:r>
      <w:r>
        <w:t xml:space="preserve">chez 26 hommes en bonne santé, le marqueur de formation osseuse ostéocalcine a augmenté jusqu’à 20,3 % après une administration de kisspeptine</w:t>
      </w:r>
      <w:r>
        <w:rPr>
          <w:rStyle w:val="FootnoteReference"/>
        </w:rPr>
        <w:footnoteReference w:id="2168"/>
      </w:r>
      <w:r>
        <w:t xml:space="preserve">.</w:t>
      </w:r>
    </w:p>
    <w:p>
      <w:pPr>
        <w:numPr>
          <w:ilvl w:val="0"/>
          <w:numId w:val="1271"/>
        </w:numPr>
        <w:pStyle w:val="Compact"/>
      </w:pPr>
      <w:r>
        <w:rPr>
          <w:bCs/>
          <w:b/>
        </w:rPr>
        <w:t xml:space="preserve">Métabolisme :</w:t>
      </w:r>
      <w:r>
        <w:t xml:space="preserve"> </w:t>
      </w:r>
      <w:r>
        <w:t xml:space="preserve">chez 15 hommes en bonne santé, la kisspeptine a augmenté la sécrétion d’insuline après une charge en glucose, sans modifier l’appétit ni la quantité de nourriture consommée</w:t>
      </w:r>
      <w:r>
        <w:rPr>
          <w:rStyle w:val="FootnoteReference"/>
        </w:rPr>
        <w:footnoteReference w:id="2169"/>
      </w:r>
      <w:r>
        <w:t xml:space="preserve">.</w:t>
      </w:r>
    </w:p>
    <w:p>
      <w:pPr>
        <w:numPr>
          <w:ilvl w:val="0"/>
          <w:numId w:val="1271"/>
        </w:numPr>
        <w:pStyle w:val="Compact"/>
      </w:pPr>
      <w:r>
        <w:rPr>
          <w:bCs/>
          <w:b/>
        </w:rPr>
        <w:t xml:space="preserve">Ocytocine :</w:t>
      </w:r>
      <w:r>
        <w:t xml:space="preserve"> </w:t>
      </w:r>
      <w:r>
        <w:t xml:space="preserve">après une injection de kisspeptine, le taux sanguin d’ocytocine a augmenté, davantage chez les hommes que chez les femmes</w:t>
      </w:r>
      <w:r>
        <w:rPr>
          <w:rStyle w:val="FootnoteReference"/>
        </w:rPr>
        <w:footnoteReference w:id="2170"/>
      </w:r>
      <w:r>
        <w:t xml:space="preserve">. Cette réaction est étudiée comme test possible d’un déficit en ocytocine (chapitre 2E05).</w:t>
      </w:r>
    </w:p>
    <w:bookmarkEnd w:id="2171"/>
    <w:bookmarkStart w:id="2174" w:name="linverse-abaisser-les-hormones"/>
    <w:p>
      <w:pPr>
        <w:pStyle w:val="Heading4"/>
      </w:pPr>
      <w:r>
        <w:t xml:space="preserve">L’inverse : abaisser les hormones</w:t>
      </w:r>
    </w:p>
    <w:p>
      <w:pPr>
        <w:pStyle w:val="FirstParagraph"/>
      </w:pPr>
      <w:r>
        <w:t xml:space="preserve">En administration continue, l’analogue synthétique TAK-448 est devenu un bloqueur hormonal. Chez des hommes en bonne santé de plus de 50 ans, la testostérone est tombée au niveau de la castration après une semaine de perfusion continue ; chez des hommes atteints d’un cancer de la prostate, une injection retard a abaissé la testostérone et le marqueur tumoral PSA</w:t>
      </w:r>
      <w:r>
        <w:rPr>
          <w:rStyle w:val="FootnoteReference"/>
        </w:rPr>
        <w:footnoteReference w:id="2172"/>
      </w:r>
      <w:r>
        <w:t xml:space="preserve">. Deux autres études de phase 2 du fabricant ont été arrêtées prématurément</w:t>
      </w:r>
      <w:r>
        <w:rPr>
          <w:rStyle w:val="FootnoteReference"/>
        </w:rPr>
        <w:footnoteReference w:id="2173"/>
      </w:r>
      <w:r>
        <w:t xml:space="preserve">.</w:t>
      </w:r>
    </w:p>
    <w:bookmarkEnd w:id="2174"/>
    <w:bookmarkEnd w:id="2175"/>
    <w:bookmarkStart w:id="2180" w:name="études-animales-et-de-laboratoire-49"/>
    <w:p>
      <w:pPr>
        <w:pStyle w:val="Heading3"/>
      </w:pPr>
      <w:r>
        <w:t xml:space="preserve">Études animales et de laboratoire</w:t>
      </w:r>
    </w:p>
    <w:p>
      <w:pPr>
        <w:pStyle w:val="FirstParagraph"/>
      </w:pPr>
      <w:r>
        <w:t xml:space="preserve">Le rôle de la kisspeptine dans la puberté et la reproduction a d’abord été démontré chez des souris dont le gène du récepteur avait été invalidé ; ces animaux restent sexuellement immatures</w:t>
      </w:r>
      <w:r>
        <w:rPr>
          <w:rStyle w:val="FootnoteReference"/>
        </w:rPr>
        <w:footnoteReference w:id="2176"/>
      </w:r>
      <w:r>
        <w:t xml:space="preserve">. À l’origine, le peptide avait été décrit comme un frein à la formation de métastases : en culture cellulaire et chez la souris, il a inhibé la dissémination des cellules de mélanome</w:t>
      </w:r>
      <w:r>
        <w:rPr>
          <w:rStyle w:val="FootnoteReference"/>
        </w:rPr>
        <w:footnoteReference w:id="2177"/>
      </w:r>
      <w:r>
        <w:t xml:space="preserve">. La possibilité d’en tirer un usage thérapeutique reste ouverte.</w:t>
      </w:r>
    </w:p>
    <w:p>
      <w:pPr>
        <w:pStyle w:val="BodyText"/>
      </w:pPr>
      <w:r>
        <w:t xml:space="preserve">Dans des modèles de SOPK chez le rat, la kisspeptine a rétabli l’ovulation chez une partie des animaux, mais pas chez les autres</w:t>
      </w:r>
      <w:r>
        <w:rPr>
          <w:rStyle w:val="FootnoteReference"/>
        </w:rPr>
        <w:footnoteReference w:id="2178"/>
      </w:r>
      <w:r>
        <w:t xml:space="preserve">. La recherche fondamentale sur la kisspeptine et la neurokinine B est résumée dans une revue</w:t>
      </w:r>
      <w:r>
        <w:rPr>
          <w:rStyle w:val="FootnoteReference"/>
        </w:rPr>
        <w:footnoteReference w:id="2179"/>
      </w:r>
      <w:r>
        <w:t xml:space="preserve">.</w:t>
      </w:r>
    </w:p>
    <w:bookmarkEnd w:id="2180"/>
    <w:bookmarkStart w:id="2188" w:name="risques-et-effets-indésirables-49"/>
    <w:p>
      <w:pPr>
        <w:pStyle w:val="Heading3"/>
      </w:pPr>
      <w:r>
        <w:t xml:space="preserve">Risques et effets indésirables</w:t>
      </w:r>
    </w:p>
    <w:bookmarkStart w:id="2185" w:name="établis-2"/>
    <w:p>
      <w:pPr>
        <w:pStyle w:val="Heading4"/>
      </w:pPr>
      <w:r>
        <w:t xml:space="preserve">Établis</w:t>
      </w:r>
    </w:p>
    <w:p>
      <w:pPr>
        <w:pStyle w:val="FirstParagraph"/>
      </w:pPr>
      <w:r>
        <w:t xml:space="preserve">Dans toutes les études publiées, la kisspeptine a été bien tolérée. Plusieurs études rapportent expressément l’absence d’effets indésirables</w:t>
      </w:r>
      <w:r>
        <w:rPr>
          <w:rStyle w:val="FootnoteReference"/>
        </w:rPr>
        <w:footnoteReference w:id="2181"/>
      </w:r>
      <w:r>
        <w:t xml:space="preserve">. La kisspeptine n’a modifié ni l’hormone de croissance, ni la prolactine, ni la TSH qui pilote la thyroïde</w:t>
      </w:r>
      <w:r>
        <w:rPr>
          <w:rStyle w:val="FootnoteReference"/>
        </w:rPr>
        <w:footnoteReference w:id="2182"/>
      </w:r>
      <w:r>
        <w:t xml:space="preserve">, et n’a eu aucune influence sur l’anxiété, la pression artérielle ou la fréquence cardiaque</w:t>
      </w:r>
      <w:r>
        <w:rPr>
          <w:rStyle w:val="FootnoteReference"/>
        </w:rPr>
        <w:footnoteReference w:id="2183"/>
      </w:r>
      <w:r>
        <w:t xml:space="preserve">. Avec l’analogue TAK-448, des effets indésirables légers à modérés sont survenus chez 26 % des personnes traitées</w:t>
      </w:r>
      <w:r>
        <w:rPr>
          <w:rStyle w:val="FootnoteReference"/>
        </w:rPr>
        <w:footnoteReference w:id="2184"/>
      </w:r>
      <w:r>
        <w:t xml:space="preserve">.</w:t>
      </w:r>
    </w:p>
    <w:bookmarkEnd w:id="2185"/>
    <w:bookmarkStart w:id="2186" w:name="théoriques-et-incertains"/>
    <w:p>
      <w:pPr>
        <w:pStyle w:val="Heading4"/>
      </w:pPr>
      <w:r>
        <w:t xml:space="preserve">Théoriques et incertains</w:t>
      </w:r>
    </w:p>
    <w:p>
      <w:pPr>
        <w:numPr>
          <w:ilvl w:val="0"/>
          <w:numId w:val="1272"/>
        </w:numPr>
        <w:pStyle w:val="Compact"/>
      </w:pPr>
      <w:r>
        <w:rPr>
          <w:bCs/>
          <w:b/>
        </w:rPr>
        <w:t xml:space="preserve">Accoutumance et chute hormonale :</w:t>
      </w:r>
      <w:r>
        <w:t xml:space="preserve"> </w:t>
      </w:r>
      <w:r>
        <w:t xml:space="preserve">en administration continue, l’effet inverse de celui recherché peut se produire, comme le montrent les études sur le TAK-448. Utiliser la kisspeptine sans contrôle médical expose donc à une suppression de son propre axe hormonal.</w:t>
      </w:r>
    </w:p>
    <w:p>
      <w:pPr>
        <w:numPr>
          <w:ilvl w:val="0"/>
          <w:numId w:val="1272"/>
        </w:numPr>
        <w:pStyle w:val="Compact"/>
      </w:pPr>
      <w:r>
        <w:rPr>
          <w:bCs/>
          <w:b/>
        </w:rPr>
        <w:t xml:space="preserve">Données à long terme :</w:t>
      </w:r>
      <w:r>
        <w:t xml:space="preserve"> </w:t>
      </w:r>
      <w:r>
        <w:t xml:space="preserve">elles font défaut. Les études les plus longues ont duré huit semaines.</w:t>
      </w:r>
    </w:p>
    <w:p>
      <w:pPr>
        <w:numPr>
          <w:ilvl w:val="0"/>
          <w:numId w:val="1272"/>
        </w:numPr>
        <w:pStyle w:val="Compact"/>
      </w:pPr>
      <w:r>
        <w:rPr>
          <w:bCs/>
          <w:b/>
        </w:rPr>
        <w:t xml:space="preserve">Grossesse :</w:t>
      </w:r>
      <w:r>
        <w:t xml:space="preserve"> </w:t>
      </w:r>
      <w:r>
        <w:t xml:space="preserve">des enfants sont nés après une utilisation en FIV ; aucune donnée systématique sur la santé de ces enfants n’a été publiée.</w:t>
      </w:r>
    </w:p>
    <w:bookmarkEnd w:id="2186"/>
    <w:bookmarkStart w:id="2187" w:name="marché-gris-2"/>
    <w:p>
      <w:pPr>
        <w:pStyle w:val="Heading4"/>
      </w:pPr>
      <w:r>
        <w:t xml:space="preserve">Marché gris</w:t>
      </w:r>
    </w:p>
    <w:p>
      <w:pPr>
        <w:pStyle w:val="FirstParagraph"/>
      </w:pPr>
      <w:r>
        <w:t xml:space="preserve">La kisspeptine-10 est proposée sur Internet comme « research peptide » et promue sur des forums pour augmenter la testostérone ou la libido. Il n’existe aucune étude sur ces produits. En raison de la courte demi-vie et de l’accoutumance en cas d’administrations fréquentes, un effet durable en auto-administration n’est pas démontré ; la pureté et la teneur ne sont pas contrôlées (voir parties I et IV).</w:t>
      </w:r>
    </w:p>
    <w:bookmarkEnd w:id="2187"/>
    <w:bookmarkEnd w:id="2188"/>
    <w:bookmarkStart w:id="2189" w:name="statut-juridique-49"/>
    <w:p>
      <w:pPr>
        <w:pStyle w:val="Heading3"/>
      </w:pPr>
      <w:r>
        <w:t xml:space="preserve">Statut juridique</w:t>
      </w:r>
    </w:p>
    <w:p>
      <w:pPr>
        <w:pStyle w:val="FirstParagraph"/>
      </w:pPr>
      <w:r>
        <w:rPr>
          <w:iCs/>
          <w:i/>
        </w:rPr>
        <w:t xml:space="preserve">État 2026, à vérifier.</w:t>
      </w:r>
    </w:p>
    <w:p>
      <w:pPr>
        <w:numPr>
          <w:ilvl w:val="0"/>
          <w:numId w:val="1273"/>
        </w:numPr>
        <w:pStyle w:val="Compact"/>
      </w:pPr>
      <w:r>
        <w:rPr>
          <w:bCs/>
          <w:b/>
        </w:rPr>
        <w:t xml:space="preserve">UE, Allemagne, Autriche :</w:t>
      </w:r>
      <w:r>
        <w:t xml:space="preserve"> </w:t>
      </w:r>
      <w:r>
        <w:t xml:space="preserve">pas d’autorisation. La kisspeptine ne peut être administrée à l’humain que dans le cadre d’études cliniques autorisées. La vente pour un usage chez l’humain est illégale.</w:t>
      </w:r>
    </w:p>
    <w:p>
      <w:pPr>
        <w:numPr>
          <w:ilvl w:val="0"/>
          <w:numId w:val="1273"/>
        </w:numPr>
        <w:pStyle w:val="Compact"/>
      </w:pPr>
      <w:r>
        <w:rPr>
          <w:bCs/>
          <w:b/>
        </w:rPr>
        <w:t xml:space="preserve">États-Unis :</w:t>
      </w:r>
      <w:r>
        <w:t xml:space="preserve"> </w:t>
      </w:r>
      <w:r>
        <w:t xml:space="preserve">pas d’autorisation ; utilisation uniquement dans des études autorisées par la FDA.</w:t>
      </w:r>
    </w:p>
    <w:p>
      <w:pPr>
        <w:numPr>
          <w:ilvl w:val="0"/>
          <w:numId w:val="1273"/>
        </w:numPr>
        <w:pStyle w:val="Compact"/>
      </w:pPr>
      <w:r>
        <w:rPr>
          <w:bCs/>
          <w:b/>
        </w:rPr>
        <w:t xml:space="preserve">AMA (WADA) :</w:t>
      </w:r>
      <w:r>
        <w:t xml:space="preserve"> </w:t>
      </w:r>
      <w:r>
        <w:t xml:space="preserve">chez les hommes, les facteurs de libération de la LH sont interdits au titre de S2, les principes actifs non autorisés en général au titre de S0. La kisspeptine n’est pas mentionnée nommément, mais relève selon l’appréciation de l’auteur de ces groupes.</w:t>
      </w:r>
    </w:p>
    <w:bookmarkEnd w:id="2189"/>
    <w:bookmarkStart w:id="2192" w:name="études-en-cours-et-perspectives-49"/>
    <w:p>
      <w:pPr>
        <w:pStyle w:val="Heading3"/>
      </w:pPr>
      <w:r>
        <w:t xml:space="preserve">Études en cours et perspectives</w:t>
      </w:r>
    </w:p>
    <w:p>
      <w:pPr>
        <w:pStyle w:val="FirstParagraph"/>
      </w:pPr>
      <w:r>
        <w:rPr>
          <w:bCs/>
          <w:b/>
        </w:rPr>
        <w:t xml:space="preserve">Établi (études enregistrées) :</w:t>
      </w:r>
    </w:p>
    <w:p>
      <w:pPr>
        <w:numPr>
          <w:ilvl w:val="0"/>
          <w:numId w:val="1274"/>
        </w:numPr>
        <w:pStyle w:val="Compact"/>
      </w:pPr>
      <w:r>
        <w:rPr>
          <w:bCs/>
          <w:b/>
        </w:rPr>
        <w:t xml:space="preserve">Massachusetts General Hospital, Boston :</w:t>
      </w:r>
      <w:r>
        <w:t xml:space="preserve"> </w:t>
      </w:r>
      <w:r>
        <w:t xml:space="preserve">plusieurs études de phase 1 et de phase 2 avec administration sous-cutanée répétée de kisspeptine dans le déficit hormonal congénital (hypogonadisme hypogonadotrope idiopathique, NCT05896293, 36 personnes, jusqu’en 2028) et dans l’aménorrhée hypothalamique (NCT07224438, 20 personnes, jusqu’en 2030). Une autre étude utilise la kisspeptine comme test de la fonction des neurones à GnRH</w:t>
      </w:r>
      <w:r>
        <w:rPr>
          <w:rStyle w:val="FootnoteReference"/>
        </w:rPr>
        <w:footnoteReference w:id="2190"/>
      </w:r>
      <w:r>
        <w:t xml:space="preserve">.</w:t>
      </w:r>
    </w:p>
    <w:p>
      <w:pPr>
        <w:numPr>
          <w:ilvl w:val="0"/>
          <w:numId w:val="1274"/>
        </w:numPr>
        <w:pStyle w:val="Compact"/>
      </w:pPr>
      <w:r>
        <w:rPr>
          <w:bCs/>
          <w:b/>
        </w:rPr>
        <w:t xml:space="preserve">Imperial College London :</w:t>
      </w:r>
      <w:r>
        <w:t xml:space="preserve"> </w:t>
      </w:r>
      <w:r>
        <w:t xml:space="preserve">une étude en cours depuis 2014 sur la sécrétion hormonale lors d’une administration prolongée de kisspeptine (NCT02081924, 76 personnes).</w:t>
      </w:r>
    </w:p>
    <w:p>
      <w:pPr>
        <w:numPr>
          <w:ilvl w:val="0"/>
          <w:numId w:val="1274"/>
        </w:numPr>
        <w:pStyle w:val="Compact"/>
      </w:pPr>
      <w:r>
        <w:t xml:space="preserve">Une étude de phase 2 avec administration pulsatile de kisspeptine dans l’hypogonadisme est terminée</w:t>
      </w:r>
      <w:r>
        <w:rPr>
          <w:rStyle w:val="FootnoteReference"/>
        </w:rPr>
        <w:footnoteReference w:id="2191"/>
      </w:r>
      <w:r>
        <w:t xml:space="preserve"> </w:t>
      </w:r>
      <w:r>
        <w:t xml:space="preserve">; aucun résultat n’avait été publié dans PubMed à la date de clôture de la rédaction.</w:t>
      </w:r>
    </w:p>
    <w:p>
      <w:pPr>
        <w:pStyle w:val="FirstParagraph"/>
      </w:pPr>
      <w:r>
        <w:rPr>
          <w:bCs/>
          <w:b/>
        </w:rPr>
        <w:t xml:space="preserve">Appréciation de l’auteur :</w:t>
      </w:r>
      <w:r>
        <w:t xml:space="preserve"> </w:t>
      </w:r>
      <w:r>
        <w:t xml:space="preserve">pour ce qui est des bases, la kisspeptine est l’un des peptides les plus solides scientifiquement de ce livre – son rôle dans la puberté est démontré génétiquement. Le développement clinique est toutefois lent, car il est principalement porté par des universités. Une autorisation paraît la plus réaliste pour la maturation ovocytaire chez les femmes à risque de SHO ou comme test diagnostique des troubles de la puberté, mais il faudrait pour cela de plus grandes études comparatives. Pour le traitement du manque de désir sexuel, toute preuve d’un bénéfice au quotidien fait encore défaut.</w:t>
      </w:r>
    </w:p>
    <w:bookmarkEnd w:id="2192"/>
    <w:bookmarkStart w:id="2193" w:name="conclusion-49"/>
    <w:p>
      <w:pPr>
        <w:pStyle w:val="Heading3"/>
      </w:pPr>
      <w:r>
        <w:t xml:space="preserve">Conclusion</w:t>
      </w:r>
    </w:p>
    <w:p>
      <w:pPr>
        <w:pStyle w:val="FirstParagraph"/>
      </w:pPr>
      <w:r>
        <w:t xml:space="preserve">La kisspeptine est l’interrupteur principal endogène des hormones de la reproduction, comme le montrent de manière frappante les personnes porteuses d’un défaut du récepteur. Dans de petites études, elle a déclenché de façon fiable la sécrétion de LH et permis, chez des femmes à haut risque d’hyperstimulation, une maturation ovocytaire sans SHO sévère. Des études de laboratoire avec imagerie cérébrale suggèrent des effets sur le traitement des stimuli sexuels, mais ne prouvent pas un bénéfice au quotidien. Le principal obstacle pratique est l’accoutumance lors d’administrations fréquentes, qui peut aller jusqu’à la suppression de l’axe hormonal. La kisspeptine n’est autorisée nulle part ; en dehors des études, il n’existe aucune utilisation évaluée.</w:t>
      </w:r>
    </w:p>
    <w:bookmarkEnd w:id="2193"/>
    <w:bookmarkEnd w:id="2194"/>
    <w:bookmarkStart w:id="2274" w:name="ocytocine-spray-nasal"/>
    <w:p>
      <w:pPr>
        <w:pStyle w:val="Heading2"/>
      </w:pPr>
      <w:r>
        <w:t xml:space="preserve">Ocytocine (spray nasal)</w:t>
      </w:r>
    </w:p>
    <w:bookmarkStart w:id="2195" w:name="fiche-signalétique-50"/>
    <w:p>
      <w:pPr>
        <w:pStyle w:val="Heading3"/>
      </w:pPr>
      <w:r>
        <w:t xml:space="preserve">Fiche signalétique</w:t>
      </w:r>
    </w:p>
    <w:p>
      <w:pPr>
        <w:numPr>
          <w:ilvl w:val="0"/>
          <w:numId w:val="1275"/>
        </w:numPr>
        <w:pStyle w:val="Compact"/>
      </w:pPr>
      <w:r>
        <w:rPr>
          <w:bCs/>
          <w:b/>
        </w:rPr>
        <w:t xml:space="preserve">Type/structure :</w:t>
      </w:r>
      <w:r>
        <w:t xml:space="preserve"> </w:t>
      </w:r>
      <w:r>
        <w:t xml:space="preserve">hormone peptidique endogène de neuf acides aminés. Deux ponts soufrés referment six d’entre eux en anneau. L’ocytocine est étroitement apparentée à l’hormone vasopressine (hormone antidiurétique), dont elle ne diffère que par deux constituants.</w:t>
      </w:r>
    </w:p>
    <w:p>
      <w:pPr>
        <w:numPr>
          <w:ilvl w:val="0"/>
          <w:numId w:val="1275"/>
        </w:numPr>
        <w:pStyle w:val="Compact"/>
      </w:pPr>
      <w:r>
        <w:rPr>
          <w:bCs/>
          <w:b/>
        </w:rPr>
        <w:t xml:space="preserve">Origine :</w:t>
      </w:r>
      <w:r>
        <w:t xml:space="preserve"> </w:t>
      </w:r>
      <w:r>
        <w:t xml:space="preserve">produite par des neurones de l’hypothalamus et libérée dans le sang par la posthypophyse ; c’est aussi un messager à l’intérieur du cerveau. En 1953, l’ocytocine a été la première hormone peptidique reproduite en laboratoire ; Vincent du Vigneaud a reçu pour cela le prix Nobel de chimie en 1955.</w:t>
      </w:r>
    </w:p>
    <w:p>
      <w:pPr>
        <w:numPr>
          <w:ilvl w:val="0"/>
          <w:numId w:val="1275"/>
        </w:numPr>
        <w:pStyle w:val="Compact"/>
      </w:pPr>
      <w:r>
        <w:rPr>
          <w:bCs/>
          <w:b/>
        </w:rPr>
        <w:t xml:space="preserve">Principe d’action :</w:t>
      </w:r>
      <w:r>
        <w:t xml:space="preserve"> </w:t>
      </w:r>
      <w:r>
        <w:t xml:space="preserve">agoniste du récepteur de l’ocytocine. Dans l’organisme, elle déclenche les contractions et le réflexe d’éjection du lait ; dans le cerveau, elle participe à l’attachement, au comportement social et à la régulation du stress.</w:t>
      </w:r>
    </w:p>
    <w:p>
      <w:pPr>
        <w:numPr>
          <w:ilvl w:val="0"/>
          <w:numId w:val="1275"/>
        </w:numPr>
        <w:pStyle w:val="Compact"/>
      </w:pPr>
      <w:r>
        <w:rPr>
          <w:bCs/>
          <w:b/>
        </w:rPr>
        <w:t xml:space="preserve">Autorisation UE et États-Unis (injection/perfusion) :</w:t>
      </w:r>
      <w:r>
        <w:t xml:space="preserve"> </w:t>
      </w:r>
      <w:r>
        <w:t xml:space="preserve">oui, depuis des décennies en obstétrique, pour déclencher et soutenir les contractions et prévenir les hémorragies importantes après l’accouchement.</w:t>
      </w:r>
    </w:p>
    <w:p>
      <w:pPr>
        <w:numPr>
          <w:ilvl w:val="0"/>
          <w:numId w:val="1275"/>
        </w:numPr>
        <w:pStyle w:val="Compact"/>
      </w:pPr>
      <w:r>
        <w:rPr>
          <w:bCs/>
          <w:b/>
        </w:rPr>
        <w:t xml:space="preserve">Autorisation comme spray nasal :</w:t>
      </w:r>
      <w:r>
        <w:t xml:space="preserve"> </w:t>
      </w:r>
      <w:r>
        <w:t xml:space="preserve">un spray nasal d’ocytocine était autrefois autorisé dans plusieurs pays européens pour favoriser l’écoulement du lait pendant l’allaitement, mais il n’est plus commercialisé dans de nombreux pays. Pour des usages psychiques, sociaux ou sexuels, l’ocytocine n’est autorisée nulle part.</w:t>
      </w:r>
    </w:p>
    <w:p>
      <w:pPr>
        <w:numPr>
          <w:ilvl w:val="0"/>
          <w:numId w:val="1275"/>
        </w:numPr>
        <w:pStyle w:val="Compact"/>
      </w:pPr>
      <w:r>
        <w:rPr>
          <w:bCs/>
          <w:b/>
        </w:rPr>
        <w:t xml:space="preserve">AMA (WADA) :</w:t>
      </w:r>
      <w:r>
        <w:t xml:space="preserve"> </w:t>
      </w:r>
      <w:r>
        <w:t xml:space="preserve">pas listée.</w:t>
      </w:r>
    </w:p>
    <w:p>
      <w:pPr>
        <w:numPr>
          <w:ilvl w:val="0"/>
          <w:numId w:val="1275"/>
        </w:numPr>
        <w:pStyle w:val="Compact"/>
      </w:pPr>
      <w:r>
        <w:rPr>
          <w:bCs/>
          <w:b/>
        </w:rPr>
        <w:t xml:space="preserve">Niveau de preuve :</w:t>
      </w:r>
      <w:r>
        <w:t xml:space="preserve"> </w:t>
      </w:r>
      <w:r>
        <w:rPr>
          <w:bCs/>
          <w:b/>
        </w:rPr>
        <w:t xml:space="preserve">B</w:t>
      </w:r>
      <w:r>
        <w:t xml:space="preserve"> </w:t>
      </w:r>
      <w:r>
        <w:t xml:space="preserve">pour l’utilisation en spray nasal – des centaines d’études randomisées, mais en majorité petites et à dose unique ; les rares grandes études de traitement ont été négatives. Pour l’obstétrique (perfusion, injection), le niveau A s’applique ; elle n’est pas le sujet principal de ce chapitre.</w:t>
      </w:r>
    </w:p>
    <w:bookmarkEnd w:id="2195"/>
    <w:bookmarkStart w:id="2207" w:name="mode-daction-supposé-50"/>
    <w:p>
      <w:pPr>
        <w:pStyle w:val="Heading3"/>
      </w:pPr>
      <w:r>
        <w:t xml:space="preserve">Mode d’action supposé</w:t>
      </w:r>
    </w:p>
    <w:bookmarkStart w:id="2196" w:name="Xcc3977743071b8b3af64068fcbd3e7e614a14b9"/>
    <w:p>
      <w:pPr>
        <w:pStyle w:val="Heading4"/>
      </w:pPr>
      <w:r>
        <w:t xml:space="preserve">De l’hormone des contractions à l’« hormone des câlins »</w:t>
      </w:r>
    </w:p>
    <w:p>
      <w:pPr>
        <w:pStyle w:val="FirstParagraph"/>
      </w:pPr>
      <w:r>
        <w:t xml:space="preserve">L’ocytocine tire son nom de l’expression grecque signifiant « accouchement rapide ». Ses fonctions classiques sont physiques : elle fait se contracter l’utérus et expulse le lait des glandes mammaires. Depuis les années 1990, un second rôle a attiré l’attention. Chez les campagnols des prairies, qui forment des couples pour la vie, l’attachement au partenaire dépend du système de l’ocytocine dans le cerveau (expérimentations animales). Chez les moutons et les rongeurs, elle pilote le comportement de soin des mères envers leur progéniture.</w:t>
      </w:r>
    </w:p>
    <w:p>
      <w:pPr>
        <w:pStyle w:val="BodyText"/>
      </w:pPr>
      <w:r>
        <w:t xml:space="preserve">À partir de 2005, ces observations animales ont donné lieu à une vague d’études chez l’humain, qui administraient l’ocytocine en spray nasal et mesuraient le comportement social. Les médias ont forgé des étiquettes comme « hormone des câlins », « hormone de la confiance » ou « hormone de l’amour ». Comme le montre ce chapitre, les données actuelles sont bien plus décevantes que ces slogans.</w:t>
      </w:r>
    </w:p>
    <w:bookmarkEnd w:id="2196"/>
    <w:bookmarkStart w:id="2204" w:name="le-problème-du-nez"/>
    <w:p>
      <w:pPr>
        <w:pStyle w:val="Heading4"/>
      </w:pPr>
      <w:r>
        <w:t xml:space="preserve">Le problème du nez</w:t>
      </w:r>
    </w:p>
    <w:p>
      <w:pPr>
        <w:pStyle w:val="FirstParagraph"/>
      </w:pPr>
      <w:r>
        <w:t xml:space="preserve">En tant que peptide, l’ocytocine est trop grosse et trop hydrosoluble pour franchir la barrière hémato-encéphalique en quantité notable. Le spray nasal est censé trouver, par les nerfs olfactifs et trijumeaux de la muqueuse nasale, un chemin direct vers le cerveau. Savoir si cela fonctionne, et dans quelle mesure, est l’une des questions centrales non résolues du domaine :</w:t>
      </w:r>
    </w:p>
    <w:p>
      <w:pPr>
        <w:numPr>
          <w:ilvl w:val="0"/>
          <w:numId w:val="1276"/>
        </w:numPr>
        <w:pStyle w:val="Compact"/>
      </w:pPr>
      <w:r>
        <w:rPr>
          <w:bCs/>
          <w:b/>
        </w:rPr>
        <w:t xml:space="preserve">Point de vue sceptique :</w:t>
      </w:r>
      <w:r>
        <w:t xml:space="preserve"> </w:t>
      </w:r>
      <w:r>
        <w:t xml:space="preserve">seule une infime fraction de la quantité pulvérisée atteint le liquide céphalorachidien, tandis que le taux sanguin s’élève bien au-delà des valeurs naturelles. Beaucoup d’effets observés pourraient donc provenir d’actions dans l’organisme, par exemple sur le cœur ou l’intestin, qui influenceraient ensuite indirectement le cerveau</w:t>
      </w:r>
      <w:r>
        <w:rPr>
          <w:rStyle w:val="FootnoteReference"/>
        </w:rPr>
        <w:footnoteReference w:id="2197"/>
      </w:r>
      <w:r>
        <w:t xml:space="preserve">.</w:t>
      </w:r>
    </w:p>
    <w:p>
      <w:pPr>
        <w:numPr>
          <w:ilvl w:val="0"/>
          <w:numId w:val="1276"/>
        </w:numPr>
        <w:pStyle w:val="Compact"/>
      </w:pPr>
      <w:r>
        <w:rPr>
          <w:bCs/>
          <w:b/>
        </w:rPr>
        <w:t xml:space="preserve">Observations chez le singe :</w:t>
      </w:r>
      <w:r>
        <w:t xml:space="preserve"> </w:t>
      </w:r>
      <w:r>
        <w:t xml:space="preserve">chez des macaques rhésus, l’ocytocine marquée a atteint le liquide céphalorachidien après administration nasale comme après administration intraveineuse ; la voie nasale n’était pas supérieure</w:t>
      </w:r>
      <w:r>
        <w:rPr>
          <w:rStyle w:val="FootnoteReference"/>
        </w:rPr>
        <w:footnoteReference w:id="2198"/>
      </w:r>
      <w:r>
        <w:t xml:space="preserve">. Dans une seconde étude, de l’ocytocine marquée a été retrouvée après administration nasale – mais pas intraveineuse – dans des régions cérébrales situées le long des voies olfactives et trigéminales</w:t>
      </w:r>
      <w:r>
        <w:rPr>
          <w:rStyle w:val="FootnoteReference"/>
        </w:rPr>
        <w:footnoteReference w:id="2199"/>
      </w:r>
      <w:r>
        <w:t xml:space="preserve">.</w:t>
      </w:r>
    </w:p>
    <w:p>
      <w:pPr>
        <w:numPr>
          <w:ilvl w:val="0"/>
          <w:numId w:val="1276"/>
        </w:numPr>
        <w:pStyle w:val="Compact"/>
      </w:pPr>
      <w:r>
        <w:rPr>
          <w:bCs/>
          <w:b/>
        </w:rPr>
        <w:t xml:space="preserve">Observations chez l’humain :</w:t>
      </w:r>
      <w:r>
        <w:t xml:space="preserve"> </w:t>
      </w:r>
      <w:r>
        <w:t xml:space="preserve">une étude a comparé spray nasal, nébuliseur et perfusion. La diminution de la perfusion sanguine de l’amygdale s’expliquait entièrement par la hausse dans le sang ; il y avait en même temps des indices d’effets directs par voie nasale dans d’autres régions</w:t>
      </w:r>
      <w:r>
        <w:rPr>
          <w:rStyle w:val="FootnoteReference"/>
        </w:rPr>
        <w:footnoteReference w:id="2200"/>
      </w:r>
      <w:r>
        <w:t xml:space="preserve">.</w:t>
      </w:r>
    </w:p>
    <w:p>
      <w:pPr>
        <w:numPr>
          <w:ilvl w:val="0"/>
          <w:numId w:val="1276"/>
        </w:numPr>
        <w:pStyle w:val="Compact"/>
      </w:pPr>
      <w:r>
        <w:rPr>
          <w:bCs/>
          <w:b/>
        </w:rPr>
        <w:t xml:space="preserve">Problèmes de mesure :</w:t>
      </w:r>
      <w:r>
        <w:t xml:space="preserve"> </w:t>
      </w:r>
      <w:r>
        <w:t xml:space="preserve">les taux sanguins d’ocytocine ne reflètent pas les valeurs cérébrales dans des conditions de repos</w:t>
      </w:r>
      <w:r>
        <w:rPr>
          <w:rStyle w:val="FootnoteReference"/>
        </w:rPr>
        <w:footnoteReference w:id="2201"/>
      </w:r>
      <w:r>
        <w:t xml:space="preserve">. Beaucoup d’études plus anciennes utilisaient en outre des méthodes de mesure aujourd’hui considérées comme peu fiables</w:t>
      </w:r>
      <w:r>
        <w:rPr>
          <w:rStyle w:val="FootnoteReference"/>
        </w:rPr>
        <w:footnoteReference w:id="2202"/>
      </w:r>
      <w:r>
        <w:t xml:space="preserve">.</w:t>
      </w:r>
    </w:p>
    <w:p>
      <w:pPr>
        <w:pStyle w:val="FirstParagraph"/>
      </w:pPr>
      <w:r>
        <w:t xml:space="preserve">Les spécialistes qui portent un regard globalement positif sur le domaine considèrent désormais comme démontrée une voie directe du nez vers le cerveau, mais soulignent que la dose, la technique de pulvérisation et le sexe des participants influencent fortement les résultats</w:t>
      </w:r>
      <w:r>
        <w:rPr>
          <w:rStyle w:val="FootnoteReference"/>
        </w:rPr>
        <w:footnoteReference w:id="2203"/>
      </w:r>
      <w:r>
        <w:t xml:space="preserve">. Pour vous, lectrices et lecteurs, cela signifie : l’arrivée d’un spray nasal d’ocytocine dans le cerveau dépend de nombreux détails, et même les spécialistes ne s’accordent pas sur l’ordre de grandeur.</w:t>
      </w:r>
    </w:p>
    <w:bookmarkEnd w:id="2204"/>
    <w:bookmarkStart w:id="2206" w:name="en-bref-locytocine-en-obstétrique"/>
    <w:p>
      <w:pPr>
        <w:pStyle w:val="Heading4"/>
      </w:pPr>
      <w:r>
        <w:t xml:space="preserve">En bref : l’ocytocine en obstétrique</w:t>
      </w:r>
    </w:p>
    <w:p>
      <w:pPr>
        <w:pStyle w:val="FirstParagraph"/>
      </w:pPr>
      <w:r>
        <w:t xml:space="preserve">En perfusion ou en injection, l’ocytocine est l’un des médicaments les plus importants au monde ; l’Organisation mondiale de la santé l’inscrit sur sa liste des médicaments essentiels. Elle est utilisée pour déclencher ou renforcer les contractions et pour prévenir les hémorragies importantes après l’accouchement. Une revue Cochrane portant sur 24 études a conclu que l’ocytocine administrée en prévention réduit environ de moitié le risque d’une perte sanguine de 500 ml ou plus (risque relatif 0,51), avec une qualité parfois faible des études individuelles</w:t>
      </w:r>
      <w:r>
        <w:rPr>
          <w:rStyle w:val="FootnoteReference"/>
        </w:rPr>
        <w:footnoteReference w:id="2205"/>
      </w:r>
      <w:r>
        <w:t xml:space="preserve">. Cet usage relève exclusivement des sages-femmes et des médecins ; la posologie et la surveillance sont régies par le résumé des caractéristiques du produit. Il ne joue aucun rôle dans l’évaluation du spray nasal pour des questions psychiques.</w:t>
      </w:r>
    </w:p>
    <w:bookmarkEnd w:id="2206"/>
    <w:bookmarkEnd w:id="2207"/>
    <w:bookmarkStart w:id="2252" w:name="études-chez-lhumain-50"/>
    <w:p>
      <w:pPr>
        <w:pStyle w:val="Heading3"/>
      </w:pPr>
      <w:r>
        <w:t xml:space="preserve">Études chez l’humain</w:t>
      </w:r>
    </w:p>
    <w:p>
      <w:pPr>
        <w:pStyle w:val="FirstParagraph"/>
      </w:pPr>
      <w:r>
        <w:rPr>
          <w:bCs/>
          <w:b/>
        </w:rPr>
        <w:t xml:space="preserve">Ampleur des données (requête d’octobre 2026) :</w:t>
      </w:r>
      <w:r>
        <w:t xml:space="preserve"> </w:t>
      </w:r>
      <w:r>
        <w:t xml:space="preserve">la recherche automatisée de ce livre (terme « intranasal oxytocin » dans le titre ou le résumé) a trouvé</w:t>
      </w:r>
      <w:r>
        <w:t xml:space="preserve"> </w:t>
      </w:r>
      <w:r>
        <w:rPr>
          <w:bCs/>
          <w:b/>
        </w:rPr>
        <w:t xml:space="preserve">349</w:t>
      </w:r>
      <w:r>
        <w:t xml:space="preserve"> </w:t>
      </w:r>
      <w:r>
        <w:t xml:space="preserve">études chez l’humain dans PubMed (</w:t>
      </w:r>
      <w:r>
        <w:rPr>
          <w:rStyle w:val="VerbatimChar"/>
        </w:rPr>
        <w:t xml:space="preserve">humanstudien_alle</w:t>
      </w:r>
      <w:r>
        <w:t xml:space="preserve">) et</w:t>
      </w:r>
      <w:r>
        <w:t xml:space="preserve"> </w:t>
      </w:r>
      <w:r>
        <w:rPr>
          <w:bCs/>
          <w:b/>
        </w:rPr>
        <w:t xml:space="preserve">263</w:t>
      </w:r>
      <w:r>
        <w:t xml:space="preserve"> </w:t>
      </w:r>
      <w:r>
        <w:t xml:space="preserve">entrées sur ClinicalTrials.gov, dont une vingtaine encore en phase de recrutement. S’y ajoutent au moins 15 méta-analyses et revues systématiques. L’ocytocine est ainsi le peptide le plus étudié chez l’humain dans cette partie du livre. La grande majorité des études n’a toutefois administré qu’une seule dose, le plus souvent à 20 à 60 jeunes hommes en bonne santé, et mesuré des changements à court terme lors de tests de laboratoire ou au scanner cérébral.</w:t>
      </w:r>
    </w:p>
    <w:p>
      <w:pPr>
        <w:pStyle w:val="BodyText"/>
      </w:pPr>
      <w:r>
        <w:t xml:space="preserve">Ce chapitre classe les études en quatre groupes : les études fondamentales chez les personnes en bonne santé suivies de la crise de la réplication, l’autisme comme principal domaine thérapeutique, d’autres troubles psychiatriques et enfin le métabolisme, la douleur et la sexualité.</w:t>
      </w:r>
    </w:p>
    <w:bookmarkStart w:id="2211" w:name="Xf27cf3ffb10920fe52b515f4a2c3ff3f8391d9a"/>
    <w:p>
      <w:pPr>
        <w:pStyle w:val="Heading4"/>
      </w:pPr>
      <w:r>
        <w:t xml:space="preserve">Comportement social chez les personnes en bonne santé : confiance, stress, émotions</w:t>
      </w:r>
    </w:p>
    <w:p>
      <w:pPr>
        <w:pStyle w:val="FirstParagraph"/>
      </w:pPr>
      <w:r>
        <w:rPr>
          <w:bCs/>
          <w:b/>
        </w:rPr>
        <w:t xml:space="preserve">Confiance.</w:t>
      </w:r>
      <w:r>
        <w:t xml:space="preserve"> </w:t>
      </w:r>
      <w:r>
        <w:t xml:space="preserve">L’étude fondatrice du domaine est parue en 2005 dans Nature : des hommes ayant inhalé de l’ocytocine confiaient davantage d’argent à un inconnu lors d’un jeu économique</w:t>
      </w:r>
      <w:r>
        <w:rPr>
          <w:rStyle w:val="FootnoteReference"/>
        </w:rPr>
        <w:footnoteReference w:id="2208"/>
      </w:r>
      <w:r>
        <w:t xml:space="preserve">. Dans ce « jeu de la confiance », un investisseur décide combien d’argent il confie à un dépositaire ; la somme est multipliée, et le dépositaire décide combien il en rend. L’ocytocine n’augmentait pas la prise de risque en général, mais spécifiquement la disposition à prendre des risques sociaux.</w:t>
      </w:r>
    </w:p>
    <w:p>
      <w:pPr>
        <w:pStyle w:val="BodyText"/>
      </w:pPr>
      <w:r>
        <w:rPr>
          <w:bCs/>
          <w:b/>
        </w:rPr>
        <w:t xml:space="preserve">Stress.</w:t>
      </w:r>
      <w:r>
        <w:t xml:space="preserve"> </w:t>
      </w:r>
      <w:r>
        <w:t xml:space="preserve">Dans une étude portant sur 37 hommes en bonne santé, l’ocytocine a atténué l’anxiété lors d’un test de stress standardisé (discours en public et calcul mental devant un auditoire). Les valeurs les plus basses de l’hormone du stress cortisol ont été observées chez les hommes qui recevaient de l’ocytocine et étaient en plus soutenus par leur meilleur ami</w:t>
      </w:r>
      <w:r>
        <w:rPr>
          <w:rStyle w:val="FootnoteReference"/>
        </w:rPr>
        <w:footnoteReference w:id="2209"/>
      </w:r>
      <w:r>
        <w:t xml:space="preserve">.</w:t>
      </w:r>
    </w:p>
    <w:p>
      <w:pPr>
        <w:pStyle w:val="BodyText"/>
      </w:pPr>
      <w:r>
        <w:rPr>
          <w:bCs/>
          <w:b/>
        </w:rPr>
        <w:t xml:space="preserve">Reconnaître les émotions.</w:t>
      </w:r>
      <w:r>
        <w:t xml:space="preserve"> </w:t>
      </w:r>
      <w:r>
        <w:t xml:space="preserve">Une méta-analyse de 33 études a montré qu’une dose unique améliorait légèrement, chez les personnes en bonne santé, la reconnaissance des émotions de base, surtout la peur. Chez les personnes atteintes de troubles psychiques, en revanche, aucun effet n’est apparu</w:t>
      </w:r>
      <w:r>
        <w:rPr>
          <w:rStyle w:val="FootnoteReference"/>
        </w:rPr>
        <w:footnoteReference w:id="2210"/>
      </w:r>
      <w:r>
        <w:t xml:space="preserve">.</w:t>
      </w:r>
    </w:p>
    <w:p>
      <w:pPr>
        <w:pStyle w:val="BodyText"/>
      </w:pPr>
      <w:r>
        <w:t xml:space="preserve">Des centaines d’autres études ont rapporté des effets sur le regard, l’empathie, la mémoire des visages, l’appartenance au groupe, le mensonge, la générosité, la jalousie et bien d’autres choses. Beaucoup de ces résultats n’apparaissaient que dans des sous-groupes, par exemple seulement chez les hommes, seulement chez les personnes anxieuses ou seulement pour certaines variantes génétiques du récepteur de l’ocytocine.</w:t>
      </w:r>
    </w:p>
    <w:bookmarkEnd w:id="2211"/>
    <w:bookmarkStart w:id="2217" w:name="la-crise-de-la-réplication"/>
    <w:p>
      <w:pPr>
        <w:pStyle w:val="Heading4"/>
      </w:pPr>
      <w:r>
        <w:t xml:space="preserve">La crise de la réplication</w:t>
      </w:r>
    </w:p>
    <w:p>
      <w:pPr>
        <w:pStyle w:val="FirstParagraph"/>
      </w:pPr>
      <w:r>
        <w:t xml:space="preserve">À partir de 2015 environ, les doutes se sont multipliés. Le terme de crise de la réplication désigne le problème suivant : beaucoup de résultats publiés en psychologie et en médecine ne se confirment pas lorsque d’autres chercheurs reproduisent les études. L’ocytocine en est devenue un exemple type.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Étude</w:t>
            </w:r>
          </w:p>
        </w:tc>
        <w:tc>
          <w:tcPr/>
          <w:p>
            <w:pPr>
              <w:pStyle w:val="Compact"/>
              <w:jc w:val="left"/>
            </w:pPr>
            <w:r>
              <w:t xml:space="preserve">Type</w:t>
            </w:r>
          </w:p>
        </w:tc>
        <w:tc>
          <w:tcPr/>
          <w:p>
            <w:pPr>
              <w:pStyle w:val="Compact"/>
              <w:jc w:val="left"/>
            </w:pPr>
            <w:r>
              <w:t xml:space="preserve">Message clé</w:t>
            </w:r>
          </w:p>
        </w:tc>
      </w:tr>
      <w:tr>
        <w:tc>
          <w:tcPr/>
          <w:p>
            <w:pPr>
              <w:pStyle w:val="Compact"/>
              <w:jc w:val="left"/>
            </w:pPr>
            <w:r>
              <w:t xml:space="preserve">Kosfeld 2005, PMID 15931222</w:t>
            </w:r>
          </w:p>
        </w:tc>
        <w:tc>
          <w:tcPr/>
          <w:p>
            <w:pPr>
              <w:pStyle w:val="Compact"/>
              <w:jc w:val="left"/>
            </w:pPr>
            <w:r>
              <w:t xml:space="preserve">Étude originale, jeu de la confiance</w:t>
            </w:r>
          </w:p>
        </w:tc>
        <w:tc>
          <w:tcPr/>
          <w:p>
            <w:pPr>
              <w:pStyle w:val="Compact"/>
              <w:jc w:val="left"/>
            </w:pPr>
            <w:r>
              <w:t xml:space="preserve">L’ocytocine augmente la confiance</w:t>
            </w:r>
          </w:p>
        </w:tc>
      </w:tr>
      <w:tr>
        <w:tc>
          <w:tcPr/>
          <w:p>
            <w:pPr>
              <w:pStyle w:val="Compact"/>
              <w:jc w:val="left"/>
            </w:pPr>
            <w:r>
              <w:t xml:space="preserve">Nave 2015, PMID 26581735</w:t>
            </w:r>
          </w:p>
        </w:tc>
        <w:tc>
          <w:tcPr/>
          <w:p>
            <w:pPr>
              <w:pStyle w:val="Compact"/>
              <w:jc w:val="left"/>
            </w:pPr>
            <w:r>
              <w:t xml:space="preserve">Revue critique</w:t>
            </w:r>
          </w:p>
        </w:tc>
        <w:tc>
          <w:tcPr/>
          <w:p>
            <w:pPr>
              <w:pStyle w:val="Compact"/>
              <w:jc w:val="left"/>
            </w:pPr>
            <w:r>
              <w:t xml:space="preserve">L’effet sur la confiance n’a pas pu être reproduit de manière fiable</w:t>
            </w:r>
          </w:p>
        </w:tc>
      </w:tr>
      <w:tr>
        <w:tc>
          <w:tcPr/>
          <w:p>
            <w:pPr>
              <w:pStyle w:val="Compact"/>
              <w:jc w:val="left"/>
            </w:pPr>
            <w:r>
              <w:t xml:space="preserve">Lane 2015, PMID 26368396</w:t>
            </w:r>
          </w:p>
        </w:tc>
        <w:tc>
          <w:tcPr/>
          <w:p>
            <w:pPr>
              <w:pStyle w:val="Compact"/>
              <w:jc w:val="left"/>
            </w:pPr>
            <w:r>
              <w:t xml:space="preserve">Deux études de réplication (95 et 61 personnes)</w:t>
            </w:r>
          </w:p>
        </w:tc>
        <w:tc>
          <w:tcPr/>
          <w:p>
            <w:pPr>
              <w:pStyle w:val="Compact"/>
              <w:jc w:val="left"/>
            </w:pPr>
            <w:r>
              <w:t xml:space="preserve">Grand effet non confirmé dans un autre test de confiance</w:t>
            </w:r>
          </w:p>
        </w:tc>
      </w:tr>
      <w:tr>
        <w:tc>
          <w:tcPr/>
          <w:p>
            <w:pPr>
              <w:pStyle w:val="Compact"/>
              <w:jc w:val="left"/>
            </w:pPr>
            <w:r>
              <w:t xml:space="preserve">Walum 2016, PMID 26210057</w:t>
            </w:r>
          </w:p>
        </w:tc>
        <w:tc>
          <w:tcPr/>
          <w:p>
            <w:pPr>
              <w:pStyle w:val="Compact"/>
              <w:jc w:val="left"/>
            </w:pPr>
            <w:r>
              <w:t xml:space="preserve">Analyse statistique du domaine</w:t>
            </w:r>
          </w:p>
        </w:tc>
        <w:tc>
          <w:tcPr/>
          <w:p>
            <w:pPr>
              <w:pStyle w:val="Compact"/>
              <w:jc w:val="left"/>
            </w:pPr>
            <w:r>
              <w:t xml:space="preserve">Études le plus souvent trop petites ; la plupart des résultats publiés ne sont probablement pas de vrais effets</w:t>
            </w:r>
          </w:p>
        </w:tc>
      </w:tr>
      <w:tr>
        <w:tc>
          <w:tcPr/>
          <w:p>
            <w:pPr>
              <w:pStyle w:val="Compact"/>
              <w:jc w:val="left"/>
            </w:pPr>
            <w:r>
              <w:t xml:space="preserve">Mierop 2020, PMID 32633663</w:t>
            </w:r>
          </w:p>
        </w:tc>
        <w:tc>
          <w:tcPr/>
          <w:p>
            <w:pPr>
              <w:pStyle w:val="Compact"/>
              <w:jc w:val="left"/>
            </w:pPr>
            <w:r>
              <w:t xml:space="preserve">Revue systématique</w:t>
            </w:r>
          </w:p>
        </w:tc>
        <w:tc>
          <w:tcPr/>
          <w:p>
            <w:pPr>
              <w:pStyle w:val="Compact"/>
              <w:jc w:val="left"/>
            </w:pPr>
            <w:r>
              <w:t xml:space="preserve">Tentatives de réplication des interactions le plus souvent infructueuses ; puissance statistique dangereusement faible</w:t>
            </w:r>
          </w:p>
        </w:tc>
      </w:tr>
      <w:tr>
        <w:tc>
          <w:tcPr/>
          <w:p>
            <w:pPr>
              <w:pStyle w:val="Compact"/>
              <w:jc w:val="left"/>
            </w:pPr>
            <w:r>
              <w:t xml:space="preserve">Declerck 2020, PMID 32514040</w:t>
            </w:r>
          </w:p>
        </w:tc>
        <w:tc>
          <w:tcPr/>
          <w:p>
            <w:pPr>
              <w:pStyle w:val="Compact"/>
              <w:jc w:val="left"/>
            </w:pPr>
            <w:r>
              <w:t xml:space="preserve">Étude de réplication préenregistrée</w:t>
            </w:r>
          </w:p>
        </w:tc>
        <w:tc>
          <w:tcPr/>
          <w:p>
            <w:pPr>
              <w:pStyle w:val="Compact"/>
              <w:jc w:val="left"/>
            </w:pPr>
            <w:r>
              <w:t xml:space="preserve">Aucun effet sur la confiance dans la condition originale</w:t>
            </w:r>
          </w:p>
        </w:tc>
      </w:tr>
      <w:tr>
        <w:tc>
          <w:tcPr/>
          <w:p>
            <w:pPr>
              <w:pStyle w:val="Compact"/>
              <w:jc w:val="left"/>
            </w:pPr>
            <w:r>
              <w:t xml:space="preserve">Vogt 2026, PMID 42561025</w:t>
            </w:r>
          </w:p>
        </w:tc>
        <w:tc>
          <w:tcPr/>
          <w:p>
            <w:pPr>
              <w:pStyle w:val="Compact"/>
              <w:jc w:val="left"/>
            </w:pPr>
            <w:r>
              <w:t xml:space="preserve">Étude préenregistrée, 359 hommes ayant une faible confiance de base</w:t>
            </w:r>
          </w:p>
        </w:tc>
        <w:tc>
          <w:tcPr/>
          <w:p>
            <w:pPr>
              <w:pStyle w:val="Compact"/>
              <w:jc w:val="left"/>
            </w:pPr>
            <w:r>
              <w:t xml:space="preserve">Confiance augmentée d’environ 15 %</w:t>
            </w:r>
          </w:p>
        </w:tc>
      </w:tr>
    </w:tbl>
    <w:p>
      <w:pPr>
        <w:pStyle w:val="BodyText"/>
      </w:pPr>
      <w:r>
        <w:t xml:space="preserve">Une revue de 2015 a conclu que l’ensemble des données ne démontre pas que la confiance humaine est liée de manière fiable à l’ocytocine ni causée par elle</w:t>
      </w:r>
      <w:r>
        <w:rPr>
          <w:rStyle w:val="FootnoteReference"/>
        </w:rPr>
        <w:footnoteReference w:id="2212"/>
      </w:r>
      <w:r>
        <w:t xml:space="preserve">. Une analyse statistique de toutes les études sur le spray nasal est allée plus loin : les études seraient en règle générale trop petites pour détecter des effets réalistes, et il est très probable que la plupart des résultats publiés ne représentent pas de vrais effets</w:t>
      </w:r>
      <w:r>
        <w:rPr>
          <w:rStyle w:val="FootnoteReference"/>
        </w:rPr>
        <w:footnoteReference w:id="2213"/>
      </w:r>
      <w:r>
        <w:t xml:space="preserve">.</w:t>
      </w:r>
    </w:p>
    <w:p>
      <w:pPr>
        <w:pStyle w:val="BodyText"/>
      </w:pPr>
      <w:r>
        <w:t xml:space="preserve">Le test décisif a été une grande réplication préenregistrée de l’étude sur la confiance, avec une puissance statistique supérieure à 95 %. Dans la condition correspondant à l’étude originale, l’ocytocine n’a montré aucun effet. Une analyse a posteriori suggérait un effet uniquement chez les personnes ayant une faible confiance de base</w:t>
      </w:r>
      <w:r>
        <w:rPr>
          <w:rStyle w:val="FootnoteReference"/>
        </w:rPr>
        <w:footnoteReference w:id="2214"/>
      </w:r>
      <w:r>
        <w:t xml:space="preserve">. C’est précisément cette hypothèse qu’une autre étude préenregistrée a examinée en 2026 chez 359 hommes ayant une faible confiance de base ; elle a trouvé une hausse de la confiance d’environ 15 %</w:t>
      </w:r>
      <w:r>
        <w:rPr>
          <w:rStyle w:val="FootnoteReference"/>
        </w:rPr>
        <w:footnoteReference w:id="2215"/>
      </w:r>
      <w:r>
        <w:t xml:space="preserve">.</w:t>
      </w:r>
    </w:p>
    <w:p>
      <w:pPr>
        <w:pStyle w:val="BodyText"/>
      </w:pPr>
      <w:r>
        <w:rPr>
          <w:bCs/>
          <w:b/>
        </w:rPr>
        <w:t xml:space="preserve">Ce que cela signifie :</w:t>
      </w:r>
      <w:r>
        <w:t xml:space="preserve"> </w:t>
      </w:r>
      <w:r>
        <w:t xml:space="preserve">l’effet initial et général « l’ocytocine rend plus confiant » ne s’est pas confirmé. Il existe peut-être un effet plus petit dans un sous-groupe précis et dans certaines conditions. C’est intéressant scientifiquement, mais loin d’une utilité pratique. Ces expériences ont transformé le domaine : les études sont aujourd’hui plus souvent préenregistrées, plus grandes, et rapportent aussi les résultats négatifs. Une plateforme en ligne présentée en 2026 doit analyser les données en continu</w:t>
      </w:r>
      <w:r>
        <w:rPr>
          <w:rStyle w:val="FootnoteReference"/>
        </w:rPr>
        <w:footnoteReference w:id="2216"/>
      </w:r>
      <w:r>
        <w:t xml:space="preserve">.</w:t>
      </w:r>
    </w:p>
    <w:bookmarkEnd w:id="2217"/>
    <w:bookmarkStart w:id="2230" w:name="autisme"/>
    <w:p>
      <w:pPr>
        <w:pStyle w:val="Heading4"/>
      </w:pPr>
      <w:r>
        <w:t xml:space="preserve">Autisme</w:t>
      </w:r>
    </w:p>
    <w:p>
      <w:pPr>
        <w:pStyle w:val="FirstParagraph"/>
      </w:pPr>
      <w:r>
        <w:t xml:space="preserve">Les troubles du spectre de l’autisme se caractérisent par des difficultés de communication sociale et par des comportements restreints et répétitifs. Il n’existe aucun médicament qui modifie ces caractéristiques centrales. L’ocytocine a donc longtemps été considérée comme un grand espoir, et dans certains pays elle était déjà prescrite à des enfants autistes en dehors d’études</w:t>
      </w:r>
      <w:r>
        <w:rPr>
          <w:rStyle w:val="FootnoteReference"/>
        </w:rPr>
        <w:footnoteReference w:id="2218"/>
      </w:r>
      <w:r>
        <w:t xml:space="preserve">.</w:t>
      </w:r>
    </w:p>
    <w:p>
      <w:pPr>
        <w:pStyle w:val="BodyText"/>
      </w:pPr>
      <w:r>
        <w:rPr>
          <w:bCs/>
          <w:b/>
        </w:rPr>
        <w:t xml:space="preserve">Premières études.</w:t>
      </w:r>
      <w:r>
        <w:t xml:space="preserve"> </w:t>
      </w:r>
      <w:r>
        <w:t xml:space="preserve">Une revue systématique de 2014 a recensé sept études randomisées réunissant 101 personnes autistes, presque toutes de sexe masculin. Les études étaient petites (15 participants en médiane) et présentaient un risque de biais moyen à élevé. Presque toutes rapportaient au moins un résultat positif, le plus souvent pour le regard ou la reconnaissance des émotions</w:t>
      </w:r>
      <w:r>
        <w:rPr>
          <w:rStyle w:val="FootnoteReference"/>
        </w:rPr>
        <w:footnoteReference w:id="2219"/>
      </w:r>
      <w:r>
        <w:t xml:space="preserve">.</w:t>
      </w:r>
    </w:p>
    <w:p>
      <w:pPr>
        <w:pStyle w:val="BodyText"/>
      </w:pPr>
      <w:r>
        <w:rPr>
          <w:bCs/>
          <w:b/>
        </w:rPr>
        <w:t xml:space="preserve">Études de traitement sur plusieurs semaines.</w:t>
      </w:r>
      <w:r>
        <w:t xml:space="preserve"> </w:t>
      </w:r>
      <w:r>
        <w:t xml:space="preserve">Ont suivi des études dans lesquelles des enfants et des adultes ont reçu de l’ocytocine pendant plusieurs semaines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protocole</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Anagnostou 2012, PMID 23216716</w:t>
            </w:r>
          </w:p>
        </w:tc>
        <w:tc>
          <w:tcPr/>
          <w:p>
            <w:pPr>
              <w:pStyle w:val="Compact"/>
              <w:jc w:val="left"/>
            </w:pPr>
            <w:r>
              <w:t xml:space="preserve">19 adultes, ECR</w:t>
            </w:r>
          </w:p>
        </w:tc>
        <w:tc>
          <w:tcPr/>
          <w:p>
            <w:pPr>
              <w:pStyle w:val="Compact"/>
              <w:jc w:val="left"/>
            </w:pPr>
            <w:r>
              <w:t xml:space="preserve">6 semaines</w:t>
            </w:r>
          </w:p>
        </w:tc>
        <w:tc>
          <w:tcPr/>
          <w:p>
            <w:pPr>
              <w:pStyle w:val="Compact"/>
              <w:jc w:val="left"/>
            </w:pPr>
            <w:r>
              <w:t xml:space="preserve">Critères principaux non atteints ; amélioration de critères secondaires</w:t>
            </w:r>
          </w:p>
        </w:tc>
      </w:tr>
      <w:tr>
        <w:tc>
          <w:tcPr/>
          <w:p>
            <w:pPr>
              <w:pStyle w:val="Compact"/>
              <w:jc w:val="left"/>
            </w:pPr>
            <w:r>
              <w:t xml:space="preserve">Guastella 2015, PMID 25087908</w:t>
            </w:r>
          </w:p>
        </w:tc>
        <w:tc>
          <w:tcPr/>
          <w:p>
            <w:pPr>
              <w:pStyle w:val="Compact"/>
              <w:jc w:val="left"/>
            </w:pPr>
            <w:r>
              <w:t xml:space="preserve">50 adolescents de sexe masculin (12–18 ans), ECR</w:t>
            </w:r>
          </w:p>
        </w:tc>
        <w:tc>
          <w:tcPr/>
          <w:p>
            <w:pPr>
              <w:pStyle w:val="Compact"/>
              <w:jc w:val="left"/>
            </w:pPr>
            <w:r>
              <w:t xml:space="preserve">8 semaines</w:t>
            </w:r>
          </w:p>
        </w:tc>
        <w:tc>
          <w:tcPr/>
          <w:p>
            <w:pPr>
              <w:pStyle w:val="Compact"/>
              <w:jc w:val="left"/>
            </w:pPr>
            <w:r>
              <w:t xml:space="preserve">Aucun bénéfice sur les critères principaux ou secondaires</w:t>
            </w:r>
          </w:p>
        </w:tc>
      </w:tr>
      <w:tr>
        <w:tc>
          <w:tcPr/>
          <w:p>
            <w:pPr>
              <w:pStyle w:val="Compact"/>
              <w:jc w:val="left"/>
            </w:pPr>
            <w:r>
              <w:t xml:space="preserve">Yatawara 2016, PMID 26503762</w:t>
            </w:r>
          </w:p>
        </w:tc>
        <w:tc>
          <w:tcPr/>
          <w:p>
            <w:pPr>
              <w:pStyle w:val="Compact"/>
              <w:jc w:val="left"/>
            </w:pPr>
            <w:r>
              <w:t xml:space="preserve">31 jeunes enfants, étude croisée contre placebo</w:t>
            </w:r>
          </w:p>
        </w:tc>
        <w:tc>
          <w:tcPr/>
          <w:p>
            <w:pPr>
              <w:pStyle w:val="Compact"/>
              <w:jc w:val="left"/>
            </w:pPr>
            <w:r>
              <w:t xml:space="preserve">5 semaines chacune</w:t>
            </w:r>
          </w:p>
        </w:tc>
        <w:tc>
          <w:tcPr/>
          <w:p>
            <w:pPr>
              <w:pStyle w:val="Compact"/>
              <w:jc w:val="left"/>
            </w:pPr>
            <w:r>
              <w:t xml:space="preserve">Réactivité sociale améliorée selon les parents</w:t>
            </w:r>
          </w:p>
        </w:tc>
      </w:tr>
      <w:tr>
        <w:tc>
          <w:tcPr/>
          <w:p>
            <w:pPr>
              <w:pStyle w:val="Compact"/>
              <w:jc w:val="left"/>
            </w:pPr>
            <w:r>
              <w:t xml:space="preserve">Parker 2017, PMID 28696286</w:t>
            </w:r>
          </w:p>
        </w:tc>
        <w:tc>
          <w:tcPr/>
          <w:p>
            <w:pPr>
              <w:pStyle w:val="Compact"/>
              <w:jc w:val="left"/>
            </w:pPr>
            <w:r>
              <w:t xml:space="preserve">32 enfants (6–12 ans), ECR</w:t>
            </w:r>
          </w:p>
        </w:tc>
        <w:tc>
          <w:tcPr/>
          <w:p>
            <w:pPr>
              <w:pStyle w:val="Compact"/>
              <w:jc w:val="left"/>
            </w:pPr>
            <w:r>
              <w:t xml:space="preserve">4 semaines</w:t>
            </w:r>
          </w:p>
        </w:tc>
        <w:tc>
          <w:tcPr/>
          <w:p>
            <w:pPr>
              <w:pStyle w:val="Compact"/>
              <w:jc w:val="left"/>
            </w:pPr>
            <w:r>
              <w:t xml:space="preserve">Compétences sociales améliorées en tenant compte des valeurs sanguines initiales ; un taux initial bas prédisait la réponse</w:t>
            </w:r>
          </w:p>
        </w:tc>
      </w:tr>
      <w:tr>
        <w:tc>
          <w:tcPr/>
          <w:p>
            <w:pPr>
              <w:pStyle w:val="Compact"/>
              <w:jc w:val="left"/>
            </w:pPr>
            <w:r>
              <w:t xml:space="preserve">SOARS-B (Sikich 2021), PMID 34644471</w:t>
            </w:r>
          </w:p>
        </w:tc>
        <w:tc>
          <w:tcPr/>
          <w:p>
            <w:pPr>
              <w:pStyle w:val="Compact"/>
              <w:jc w:val="left"/>
            </w:pPr>
            <w:r>
              <w:t xml:space="preserve">290 enfants et adolescents (3–17 ans), ECR</w:t>
            </w:r>
          </w:p>
        </w:tc>
        <w:tc>
          <w:tcPr/>
          <w:p>
            <w:pPr>
              <w:pStyle w:val="Compact"/>
              <w:jc w:val="left"/>
            </w:pPr>
            <w:r>
              <w:t xml:space="preserve">24 semaines</w:t>
            </w:r>
          </w:p>
        </w:tc>
        <w:tc>
          <w:tcPr/>
          <w:p>
            <w:pPr>
              <w:pStyle w:val="Compact"/>
              <w:jc w:val="left"/>
            </w:pPr>
            <w:r>
              <w:t xml:space="preserve">Aucune différence : −3,7 contre −3,5 points pour le retrait social</w:t>
            </w:r>
          </w:p>
        </w:tc>
      </w:tr>
      <w:tr>
        <w:tc>
          <w:tcPr/>
          <w:p>
            <w:pPr>
              <w:pStyle w:val="Compact"/>
              <w:jc w:val="left"/>
            </w:pPr>
            <w:r>
              <w:t xml:space="preserve">Guastella 2023, PMID 36302965</w:t>
            </w:r>
          </w:p>
        </w:tc>
        <w:tc>
          <w:tcPr/>
          <w:p>
            <w:pPr>
              <w:pStyle w:val="Compact"/>
              <w:jc w:val="left"/>
            </w:pPr>
            <w:r>
              <w:t xml:space="preserve">87 enfants (3–12 ans), ECR après phase préliminaire sous placebo</w:t>
            </w:r>
          </w:p>
        </w:tc>
        <w:tc>
          <w:tcPr/>
          <w:p>
            <w:pPr>
              <w:pStyle w:val="Compact"/>
              <w:jc w:val="left"/>
            </w:pPr>
            <w:r>
              <w:t xml:space="preserve">12 semaines</w:t>
            </w:r>
          </w:p>
        </w:tc>
        <w:tc>
          <w:tcPr/>
          <w:p>
            <w:pPr>
              <w:pStyle w:val="Compact"/>
              <w:jc w:val="left"/>
            </w:pPr>
            <w:r>
              <w:t xml:space="preserve">Aucun effet global ; indice d’efficacité chez les 3–5 ans</w:t>
            </w:r>
          </w:p>
        </w:tc>
      </w:tr>
    </w:tbl>
    <w:p>
      <w:pPr>
        <w:pStyle w:val="BodyText"/>
      </w:pPr>
      <w:r>
        <w:rPr>
          <w:bCs/>
          <w:b/>
        </w:rPr>
        <w:t xml:space="preserve">L’étude SOARS-B.</w:t>
      </w:r>
      <w:r>
        <w:t xml:space="preserve"> </w:t>
      </w:r>
      <w:r>
        <w:t xml:space="preserve">L’étude de loin la plus grande et la plus probante est SOARS-B (Study of Oxytocin in Autism to Improve Reciprocal Social Behaviors), financée par les autorités sanitaires américaines et publiée en 2021 dans le New England Journal of Medicine</w:t>
      </w:r>
      <w:r>
        <w:rPr>
          <w:rStyle w:val="FootnoteReference"/>
        </w:rPr>
        <w:footnoteReference w:id="2220"/>
      </w:r>
      <w:r>
        <w:t xml:space="preserve">. 290 enfants et adolescents de 3 à 17 ans ont reçu pendant 24 semaines, chaque jour, de l’ocytocine ou un spray nasal placebo. Le critère principal était une échelle de retrait social (ABC-mSW, 0 à 39 points).</w:t>
      </w:r>
    </w:p>
    <w:p>
      <w:pPr>
        <w:pStyle w:val="BodyText"/>
      </w:pPr>
      <w:r>
        <w:t xml:space="preserve">Le résultat était clairement négatif : le score a baissé de 3,7 points sous ocytocine et de 3,5 points sous placebo. La différence de 0,2 point n’était significative ni statistiquement ni cliniquement. Les critères secondaires – deux autres mesures du fonctionnement social et un test d’intelligence – ne différaient pas non plus. Les effets indésirables étaient aussi fréquents dans les deux groupes.</w:t>
      </w:r>
    </w:p>
    <w:p>
      <w:pPr>
        <w:pStyle w:val="BodyText"/>
      </w:pPr>
      <w:r>
        <w:rPr>
          <w:bCs/>
          <w:b/>
        </w:rPr>
        <w:t xml:space="preserve">L’étude australienne chez les jeunes enfants.</w:t>
      </w:r>
      <w:r>
        <w:t xml:space="preserve"> </w:t>
      </w:r>
      <w:r>
        <w:t xml:space="preserve">Le groupe d’Adam Guastella avait auparavant trouvé un résultat positif chez de jeunes enfants</w:t>
      </w:r>
      <w:r>
        <w:rPr>
          <w:rStyle w:val="FootnoteReference"/>
        </w:rPr>
        <w:footnoteReference w:id="2221"/>
      </w:r>
      <w:r>
        <w:t xml:space="preserve">. Une étude de suivi plus grande portant sur 87 enfants a ajouté une phase préliminaire de trois semaines sous placebo afin de filtrer le fort effet placebo. Globalement, l’ocytocine n’a montré aucun effet sur la réactivité sociale. Seul le sous-groupe des 3–5 ans laissait entrevoir une amélioration selon le jugement des parents ; l’évaluation médicale et toutes les autres mesures n’ont montré aucun bénéfice</w:t>
      </w:r>
      <w:r>
        <w:rPr>
          <w:rStyle w:val="FootnoteReference"/>
        </w:rPr>
        <w:footnoteReference w:id="2222"/>
      </w:r>
      <w:r>
        <w:t xml:space="preserve">. Fait notable : dans l’étude de 2015 chez les adolescents, les parents qui croyaient que leur enfant recevait de l’ocytocine rapportaient de plus grandes améliorations – indépendamment de ce que l’enfant recevait réellement</w:t>
      </w:r>
      <w:r>
        <w:rPr>
          <w:rStyle w:val="FootnoteReference"/>
        </w:rPr>
        <w:footnoteReference w:id="2223"/>
      </w:r>
      <w:r>
        <w:t xml:space="preserve">.</w:t>
      </w:r>
    </w:p>
    <w:p>
      <w:pPr>
        <w:pStyle w:val="BodyText"/>
      </w:pPr>
      <w:r>
        <w:rPr>
          <w:bCs/>
          <w:b/>
        </w:rPr>
        <w:t xml:space="preserve">Des effets biologiques sans bénéfice clinique.</w:t>
      </w:r>
      <w:r>
        <w:t xml:space="preserve"> </w:t>
      </w:r>
      <w:r>
        <w:t xml:space="preserve">Une étude portant sur 79 enfants a trouvé, après quatre semaines d’ocytocine, des taux salivaires d’ocytocine plus élevés et des modifications du marquage épigénétique du gène du récepteur</w:t>
      </w:r>
      <w:r>
        <w:rPr>
          <w:rStyle w:val="FootnoteReference"/>
        </w:rPr>
        <w:footnoteReference w:id="2224"/>
      </w:r>
      <w:r>
        <w:t xml:space="preserve">. Au scanner cérébral, en revanche, aucun effet significatif du traitement sur le traitement des visages n’est apparu dans ce même groupe</w:t>
      </w:r>
      <w:r>
        <w:rPr>
          <w:rStyle w:val="FootnoteReference"/>
        </w:rPr>
        <w:footnoteReference w:id="2225"/>
      </w:r>
      <w:r>
        <w:t xml:space="preserve">. De tels signaux biologiques sont intéressants scientifiquement, mais ne prouvent aucune amélioration au quotidien.</w:t>
      </w:r>
    </w:p>
    <w:p>
      <w:pPr>
        <w:pStyle w:val="BodyText"/>
      </w:pPr>
      <w:r>
        <w:rPr>
          <w:bCs/>
          <w:b/>
        </w:rPr>
        <w:t xml:space="preserve">Méta-analyses.</w:t>
      </w:r>
      <w:r>
        <w:t xml:space="preserve"> </w:t>
      </w:r>
      <w:r>
        <w:t xml:space="preserve">Les synthèses aboutissent à des résultats différents selon les études qu’elles incluent :</w:t>
      </w:r>
    </w:p>
    <w:p>
      <w:pPr>
        <w:numPr>
          <w:ilvl w:val="0"/>
          <w:numId w:val="1277"/>
        </w:numPr>
        <w:pStyle w:val="Compact"/>
      </w:pPr>
      <w:r>
        <w:t xml:space="preserve">Une méta-analyse de 17 études randomisées réunissant 466 personnes atteintes de troubles du développement n’a trouvé aucun effet sur la reconnaissance des émotions et un petit effet sur la compréhension des pensées d’autrui</w:t>
      </w:r>
      <w:r>
        <w:rPr>
          <w:rStyle w:val="FootnoteReference"/>
        </w:rPr>
        <w:footnoteReference w:id="2226"/>
      </w:r>
      <w:r>
        <w:t xml:space="preserve">.</w:t>
      </w:r>
    </w:p>
    <w:p>
      <w:pPr>
        <w:numPr>
          <w:ilvl w:val="0"/>
          <w:numId w:val="1277"/>
        </w:numPr>
        <w:pStyle w:val="Compact"/>
      </w:pPr>
      <w:r>
        <w:t xml:space="preserve">Une méta-analyse de 28 études réunissant 726 personnes autistes, y compris des études non contrôlées, a abouti à un jugement plus positif sur le fonctionnement social</w:t>
      </w:r>
      <w:r>
        <w:rPr>
          <w:rStyle w:val="FootnoteReference"/>
        </w:rPr>
        <w:footnoteReference w:id="2227"/>
      </w:r>
      <w:r>
        <w:t xml:space="preserve">. L’inclusion d’études non contrôlées rend ce résultat vulnérable aux biais.</w:t>
      </w:r>
    </w:p>
    <w:p>
      <w:pPr>
        <w:numPr>
          <w:ilvl w:val="0"/>
          <w:numId w:val="1277"/>
        </w:numPr>
        <w:pStyle w:val="Compact"/>
      </w:pPr>
      <w:r>
        <w:t xml:space="preserve">La plus grande méta-analyse à ce jour, portant sur l’ensemble des troubles psychiques (42 études en double aveugle, 1 922 personnes), n’a trouvé globalement aucun effet significatif. Après exclusion de deux valeurs aberrantes, la taille d’effet était proche de zéro</w:t>
      </w:r>
      <w:r>
        <w:rPr>
          <w:rStyle w:val="FootnoteReference"/>
        </w:rPr>
        <w:footnoteReference w:id="2228"/>
      </w:r>
      <w:r>
        <w:t xml:space="preserve">.</w:t>
      </w:r>
    </w:p>
    <w:p>
      <w:pPr>
        <w:pStyle w:val="FirstParagraph"/>
      </w:pPr>
      <w:r>
        <w:rPr>
          <w:bCs/>
          <w:b/>
        </w:rPr>
        <w:t xml:space="preserve">Bilan intermédiaire pour l’autisme :</w:t>
      </w:r>
      <w:r>
        <w:t xml:space="preserve"> </w:t>
      </w:r>
      <w:r>
        <w:t xml:space="preserve">après la grande étude SOARS-B et l’étude australienne de suivi, il n’existe aucune preuve solide que le spray nasal d’ocytocine améliore au quotidien le comportement social des enfants et adolescents autistes. Les chercheurs se demandent si certains sous-groupes – les très jeunes enfants, les enfants ayant un taux d’ocytocine bas – pourraient en bénéficier, et proposent une approche personnalisée</w:t>
      </w:r>
      <w:r>
        <w:rPr>
          <w:rStyle w:val="FootnoteReference"/>
        </w:rPr>
        <w:footnoteReference w:id="2229"/>
      </w:r>
      <w:r>
        <w:t xml:space="preserve">. Tant que cela n’est pas confirmé par des études dédiées, cela reste une hypothèse.</w:t>
      </w:r>
    </w:p>
    <w:bookmarkEnd w:id="2230"/>
    <w:bookmarkStart w:id="2238" w:name="autres-troubles-psychiques"/>
    <w:p>
      <w:pPr>
        <w:pStyle w:val="Heading4"/>
      </w:pPr>
      <w:r>
        <w:t xml:space="preserve">Autres troubles psychiques</w:t>
      </w:r>
    </w:p>
    <w:p>
      <w:pPr>
        <w:pStyle w:val="FirstParagraph"/>
      </w:pPr>
      <w:r>
        <w:rPr>
          <w:bCs/>
          <w:b/>
        </w:rPr>
        <w:t xml:space="preserve">Schizophrénie.</w:t>
      </w:r>
      <w:r>
        <w:t xml:space="preserve"> </w:t>
      </w:r>
      <w:r>
        <w:t xml:space="preserve">Dans une étude de douze semaines portant sur 68 personnes, l’ocytocine n’a pas amélioré la cognition sociale</w:t>
      </w:r>
      <w:r>
        <w:rPr>
          <w:rStyle w:val="FootnoteReference"/>
        </w:rPr>
        <w:footnoteReference w:id="2231"/>
      </w:r>
      <w:r>
        <w:t xml:space="preserve">. Une méta-analyse de neuf études n’a trouvé aucun effet cohérent sur les symptômes dits négatifs, comme le manque d’élan et le retrait social</w:t>
      </w:r>
      <w:r>
        <w:rPr>
          <w:rStyle w:val="FootnoteReference"/>
        </w:rPr>
        <w:footnoteReference w:id="2232"/>
      </w:r>
      <w:r>
        <w:t xml:space="preserve">. La grande méta-analyse de 2026 a observé dans ce groupe un petit effet, tout juste significatif (taille d’effet 0,12), et constaté que les études comptant davantage de femmes tendaient à montrer des effets plus importants</w:t>
      </w:r>
      <w:r>
        <w:rPr>
          <w:rStyle w:val="FootnoteReference"/>
        </w:rPr>
        <w:footnoteReference w:id="2233"/>
      </w:r>
      <w:r>
        <w:t xml:space="preserve">.</w:t>
      </w:r>
    </w:p>
    <w:p>
      <w:pPr>
        <w:pStyle w:val="BodyText"/>
      </w:pPr>
      <w:r>
        <w:rPr>
          <w:bCs/>
          <w:b/>
        </w:rPr>
        <w:t xml:space="preserve">Alcool.</w:t>
      </w:r>
      <w:r>
        <w:t xml:space="preserve"> </w:t>
      </w:r>
      <w:r>
        <w:t xml:space="preserve">Dans une étude norvégienne portant sur 40 personnes en sevrage alcoolique, l’ocytocine n’a pas réduit de façon significative le besoin en sédatifs</w:t>
      </w:r>
      <w:r>
        <w:rPr>
          <w:rStyle w:val="FootnoteReference"/>
        </w:rPr>
        <w:footnoteReference w:id="2234"/>
      </w:r>
      <w:r>
        <w:t xml:space="preserve">. Une méta-analyse de six études randomisées sur la dépendance à l’alcool n’a trouvé aucun effet ; une analyse bayésienne plaidait même modérément en faveur d’une absence d’effet</w:t>
      </w:r>
      <w:r>
        <w:rPr>
          <w:rStyle w:val="FootnoteReference"/>
        </w:rPr>
        <w:footnoteReference w:id="2235"/>
      </w:r>
      <w:r>
        <w:t xml:space="preserve">.</w:t>
      </w:r>
    </w:p>
    <w:p>
      <w:pPr>
        <w:pStyle w:val="BodyText"/>
      </w:pPr>
      <w:r>
        <w:rPr>
          <w:bCs/>
          <w:b/>
        </w:rPr>
        <w:t xml:space="preserve">Association avec la psychothérapie.</w:t>
      </w:r>
      <w:r>
        <w:t xml:space="preserve"> </w:t>
      </w:r>
      <w:r>
        <w:t xml:space="preserve">Une idée plus récente consiste à donner l’ocytocine non pas seule, mais comme amplificateur d’une psychothérapie. Une revue de 13 études réunissant 518 participants a trouvé des indices de symptômes dépressifs moindres et d’une meilleure alliance thérapeutique, mais aucun effet sur les symptômes psychiatriques dans leur ensemble ni sur le fonctionnement social ; seules quatre études ont pu être regroupées</w:t>
      </w:r>
      <w:r>
        <w:rPr>
          <w:rStyle w:val="FootnoteReference"/>
        </w:rPr>
        <w:footnoteReference w:id="2236"/>
      </w:r>
      <w:r>
        <w:t xml:space="preserve">.</w:t>
      </w:r>
    </w:p>
    <w:p>
      <w:pPr>
        <w:pStyle w:val="BodyText"/>
      </w:pPr>
      <w:r>
        <w:rPr>
          <w:bCs/>
          <w:b/>
        </w:rPr>
        <w:t xml:space="preserve">Après l’accouchement.</w:t>
      </w:r>
      <w:r>
        <w:t xml:space="preserve"> </w:t>
      </w:r>
      <w:r>
        <w:t xml:space="preserve">Chez 45 mères présentant une dépression du post-partum (en partie infraclinique), une dose unique a augmenté l’humeur positive et l’attention positive portée à l’enfant, mais pas la sensibilité dans les interactions</w:t>
      </w:r>
      <w:r>
        <w:rPr>
          <w:rStyle w:val="FootnoteReference"/>
        </w:rPr>
        <w:footnoteReference w:id="2237"/>
      </w:r>
      <w:r>
        <w:t xml:space="preserve">.</w:t>
      </w:r>
    </w:p>
    <w:bookmarkEnd w:id="2238"/>
    <w:bookmarkStart w:id="2245" w:name="métabolisme-poids-et-douleur"/>
    <w:p>
      <w:pPr>
        <w:pStyle w:val="Heading4"/>
      </w:pPr>
      <w:r>
        <w:t xml:space="preserve">Métabolisme, poids et douleur</w:t>
      </w:r>
    </w:p>
    <w:p>
      <w:pPr>
        <w:pStyle w:val="FirstParagraph"/>
      </w:pPr>
      <w:r>
        <w:rPr>
          <w:bCs/>
          <w:b/>
        </w:rPr>
        <w:t xml:space="preserve">Obésité.</w:t>
      </w:r>
      <w:r>
        <w:t xml:space="preserve"> </w:t>
      </w:r>
      <w:r>
        <w:t xml:space="preserve">Comme l’ocytocine réduit la prise alimentaire et augmente la dépense énergétique chez l’animal, elle a été évaluée comme produit amaigrissant. Une méta-analyse a montré qu’une dose unique réduisait la quantité consommée lors d’un repas test chez des personnes sans trouble psychique</w:t>
      </w:r>
      <w:r>
        <w:rPr>
          <w:rStyle w:val="FootnoteReference"/>
        </w:rPr>
        <w:footnoteReference w:id="2239"/>
      </w:r>
      <w:r>
        <w:t xml:space="preserve">. Le test décisif a été une étude chez 61 adultes atteints d’obésité, qui ont pulvérisé de l’ocytocine ou un placebo quatre fois par jour pendant huit semaines. Le poids n’a pas changé : +0,20 kg sous ocytocine, +0,26 kg sous placebo. La graisse corporelle, la graisse hépatique et la dépense énergétique sont aussi restées inchangées ; les participants n’ont mangé moins que lors d’un repas test</w:t>
      </w:r>
      <w:r>
        <w:rPr>
          <w:rStyle w:val="FootnoteReference"/>
        </w:rPr>
        <w:footnoteReference w:id="2240"/>
      </w:r>
      <w:r>
        <w:t xml:space="preserve">. Une petite étude pilote chez 21 personnes âgées en surpoids présentant une fonte musculaire a trouvé un gain de masse musculaire de 2,25 kg</w:t>
      </w:r>
      <w:r>
        <w:rPr>
          <w:rStyle w:val="FootnoteReference"/>
        </w:rPr>
        <w:footnoteReference w:id="2241"/>
      </w:r>
      <w:r>
        <w:t xml:space="preserve"> </w:t>
      </w:r>
      <w:r>
        <w:t xml:space="preserve">; cela doit être confirmé par des études plus grandes.</w:t>
      </w:r>
    </w:p>
    <w:p>
      <w:pPr>
        <w:pStyle w:val="BodyText"/>
      </w:pPr>
      <w:r>
        <w:rPr>
          <w:bCs/>
          <w:b/>
        </w:rPr>
        <w:t xml:space="preserve">Syndrome de Prader-Willi.</w:t>
      </w:r>
      <w:r>
        <w:t xml:space="preserve"> </w:t>
      </w:r>
      <w:r>
        <w:t xml:space="preserve">Dans cette maladie génétique rare caractérisée par une faim insatiable et une diminution de l’ocytocine dans l’hypothalamus, les attentes étaient particulièrement fortes. Une méta-analyse n’a trouvé aucun effet sur l’hyperphagie ni sur le poids</w:t>
      </w:r>
      <w:r>
        <w:rPr>
          <w:rStyle w:val="FootnoteReference"/>
        </w:rPr>
        <w:footnoteReference w:id="2242"/>
      </w:r>
      <w:r>
        <w:t xml:space="preserve">. Dans une étude portant sur 23 enfants, l’hyperphagie et les comportements répétitifs se sont même plutôt améliorés sous placebo</w:t>
      </w:r>
      <w:r>
        <w:rPr>
          <w:rStyle w:val="FootnoteReference"/>
        </w:rPr>
        <w:footnoteReference w:id="2243"/>
      </w:r>
      <w:r>
        <w:t xml:space="preserve">.</w:t>
      </w:r>
    </w:p>
    <w:p>
      <w:pPr>
        <w:pStyle w:val="BodyText"/>
      </w:pPr>
      <w:r>
        <w:rPr>
          <w:bCs/>
          <w:b/>
        </w:rPr>
        <w:t xml:space="preserve">Douleur.</w:t>
      </w:r>
      <w:r>
        <w:t xml:space="preserve"> </w:t>
      </w:r>
      <w:r>
        <w:t xml:space="preserve">Une méta-analyse de 15 études n’a trouvé aucun effet significatif sur l’intensité de la douleur ni sur son caractère désagréable</w:t>
      </w:r>
      <w:r>
        <w:rPr>
          <w:rStyle w:val="FootnoteReference"/>
        </w:rPr>
        <w:footnoteReference w:id="2244"/>
      </w:r>
      <w:r>
        <w:t xml:space="preserve">.</w:t>
      </w:r>
    </w:p>
    <w:bookmarkEnd w:id="2245"/>
    <w:bookmarkStart w:id="2248" w:name="sexualité"/>
    <w:p>
      <w:pPr>
        <w:pStyle w:val="Heading4"/>
      </w:pPr>
      <w:r>
        <w:t xml:space="preserve">Sexualité</w:t>
      </w:r>
    </w:p>
    <w:p>
      <w:pPr>
        <w:pStyle w:val="FirstParagraph"/>
      </w:pPr>
      <w:r>
        <w:t xml:space="preserve">L’ocytocine est libérée lors de l’orgasme et promue sur Internet comme moyen d’intensifier la vie amoureuse. Dans une étude en laboratoire portant sur dix hommes, un spray nasal a nettement augmenté le taux sanguin d’ocytocine, mais n’a pas modifié le désir, l’excitation, l’orgasme ni la phase de récupération d’après les questionnaires</w:t>
      </w:r>
      <w:r>
        <w:rPr>
          <w:rStyle w:val="FootnoteReference"/>
        </w:rPr>
        <w:footnoteReference w:id="2246"/>
      </w:r>
      <w:r>
        <w:t xml:space="preserve">. Une méta-analyse sur les médicaments contre les troubles sexuels féminins, qui incluait aussi des études sur l’ocytocine, a montré qu’environ deux tiers de l’amélioration apparaissaient aussi sous placebo</w:t>
      </w:r>
      <w:r>
        <w:rPr>
          <w:rStyle w:val="FootnoteReference"/>
        </w:rPr>
        <w:footnoteReference w:id="2247"/>
      </w:r>
      <w:r>
        <w:t xml:space="preserve">. Il n’existe aucune preuve solide d’un effet sur la sexualité.</w:t>
      </w:r>
    </w:p>
    <w:bookmarkEnd w:id="2248"/>
    <w:bookmarkStart w:id="2251" w:name="le-déficit-en-ocytocine-comme-maladie"/>
    <w:p>
      <w:pPr>
        <w:pStyle w:val="Heading4"/>
      </w:pPr>
      <w:r>
        <w:t xml:space="preserve">Le déficit en ocytocine comme maladie</w:t>
      </w:r>
    </w:p>
    <w:p>
      <w:pPr>
        <w:pStyle w:val="FirstParagraph"/>
      </w:pPr>
      <w:r>
        <w:t xml:space="preserve">Un domaine nouveau et médicalement plausible est le véritable déficit en ocytocine. Les personnes dont l’hypothalamus ou l’hypophyse a été endommagé, par exemple par une tumeur ou une opération, présentent souvent un déficit en vasopressine (autrefois appelé diabète insipide central). Une étude suisse a utilisé la drogue MDMA, qui libère fortement l’ocytocine chez les personnes en bonne santé, comme test de provocation. Chez 15 personnes en bonne santé, l’ocytocine a fortement augmenté, chez 15 personnes atteintes à peine ; l’aire sous la courbe était 82 % plus grande chez les personnes en bonne santé, et les personnes atteintes ne ressentaient guère les effets sociaux et anxiolytiques typiques</w:t>
      </w:r>
      <w:r>
        <w:rPr>
          <w:rStyle w:val="FootnoteReference"/>
        </w:rPr>
        <w:footnoteReference w:id="2249"/>
      </w:r>
      <w:r>
        <w:t xml:space="preserve">. Cela suggère que beaucoup de ces personnes présentent aussi un déficit en ocytocine. Une étude en cours examine si une substitution par spray nasal soulage leurs troubles psychiques</w:t>
      </w:r>
      <w:r>
        <w:rPr>
          <w:rStyle w:val="FootnoteReference"/>
        </w:rPr>
        <w:footnoteReference w:id="2250"/>
      </w:r>
      <w:r>
        <w:t xml:space="preserve">. La kisspeptine est elle aussi étudiée comme test possible d’un déficit en ocytocine (Galbiati 2025, PMID 39965102 ; chapitre 2E04).</w:t>
      </w:r>
    </w:p>
    <w:bookmarkEnd w:id="2251"/>
    <w:bookmarkEnd w:id="2252"/>
    <w:bookmarkStart w:id="2255" w:name="études-animales-et-de-laboratoire-50"/>
    <w:p>
      <w:pPr>
        <w:pStyle w:val="Heading3"/>
      </w:pPr>
      <w:r>
        <w:t xml:space="preserve">Études animales et de laboratoire</w:t>
      </w:r>
    </w:p>
    <w:p>
      <w:pPr>
        <w:pStyle w:val="FirstParagraph"/>
      </w:pPr>
      <w:r>
        <w:t xml:space="preserve">L’enthousiasme pour l’ocytocine repose sur des observations animales convaincantes : chez les campagnols des prairies, le système de l’ocytocine est nécessaire à la formation des couples, chez les rongeurs et les moutons au comportement maternel. Chez des souris dans un modèle d’autisme, un produit stimulant le système de l’ocytocine a amélioré des mesures du comportement social</w:t>
      </w:r>
      <w:r>
        <w:rPr>
          <w:rStyle w:val="FootnoteReference"/>
        </w:rPr>
        <w:footnoteReference w:id="2253"/>
      </w:r>
      <w:r>
        <w:t xml:space="preserve">. Chez des macaques rhésus, de l’ocytocine marquée a atteint par voie nasale certaines régions cérébrales</w:t>
      </w:r>
      <w:r>
        <w:rPr>
          <w:rStyle w:val="FootnoteReference"/>
        </w:rPr>
        <w:footnoteReference w:id="2254"/>
      </w:r>
      <w:r>
        <w:t xml:space="preserve">.</w:t>
      </w:r>
    </w:p>
    <w:p>
      <w:pPr>
        <w:pStyle w:val="BodyText"/>
      </w:pPr>
      <w:r>
        <w:t xml:space="preserve">Ces observations ne sont toutefois transposables que de manière limitée : la répartition des récepteurs de l’ocytocine dans le cerveau varie fortement d’une espèce à l’autre, même entre espèces de campagnols étroitement apparentées. Beaucoup d’expérimentations animales administraient l’ocytocine directement dans le cerveau, ce qui n’est pas possible chez l’humain.</w:t>
      </w:r>
    </w:p>
    <w:bookmarkEnd w:id="2255"/>
    <w:bookmarkStart w:id="2265" w:name="risques-et-effets-indésirables-50"/>
    <w:p>
      <w:pPr>
        <w:pStyle w:val="Heading3"/>
      </w:pPr>
      <w:r>
        <w:t xml:space="preserve">Risques et effets indésirables</w:t>
      </w:r>
    </w:p>
    <w:bookmarkStart w:id="2260" w:name="établis-le-spray-nasal-dans-les-études"/>
    <w:p>
      <w:pPr>
        <w:pStyle w:val="Heading4"/>
      </w:pPr>
      <w:r>
        <w:t xml:space="preserve">Établis : le spray nasal dans les études</w:t>
      </w:r>
    </w:p>
    <w:p>
      <w:pPr>
        <w:pStyle w:val="FirstParagraph"/>
      </w:pPr>
      <w:r>
        <w:t xml:space="preserve">Dans les études contrôlées, le spray nasal d’ocytocine est considéré comme bien toléré. Une revue systématique de 38 études randomisées réunissant 1 529 participants n’a trouvé, pour une utilisation de courte durée, aucun effet indésirable plus fréquent que sous placebo. Les participants ne pouvaient d’ailleurs pas deviner s’ils avaient reçu de l’ocytocine ou un placebo</w:t>
      </w:r>
      <w:r>
        <w:rPr>
          <w:rStyle w:val="FootnoteReference"/>
        </w:rPr>
        <w:footnoteReference w:id="2256"/>
      </w:r>
      <w:r>
        <w:t xml:space="preserve">. Dans SOARS-B, les effets indésirables étaient aussi fréquents dans les deux groupes sur 24 semaines</w:t>
      </w:r>
      <w:r>
        <w:rPr>
          <w:rStyle w:val="FootnoteReference"/>
        </w:rPr>
        <w:footnoteReference w:id="2257"/>
      </w:r>
      <w:r>
        <w:t xml:space="preserve">. Chez 95 hommes âgés, aucune modification de la pression artérielle, des valeurs urinaires ou sanguines n’est survenue sur quatre semaines</w:t>
      </w:r>
      <w:r>
        <w:rPr>
          <w:rStyle w:val="FootnoteReference"/>
        </w:rPr>
        <w:footnoteReference w:id="2258"/>
      </w:r>
      <w:r>
        <w:t xml:space="preserve">. Dans les études pédiatriques, une soif, des mictions plus fréquentes et une constipation ont été rapportées</w:t>
      </w:r>
      <w:r>
        <w:rPr>
          <w:rStyle w:val="FootnoteReference"/>
        </w:rPr>
        <w:footnoteReference w:id="2259"/>
      </w:r>
      <w:r>
        <w:t xml:space="preserve">.</w:t>
      </w:r>
    </w:p>
    <w:bookmarkEnd w:id="2260"/>
    <w:bookmarkStart w:id="2263" w:name="possibles-et-à-prendre-en-compte"/>
    <w:p>
      <w:pPr>
        <w:pStyle w:val="Heading4"/>
      </w:pPr>
      <w:r>
        <w:t xml:space="preserve">Possibles et à prendre en compte</w:t>
      </w:r>
    </w:p>
    <w:p>
      <w:pPr>
        <w:numPr>
          <w:ilvl w:val="0"/>
          <w:numId w:val="1278"/>
        </w:numPr>
        <w:pStyle w:val="Compact"/>
      </w:pPr>
      <w:r>
        <w:rPr>
          <w:bCs/>
          <w:b/>
        </w:rPr>
        <w:t xml:space="preserve">Équilibre hydrique :</w:t>
      </w:r>
      <w:r>
        <w:t xml:space="preserve"> </w:t>
      </w:r>
      <w:r>
        <w:t xml:space="preserve">l’ocytocine ressemble à la vasopressine et peut, à fortes doses, retenir l’eau dans l’organisme. En obstétrique, l’intoxication par l’eau avec carence en sodium est une complication connue et rare des perfusions à forte dose. Avec le spray nasal, un cas d’hypertension intracrânienne associée à une consommation de liquides très élevée a été décrit</w:t>
      </w:r>
      <w:r>
        <w:rPr>
          <w:rStyle w:val="FootnoteReference"/>
        </w:rPr>
        <w:footnoteReference w:id="2261"/>
      </w:r>
      <w:r>
        <w:t xml:space="preserve">.</w:t>
      </w:r>
    </w:p>
    <w:p>
      <w:pPr>
        <w:numPr>
          <w:ilvl w:val="0"/>
          <w:numId w:val="1278"/>
        </w:numPr>
        <w:pStyle w:val="Compact"/>
      </w:pPr>
      <w:r>
        <w:rPr>
          <w:bCs/>
          <w:b/>
        </w:rPr>
        <w:t xml:space="preserve">Circulation :</w:t>
      </w:r>
      <w:r>
        <w:t xml:space="preserve"> </w:t>
      </w:r>
      <w:r>
        <w:t xml:space="preserve">chez douze hommes en bonne santé, un spray nasal a augmenté l’activité des nerfs qui resserrent les vaisseaux sanguins et légèrement élevé la pression diastolique</w:t>
      </w:r>
      <w:r>
        <w:rPr>
          <w:rStyle w:val="FootnoteReference"/>
        </w:rPr>
        <w:footnoteReference w:id="2262"/>
      </w:r>
      <w:r>
        <w:t xml:space="preserve">.</w:t>
      </w:r>
    </w:p>
    <w:p>
      <w:pPr>
        <w:numPr>
          <w:ilvl w:val="0"/>
          <w:numId w:val="1278"/>
        </w:numPr>
        <w:pStyle w:val="Compact"/>
      </w:pPr>
      <w:r>
        <w:rPr>
          <w:bCs/>
          <w:b/>
        </w:rPr>
        <w:t xml:space="preserve">Grossesse :</w:t>
      </w:r>
      <w:r>
        <w:t xml:space="preserve"> </w:t>
      </w:r>
      <w:r>
        <w:t xml:space="preserve">comme l’ocytocine déclenche les contractions, son utilisation en dehors d’un contrôle médical pendant la grossesse est dangereuse.</w:t>
      </w:r>
    </w:p>
    <w:p>
      <w:pPr>
        <w:numPr>
          <w:ilvl w:val="0"/>
          <w:numId w:val="1278"/>
        </w:numPr>
        <w:pStyle w:val="Compact"/>
      </w:pPr>
      <w:r>
        <w:rPr>
          <w:bCs/>
          <w:b/>
        </w:rPr>
        <w:t xml:space="preserve">Utilisation à long terme :</w:t>
      </w:r>
      <w:r>
        <w:t xml:space="preserve"> </w:t>
      </w:r>
      <w:r>
        <w:t xml:space="preserve">les données au-delà de six mois font défaut, en particulier chez les enfants.</w:t>
      </w:r>
    </w:p>
    <w:p>
      <w:pPr>
        <w:numPr>
          <w:ilvl w:val="0"/>
          <w:numId w:val="1278"/>
        </w:numPr>
        <w:pStyle w:val="Compact"/>
      </w:pPr>
      <w:r>
        <w:rPr>
          <w:bCs/>
          <w:b/>
        </w:rPr>
        <w:t xml:space="preserve">Effets sociaux :</w:t>
      </w:r>
      <w:r>
        <w:t xml:space="preserve"> </w:t>
      </w:r>
      <w:r>
        <w:t xml:space="preserve">certaines études de laboratoire ont rapporté que l’ocytocine peut aussi, dans certaines conditions, renforcer l’envie, la méfiance envers les étrangers ou la préférence pour son propre groupe. Ces résultats sont tout aussi incertains que les résultats positifs.</w:t>
      </w:r>
    </w:p>
    <w:bookmarkEnd w:id="2263"/>
    <w:bookmarkStart w:id="2264" w:name="marché-gris-3"/>
    <w:p>
      <w:pPr>
        <w:pStyle w:val="Heading4"/>
      </w:pPr>
      <w:r>
        <w:t xml:space="preserve">Marché gris</w:t>
      </w:r>
    </w:p>
    <w:p>
      <w:pPr>
        <w:pStyle w:val="FirstParagraph"/>
      </w:pPr>
      <w:r>
        <w:t xml:space="preserve">Des sprays nasaux d’ocytocine sont vendus sur Internet comme « spray de l’amour » ou « spray de la confiance ». Le contenu et la teneur de ces produits ne sont pas contrôlés de façon indépendante. Pour aucun de ces produits, il n’existe de preuve d’efficacité.</w:t>
      </w:r>
    </w:p>
    <w:bookmarkEnd w:id="2264"/>
    <w:bookmarkEnd w:id="2265"/>
    <w:bookmarkStart w:id="2266" w:name="statut-juridique-50"/>
    <w:p>
      <w:pPr>
        <w:pStyle w:val="Heading3"/>
      </w:pPr>
      <w:r>
        <w:t xml:space="preserve">Statut juridique</w:t>
      </w:r>
    </w:p>
    <w:p>
      <w:pPr>
        <w:pStyle w:val="FirstParagraph"/>
      </w:pPr>
      <w:r>
        <w:rPr>
          <w:iCs/>
          <w:i/>
        </w:rPr>
        <w:t xml:space="preserve">État 2026, à vérifier.</w:t>
      </w:r>
    </w:p>
    <w:p>
      <w:pPr>
        <w:numPr>
          <w:ilvl w:val="0"/>
          <w:numId w:val="1279"/>
        </w:numPr>
        <w:pStyle w:val="Compact"/>
      </w:pPr>
      <w:r>
        <w:rPr>
          <w:bCs/>
          <w:b/>
        </w:rPr>
        <w:t xml:space="preserve">UE, Allemagne, Autriche :</w:t>
      </w:r>
      <w:r>
        <w:t xml:space="preserve"> </w:t>
      </w:r>
      <w:r>
        <w:t xml:space="preserve">l’ocytocine pour perfusion et injection est autorisée comme médicament sur ordonnance en obstétrique. Il n’existe pas de spray nasal autorisé pour des usages psychiques ou sociaux ; les sprays autrefois autorisés pour favoriser l’écoulement du lait ne sont plus disponibles dans de nombreux pays. Une prescription pour traiter l’autisme ou d’autres maladies constituerait un essai thérapeutique individuel hors autorisation (hors AMM, off-label), avec les obligations d’information et de responsabilité correspondantes.</w:t>
      </w:r>
    </w:p>
    <w:p>
      <w:pPr>
        <w:numPr>
          <w:ilvl w:val="0"/>
          <w:numId w:val="1279"/>
        </w:numPr>
        <w:pStyle w:val="Compact"/>
      </w:pPr>
      <w:r>
        <w:rPr>
          <w:bCs/>
          <w:b/>
        </w:rPr>
        <w:t xml:space="preserve">États-Unis :</w:t>
      </w:r>
      <w:r>
        <w:t xml:space="preserve"> </w:t>
      </w:r>
      <w:r>
        <w:t xml:space="preserve">injection d’ocytocine (Pitocin et génériques) autorisée en obstétrique ; aucun spray nasal autorisé. Des pharmacies de préparation fabriquent des sprays nasaux sur prescription médicale ; leur qualité n’est pas contrôlée comme celle des médicaments industriels.</w:t>
      </w:r>
    </w:p>
    <w:p>
      <w:pPr>
        <w:numPr>
          <w:ilvl w:val="0"/>
          <w:numId w:val="1279"/>
        </w:numPr>
        <w:pStyle w:val="Compact"/>
      </w:pPr>
      <w:r>
        <w:rPr>
          <w:bCs/>
          <w:b/>
        </w:rPr>
        <w:t xml:space="preserve">AMA (WADA) :</w:t>
      </w:r>
      <w:r>
        <w:t xml:space="preserve"> </w:t>
      </w:r>
      <w:r>
        <w:t xml:space="preserve">pas listée.</w:t>
      </w:r>
    </w:p>
    <w:bookmarkEnd w:id="2266"/>
    <w:bookmarkStart w:id="2272" w:name="études-en-cours-et-perspectives-50"/>
    <w:p>
      <w:pPr>
        <w:pStyle w:val="Heading3"/>
      </w:pPr>
      <w:r>
        <w:t xml:space="preserve">Études en cours et perspectives</w:t>
      </w:r>
    </w:p>
    <w:p>
      <w:pPr>
        <w:pStyle w:val="FirstParagraph"/>
      </w:pPr>
      <w:r>
        <w:rPr>
          <w:bCs/>
          <w:b/>
        </w:rPr>
        <w:t xml:space="preserve">Établi (études enregistrées) :</w:t>
      </w:r>
      <w:r>
        <w:t xml:space="preserve"> </w:t>
      </w:r>
      <w:r>
        <w:t xml:space="preserve">parmi les études en cours, quelques-unes, plus grandes, pourraient répondre à certaines questions encore ouvertes :</w:t>
      </w:r>
    </w:p>
    <w:p>
      <w:pPr>
        <w:numPr>
          <w:ilvl w:val="0"/>
          <w:numId w:val="1280"/>
        </w:numPr>
        <w:pStyle w:val="Compact"/>
      </w:pPr>
      <w:r>
        <w:rPr>
          <w:bCs/>
          <w:b/>
        </w:rPr>
        <w:t xml:space="preserve">Douleur chronique :</w:t>
      </w:r>
      <w:r>
        <w:t xml:space="preserve"> </w:t>
      </w:r>
      <w:r>
        <w:t xml:space="preserve">une étude canadienne de phase 2/3 portant sur 336 participants</w:t>
      </w:r>
      <w:r>
        <w:rPr>
          <w:rStyle w:val="FootnoteReference"/>
        </w:rPr>
        <w:footnoteReference w:id="2267"/>
      </w:r>
      <w:r>
        <w:t xml:space="preserve"> </w:t>
      </w:r>
      <w:r>
        <w:t xml:space="preserve">est terminée ; les résultats sont attendus.</w:t>
      </w:r>
    </w:p>
    <w:p>
      <w:pPr>
        <w:numPr>
          <w:ilvl w:val="0"/>
          <w:numId w:val="1280"/>
        </w:numPr>
        <w:pStyle w:val="Compact"/>
      </w:pPr>
      <w:r>
        <w:rPr>
          <w:bCs/>
          <w:b/>
        </w:rPr>
        <w:t xml:space="preserve">Psychothérapie plus ocytocine :</w:t>
      </w:r>
      <w:r>
        <w:t xml:space="preserve"> </w:t>
      </w:r>
      <w:r>
        <w:t xml:space="preserve">une étude du ministère américain des Anciens combattants portant sur 240 personnes évalue l’ocytocine en complément d’une thérapie de couple dans le trouble de stress post-traumatique (NCT06194851, jusqu’en 2028). En Allemagne, des études évaluent l’ocytocine en complément d’une prise en charge psychosociale dans la schizophrénie (NCT06881810 avec 98 personnes ; NCT07265180 à la Charité avec 120 personnes et comparaison de doses).</w:t>
      </w:r>
    </w:p>
    <w:p>
      <w:pPr>
        <w:numPr>
          <w:ilvl w:val="0"/>
          <w:numId w:val="1280"/>
        </w:numPr>
        <w:pStyle w:val="Compact"/>
      </w:pPr>
      <w:r>
        <w:rPr>
          <w:bCs/>
          <w:b/>
        </w:rPr>
        <w:t xml:space="preserve">Déficit en ocytocine :</w:t>
      </w:r>
      <w:r>
        <w:t xml:space="preserve"> </w:t>
      </w:r>
      <w:r>
        <w:t xml:space="preserve">une étude suisse portant sur 112 personnes évalue une substitution en ocytocine dans le déficit en vasopressine</w:t>
      </w:r>
      <w:r>
        <w:rPr>
          <w:rStyle w:val="FootnoteReference"/>
        </w:rPr>
        <w:footnoteReference w:id="2268"/>
      </w:r>
      <w:r>
        <w:t xml:space="preserve">.</w:t>
      </w:r>
    </w:p>
    <w:p>
      <w:pPr>
        <w:numPr>
          <w:ilvl w:val="0"/>
          <w:numId w:val="1280"/>
        </w:numPr>
        <w:pStyle w:val="Compact"/>
      </w:pPr>
      <w:r>
        <w:rPr>
          <w:bCs/>
          <w:b/>
        </w:rPr>
        <w:t xml:space="preserve">Autisme et os :</w:t>
      </w:r>
      <w:r>
        <w:t xml:space="preserve"> </w:t>
      </w:r>
      <w:r>
        <w:t xml:space="preserve">une étude portant sur 96 enfants examine les effets sur la santé osseuse</w:t>
      </w:r>
      <w:r>
        <w:rPr>
          <w:rStyle w:val="FootnoteReference"/>
        </w:rPr>
        <w:footnoteReference w:id="2269"/>
      </w:r>
      <w:r>
        <w:t xml:space="preserve">.</w:t>
      </w:r>
    </w:p>
    <w:p>
      <w:pPr>
        <w:numPr>
          <w:ilvl w:val="0"/>
          <w:numId w:val="1280"/>
        </w:numPr>
        <w:pStyle w:val="Compact"/>
      </w:pPr>
      <w:r>
        <w:rPr>
          <w:bCs/>
          <w:b/>
        </w:rPr>
        <w:t xml:space="preserve">Troubles du comportement alimentaire :</w:t>
      </w:r>
      <w:r>
        <w:t xml:space="preserve"> </w:t>
      </w:r>
      <w:r>
        <w:t xml:space="preserve">une étude de phase 2 sur l’hyperphagie boulimique (binge eating)</w:t>
      </w:r>
      <w:r>
        <w:rPr>
          <w:rStyle w:val="FootnoteReference"/>
        </w:rPr>
        <w:footnoteReference w:id="2270"/>
      </w:r>
      <w:r>
        <w:t xml:space="preserve">.</w:t>
      </w:r>
    </w:p>
    <w:p>
      <w:pPr>
        <w:numPr>
          <w:ilvl w:val="0"/>
          <w:numId w:val="1280"/>
        </w:numPr>
        <w:pStyle w:val="Compact"/>
      </w:pPr>
      <w:r>
        <w:rPr>
          <w:bCs/>
          <w:b/>
        </w:rPr>
        <w:t xml:space="preserve">Développement industriel :</w:t>
      </w:r>
      <w:r>
        <w:t xml:space="preserve"> </w:t>
      </w:r>
      <w:r>
        <w:t xml:space="preserve">une entreprise a testé un spray nasal d’ocytocine à forte dose (TNX-1900) dans la migraine chronique (NCT05679908, 88 personnes, terminée) et prévoit une étude sur le traitement de la douleur après une opération de l’hypophyse</w:t>
      </w:r>
      <w:r>
        <w:rPr>
          <w:rStyle w:val="FootnoteReference"/>
        </w:rPr>
        <w:footnoteReference w:id="2271"/>
      </w:r>
      <w:r>
        <w:t xml:space="preserve">.</w:t>
      </w:r>
    </w:p>
    <w:p>
      <w:pPr>
        <w:pStyle w:val="FirstParagraph"/>
      </w:pPr>
      <w:r>
        <w:rPr>
          <w:bCs/>
          <w:b/>
        </w:rPr>
        <w:t xml:space="preserve">Appréciation de l’auteur :</w:t>
      </w:r>
      <w:r>
        <w:t xml:space="preserve"> </w:t>
      </w:r>
      <w:r>
        <w:t xml:space="preserve">l’histoire du spray nasal d’ocytocine est une leçon sur les limites des petites études. Après deux décennies de recherche, il n’existe pas une seule application dont le bénéfice ait été confirmé par de grandes études bien conduites. Les pistes les plus prometteuses sont aujourd’hui plus étroites : l’ocytocine en complément d’une psychothérapie plutôt que comme médicament seul, comme substitution en cas de déficit démontré, et de façon ciblée chez des sous-groupes définis à l’avance. Une autorisation dans l’autisme ou l’anxiété sociale paraît improbable dans les prochaines années.</w:t>
      </w:r>
    </w:p>
    <w:bookmarkEnd w:id="2272"/>
    <w:bookmarkStart w:id="2273" w:name="conclusion-50"/>
    <w:p>
      <w:pPr>
        <w:pStyle w:val="Heading3"/>
      </w:pPr>
      <w:r>
        <w:t xml:space="preserve">Conclusion</w:t>
      </w:r>
    </w:p>
    <w:p>
      <w:pPr>
        <w:pStyle w:val="FirstParagraph"/>
      </w:pPr>
      <w:r>
        <w:t xml:space="preserve">En perfusion, l’ocytocine est un médicament indispensable en obstétrique ; en spray nasal, elle n’est en revanche qu’un outil de recherche sans bénéfice thérapeutique démontré. Le célèbre résultat selon lequel l’ocytocine augmente la confiance n’a pas résisté aux études de réplication ; tout au plus un petit effet se dessine-t-il chez les personnes ayant une faible confiance de base. La plus grande étude sur l’autisme, SOARS-B, portant sur 290 enfants et adolescents, n’a trouvé aucune différence avec le placebo après 24 semaines, et les résultats sont aussi restés négatifs dans l’obésité, la dépendance à l’alcool, le syndrome de Prader-Willi et la douleur. Dans les études, le spray a été bien toléré. Acheter aujourd’hui un « spray de l’amour » ou un « spray de la confiance », c’est acquérir une promesse que la recherche ne tient pas.</w:t>
      </w:r>
    </w:p>
    <w:bookmarkEnd w:id="2273"/>
    <w:bookmarkEnd w:id="2274"/>
    <w:bookmarkStart w:id="2312" w:name="gonadoréline"/>
    <w:p>
      <w:pPr>
        <w:pStyle w:val="Heading2"/>
      </w:pPr>
      <w:r>
        <w:t xml:space="preserve">Gonadoréline</w:t>
      </w:r>
    </w:p>
    <w:bookmarkStart w:id="2275" w:name="fiche-signalétique-51"/>
    <w:p>
      <w:pPr>
        <w:pStyle w:val="Heading3"/>
      </w:pPr>
      <w:r>
        <w:t xml:space="preserve">Fiche signalétique</w:t>
      </w:r>
    </w:p>
    <w:p>
      <w:pPr>
        <w:numPr>
          <w:ilvl w:val="0"/>
          <w:numId w:val="1281"/>
        </w:numPr>
        <w:pStyle w:val="Compact"/>
      </w:pPr>
      <w:r>
        <w:rPr>
          <w:bCs/>
          <w:b/>
        </w:rPr>
        <w:t xml:space="preserve">Type/structure :</w:t>
      </w:r>
      <w:r>
        <w:t xml:space="preserve"> </w:t>
      </w:r>
      <w:r>
        <w:t xml:space="preserve">peptide de dix acides aminés, obtenu par synthèse et dont la séquence est identique à celle de l’hormone humaine GnRH (gonadolibérine, Gonadotropin-Releasing-Hormone, aussi appelée LHRH ou lulibérine).</w:t>
      </w:r>
    </w:p>
    <w:p>
      <w:pPr>
        <w:numPr>
          <w:ilvl w:val="0"/>
          <w:numId w:val="1281"/>
        </w:numPr>
        <w:pStyle w:val="Compact"/>
      </w:pPr>
      <w:r>
        <w:rPr>
          <w:bCs/>
          <w:b/>
        </w:rPr>
        <w:t xml:space="preserve">Origine :</w:t>
      </w:r>
      <w:r>
        <w:t xml:space="preserve"> </w:t>
      </w:r>
      <w:r>
        <w:t xml:space="preserve">la GnRH a été isolée et séquencée au début des années 1970 à partir de cerveaux de porc et de mouton ; les chercheurs impliqués, Andrew Schally et Roger Guillemin, ont reçu pour cela le prix Nobel en 1977. Gonadoréline est la dénomination commune internationale de l’hormone synthétique.</w:t>
      </w:r>
    </w:p>
    <w:p>
      <w:pPr>
        <w:numPr>
          <w:ilvl w:val="0"/>
          <w:numId w:val="1281"/>
        </w:numPr>
        <w:pStyle w:val="Compact"/>
      </w:pPr>
      <w:r>
        <w:rPr>
          <w:bCs/>
          <w:b/>
        </w:rPr>
        <w:t xml:space="preserve">Principe d’action :</w:t>
      </w:r>
      <w:r>
        <w:t xml:space="preserve"> </w:t>
      </w:r>
      <w:r>
        <w:t xml:space="preserve">agoniste du récepteur de la GnRH de l’hypophyse. Administrée par pulses, elle stimule la sécrétion de LH et de FSH ; en administration continue, elle la freine.</w:t>
      </w:r>
    </w:p>
    <w:p>
      <w:pPr>
        <w:numPr>
          <w:ilvl w:val="0"/>
          <w:numId w:val="1281"/>
        </w:numPr>
        <w:pStyle w:val="Compact"/>
      </w:pPr>
      <w:r>
        <w:rPr>
          <w:bCs/>
          <w:b/>
        </w:rPr>
        <w:t xml:space="preserve">Formes galéniques :</w:t>
      </w:r>
      <w:r>
        <w:t xml:space="preserve"> </w:t>
      </w:r>
      <w:r>
        <w:t xml:space="preserve">injection intraveineuse pour les tests fonctionnels ; pompe portable qui délivre toutes les 60 à 120 minutes une petite quantité par voie sous-cutanée ou intraveineuse (traitement pulsatile) ; dans certains pays, un spray nasal pour les nourrissons atteints de cryptorchidie (testicule non descendu).</w:t>
      </w:r>
    </w:p>
    <w:p>
      <w:pPr>
        <w:numPr>
          <w:ilvl w:val="0"/>
          <w:numId w:val="1281"/>
        </w:numPr>
        <w:pStyle w:val="Compact"/>
      </w:pPr>
      <w:r>
        <w:rPr>
          <w:bCs/>
          <w:b/>
        </w:rPr>
        <w:t xml:space="preserve">Autorisation UE :</w:t>
      </w:r>
      <w:r>
        <w:t xml:space="preserve"> </w:t>
      </w:r>
      <w:r>
        <w:t xml:space="preserve">autorisation nationale dans certains États membres, par exemple comme produit diagnostique et pour le traitement par pompe ; les préparations et leur disponibilité varient d’un pays à l’autre.</w:t>
      </w:r>
    </w:p>
    <w:p>
      <w:pPr>
        <w:numPr>
          <w:ilvl w:val="0"/>
          <w:numId w:val="1281"/>
        </w:numPr>
        <w:pStyle w:val="Compact"/>
      </w:pPr>
      <w:r>
        <w:rPr>
          <w:bCs/>
          <w:b/>
        </w:rPr>
        <w:t xml:space="preserve">Autorisation États-Unis :</w:t>
      </w:r>
      <w:r>
        <w:t xml:space="preserve"> </w:t>
      </w:r>
      <w:r>
        <w:t xml:space="preserve">les anciennes préparations (Factrel pour le diagnostic, Lutrepulse pour la pompe) ne sont plus commercialisées. À la connaissance de l’auteur, il n’existe actuellement aucun médicament à usage humain autorisé et commercialisé (à vérifier).</w:t>
      </w:r>
    </w:p>
    <w:p>
      <w:pPr>
        <w:numPr>
          <w:ilvl w:val="0"/>
          <w:numId w:val="1281"/>
        </w:numPr>
        <w:pStyle w:val="Compact"/>
      </w:pPr>
      <w:r>
        <w:rPr>
          <w:bCs/>
          <w:b/>
        </w:rPr>
        <w:t xml:space="preserve">AMA (WADA) :</w:t>
      </w:r>
      <w:r>
        <w:t xml:space="preserve"> </w:t>
      </w:r>
      <w:r>
        <w:t xml:space="preserve">interdite pour les hommes (groupe S2, la gonadoréline y est mentionnée nommément), en compétition et hors compétition.</w:t>
      </w:r>
    </w:p>
    <w:p>
      <w:pPr>
        <w:numPr>
          <w:ilvl w:val="0"/>
          <w:numId w:val="1281"/>
        </w:numPr>
        <w:pStyle w:val="Compact"/>
      </w:pPr>
      <w:r>
        <w:rPr>
          <w:bCs/>
          <w:b/>
        </w:rPr>
        <w:t xml:space="preserve">Niveau de preuve :</w:t>
      </w:r>
      <w:r>
        <w:t xml:space="preserve"> </w:t>
      </w:r>
      <w:r>
        <w:rPr>
          <w:bCs/>
          <w:b/>
        </w:rPr>
        <w:t xml:space="preserve">B</w:t>
      </w:r>
      <w:r>
        <w:t xml:space="preserve"> </w:t>
      </w:r>
      <w:r>
        <w:t xml:space="preserve">– médicament autorisé utilisé depuis des décennies ; les données d’efficacité proviennent toutefois surtout de grandes séries de cas, de cohortes et de quelques petites études randomisées.</w:t>
      </w:r>
    </w:p>
    <w:bookmarkEnd w:id="2275"/>
    <w:bookmarkStart w:id="2276" w:name="mode-daction-supposé-51"/>
    <w:p>
      <w:pPr>
        <w:pStyle w:val="Heading3"/>
      </w:pPr>
      <w:r>
        <w:t xml:space="preserve">Mode d’action supposé</w:t>
      </w:r>
    </w:p>
    <w:p>
      <w:pPr>
        <w:pStyle w:val="FirstParagraph"/>
      </w:pPr>
      <w:r>
        <w:t xml:space="preserve">L’axe hormonal de la reproduction commence dans l’hypothalamus. Des neurones spécialisés y sécrètent la GnRH – non pas de manière régulière, mais par pulses toutes les une à deux heures environ. Chaque pulse amène l’hypophyse à libérer les hormones LH et FSH. Celles-ci agissent sur les ovaires et les testicules : elles pilotent la maturation des ovocytes et l’ovulation, la production des spermatozoïdes ainsi que la production d’œstrogènes et de testostérone. Le messager kisspeptine (chapitre 2E04) se situe encore un échelon au-dessus et active les neurones à GnRH.</w:t>
      </w:r>
    </w:p>
    <w:p>
      <w:pPr>
        <w:pStyle w:val="BodyText"/>
      </w:pPr>
      <w:r>
        <w:t xml:space="preserve">Le rythme des pulses est déterminant. Cela se voit à travers une contradiction apparente :</w:t>
      </w:r>
    </w:p>
    <w:p>
      <w:pPr>
        <w:numPr>
          <w:ilvl w:val="0"/>
          <w:numId w:val="1282"/>
        </w:numPr>
        <w:pStyle w:val="Compact"/>
      </w:pPr>
      <w:r>
        <w:t xml:space="preserve">L’</w:t>
      </w:r>
      <w:r>
        <w:rPr>
          <w:bCs/>
          <w:b/>
        </w:rPr>
        <w:t xml:space="preserve">administration pulsatile</w:t>
      </w:r>
      <w:r>
        <w:t xml:space="preserve"> </w:t>
      </w:r>
      <w:r>
        <w:t xml:space="preserve">– une petite quantité toutes les 60 à 120 minutes – imite le rythme naturel et</w:t>
      </w:r>
      <w:r>
        <w:t xml:space="preserve"> </w:t>
      </w:r>
      <w:r>
        <w:rPr>
          <w:bCs/>
          <w:b/>
        </w:rPr>
        <w:t xml:space="preserve">active</w:t>
      </w:r>
      <w:r>
        <w:t xml:space="preserve"> </w:t>
      </w:r>
      <w:r>
        <w:t xml:space="preserve">l’axe. C’est le principe du traitement par pompe chez les personnes dont l’hypothalamus produit trop peu de GnRH.</w:t>
      </w:r>
    </w:p>
    <w:p>
      <w:pPr>
        <w:numPr>
          <w:ilvl w:val="0"/>
          <w:numId w:val="1282"/>
        </w:numPr>
        <w:pStyle w:val="Compact"/>
      </w:pPr>
      <w:r>
        <w:t xml:space="preserve">La</w:t>
      </w:r>
      <w:r>
        <w:t xml:space="preserve"> </w:t>
      </w:r>
      <w:r>
        <w:rPr>
          <w:bCs/>
          <w:b/>
        </w:rPr>
        <w:t xml:space="preserve">stimulation continue</w:t>
      </w:r>
      <w:r>
        <w:t xml:space="preserve"> </w:t>
      </w:r>
      <w:r>
        <w:t xml:space="preserve">conduit, après une brève hausse, à une désactivation des récepteurs de l’hypophyse. L’axe hormonal est</w:t>
      </w:r>
      <w:r>
        <w:t xml:space="preserve"> </w:t>
      </w:r>
      <w:r>
        <w:rPr>
          <w:bCs/>
          <w:b/>
        </w:rPr>
        <w:t xml:space="preserve">freiné</w:t>
      </w:r>
      <w:r>
        <w:t xml:space="preserve">, jusqu’à des taux de testostérone comparables à ceux d’une castration.</w:t>
      </w:r>
    </w:p>
    <w:p>
      <w:pPr>
        <w:pStyle w:val="FirstParagraph"/>
      </w:pPr>
      <w:r>
        <w:t xml:space="preserve">C’est sur ce second principe que reposent les analogues de la GnRH comme la leuproréline, la triptoréline ou la goséréline. Ils sont chimiquement modifiés, agissent beaucoup plus longtemps que la gonadoréline et sont utilisés en injection retard contre le cancer de la prostate, l’endométriose, les fibromes ou la puberté précoce. Ils ne font pas l’objet de ce chapitre, mais faussent considérablement les données (voir plus bas).</w:t>
      </w:r>
    </w:p>
    <w:p>
      <w:pPr>
        <w:pStyle w:val="BodyText"/>
      </w:pPr>
      <w:r>
        <w:t xml:space="preserve">La gonadoréline elle-même ne convient pas à un blocage durable : elle est dégradée dans le sang en quelques minutes.</w:t>
      </w:r>
    </w:p>
    <w:bookmarkEnd w:id="2276"/>
    <w:bookmarkStart w:id="2296" w:name="études-chez-lhumain-51"/>
    <w:p>
      <w:pPr>
        <w:pStyle w:val="Heading3"/>
      </w:pPr>
      <w:r>
        <w:t xml:space="preserve">Études chez l’humain</w:t>
      </w:r>
    </w:p>
    <w:p>
      <w:pPr>
        <w:pStyle w:val="FirstParagraph"/>
      </w:pPr>
      <w:r>
        <w:rPr>
          <w:bCs/>
          <w:b/>
        </w:rPr>
        <w:t xml:space="preserve">Ampleur des données (requête d’octobre 2026) – et pourquoi les chiffres sont trompeurs :</w:t>
      </w:r>
      <w:r>
        <w:t xml:space="preserve"> </w:t>
      </w:r>
      <w:r>
        <w:t xml:space="preserve">la recherche automatisée de ce livre a trouvé</w:t>
      </w:r>
      <w:r>
        <w:t xml:space="preserve"> </w:t>
      </w:r>
      <w:r>
        <w:rPr>
          <w:bCs/>
          <w:b/>
        </w:rPr>
        <w:t xml:space="preserve">9</w:t>
      </w:r>
      <w:r>
        <w:t xml:space="preserve"> </w:t>
      </w:r>
      <w:r>
        <w:t xml:space="preserve">études chez l’humain dans PubMed (</w:t>
      </w:r>
      <w:r>
        <w:rPr>
          <w:rStyle w:val="VerbatimChar"/>
        </w:rPr>
        <w:t xml:space="preserve">humanstudien_alle</w:t>
      </w:r>
      <w:r>
        <w:t xml:space="preserve">) et, sur ClinicalTrials.gov, le nombre maximal de</w:t>
      </w:r>
      <w:r>
        <w:t xml:space="preserve"> </w:t>
      </w:r>
      <w:r>
        <w:rPr>
          <w:bCs/>
          <w:b/>
        </w:rPr>
        <w:t xml:space="preserve">1 000</w:t>
      </w:r>
      <w:r>
        <w:t xml:space="preserve"> </w:t>
      </w:r>
      <w:r>
        <w:t xml:space="preserve">entrées de registre, auquel la requête s’interrompt. Ces deux chiffres sont inutilisables pour évaluer la gonadoréline, et ce dans des directions opposées :</w:t>
      </w:r>
    </w:p>
    <w:p>
      <w:pPr>
        <w:numPr>
          <w:ilvl w:val="0"/>
          <w:numId w:val="1283"/>
        </w:numPr>
        <w:pStyle w:val="Compact"/>
      </w:pPr>
      <w:r>
        <w:rPr>
          <w:bCs/>
          <w:b/>
        </w:rPr>
        <w:t xml:space="preserve">Le nombre d’entrées de registre est fortement surestimé.</w:t>
      </w:r>
      <w:r>
        <w:t xml:space="preserve"> </w:t>
      </w:r>
      <w:r>
        <w:t xml:space="preserve">ClinicalTrials.gov rattache le terme de recherche « gonadorelin » au terme générique « Gonadotropin-Releasing Hormone ». De ce fait, toutes les études portant sur des analogues et des antagonistes de la GnRH apparaissent. Dans les titres des 1 000 résultats, le mot « prostate » figure 340 fois, « androgen deprivation » 57 fois, la leuproréline, la goséréline et la triptoréline ensemble bien plus d’une centaine de fois. Un examen des titres n’a trouvé qu’une dizaine d’entrées qui étudient réellement la GnRH native ou la gonadoréline – par exemple sous forme de pompe, de patch ou de test fonctionnel.</w:t>
      </w:r>
    </w:p>
    <w:p>
      <w:pPr>
        <w:numPr>
          <w:ilvl w:val="0"/>
          <w:numId w:val="1283"/>
        </w:numPr>
        <w:pStyle w:val="Compact"/>
      </w:pPr>
      <w:r>
        <w:rPr>
          <w:bCs/>
          <w:b/>
        </w:rPr>
        <w:t xml:space="preserve">Le chiffre de PubMed est sous-estimé.</w:t>
      </w:r>
      <w:r>
        <w:t xml:space="preserve"> </w:t>
      </w:r>
      <w:r>
        <w:t xml:space="preserve">La plupart des études sur l’hormone identique à l’hormone naturelle utilisent les termes « GnRH » ou « LHRH » et non le nom du principe actif. Inversement, plusieurs des neuf résultats ne concernent pas du tout la gonadoréline comme traitement : un travail a étudié un analogue de la GnRH dans le cancer de la prostate</w:t>
      </w:r>
      <w:r>
        <w:rPr>
          <w:rStyle w:val="FootnoteReference"/>
        </w:rPr>
        <w:footnoteReference w:id="2277"/>
      </w:r>
      <w:r>
        <w:t xml:space="preserve">, d’autres n’ont utilisé la gonadoréline que comme substance de test, par exemple pour évaluer l’effet d’un hypocholestérolémiant ou de la lumière UV sur l’axe hormonal</w:t>
      </w:r>
      <w:r>
        <w:rPr>
          <w:rStyle w:val="FootnoteReference"/>
        </w:rPr>
        <w:footnoteReference w:id="2278"/>
      </w:r>
      <w:r>
        <w:t xml:space="preserve">.</w:t>
      </w:r>
    </w:p>
    <w:p>
      <w:pPr>
        <w:pStyle w:val="FirstParagraph"/>
      </w:pPr>
      <w:r>
        <w:t xml:space="preserve">Ce chapitre s’appuie donc sur une recherche complémentaire ciblée d’études sur le traitement pulsatile par GnRH et sur le test à la GnRH.</w:t>
      </w:r>
    </w:p>
    <w:bookmarkStart w:id="2282" w:name="diagnostic-le-test-à-la-gnrh"/>
    <w:p>
      <w:pPr>
        <w:pStyle w:val="Heading4"/>
      </w:pPr>
      <w:r>
        <w:t xml:space="preserve">Diagnostic : le test à la GnRH</w:t>
      </w:r>
    </w:p>
    <w:p>
      <w:pPr>
        <w:pStyle w:val="FirstParagraph"/>
      </w:pPr>
      <w:r>
        <w:t xml:space="preserve">Lors du test à la GnRH (aussi appelé test à la LHRH), on injecte de la gonadoréline par voie intraveineuse, puis on mesure pendant une à deux heures l’ampleur de la hausse de la LH et de la FSH. Le test aide surtout chez les enfants présentant une puberté trop précoce : une nette hausse de la LH indique que l’axe hormonal est déjà actif dans le cerveau (puberté précoce centrale).</w:t>
      </w:r>
    </w:p>
    <w:p>
      <w:pPr>
        <w:pStyle w:val="BodyText"/>
      </w:pPr>
      <w:r>
        <w:t xml:space="preserve">Dans une analyse de 584 tests (dont 314 à visée diagnostique), un seul prélèvement sanguin 40 minutes après l’injection suffisait au diagnostic : avec un seuil de LH de 5 UI/l, la sensibilité était de 98 % et la spécificité de 100 %</w:t>
      </w:r>
      <w:r>
        <w:rPr>
          <w:rStyle w:val="FootnoteReference"/>
        </w:rPr>
        <w:footnoteReference w:id="2279"/>
      </w:r>
      <w:r>
        <w:t xml:space="preserve">. Une revue signale des limites, par exemple aux stades très précoces de la puberté et chez les enfants en surpoids, ainsi que des seuils hétérogènes d’une étude à l’autre</w:t>
      </w:r>
      <w:r>
        <w:rPr>
          <w:rStyle w:val="FootnoteReference"/>
        </w:rPr>
        <w:footnoteReference w:id="2280"/>
      </w:r>
      <w:r>
        <w:t xml:space="preserve">.</w:t>
      </w:r>
    </w:p>
    <w:p>
      <w:pPr>
        <w:pStyle w:val="BodyText"/>
      </w:pPr>
      <w:r>
        <w:t xml:space="preserve">Comme la GnRH native est coûteuse et indisponible dans de nombreux endroits, un analogue à action courte est de plus en plus utilisé en remplacement. Dans une étude portant sur 341 filles, un test à la triptoréline était à peu près aussi précis que le test à la gonadoréline</w:t>
      </w:r>
      <w:r>
        <w:rPr>
          <w:rStyle w:val="FootnoteReference"/>
        </w:rPr>
        <w:footnoteReference w:id="2281"/>
      </w:r>
      <w:r>
        <w:t xml:space="preserve">.</w:t>
      </w:r>
    </w:p>
    <w:bookmarkEnd w:id="2282"/>
    <w:bookmarkStart w:id="2288" w:name="X9345c0e395dd33876bd2911068b290d4e3cad5a"/>
    <w:p>
      <w:pPr>
        <w:pStyle w:val="Heading4"/>
      </w:pPr>
      <w:r>
        <w:t xml:space="preserve">Désir d’enfant : la pompe à GnRH chez la femme</w:t>
      </w:r>
    </w:p>
    <w:p>
      <w:pPr>
        <w:pStyle w:val="FirstParagraph"/>
      </w:pPr>
      <w:r>
        <w:t xml:space="preserve">Dans l’aménorrhée hypothalamique, les règles s’arrêtent parce que le cerveau produit trop peu de GnRH – souvent après une forte perte de poids, un sport intensif ou du stress, plus rarement pour des raisons congénitales. Une petite pompe portable peut remplacer le rythme manquant.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protocole</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Santoro 1990, PMID 2122733</w:t>
            </w:r>
          </w:p>
        </w:tc>
        <w:tc>
          <w:tcPr/>
          <w:p>
            <w:pPr>
              <w:pStyle w:val="Compact"/>
              <w:jc w:val="left"/>
            </w:pPr>
            <w:r>
              <w:t xml:space="preserve">109 femmes atteintes d’aménorrhée hypothalamique, étude multicentrique avec pompe intraveineuse</w:t>
            </w:r>
          </w:p>
        </w:tc>
        <w:tc>
          <w:tcPr/>
          <w:p>
            <w:pPr>
              <w:pStyle w:val="Compact"/>
              <w:jc w:val="left"/>
            </w:pPr>
            <w:r>
              <w:t xml:space="preserve">plusieurs cycles</w:t>
            </w:r>
          </w:p>
        </w:tc>
        <w:tc>
          <w:tcPr/>
          <w:p>
            <w:pPr>
              <w:pStyle w:val="Compact"/>
              <w:jc w:val="left"/>
            </w:pPr>
            <w:r>
              <w:t xml:space="preserve">Ovulation chez 91 % et 96 % ; grossesses multiples 12 %</w:t>
            </w:r>
          </w:p>
        </w:tc>
      </w:tr>
      <w:tr>
        <w:tc>
          <w:tcPr/>
          <w:p>
            <w:pPr>
              <w:pStyle w:val="Compact"/>
              <w:jc w:val="left"/>
            </w:pPr>
            <w:r>
              <w:t xml:space="preserve">Filicori 1994, PMID 7962297</w:t>
            </w:r>
          </w:p>
        </w:tc>
        <w:tc>
          <w:tcPr/>
          <w:p>
            <w:pPr>
              <w:pStyle w:val="Compact"/>
              <w:jc w:val="left"/>
            </w:pPr>
            <w:r>
              <w:t xml:space="preserve">292 femmes, 600 cycles, causes diverses</w:t>
            </w:r>
          </w:p>
        </w:tc>
        <w:tc>
          <w:tcPr/>
          <w:p>
            <w:pPr>
              <w:pStyle w:val="Compact"/>
              <w:jc w:val="left"/>
            </w:pPr>
            <w:r>
              <w:t xml:space="preserve">1984–1993</w:t>
            </w:r>
          </w:p>
        </w:tc>
        <w:tc>
          <w:tcPr/>
          <w:p>
            <w:pPr>
              <w:pStyle w:val="Compact"/>
              <w:jc w:val="left"/>
            </w:pPr>
            <w:r>
              <w:t xml:space="preserve">Ovulation dans 75 % des cycles ; grossesse 18 % par cycle ; grossesses multiples 3,8 % ; fausses couches 30 %</w:t>
            </w:r>
          </w:p>
        </w:tc>
      </w:tr>
      <w:tr>
        <w:tc>
          <w:tcPr/>
          <w:p>
            <w:pPr>
              <w:pStyle w:val="Compact"/>
              <w:jc w:val="left"/>
            </w:pPr>
            <w:r>
              <w:t xml:space="preserve">Christin-Maitre 2007, PMID 17293247</w:t>
            </w:r>
          </w:p>
        </w:tc>
        <w:tc>
          <w:tcPr/>
          <w:p>
            <w:pPr>
              <w:pStyle w:val="Compact"/>
              <w:jc w:val="left"/>
            </w:pPr>
            <w:r>
              <w:t xml:space="preserve">248 femmes, 829 cycles, 24 centres français, rétrospective</w:t>
            </w:r>
          </w:p>
        </w:tc>
        <w:tc>
          <w:tcPr/>
          <w:p>
            <w:pPr>
              <w:pStyle w:val="Compact"/>
              <w:jc w:val="left"/>
            </w:pPr>
            <w:r>
              <w:t xml:space="preserve">3 ans</w:t>
            </w:r>
          </w:p>
        </w:tc>
        <w:tc>
          <w:tcPr/>
          <w:p>
            <w:pPr>
              <w:pStyle w:val="Compact"/>
              <w:jc w:val="left"/>
            </w:pPr>
            <w:r>
              <w:t xml:space="preserve">Grossesse 25 % par cycle ; grossesses multiples 8,8 % ; aucune hyperstimulation sévère</w:t>
            </w:r>
          </w:p>
        </w:tc>
      </w:tr>
      <w:tr>
        <w:tc>
          <w:tcPr/>
          <w:p>
            <w:pPr>
              <w:pStyle w:val="Compact"/>
              <w:jc w:val="left"/>
            </w:pPr>
            <w:r>
              <w:t xml:space="preserve">Dubourdieu 2013, PMID 23298894</w:t>
            </w:r>
          </w:p>
        </w:tc>
        <w:tc>
          <w:tcPr/>
          <w:p>
            <w:pPr>
              <w:pStyle w:val="Compact"/>
              <w:jc w:val="left"/>
            </w:pPr>
            <w:r>
              <w:t xml:space="preserve">30 femmes atteintes d’aménorrhée et de SOPK, ECR : pompe contre gonadotrophines</w:t>
            </w:r>
          </w:p>
        </w:tc>
        <w:tc>
          <w:tcPr/>
          <w:p>
            <w:pPr>
              <w:pStyle w:val="Compact"/>
              <w:jc w:val="left"/>
            </w:pPr>
            <w:r>
              <w:t xml:space="preserve">un cycle</w:t>
            </w:r>
          </w:p>
        </w:tc>
        <w:tc>
          <w:tcPr/>
          <w:p>
            <w:pPr>
              <w:pStyle w:val="Compact"/>
              <w:jc w:val="left"/>
            </w:pPr>
            <w:r>
              <w:t xml:space="preserve">Grossesse clinique 46 % contre 0 %</w:t>
            </w:r>
          </w:p>
        </w:tc>
      </w:tr>
      <w:tr>
        <w:tc>
          <w:tcPr/>
          <w:p>
            <w:pPr>
              <w:pStyle w:val="Compact"/>
              <w:jc w:val="left"/>
            </w:pPr>
            <w:r>
              <w:t xml:space="preserve">Quaas 2022, PMID 36378460</w:t>
            </w:r>
          </w:p>
        </w:tc>
        <w:tc>
          <w:tcPr/>
          <w:p>
            <w:pPr>
              <w:pStyle w:val="Compact"/>
              <w:jc w:val="left"/>
            </w:pPr>
            <w:r>
              <w:t xml:space="preserve">66 femmes, 212 cycles, centre suisse, rétrospective</w:t>
            </w:r>
          </w:p>
        </w:tc>
        <w:tc>
          <w:tcPr/>
          <w:p>
            <w:pPr>
              <w:pStyle w:val="Compact"/>
              <w:jc w:val="left"/>
            </w:pPr>
            <w:r>
              <w:t xml:space="preserve">1996–2020</w:t>
            </w:r>
          </w:p>
        </w:tc>
        <w:tc>
          <w:tcPr/>
          <w:p>
            <w:pPr>
              <w:pStyle w:val="Compact"/>
              <w:jc w:val="left"/>
            </w:pPr>
            <w:r>
              <w:t xml:space="preserve">Naissance vivante par traitement 65,9 % ; un seul follicule dans 75 % des cycles ; une grossesse gémellaire</w:t>
            </w:r>
          </w:p>
        </w:tc>
      </w:tr>
    </w:tbl>
    <w:p>
      <w:pPr>
        <w:pStyle w:val="BodyText"/>
      </w:pPr>
      <w:r>
        <w:t xml:space="preserve">Les chiffres dessinent un tableau cohérent : chez les femmes dont le problème se situe réellement dans l’hypothalamus, la pompe entraîne une ovulation dans la très grande majorité des cycles, souvent avec un seul ovocyte en maturation. Comme l’hypophyse conserve son propre rétrocontrôle, l’hyperstimulation et les grossesses multiples sont plus rares qu’avec des gonadotrophines injectées directement</w:t>
      </w:r>
      <w:r>
        <w:rPr>
          <w:rStyle w:val="FootnoteReference"/>
        </w:rPr>
        <w:footnoteReference w:id="2283"/>
      </w:r>
      <w:r>
        <w:t xml:space="preserve">. Chez les femmes atteintes du syndrome des ovaires polykystiques ou en surpoids, la pompe agit moins bien, et les fausses couches étaient fréquentes dans la plus grande série individuelle</w:t>
      </w:r>
      <w:r>
        <w:rPr>
          <w:rStyle w:val="FootnoteReference"/>
        </w:rPr>
        <w:footnoteReference w:id="2284"/>
      </w:r>
      <w:r>
        <w:t xml:space="preserve">.</w:t>
      </w:r>
    </w:p>
    <w:p>
      <w:pPr>
        <w:pStyle w:val="BodyText"/>
      </w:pPr>
      <w:r>
        <w:t xml:space="preserve">Les inconvénients sont d’ordre pratique : la pompe doit être portée pendant plusieurs semaines. Avec l’administration intraveineuse, des complications au niveau de l’accès veineux sont survenues, en moyenne dans 7 % des cas</w:t>
      </w:r>
      <w:r>
        <w:rPr>
          <w:rStyle w:val="FootnoteReference"/>
        </w:rPr>
        <w:footnoteReference w:id="2285"/>
      </w:r>
      <w:r>
        <w:t xml:space="preserve">. Aujourd’hui, la perfusion se fait le plus souvent par voie sous-cutanée ; dans l’étude française, des réactions allergiques locales sont survenues dans 1,7 % des cycles</w:t>
      </w:r>
      <w:r>
        <w:rPr>
          <w:rStyle w:val="FootnoteReference"/>
        </w:rPr>
        <w:footnoteReference w:id="2286"/>
      </w:r>
      <w:r>
        <w:t xml:space="preserve">.</w:t>
      </w:r>
    </w:p>
    <w:p>
      <w:pPr>
        <w:pStyle w:val="BodyText"/>
      </w:pPr>
      <w:r>
        <w:t xml:space="preserve">Les données sont anciennes et pour l’essentiel non randomisées. Il manque de grandes études comparatives avec les protocoles modernes de gonadotrophines. Les spécialistes considèrent néanmoins la pompe comme une méthode particulièrement physiologique et sûre dans l’aménorrhée hypothalamique avec désir d’enfant</w:t>
      </w:r>
      <w:r>
        <w:rPr>
          <w:rStyle w:val="FootnoteReference"/>
        </w:rPr>
        <w:footnoteReference w:id="2287"/>
      </w:r>
      <w:r>
        <w:t xml:space="preserve"> </w:t>
      </w:r>
      <w:r>
        <w:t xml:space="preserve">– pour autant qu’elle soit disponible.</w:t>
      </w:r>
    </w:p>
    <w:bookmarkEnd w:id="2288"/>
    <w:bookmarkStart w:id="2292" w:name="hommes-présentant-un-déficit-hormonal"/>
    <w:p>
      <w:pPr>
        <w:pStyle w:val="Heading4"/>
      </w:pPr>
      <w:r>
        <w:t xml:space="preserve">Hommes présentant un déficit hormonal</w:t>
      </w:r>
    </w:p>
    <w:p>
      <w:pPr>
        <w:pStyle w:val="FirstParagraph"/>
      </w:pPr>
      <w:r>
        <w:t xml:space="preserve">Les hommes atteints d’un déficit congénital en GnRH – par exemple dans le syndrome de Kallmann, où l’odorat fait en plus défaut – peuvent eux aussi être traités par pompe afin de stimuler la croissance testiculaire et la production de spermatozoïdes.</w:t>
      </w:r>
    </w:p>
    <w:p>
      <w:pPr>
        <w:pStyle w:val="BodyText"/>
      </w:pPr>
      <w:r>
        <w:t xml:space="preserve">Dans une analyse portant sur 26 hommes dans un centre universitaire allemand, des spermatozoïdes sont apparus dans l’éjaculat lors de 30 cycles de traitement sur 33 ; dans 15 cas sur 18 avec désir d’enfant, la partenaire est tombée enceinte. La pompe et les gonadotrophines injectées étaient aussi efficaces l’une que les autres</w:t>
      </w:r>
      <w:r>
        <w:rPr>
          <w:rStyle w:val="FootnoteReference"/>
        </w:rPr>
        <w:footnoteReference w:id="2289"/>
      </w:r>
      <w:r>
        <w:t xml:space="preserve">. Chez des garçons chinois en âge pubertaire, les testicules ont davantage grossi sous pompe que sous injections de hCG</w:t>
      </w:r>
      <w:r>
        <w:rPr>
          <w:rStyle w:val="FootnoteReference"/>
        </w:rPr>
        <w:footnoteReference w:id="2290"/>
      </w:r>
      <w:r>
        <w:t xml:space="preserve">. Une petite étude randomisée a trouvé des indices qu’un prétraitement par FSH avant la pompe pourrait améliorer la production de spermatozoïdes : les sept hommes prétraités avaient tous ensuite des spermatozoïdes, contre quatre sur six sans prétraitement</w:t>
      </w:r>
      <w:r>
        <w:rPr>
          <w:rStyle w:val="FootnoteReference"/>
        </w:rPr>
        <w:footnoteReference w:id="2291"/>
      </w:r>
      <w:r>
        <w:t xml:space="preserve">.</w:t>
      </w:r>
    </w:p>
    <w:bookmarkEnd w:id="2292"/>
    <w:bookmarkStart w:id="2295" w:name="nourrissons-atteints-de-cryptorchidie"/>
    <w:p>
      <w:pPr>
        <w:pStyle w:val="Heading4"/>
      </w:pPr>
      <w:r>
        <w:t xml:space="preserve">Nourrissons atteints de cryptorchidie</w:t>
      </w:r>
    </w:p>
    <w:p>
      <w:pPr>
        <w:pStyle w:val="FirstParagraph"/>
      </w:pPr>
      <w:r>
        <w:t xml:space="preserve">Dans certains pays européens, un spray nasal de gonadoréline est administré avant ou après l’opération d’une cryptorchidie afin de favoriser la maturation des cellules germinales. Une étude randomisée portant sur 62 nourrissons a rapporté des résultats échographiques plus favorables après traitement combiné</w:t>
      </w:r>
      <w:r>
        <w:rPr>
          <w:rStyle w:val="FootnoteReference"/>
        </w:rPr>
        <w:footnoteReference w:id="2293"/>
      </w:r>
      <w:r>
        <w:t xml:space="preserve">. Une autre étude randomisée portant sur 36 garçons n’a en revanche trouvé aucune différence de taille du pénis, de volume testiculaire ou de valeurs hormonales au moment de l’opération ; le traitement s’est toutefois révélé sûr</w:t>
      </w:r>
      <w:r>
        <w:rPr>
          <w:rStyle w:val="FootnoteReference"/>
        </w:rPr>
        <w:footnoteReference w:id="2294"/>
      </w:r>
      <w:r>
        <w:t xml:space="preserve">. Le bénéfice est controversé ; l’opération précoce reste l’élément principal.</w:t>
      </w:r>
    </w:p>
    <w:bookmarkEnd w:id="2295"/>
    <w:bookmarkEnd w:id="2296"/>
    <w:bookmarkStart w:id="2297" w:name="études-animales-et-de-laboratoire-51"/>
    <w:p>
      <w:pPr>
        <w:pStyle w:val="Heading3"/>
      </w:pPr>
      <w:r>
        <w:t xml:space="preserve">Études animales et de laboratoire</w:t>
      </w:r>
    </w:p>
    <w:p>
      <w:pPr>
        <w:pStyle w:val="FirstParagraph"/>
      </w:pPr>
      <w:r>
        <w:t xml:space="preserve">La gonadoréline est l’une des hormones les mieux comprises qui soient ; ses bases proviennent d’expérimentations animales des années 1970. Aujourd’hui, la recherche animale ne joue pratiquement plus de rôle dans l’évaluation chez l’humain. En médecine vétérinaire, la gonadoréline est largement utilisée, surtout chez les bovins pour contrôler l’ovulation. Ces préparations sont autorisées pour les animaux et non pour l’humain.</w:t>
      </w:r>
    </w:p>
    <w:bookmarkEnd w:id="2297"/>
    <w:bookmarkStart w:id="2301" w:name="risques-et-effets-indésirables-51"/>
    <w:p>
      <w:pPr>
        <w:pStyle w:val="Heading3"/>
      </w:pPr>
      <w:r>
        <w:t xml:space="preserve">Risques et effets indésirables</w:t>
      </w:r>
    </w:p>
    <w:bookmarkStart w:id="2299" w:name="établis-3"/>
    <w:p>
      <w:pPr>
        <w:pStyle w:val="Heading4"/>
      </w:pPr>
      <w:r>
        <w:t xml:space="preserve">Établis</w:t>
      </w:r>
    </w:p>
    <w:p>
      <w:pPr>
        <w:pStyle w:val="FirstParagraph"/>
      </w:pPr>
      <w:r>
        <w:t xml:space="preserve">La gonadoréline est considérée comme bien tolérée. Dans les études sur le traitement par pompe, les problèmes liés à l’accès (inflammation, irritation veineuse en cas d’administration intraveineuse) et les réactions cutanées locales étaient au premier plan</w:t>
      </w:r>
      <w:r>
        <w:rPr>
          <w:rStyle w:val="FootnoteReference"/>
        </w:rPr>
        <w:footnoteReference w:id="2298"/>
      </w:r>
      <w:r>
        <w:t xml:space="preserve">. Des grossesses multiples surviennent, bien que plus rarement qu’avec les gonadotrophines ; les hyperstimulations sévères sont l’exception. Lors du test, des maux de tête, des nausées ou des bouffées de chaleur passagers peuvent survenir. Des réactions allergiques ont rarement été décrites. Le résumé des caractéristiques du produit donne les détails ; l’utilisation relève du médecin.</w:t>
      </w:r>
    </w:p>
    <w:bookmarkEnd w:id="2299"/>
    <w:bookmarkStart w:id="2300" w:name="en-cas-de-mauvaise-utilisation"/>
    <w:p>
      <w:pPr>
        <w:pStyle w:val="Heading4"/>
      </w:pPr>
      <w:r>
        <w:t xml:space="preserve">En cas de mauvaise utilisation</w:t>
      </w:r>
    </w:p>
    <w:p>
      <w:pPr>
        <w:pStyle w:val="FirstParagraph"/>
      </w:pPr>
      <w:r>
        <w:t xml:space="preserve">Si la gonadoréline n’est pas administrée au bon rythme, mais trop souvent ou en continu, elle peut supprimer l’axe hormonal propre au lieu de le stimuler. Ce n’est pas un risque théorique, mais le principe d’action des analogues de la GnRH.</w:t>
      </w:r>
    </w:p>
    <w:bookmarkEnd w:id="2300"/>
    <w:bookmarkEnd w:id="2301"/>
    <w:bookmarkStart w:id="2305" w:name="Xda4c74a6adae3b451fa95effd56880bab06ac7b"/>
    <w:p>
      <w:pPr>
        <w:pStyle w:val="Heading3"/>
      </w:pPr>
      <w:r>
        <w:t xml:space="preserve">Mise en perspective : la gonadoréline dans le culturisme</w:t>
      </w:r>
    </w:p>
    <w:p>
      <w:pPr>
        <w:pStyle w:val="FirstParagraph"/>
      </w:pPr>
      <w:r>
        <w:t xml:space="preserve">Sur des forums Internet et chez certains prestataires d’« optimisation hormonale », la gonadoréline est promue comme élément d’une thérapie dite post-cycle (Post-Cycle-Therapy, PCT). Il s’agit de la phase qui suit une cure de stéroïdes anabolisants : les hormones apportées artificiellement ont supprimé la production propre de testostérone, et la gonadoréline est censée « relancer » l’axe hormonal. Aux États-Unis, elle serait aussi proposée comme substitut à la hCG.</w:t>
      </w:r>
    </w:p>
    <w:p>
      <w:pPr>
        <w:pStyle w:val="BodyText"/>
      </w:pPr>
      <w:r>
        <w:t xml:space="preserve">Ce que l’on sait à ce sujet :</w:t>
      </w:r>
    </w:p>
    <w:p>
      <w:pPr>
        <w:numPr>
          <w:ilvl w:val="0"/>
          <w:numId w:val="1284"/>
        </w:numPr>
        <w:pStyle w:val="Compact"/>
      </w:pPr>
      <w:r>
        <w:rPr>
          <w:bCs/>
          <w:b/>
        </w:rPr>
        <w:t xml:space="preserve">Il n’existe aucune étude</w:t>
      </w:r>
      <w:r>
        <w:t xml:space="preserve"> </w:t>
      </w:r>
      <w:r>
        <w:t xml:space="preserve">sur la gonadoréline dans cette situation. Les données sur la PCT en général sont minces ; presque seuls les anti-œstrogènes, la hCG et les inhibiteurs de l’aromatase ont été étudiés, et là aussi il s’agit surtout de données observationnelles. Du point de vue scientifique, une PCT n’est majoritairement pas recommandée</w:t>
      </w:r>
      <w:r>
        <w:rPr>
          <w:rStyle w:val="FootnoteReference"/>
        </w:rPr>
        <w:footnoteReference w:id="2302"/>
      </w:r>
      <w:r>
        <w:t xml:space="preserve">.</w:t>
      </w:r>
    </w:p>
    <w:p>
      <w:pPr>
        <w:numPr>
          <w:ilvl w:val="0"/>
          <w:numId w:val="1284"/>
        </w:numPr>
        <w:pStyle w:val="Compact"/>
      </w:pPr>
      <w:r>
        <w:rPr>
          <w:bCs/>
          <w:b/>
        </w:rPr>
        <w:t xml:space="preserve">La récupération se fait le plus souvent d’elle-même.</w:t>
      </w:r>
      <w:r>
        <w:t xml:space="preserve"> </w:t>
      </w:r>
      <w:r>
        <w:t xml:space="preserve">Dans l’étude néerlandaise HAARLEM portant sur 100 pratiquants de musculation, la testostérone s’était normalisée chez la plupart trois mois après la fin de la cure de stéroïdes ; après un an, elle restait inférieure aux valeurs normales chez 11 %, et le nombre de spermatozoïdes était encore abaissé chez 34 %</w:t>
      </w:r>
      <w:r>
        <w:rPr>
          <w:rStyle w:val="FootnoteReference"/>
        </w:rPr>
        <w:footnoteReference w:id="2303"/>
      </w:r>
      <w:r>
        <w:t xml:space="preserve">.</w:t>
      </w:r>
    </w:p>
    <w:p>
      <w:pPr>
        <w:numPr>
          <w:ilvl w:val="0"/>
          <w:numId w:val="1284"/>
        </w:numPr>
        <w:pStyle w:val="Compact"/>
      </w:pPr>
      <w:r>
        <w:rPr>
          <w:bCs/>
          <w:b/>
        </w:rPr>
        <w:t xml:space="preserve">Le principe d’action plaide contre une utilisation naïve.</w:t>
      </w:r>
      <w:r>
        <w:t xml:space="preserve"> </w:t>
      </w:r>
      <w:r>
        <w:t xml:space="preserve">Des injections isolées ne produisent que de brefs pics de LH ; des administrations fréquentes risquent plutôt d’émousser la réponse de l’hypophyse. Sans pompe ni contrôle biologique, aucun bénéfice n’est à attendre, et un retard de la récupération ne peut être exclu.</w:t>
      </w:r>
    </w:p>
    <w:p>
      <w:pPr>
        <w:numPr>
          <w:ilvl w:val="0"/>
          <w:numId w:val="1284"/>
        </w:numPr>
        <w:pStyle w:val="Compact"/>
      </w:pPr>
      <w:r>
        <w:rPr>
          <w:bCs/>
          <w:b/>
        </w:rPr>
        <w:t xml:space="preserve">Si vous présentez des troubles après une prise de stéroïdes</w:t>
      </w:r>
      <w:r>
        <w:t xml:space="preserve">, par exemple un manque d’élan, une perte de libido ou un désir d’enfant non satisfait, faites-les évaluer par un médecin, idéalement dans une consultation d’andrologie ou d’endocrinologie.</w:t>
      </w:r>
    </w:p>
    <w:p>
      <w:pPr>
        <w:pStyle w:val="FirstParagraph"/>
      </w:pPr>
      <w:r>
        <w:t xml:space="preserve">Dans le sport, la gonadoréline est interdite pour les hommes. Les laboratoires antidopage ont mis au point leurs propres méthodes de détection ; une revue présente la gonadoréline comme exemple de peptide détourné ces dernières années dans le sport de compétition</w:t>
      </w:r>
      <w:r>
        <w:rPr>
          <w:rStyle w:val="FootnoteReference"/>
        </w:rPr>
        <w:footnoteReference w:id="2304"/>
      </w:r>
      <w:r>
        <w:t xml:space="preserve">.</w:t>
      </w:r>
    </w:p>
    <w:bookmarkEnd w:id="2305"/>
    <w:bookmarkStart w:id="2306" w:name="statut-juridique-51"/>
    <w:p>
      <w:pPr>
        <w:pStyle w:val="Heading3"/>
      </w:pPr>
      <w:r>
        <w:t xml:space="preserve">Statut juridique</w:t>
      </w:r>
    </w:p>
    <w:p>
      <w:pPr>
        <w:pStyle w:val="FirstParagraph"/>
      </w:pPr>
      <w:r>
        <w:rPr>
          <w:iCs/>
          <w:i/>
        </w:rPr>
        <w:t xml:space="preserve">État 2026, à vérifier.</w:t>
      </w:r>
    </w:p>
    <w:p>
      <w:pPr>
        <w:numPr>
          <w:ilvl w:val="0"/>
          <w:numId w:val="1285"/>
        </w:numPr>
        <w:pStyle w:val="Compact"/>
      </w:pPr>
      <w:r>
        <w:rPr>
          <w:bCs/>
          <w:b/>
        </w:rPr>
        <w:t xml:space="preserve">UE :</w:t>
      </w:r>
      <w:r>
        <w:t xml:space="preserve"> </w:t>
      </w:r>
      <w:r>
        <w:t xml:space="preserve">pas d’autorisation centralisée de l’UE ; autorisations nationales dans plusieurs États membres, notamment comme produit diagnostique, pour le traitement pulsatile par pompe et comme spray nasal dans la cryptorchidie. Les préparations sont soumises à prescription.</w:t>
      </w:r>
    </w:p>
    <w:p>
      <w:pPr>
        <w:numPr>
          <w:ilvl w:val="0"/>
          <w:numId w:val="1285"/>
        </w:numPr>
        <w:pStyle w:val="Compact"/>
      </w:pPr>
      <w:r>
        <w:rPr>
          <w:bCs/>
          <w:b/>
        </w:rPr>
        <w:t xml:space="preserve">Allemagne :</w:t>
      </w:r>
      <w:r>
        <w:t xml:space="preserve"> </w:t>
      </w:r>
      <w:r>
        <w:t xml:space="preserve">des préparations pour le test à la GnRH et pour le traitement par pompe étaient ou sont commercialisées ; la disponibilité actuelle fluctue. Le traitement a lieu dans des centres spécialisés.</w:t>
      </w:r>
    </w:p>
    <w:p>
      <w:pPr>
        <w:numPr>
          <w:ilvl w:val="0"/>
          <w:numId w:val="1285"/>
        </w:numPr>
        <w:pStyle w:val="Compact"/>
      </w:pPr>
      <w:r>
        <w:rPr>
          <w:bCs/>
          <w:b/>
        </w:rPr>
        <w:t xml:space="preserve">Autriche :</w:t>
      </w:r>
      <w:r>
        <w:t xml:space="preserve"> </w:t>
      </w:r>
      <w:r>
        <w:t xml:space="preserve">soumise à prescription ; veuillez vérifier la disponibilité actuelle des différentes préparations dans la liste des spécialités pharmaceutiques.</w:t>
      </w:r>
    </w:p>
    <w:p>
      <w:pPr>
        <w:numPr>
          <w:ilvl w:val="0"/>
          <w:numId w:val="1285"/>
        </w:numPr>
        <w:pStyle w:val="Compact"/>
      </w:pPr>
      <w:r>
        <w:rPr>
          <w:bCs/>
          <w:b/>
        </w:rPr>
        <w:t xml:space="preserve">États-Unis :</w:t>
      </w:r>
      <w:r>
        <w:t xml:space="preserve"> </w:t>
      </w:r>
      <w:r>
        <w:t xml:space="preserve">les préparations à usage humain autrefois autorisées ont été retirées du marché. La gonadoréline serait proposée par des pharmacies de préparation ; l’évaluation réglementaire de ces préparations est en évolution. Les médicaments vétérinaires contenant de la gonadoréline ne sont pas destinés à l’humain.</w:t>
      </w:r>
    </w:p>
    <w:p>
      <w:pPr>
        <w:numPr>
          <w:ilvl w:val="0"/>
          <w:numId w:val="1285"/>
        </w:numPr>
        <w:pStyle w:val="Compact"/>
      </w:pPr>
      <w:r>
        <w:rPr>
          <w:bCs/>
          <w:b/>
        </w:rPr>
        <w:t xml:space="preserve">AMA (WADA) :</w:t>
      </w:r>
      <w:r>
        <w:t xml:space="preserve"> </w:t>
      </w:r>
      <w:r>
        <w:t xml:space="preserve">S2 – interdite pour les hommes en compétition et hors compétition.</w:t>
      </w:r>
    </w:p>
    <w:bookmarkEnd w:id="2306"/>
    <w:bookmarkStart w:id="2310" w:name="études-en-cours-et-perspectives-51"/>
    <w:p>
      <w:pPr>
        <w:pStyle w:val="Heading3"/>
      </w:pPr>
      <w:r>
        <w:t xml:space="preserve">Études en cours et perspectives</w:t>
      </w:r>
    </w:p>
    <w:p>
      <w:pPr>
        <w:pStyle w:val="FirstParagraph"/>
      </w:pPr>
      <w:r>
        <w:rPr>
          <w:bCs/>
          <w:b/>
        </w:rPr>
        <w:t xml:space="preserve">Établi (études enregistrées) :</w:t>
      </w:r>
      <w:r>
        <w:t xml:space="preserve"> </w:t>
      </w:r>
      <w:r>
        <w:t xml:space="preserve">parmi les rares entrées de registre qui concernent réellement la GnRH native, on trouve :</w:t>
      </w:r>
    </w:p>
    <w:p>
      <w:pPr>
        <w:numPr>
          <w:ilvl w:val="0"/>
          <w:numId w:val="1286"/>
        </w:numPr>
        <w:pStyle w:val="Compact"/>
      </w:pPr>
      <w:r>
        <w:t xml:space="preserve">des études terminées du fabricant Ferring sur un patch cutané qui délivre la GnRH de manière pulsatile à travers la peau au moyen d’un faible courant électrique (NCT00296465 avec 132 et NCT00796289 avec 350 participantes). À la connaissance de l’auteur, les résultats de ces études n’ont pas été publiés dans PubMed, et le patch n’a pas été commercialisé ;</w:t>
      </w:r>
    </w:p>
    <w:p>
      <w:pPr>
        <w:numPr>
          <w:ilvl w:val="0"/>
          <w:numId w:val="1286"/>
        </w:numPr>
        <w:pStyle w:val="Compact"/>
      </w:pPr>
      <w:r>
        <w:t xml:space="preserve">une étude retirée en 2025 sur l’administration de GnRH par une pompe à insuline moderne sans tubulure</w:t>
      </w:r>
      <w:r>
        <w:rPr>
          <w:rStyle w:val="FootnoteReference"/>
        </w:rPr>
        <w:footnoteReference w:id="2307"/>
      </w:r>
      <w:r>
        <w:t xml:space="preserve"> </w:t>
      </w:r>
      <w:r>
        <w:t xml:space="preserve">;</w:t>
      </w:r>
    </w:p>
    <w:p>
      <w:pPr>
        <w:numPr>
          <w:ilvl w:val="0"/>
          <w:numId w:val="1286"/>
        </w:numPr>
        <w:pStyle w:val="Compact"/>
      </w:pPr>
      <w:r>
        <w:t xml:space="preserve">des études chinoises sur la pompe dans le déficit hormonal congénital</w:t>
      </w:r>
      <w:r>
        <w:rPr>
          <w:rStyle w:val="FootnoteReference"/>
        </w:rPr>
        <w:footnoteReference w:id="2308"/>
      </w:r>
      <w:r>
        <w:t xml:space="preserve"> </w:t>
      </w:r>
      <w:r>
        <w:t xml:space="preserve">et dans le SOPK</w:t>
      </w:r>
      <w:r>
        <w:rPr>
          <w:rStyle w:val="FootnoteReference"/>
        </w:rPr>
        <w:footnoteReference w:id="2309"/>
      </w:r>
      <w:r>
        <w:t xml:space="preserve">, toutes deux de statut inconnu.</w:t>
      </w:r>
    </w:p>
    <w:p>
      <w:pPr>
        <w:pStyle w:val="FirstParagraph"/>
      </w:pPr>
      <w:r>
        <w:rPr>
          <w:bCs/>
          <w:b/>
        </w:rPr>
        <w:t xml:space="preserve">Appréciation de l’auteur :</w:t>
      </w:r>
      <w:r>
        <w:t xml:space="preserve"> </w:t>
      </w:r>
      <w:r>
        <w:t xml:space="preserve">la gonadoréline est un principe actif ancien et bien compris, dont l’importance en diagnostic diminue parce que les analogues à action courte sont moins chers et plus disponibles. Pour le traitement par pompe de l’aménorrhée hypothalamique et du déficit hormonal congénital, elle reste une option physiologique, dont l’avenir dépend moins de nouvelles recherches que de la volonté des fabricants de continuer à approvisionner ces petits marchés. Des pompes modernes sans tubulure pourraient rendre le traitement plus confortable. Il n’existe aucune preuve d’un bénéfice dans le contexte du culturisme.</w:t>
      </w:r>
    </w:p>
    <w:bookmarkEnd w:id="2310"/>
    <w:bookmarkStart w:id="2311" w:name="conclusion-51"/>
    <w:p>
      <w:pPr>
        <w:pStyle w:val="Heading3"/>
      </w:pPr>
      <w:r>
        <w:t xml:space="preserve">Conclusion</w:t>
      </w:r>
    </w:p>
    <w:p>
      <w:pPr>
        <w:pStyle w:val="FirstParagraph"/>
      </w:pPr>
      <w:r>
        <w:t xml:space="preserve">La gonadoréline est la copie synthétique de la GnRH endogène et est utilisée depuis des décennies pour des tests fonctionnels et le traitement par pompe. Administrée au bon rythme de pulses, elle a conduit, dans de grandes séries de cas, à une ovulation dans la plupart des cycles chez les femmes atteintes d’aménorrhée hypothalamique, avec moins de grossesses multiples que sous gonadotrophines, et à la production de spermatozoïdes chez les hommes présentant un déficit hormonal congénital. Les données sont anciennes et pour l’essentiel non randomisées ; les chiffres des registres sont massivement faussés par les analogues de la GnRH. L’utilisation dans le milieu du culturisme après des cures de stéroïdes n’a pas été étudiée, contredit le principe d’action et est interdite dans le sport.</w:t>
      </w:r>
    </w:p>
    <w:bookmarkEnd w:id="2311"/>
    <w:bookmarkEnd w:id="2312"/>
    <w:bookmarkEnd w:id="2313"/>
    <w:bookmarkStart w:id="2524" w:name="X3f5558c6ce52d041f65d22f99d9bf3ca1ab9fc8"/>
    <w:p>
      <w:pPr>
        <w:pStyle w:val="Heading1"/>
      </w:pPr>
      <w:r>
        <w:t xml:space="preserve">Partie II · F – Collagène, alimentation et cosmétique</w:t>
      </w:r>
    </w:p>
    <w:p>
      <w:pPr>
        <w:pStyle w:val="FirstParagraph"/>
      </w:pPr>
      <w:r>
        <w:t xml:space="preserve">La plupart des gens rencontrent les peptides de ce groupe non pas au cabinet médical, mais au supermarché, en droguerie et dans la publicité : sous forme de boisson au collagène, de yaourt pour la pression artérielle, de gélule pour sportifs ou de « peptide anti-âge » dans une crème pour le visage. Ils sont en vente libre, passent pour inoffensifs et sont promus à grand renfort d’études. C’est précisément pour cela qu’il vaut la peine d’examiner de près ce que montrent ces études.</w:t>
      </w:r>
    </w:p>
    <w:bookmarkStart w:id="2315" w:name="ce-qui-unit-ce-groupe"/>
    <w:p>
      <w:pPr>
        <w:pStyle w:val="Heading3"/>
      </w:pPr>
      <w:r>
        <w:t xml:space="preserve">Ce qui unit ce groupe</w:t>
      </w:r>
    </w:p>
    <w:p>
      <w:pPr>
        <w:pStyle w:val="FirstParagraph"/>
      </w:pPr>
      <w:r>
        <w:t xml:space="preserve">Les six substances sont soit des fragments de protéines endogènes ou présentes dans l’alimentation (peptides de collagène, lactotripeptides du lait, carnosine, GHK-Cu), soit des imitations délibérées de celles-ci (Matrixyl, Argireline). Aucune n’est autorisée comme médicament. Elles ne sont donc pas évaluées selon les critères stricts applicables aux médicaments, mais selon les règles applicables aux denrées alimentaires ou aux cosmétiques.</w:t>
      </w:r>
    </w:p>
    <w:p>
      <w:pPr>
        <w:pStyle w:val="BodyText"/>
      </w:pPr>
      <w:r>
        <w:t xml:space="preserve">Il en résulte des schémas communs qui reviennent dans tous les chapitres :</w:t>
      </w:r>
    </w:p>
    <w:p>
      <w:pPr>
        <w:numPr>
          <w:ilvl w:val="0"/>
          <w:numId w:val="1287"/>
        </w:numPr>
        <w:pStyle w:val="Compact"/>
      </w:pPr>
      <w:r>
        <w:rPr>
          <w:bCs/>
          <w:b/>
        </w:rPr>
        <w:t xml:space="preserve">Beaucoup de petites études, peu de grandes.</w:t>
      </w:r>
      <w:r>
        <w:t xml:space="preserve"> </w:t>
      </w:r>
      <w:r>
        <w:t xml:space="preserve">Les études portent typiquement sur 20 à 150 participants pendant 4 à 24 semaines. Les critères durs comme les fractures, les infarctus ou les prothèses articulaires n’ont jamais été étudiés.</w:t>
      </w:r>
    </w:p>
    <w:p>
      <w:pPr>
        <w:numPr>
          <w:ilvl w:val="0"/>
          <w:numId w:val="1287"/>
        </w:numPr>
        <w:pStyle w:val="Compact"/>
      </w:pPr>
      <w:r>
        <w:rPr>
          <w:bCs/>
          <w:b/>
        </w:rPr>
        <w:t xml:space="preserve">Financement par les fabricants.</w:t>
      </w:r>
      <w:r>
        <w:t xml:space="preserve"> </w:t>
      </w:r>
      <w:r>
        <w:t xml:space="preserve">Une grande partie des études a été payée par des fabricants de matières premières ou de produits. Pour le collagène, une méta-analyse montre que le bénéfice pour la peau disparaît si l’on ne considère que les études financées de manière indépendante</w:t>
      </w:r>
      <w:r>
        <w:rPr>
          <w:rStyle w:val="FootnoteReference"/>
        </w:rPr>
        <w:footnoteReference w:id="2314"/>
      </w:r>
      <w:r>
        <w:t xml:space="preserve">.</w:t>
      </w:r>
    </w:p>
    <w:p>
      <w:pPr>
        <w:numPr>
          <w:ilvl w:val="0"/>
          <w:numId w:val="1287"/>
        </w:numPr>
        <w:pStyle w:val="Compact"/>
      </w:pPr>
      <w:r>
        <w:rPr>
          <w:bCs/>
          <w:b/>
        </w:rPr>
        <w:t xml:space="preserve">Le problème du site d’action.</w:t>
      </w:r>
      <w:r>
        <w:t xml:space="preserve"> </w:t>
      </w:r>
      <w:r>
        <w:t xml:space="preserve">Un peptide doit parvenir là où il est censé agir. Les peptides avalés sont en grande partie digérés ; les peptides des crèmes ne traversent la barrière cutanée que dans une faible mesure. Pour chaque chapitre, la question centrale est donc de savoir si le mécanisme montré en laboratoire entre réellement en jeu dans l’organisme.</w:t>
      </w:r>
    </w:p>
    <w:p>
      <w:pPr>
        <w:numPr>
          <w:ilvl w:val="0"/>
          <w:numId w:val="1287"/>
        </w:numPr>
        <w:pStyle w:val="Compact"/>
      </w:pPr>
      <w:r>
        <w:rPr>
          <w:bCs/>
          <w:b/>
        </w:rPr>
        <w:t xml:space="preserve">Produits combinés.</w:t>
      </w:r>
      <w:r>
        <w:t xml:space="preserve"> </w:t>
      </w:r>
      <w:r>
        <w:t xml:space="preserve">Beaucoup de produits contiennent plusieurs principes actifs. Un résultat d’étude positif ne peut alors pas être attribué au peptide pris isolément.</w:t>
      </w:r>
    </w:p>
    <w:bookmarkEnd w:id="2315"/>
    <w:bookmarkStart w:id="2316" w:name="X6882852a253fba3f3167b56910011dc767c761f"/>
    <w:p>
      <w:pPr>
        <w:pStyle w:val="Heading3"/>
      </w:pPr>
      <w:r>
        <w:t xml:space="preserve">Aliment, cosmétique, médicament – trois univers juridiques</w:t>
      </w:r>
    </w:p>
    <w:p>
      <w:pPr>
        <w:pStyle w:val="FirstParagraph"/>
      </w:pPr>
      <w:r>
        <w:t xml:space="preserve">Ce n’est pas la chimie d’une substance qui détermine si elle est considérée comme un aliment, un cosmétique ou un médicament, mais sa destination et sa présentation. La partie I explique en détail le cadre juridique ; pour ce groupe, trois points sont importants :</w:t>
      </w:r>
    </w:p>
    <w:p>
      <w:pPr>
        <w:numPr>
          <w:ilvl w:val="0"/>
          <w:numId w:val="1288"/>
        </w:numPr>
        <w:pStyle w:val="Compact"/>
      </w:pPr>
      <w:r>
        <w:rPr>
          <w:bCs/>
          <w:b/>
        </w:rPr>
        <w:t xml:space="preserve">Les denrées alimentaires et compléments alimentaires</w:t>
      </w:r>
      <w:r>
        <w:t xml:space="preserve"> </w:t>
      </w:r>
      <w:r>
        <w:t xml:space="preserve">(peptides de collagène, lactotripeptides, carnosine) n’ont besoin dans l’UE ni d’autorisation ni de preuve d’efficacité. En contrepartie, les allégations publicitaires sont strictement réglementées. Selon le règlement sur les allégations de santé (règlement (CE) n° 1924/2006), les allégations de santé ne sont permises que si elles ont été évaluées par l’Autorité européenne de sécurité des aliments (EFSA) et autorisées par la Commission européenne.</w:t>
      </w:r>
      <w:r>
        <w:t xml:space="preserve"> </w:t>
      </w:r>
      <w:r>
        <w:rPr>
          <w:bCs/>
          <w:b/>
        </w:rPr>
        <w:t xml:space="preserve">Pour le collagène, les peptides de collagène, les lactotripeptides et la carnosine, il n’existe pas une seule allégation de santé autorisée.</w:t>
      </w:r>
      <w:r>
        <w:t xml:space="preserve"> </w:t>
      </w:r>
      <w:r>
        <w:t xml:space="preserve">L’EFSA a rendu des avis négatifs sur les allégations demandées – par exemple sur les articulations pour le collagène ou sur la pression artérielle pour les lactotripeptides. Si un emballage de collagène vante malgré tout des effets sur la peau ou les os, l’allégation juridiquement admise se rapporte en général à la vitamine C ajoutée, pour laquelle l’allégation « contribue à la formation normale de collagène » est autorisée.</w:t>
      </w:r>
    </w:p>
    <w:p>
      <w:pPr>
        <w:numPr>
          <w:ilvl w:val="0"/>
          <w:numId w:val="1288"/>
        </w:numPr>
        <w:pStyle w:val="Compact"/>
      </w:pPr>
      <w:r>
        <w:rPr>
          <w:bCs/>
          <w:b/>
        </w:rPr>
        <w:t xml:space="preserve">Les cosmétiques</w:t>
      </w:r>
      <w:r>
        <w:t xml:space="preserve"> </w:t>
      </w:r>
      <w:r>
        <w:t xml:space="preserve">(GHK-Cu, Matrixyl, Argireline) relèvent du règlement européen sur les produits cosmétiques (règlement (CE) n° 1223/2009). Ils ne peuvent être appliqués qu’en usage externe, doivent être sûrs et ne peuvent revendiquer aucun effet médicamenteux. Les allégations publicitaires doivent pouvoir être justifiées, mais il n’existe aucun contrôle officiel de l’efficacité avant la mise en vente.</w:t>
      </w:r>
    </w:p>
    <w:p>
      <w:pPr>
        <w:numPr>
          <w:ilvl w:val="0"/>
          <w:numId w:val="1288"/>
        </w:numPr>
        <w:pStyle w:val="Compact"/>
      </w:pPr>
      <w:r>
        <w:rPr>
          <w:bCs/>
          <w:b/>
        </w:rPr>
        <w:t xml:space="preserve">Les médicaments</w:t>
      </w:r>
      <w:r>
        <w:t xml:space="preserve"> </w:t>
      </w:r>
      <w:r>
        <w:t xml:space="preserve">doivent démontrer leur efficacité et leur sécurité dans des études et être autorisés. Si un peptide cosmétique est injecté – comme c’est le cas pour le GHK-Cu et l’Argireline sur le marché gris –, il quitte l’univers des cosmétiques : il devient un médicament non autorisé, sans qu’il existe d’études ni de contrôles de qualité à son sujet.</w:t>
      </w:r>
    </w:p>
    <w:p>
      <w:pPr>
        <w:pStyle w:val="FirstParagraph"/>
      </w:pPr>
      <w:r>
        <w:t xml:space="preserve">Aux États-Unis, des principes similaires s’appliquent ; les compléments alimentaires peuvent toutefois y faire valoir des « allégations structure-fonction » générales, à condition de porter une mention indiquant que la FDA ne les a pas évaluées.</w:t>
      </w:r>
    </w:p>
    <w:bookmarkEnd w:id="2316"/>
    <w:bookmarkStart w:id="2317" w:name="vue-densemble-4"/>
    <w:p>
      <w:pPr>
        <w:pStyle w:val="Heading3"/>
      </w:pPr>
      <w:r>
        <w:t xml:space="preserve">Vue d’ensemble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Preuve</w:t>
            </w:r>
          </w:p>
        </w:tc>
        <w:tc>
          <w:tcPr/>
          <w:p>
            <w:pPr>
              <w:pStyle w:val="Compact"/>
              <w:jc w:val="left"/>
            </w:pPr>
            <w:r>
              <w:t xml:space="preserve">Autorisation</w:t>
            </w:r>
          </w:p>
        </w:tc>
        <w:tc>
          <w:tcPr/>
          <w:p>
            <w:pPr>
              <w:pStyle w:val="Compact"/>
              <w:jc w:val="left"/>
            </w:pPr>
            <w:r>
              <w:t xml:space="preserve">En bref</w:t>
            </w:r>
          </w:p>
        </w:tc>
      </w:tr>
      <w:tr>
        <w:tc>
          <w:tcPr/>
          <w:p>
            <w:pPr>
              <w:pStyle w:val="Compact"/>
              <w:jc w:val="left"/>
            </w:pPr>
            <w:r>
              <w:t xml:space="preserve">Peptides de collagène</w:t>
            </w:r>
          </w:p>
        </w:tc>
        <w:tc>
          <w:tcPr/>
          <w:p>
            <w:pPr>
              <w:pStyle w:val="Compact"/>
              <w:jc w:val="left"/>
            </w:pPr>
            <w:r>
              <w:t xml:space="preserve">B</w:t>
            </w:r>
          </w:p>
        </w:tc>
        <w:tc>
          <w:tcPr/>
          <w:p>
            <w:pPr>
              <w:pStyle w:val="Compact"/>
              <w:jc w:val="left"/>
            </w:pPr>
            <w:r>
              <w:t xml:space="preserve">Aliment, aucune allégation de santé</w:t>
            </w:r>
          </w:p>
        </w:tc>
        <w:tc>
          <w:tcPr/>
          <w:p>
            <w:pPr>
              <w:pStyle w:val="Compact"/>
              <w:jc w:val="left"/>
            </w:pPr>
            <w:r>
              <w:t xml:space="preserve">Petits effets sur les douleurs articulaires ; bénéfice cutané non démontré dans les études indépendantes</w:t>
            </w:r>
          </w:p>
        </w:tc>
      </w:tr>
      <w:tr>
        <w:tc>
          <w:tcPr/>
          <w:p>
            <w:pPr>
              <w:pStyle w:val="Compact"/>
              <w:jc w:val="left"/>
            </w:pPr>
            <w:r>
              <w:t xml:space="preserve">Lactotripeptides (VPP/IPP)</w:t>
            </w:r>
          </w:p>
        </w:tc>
        <w:tc>
          <w:tcPr/>
          <w:p>
            <w:pPr>
              <w:pStyle w:val="Compact"/>
              <w:jc w:val="left"/>
            </w:pPr>
            <w:r>
              <w:t xml:space="preserve">B</w:t>
            </w:r>
          </w:p>
        </w:tc>
        <w:tc>
          <w:tcPr/>
          <w:p>
            <w:pPr>
              <w:pStyle w:val="Compact"/>
              <w:jc w:val="left"/>
            </w:pPr>
            <w:r>
              <w:t xml:space="preserve">Aliment, allégation sur la pression artérielle refusée</w:t>
            </w:r>
          </w:p>
        </w:tc>
        <w:tc>
          <w:tcPr/>
          <w:p>
            <w:pPr>
              <w:pStyle w:val="Compact"/>
              <w:jc w:val="left"/>
            </w:pPr>
            <w:r>
              <w:t xml:space="preserve">Baisse de la pression artérielle d’environ 1–4 mmHg, à peine démontrable en Europe</w:t>
            </w:r>
          </w:p>
        </w:tc>
      </w:tr>
      <w:tr>
        <w:tc>
          <w:tcPr/>
          <w:p>
            <w:pPr>
              <w:pStyle w:val="Compact"/>
              <w:jc w:val="left"/>
            </w:pPr>
            <w:r>
              <w:t xml:space="preserve">Carnosine</w:t>
            </w:r>
          </w:p>
        </w:tc>
        <w:tc>
          <w:tcPr/>
          <w:p>
            <w:pPr>
              <w:pStyle w:val="Compact"/>
              <w:jc w:val="left"/>
            </w:pPr>
            <w:r>
              <w:t xml:space="preserve">B</w:t>
            </w:r>
          </w:p>
        </w:tc>
        <w:tc>
          <w:tcPr/>
          <w:p>
            <w:pPr>
              <w:pStyle w:val="Compact"/>
              <w:jc w:val="left"/>
            </w:pPr>
            <w:r>
              <w:t xml:space="preserve">Complément alimentaire, aucune allégation de santé</w:t>
            </w:r>
          </w:p>
        </w:tc>
        <w:tc>
          <w:tcPr/>
          <w:p>
            <w:pPr>
              <w:pStyle w:val="Compact"/>
              <w:jc w:val="left"/>
            </w:pPr>
            <w:r>
              <w:t xml:space="preserve">Indices pour la glycémie ; dans le sport, le précurseur bêta-alanine est mieux étayé</w:t>
            </w:r>
          </w:p>
        </w:tc>
      </w:tr>
      <w:tr>
        <w:tc>
          <w:tcPr/>
          <w:p>
            <w:pPr>
              <w:pStyle w:val="Compact"/>
              <w:jc w:val="left"/>
            </w:pPr>
            <w:r>
              <w:t xml:space="preserve">GHK-Cu</w:t>
            </w:r>
          </w:p>
        </w:tc>
        <w:tc>
          <w:tcPr/>
          <w:p>
            <w:pPr>
              <w:pStyle w:val="Compact"/>
              <w:jc w:val="left"/>
            </w:pPr>
            <w:r>
              <w:t xml:space="preserve">C</w:t>
            </w:r>
          </w:p>
        </w:tc>
        <w:tc>
          <w:tcPr/>
          <w:p>
            <w:pPr>
              <w:pStyle w:val="Compact"/>
              <w:jc w:val="left"/>
            </w:pPr>
            <w:r>
              <w:t xml:space="preserve">Cosmétique ; injection non autorisée</w:t>
            </w:r>
          </w:p>
        </w:tc>
        <w:tc>
          <w:tcPr/>
          <w:p>
            <w:pPr>
              <w:pStyle w:val="Compact"/>
              <w:jc w:val="left"/>
            </w:pPr>
            <w:r>
              <w:t xml:space="preserve">Une ancienne étude sur les plaies ; très peu de données cutanées ; injection non évaluée</w:t>
            </w:r>
          </w:p>
        </w:tc>
      </w:tr>
      <w:tr>
        <w:tc>
          <w:tcPr/>
          <w:p>
            <w:pPr>
              <w:pStyle w:val="Compact"/>
              <w:jc w:val="left"/>
            </w:pPr>
            <w:r>
              <w:t xml:space="preserve">Palmitoyl pentapeptide-4 (Matrixyl)</w:t>
            </w:r>
          </w:p>
        </w:tc>
        <w:tc>
          <w:tcPr/>
          <w:p>
            <w:pPr>
              <w:pStyle w:val="Compact"/>
              <w:jc w:val="left"/>
            </w:pPr>
            <w:r>
              <w:t xml:space="preserve">B</w:t>
            </w:r>
          </w:p>
        </w:tc>
        <w:tc>
          <w:tcPr/>
          <w:p>
            <w:pPr>
              <w:pStyle w:val="Compact"/>
              <w:jc w:val="left"/>
            </w:pPr>
            <w:r>
              <w:t xml:space="preserve">Cosmétique</w:t>
            </w:r>
          </w:p>
        </w:tc>
        <w:tc>
          <w:tcPr/>
          <w:p>
            <w:pPr>
              <w:pStyle w:val="Compact"/>
              <w:jc w:val="left"/>
            </w:pPr>
            <w:r>
              <w:t xml:space="preserve">Une étude en hémivisage de 2005 ; pénétration cutanée incertaine</w:t>
            </w:r>
          </w:p>
        </w:tc>
      </w:tr>
      <w:tr>
        <w:tc>
          <w:tcPr/>
          <w:p>
            <w:pPr>
              <w:pStyle w:val="Compact"/>
              <w:jc w:val="left"/>
            </w:pPr>
            <w:r>
              <w:t xml:space="preserve">Acétyl hexapeptide-8 (Argireline)</w:t>
            </w:r>
          </w:p>
        </w:tc>
        <w:tc>
          <w:tcPr/>
          <w:p>
            <w:pPr>
              <w:pStyle w:val="Compact"/>
              <w:jc w:val="left"/>
            </w:pPr>
            <w:r>
              <w:t xml:space="preserve">B</w:t>
            </w:r>
          </w:p>
        </w:tc>
        <w:tc>
          <w:tcPr/>
          <w:p>
            <w:pPr>
              <w:pStyle w:val="Compact"/>
              <w:jc w:val="left"/>
            </w:pPr>
            <w:r>
              <w:t xml:space="preserve">Cosmétique</w:t>
            </w:r>
          </w:p>
        </w:tc>
        <w:tc>
          <w:tcPr/>
          <w:p>
            <w:pPr>
              <w:pStyle w:val="Compact"/>
              <w:jc w:val="left"/>
            </w:pPr>
            <w:r>
              <w:t xml:space="preserve">« Botox en tube » non démontré ; ne pénètre guère dans la peau</w:t>
            </w:r>
          </w:p>
        </w:tc>
      </w:tr>
    </w:tbl>
    <w:p>
      <w:pPr>
        <w:pStyle w:val="BodyText"/>
      </w:pPr>
      <w:r>
        <w:t xml:space="preserve">Dans ce groupe, le niveau B ne signifie expressément pas qu’un effet est établi, mais seulement que des études randomisées existent.</w:t>
      </w:r>
    </w:p>
    <w:bookmarkEnd w:id="2317"/>
    <w:bookmarkStart w:id="2318" w:name="conseil-de-lecture-2"/>
    <w:p>
      <w:pPr>
        <w:pStyle w:val="Heading3"/>
      </w:pPr>
      <w:r>
        <w:t xml:space="preserve">Conseil de lecture</w:t>
      </w:r>
    </w:p>
    <w:p>
      <w:pPr>
        <w:pStyle w:val="FirstParagraph"/>
      </w:pPr>
      <w:r>
        <w:t xml:space="preserve">Le chapitre sur les</w:t>
      </w:r>
      <w:r>
        <w:t xml:space="preserve"> </w:t>
      </w:r>
      <w:r>
        <w:rPr>
          <w:bCs/>
          <w:b/>
        </w:rPr>
        <w:t xml:space="preserve">peptides de collagène</w:t>
      </w:r>
      <w:r>
        <w:t xml:space="preserve"> </w:t>
      </w:r>
      <w:r>
        <w:t xml:space="preserve">est le plus détaillé, car c’est sur eux que portent le plus d’études et parce qu’ils permettent de bien montrer comment méta-analyses, financement par les fabricants et effet placebo interagissent. Si vous ne lisez qu’un chapitre de ce groupe, choisissez celui-ci. Le chapitre sur les</w:t>
      </w:r>
      <w:r>
        <w:t xml:space="preserve"> </w:t>
      </w:r>
      <w:r>
        <w:rPr>
          <w:bCs/>
          <w:b/>
        </w:rPr>
        <w:t xml:space="preserve">lactotripeptides</w:t>
      </w:r>
      <w:r>
        <w:t xml:space="preserve"> </w:t>
      </w:r>
      <w:r>
        <w:t xml:space="preserve">est une leçon sur la manière dont un mécanisme de laboratoire convaincant peut se réduire dans des études plus grandes. Les trois</w:t>
      </w:r>
      <w:r>
        <w:t xml:space="preserve"> </w:t>
      </w:r>
      <w:r>
        <w:rPr>
          <w:bCs/>
          <w:b/>
        </w:rPr>
        <w:t xml:space="preserve">peptides cosmétiques</w:t>
      </w:r>
      <w:r>
        <w:t xml:space="preserve"> </w:t>
      </w:r>
      <w:r>
        <w:t xml:space="preserve">sont plus courts ; ils partagent la même question centrale – le principe actif contenu dans la crème parvient-il seulement là où il est censé agir ? Les risques des injections du marché gris sont traités en détail dans la partie IV.</w:t>
      </w:r>
    </w:p>
    <w:bookmarkEnd w:id="2318"/>
    <w:bookmarkStart w:id="2370" w:name="Xde264a236962791e5f2a897de302311f9b530ba"/>
    <w:p>
      <w:pPr>
        <w:pStyle w:val="Heading2"/>
      </w:pPr>
      <w:r>
        <w:t xml:space="preserve">Peptides de collagène (hydrolysat de collagène)</w:t>
      </w:r>
    </w:p>
    <w:bookmarkStart w:id="2319" w:name="fiche-signalétique-52"/>
    <w:p>
      <w:pPr>
        <w:pStyle w:val="Heading3"/>
      </w:pPr>
      <w:r>
        <w:t xml:space="preserve">Fiche signalétique</w:t>
      </w:r>
    </w:p>
    <w:p>
      <w:pPr>
        <w:numPr>
          <w:ilvl w:val="0"/>
          <w:numId w:val="1289"/>
        </w:numPr>
        <w:pStyle w:val="Compact"/>
      </w:pPr>
      <w:r>
        <w:rPr>
          <w:bCs/>
          <w:b/>
        </w:rPr>
        <w:t xml:space="preserve">Type/structure :</w:t>
      </w:r>
      <w:r>
        <w:t xml:space="preserve"> </w:t>
      </w:r>
      <w:r>
        <w:t xml:space="preserve">mélange de peptides de longueurs variables, obtenu par clivage enzymatique (hydrolyse) du collagène ou de la gélatine. Les produits typiques contiennent des fragments d’une masse moléculaire moyenne d’environ 2 000 à 5 000 daltons. Les acides aminés glycine, proline et hydroxyproline sont caractéristiques ; l’acide aminé essentiel tryptophane est absent.</w:t>
      </w:r>
    </w:p>
    <w:p>
      <w:pPr>
        <w:numPr>
          <w:ilvl w:val="0"/>
          <w:numId w:val="1289"/>
        </w:numPr>
        <w:pStyle w:val="Compact"/>
      </w:pPr>
      <w:r>
        <w:rPr>
          <w:bCs/>
          <w:b/>
        </w:rPr>
        <w:t xml:space="preserve">Origine :</w:t>
      </w:r>
      <w:r>
        <w:t xml:space="preserve"> </w:t>
      </w:r>
      <w:r>
        <w:t xml:space="preserve">peau, os ou écailles de bovins, de porcs, de poulets et de poissons – sous-produits de la transformation de la viande et du poisson. Beaucoup d’études utilisent des matières premières de marque déposée (par ex. Verisol, Fortigel, Bodybalance, Tendoforte), qui proviennent d’un petit nombre de fabricants.</w:t>
      </w:r>
    </w:p>
    <w:p>
      <w:pPr>
        <w:numPr>
          <w:ilvl w:val="0"/>
          <w:numId w:val="1289"/>
        </w:numPr>
        <w:pStyle w:val="Compact"/>
      </w:pPr>
      <w:r>
        <w:rPr>
          <w:bCs/>
          <w:b/>
        </w:rPr>
        <w:t xml:space="preserve">Principe d’action :</w:t>
      </w:r>
      <w:r>
        <w:t xml:space="preserve"> </w:t>
      </w:r>
      <w:r>
        <w:t xml:space="preserve">apport de constituants pour le tissu conjonctif de l’organisme ; on discute en outre l’idée que certains petits peptides (surtout la prolyl-hydroxyproline) agiraient comme molécules de signalisation sur les cellules du tissu conjonctif.</w:t>
      </w:r>
    </w:p>
    <w:p>
      <w:pPr>
        <w:numPr>
          <w:ilvl w:val="0"/>
          <w:numId w:val="1289"/>
        </w:numPr>
        <w:pStyle w:val="Compact"/>
      </w:pPr>
      <w:r>
        <w:rPr>
          <w:bCs/>
          <w:b/>
        </w:rPr>
        <w:t xml:space="preserve">Distinction :</w:t>
      </w:r>
      <w:r>
        <w:t xml:space="preserve"> </w:t>
      </w:r>
      <w:r>
        <w:t xml:space="preserve">le collagène de type II</w:t>
      </w:r>
      <w:r>
        <w:t xml:space="preserve"> </w:t>
      </w:r>
      <w:r>
        <w:rPr>
          <w:iCs/>
          <w:i/>
        </w:rPr>
        <w:t xml:space="preserve">non dénaturé</w:t>
      </w:r>
      <w:r>
        <w:t xml:space="preserve"> </w:t>
      </w:r>
      <w:r>
        <w:t xml:space="preserve">(par ex. UC-II) est un autre produit, avec un autre principe d’action, et il est présenté séparément plus bas.</w:t>
      </w:r>
    </w:p>
    <w:p>
      <w:pPr>
        <w:numPr>
          <w:ilvl w:val="0"/>
          <w:numId w:val="1289"/>
        </w:numPr>
        <w:pStyle w:val="Compact"/>
      </w:pPr>
      <w:r>
        <w:rPr>
          <w:bCs/>
          <w:b/>
        </w:rPr>
        <w:t xml:space="preserve">Autorisation UE :</w:t>
      </w:r>
      <w:r>
        <w:t xml:space="preserve"> </w:t>
      </w:r>
      <w:r>
        <w:t xml:space="preserve">pas d’autorisation comme médicament ; commercialisable comme denrée alimentaire ou complément alimentaire. Pour le collagène lui-même, il n’existe</w:t>
      </w:r>
      <w:r>
        <w:t xml:space="preserve"> </w:t>
      </w:r>
      <w:r>
        <w:rPr>
          <w:bCs/>
          <w:b/>
        </w:rPr>
        <w:t xml:space="preserve">aucune</w:t>
      </w:r>
      <w:r>
        <w:t xml:space="preserve"> </w:t>
      </w:r>
      <w:r>
        <w:t xml:space="preserve">allégation de santé autorisée (health claim).</w:t>
      </w:r>
    </w:p>
    <w:p>
      <w:pPr>
        <w:numPr>
          <w:ilvl w:val="0"/>
          <w:numId w:val="1289"/>
        </w:numPr>
        <w:pStyle w:val="Compact"/>
      </w:pPr>
      <w:r>
        <w:rPr>
          <w:bCs/>
          <w:b/>
        </w:rPr>
        <w:t xml:space="preserve">Autorisation États-Unis :</w:t>
      </w:r>
      <w:r>
        <w:t xml:space="preserve"> </w:t>
      </w:r>
      <w:r>
        <w:t xml:space="preserve">pas d’autorisation comme médicament ; commercialisé comme complément alimentaire (dietary supplement).</w:t>
      </w:r>
    </w:p>
    <w:p>
      <w:pPr>
        <w:numPr>
          <w:ilvl w:val="0"/>
          <w:numId w:val="1289"/>
        </w:numPr>
        <w:pStyle w:val="Compact"/>
      </w:pPr>
      <w:r>
        <w:rPr>
          <w:bCs/>
          <w:b/>
        </w:rPr>
        <w:t xml:space="preserve">AMA (WADA) :</w:t>
      </w:r>
      <w:r>
        <w:t xml:space="preserve"> </w:t>
      </w:r>
      <w:r>
        <w:t xml:space="preserve">pas listé.</w:t>
      </w:r>
    </w:p>
    <w:p>
      <w:pPr>
        <w:numPr>
          <w:ilvl w:val="0"/>
          <w:numId w:val="1289"/>
        </w:numPr>
        <w:pStyle w:val="Compact"/>
      </w:pPr>
      <w:r>
        <w:rPr>
          <w:bCs/>
          <w:b/>
        </w:rPr>
        <w:t xml:space="preserve">Niveau de preuve :</w:t>
      </w:r>
      <w:r>
        <w:t xml:space="preserve"> </w:t>
      </w:r>
      <w:r>
        <w:rPr>
          <w:bCs/>
          <w:b/>
        </w:rPr>
        <w:t xml:space="preserve">B</w:t>
      </w:r>
      <w:r>
        <w:t xml:space="preserve"> </w:t>
      </w:r>
      <w:r>
        <w:t xml:space="preserve">– nombreuses études randomisées contrôlées contre placebo, mais pour la plupart petites, courtes et financées par des fabricants.</w:t>
      </w:r>
    </w:p>
    <w:bookmarkEnd w:id="2319"/>
    <w:bookmarkStart w:id="2324" w:name="mode-daction-supposé-52"/>
    <w:p>
      <w:pPr>
        <w:pStyle w:val="Heading3"/>
      </w:pPr>
      <w:r>
        <w:t xml:space="preserve">Mode d’action supposé</w:t>
      </w:r>
    </w:p>
    <w:p>
      <w:pPr>
        <w:pStyle w:val="FirstParagraph"/>
      </w:pPr>
      <w:r>
        <w:t xml:space="preserve">Le collagène est la protéine la plus abondante du corps humain. Il forme la charpente de la peau, des tendons, des ligaments, du cartilage et des os. Son unité de base est une triple hélice composée de trois chaînes protéiques, dans lesquelles un motif se répète sans cesse : glycine, puis un acide aminé quelconque, puis souvent proline ou hydroxyproline. Avec l’âge, la production de collagène diminue dans la peau et le réseau de collagène devient plus fragile – ce qui se voit sous forme de rides et d’une perte de fermeté.</w:t>
      </w:r>
    </w:p>
    <w:p>
      <w:pPr>
        <w:pStyle w:val="BodyText"/>
      </w:pPr>
      <w:r>
        <w:t xml:space="preserve">La publicité suggère souvent une logique simple : manger du collagène permet de fabriquer du collagène. La digestion ne fonctionne pas ainsi. Les protéines sont largement décomposées dans l’estomac et l’intestin grêle en acides aminés isolés et en très petits peptides ; l’organisme reconstruit à partir d’eux ses propres protéines selon ses besoins. Le collagène alimentaire n’est donc pas « intégré » tel quel dans la peau.</w:t>
      </w:r>
    </w:p>
    <w:p>
      <w:pPr>
        <w:pStyle w:val="BodyText"/>
      </w:pPr>
      <w:r>
        <w:t xml:space="preserve">Il existe toutefois deux hypothèses sérieuses qui expliqueraient pourquoi les peptides de collagène pourraient malgré tout avoir un effet :</w:t>
      </w:r>
    </w:p>
    <w:p>
      <w:pPr>
        <w:numPr>
          <w:ilvl w:val="0"/>
          <w:numId w:val="1290"/>
        </w:numPr>
        <w:pStyle w:val="Compact"/>
      </w:pPr>
      <w:r>
        <w:rPr>
          <w:bCs/>
          <w:b/>
        </w:rPr>
        <w:t xml:space="preserve">Peptides signaux.</w:t>
      </w:r>
      <w:r>
        <w:t xml:space="preserve"> </w:t>
      </w:r>
      <w:r>
        <w:t xml:space="preserve">Les dipeptides et tripeptides contenant de l’hydroxyproline sont inhabituellement stables face aux enzymes digestives. Après l’ingestion d’hydrolysat de gélatine, la concentration sanguine d’hydroxyproline liée à des peptides a nettement augmenté chez des volontaires et a atteint un maximum au bout d’une à deux heures ; le composant principal était le dipeptide prolyl-hydroxyproline</w:t>
      </w:r>
      <w:r>
        <w:rPr>
          <w:rStyle w:val="FootnoteReference"/>
        </w:rPr>
        <w:footnoteReference w:id="2320"/>
      </w:r>
      <w:r>
        <w:t xml:space="preserve">. Des résultats similaires ont été observés pour une préparation riche en tripeptides</w:t>
      </w:r>
      <w:r>
        <w:rPr>
          <w:rStyle w:val="FootnoteReference"/>
        </w:rPr>
        <w:footnoteReference w:id="2321"/>
      </w:r>
      <w:r>
        <w:t xml:space="preserve">. En culture cellulaire et chez l’animal, ces peptides stimulent la croissance des cellules du tissu conjonctif (fibroblastes) et la production de constituants de la matrice. Il n’est pas démontré avec certitude que les quantités atteintes dans le sang chez l’humain suffisent à produire un effet mesurable dans la peau ou le cartilage.</w:t>
      </w:r>
    </w:p>
    <w:p>
      <w:pPr>
        <w:numPr>
          <w:ilvl w:val="0"/>
          <w:numId w:val="1290"/>
        </w:numPr>
        <w:pStyle w:val="Compact"/>
      </w:pPr>
      <w:r>
        <w:rPr>
          <w:bCs/>
          <w:b/>
        </w:rPr>
        <w:t xml:space="preserve">Apport de matériaux.</w:t>
      </w:r>
      <w:r>
        <w:t xml:space="preserve"> </w:t>
      </w:r>
      <w:r>
        <w:t xml:space="preserve">Les peptides de collagène apportent de grandes quantités de glycine, de proline et d’hydroxyproline. Dans une petite étude portant sur huit hommes, le marqueur sanguin de la néoformation de collagène a doublé lorsqu’ils avaient pris 15 g de gélatine enrichie en vitamine C une heure avant un bref effort de sauts</w:t>
      </w:r>
      <w:r>
        <w:rPr>
          <w:rStyle w:val="FootnoteReference"/>
        </w:rPr>
        <w:footnoteReference w:id="2322"/>
      </w:r>
      <w:r>
        <w:t xml:space="preserve">. Cela étaye l’idée de combiner dans le temps peptides de collagène et effort, mais il s’agit d’une valeur mesurée dans le sang, pas d’une preuve de tendons plus solides.</w:t>
      </w:r>
    </w:p>
    <w:p>
      <w:pPr>
        <w:pStyle w:val="FirstParagraph"/>
      </w:pPr>
      <w:r>
        <w:t xml:space="preserve">Point important pour situer les choses : le collagène est une source de protéines incomplète. Comme il ne contient pas de tryptophane, un mélange de peptides à base de gélatine est même utilisé délibérément en recherche pour abaisser brièvement le taux sanguin de tryptophane</w:t>
      </w:r>
      <w:r>
        <w:rPr>
          <w:rStyle w:val="FootnoteReference"/>
        </w:rPr>
        <w:footnoteReference w:id="2323"/>
      </w:r>
      <w:r>
        <w:t xml:space="preserve">. Pour le développement musculaire, le collagène est donc inférieur à d’autres protéines – nous y reviendrons plus bas.</w:t>
      </w:r>
    </w:p>
    <w:bookmarkEnd w:id="2324"/>
    <w:bookmarkStart w:id="2352" w:name="études-chez-lhumain-52"/>
    <w:p>
      <w:pPr>
        <w:pStyle w:val="Heading3"/>
      </w:pPr>
      <w:r>
        <w:t xml:space="preserve">Études chez l’humain</w:t>
      </w:r>
    </w:p>
    <w:p>
      <w:pPr>
        <w:pStyle w:val="FirstParagraph"/>
      </w:pPr>
      <w:r>
        <w:t xml:space="preserve">Les données sont abondantes, mais hétérogènes. La requête PubMed analysée pour ce livre (hydrolysat de collagène ou peptides de collagène combinés à une prise ou une supplémentation, date de requête octobre 2026) a donné 101 études chez l’humain. Sur ClinicalTrials.gov, la recherche « collagen peptides » a trouvé 237 entrées de registre ; une part considérable d’entre elles concerne toutefois d’autres sujets (par exemple les implants de collagène en médecine dentaire ou le médicament anticancéreux endostatine, un fragment de collagène). S’y ajoutent au moins une douzaine de méta-analyses.</w:t>
      </w:r>
    </w:p>
    <w:p>
      <w:pPr>
        <w:pStyle w:val="BodyText"/>
      </w:pPr>
      <w:r>
        <w:t xml:space="preserve">Trois caractéristiques marquent presque toutes les études et doivent être gardées à l’esprit à la lecture :</w:t>
      </w:r>
    </w:p>
    <w:p>
      <w:pPr>
        <w:numPr>
          <w:ilvl w:val="0"/>
          <w:numId w:val="1291"/>
        </w:numPr>
        <w:pStyle w:val="Compact"/>
      </w:pPr>
      <w:r>
        <w:rPr>
          <w:bCs/>
          <w:b/>
        </w:rPr>
        <w:t xml:space="preserve">Petits effectifs et courte durée :</w:t>
      </w:r>
      <w:r>
        <w:t xml:space="preserve"> </w:t>
      </w:r>
      <w:r>
        <w:t xml:space="preserve">le plus souvent 40 à 150 participants pendant 8 à 24 semaines.</w:t>
      </w:r>
    </w:p>
    <w:p>
      <w:pPr>
        <w:numPr>
          <w:ilvl w:val="0"/>
          <w:numId w:val="1291"/>
        </w:numPr>
        <w:pStyle w:val="Compact"/>
      </w:pPr>
      <w:r>
        <w:rPr>
          <w:bCs/>
          <w:b/>
        </w:rPr>
        <w:t xml:space="preserve">Financement par les fabricants :</w:t>
      </w:r>
      <w:r>
        <w:t xml:space="preserve"> </w:t>
      </w:r>
      <w:r>
        <w:t xml:space="preserve">une grande partie des études a été payée par les fabricants de matières premières ou de produits, ou cosignée par leurs employés. Ce sont souvent des mélanges de peptides de marque déposée qui sont testés.</w:t>
      </w:r>
    </w:p>
    <w:p>
      <w:pPr>
        <w:numPr>
          <w:ilvl w:val="0"/>
          <w:numId w:val="1291"/>
        </w:numPr>
        <w:pStyle w:val="Compact"/>
      </w:pPr>
      <w:r>
        <w:rPr>
          <w:bCs/>
          <w:b/>
        </w:rPr>
        <w:t xml:space="preserve">Produits combinés :</w:t>
      </w:r>
      <w:r>
        <w:t xml:space="preserve"> </w:t>
      </w:r>
      <w:r>
        <w:t xml:space="preserve">beaucoup de « boissons au collagène » contiennent en plus de la vitamine C, du zinc, de la biotine, de l’acide hyaluronique ou des extraits de plantes. Un résultat positif ne peut alors pas être attribué au seul collagène.</w:t>
      </w:r>
    </w:p>
    <w:bookmarkStart w:id="2327" w:name="peau-hydratation-élasticité-rides"/>
    <w:p>
      <w:pPr>
        <w:pStyle w:val="Heading4"/>
      </w:pPr>
      <w:r>
        <w:t xml:space="preserve">Peau : hydratation, élasticité, rides</w:t>
      </w:r>
    </w:p>
    <w:p>
      <w:pPr>
        <w:pStyle w:val="FirstParagraph"/>
      </w:pPr>
      <w:r>
        <w:t xml:space="preserve">Les études sur la peau sont les plus nombreuses. Les mesures sont le plus souvent instrumentales : cornéomètre (hydratation de la couche cornée), cutomètre (élasticité), empreintes cutanées ou caméras 3D (profondeur des rides), échographie (densité du derme).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protocole</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Proksch 2014a, PMID 23949208</w:t>
            </w:r>
          </w:p>
        </w:tc>
        <w:tc>
          <w:tcPr/>
          <w:p>
            <w:pPr>
              <w:pStyle w:val="Compact"/>
              <w:jc w:val="left"/>
            </w:pPr>
            <w:r>
              <w:t xml:space="preserve">69 femmes (35–55 ans), 2,5 g ou 5 g contre placebo</w:t>
            </w:r>
          </w:p>
        </w:tc>
        <w:tc>
          <w:tcPr/>
          <w:p>
            <w:pPr>
              <w:pStyle w:val="Compact"/>
              <w:jc w:val="left"/>
            </w:pPr>
            <w:r>
              <w:t xml:space="preserve">8 semaines</w:t>
            </w:r>
          </w:p>
        </w:tc>
        <w:tc>
          <w:tcPr/>
          <w:p>
            <w:pPr>
              <w:pStyle w:val="Compact"/>
              <w:jc w:val="left"/>
            </w:pPr>
            <w:r>
              <w:t xml:space="preserve">Élasticité significativement meilleure que sous placebo dans les deux groupes de dose ; hydratation non significative</w:t>
            </w:r>
          </w:p>
        </w:tc>
      </w:tr>
      <w:tr>
        <w:tc>
          <w:tcPr/>
          <w:p>
            <w:pPr>
              <w:pStyle w:val="Compact"/>
              <w:jc w:val="left"/>
            </w:pPr>
            <w:r>
              <w:t xml:space="preserve">Proksch 2014b, PMID 24401291</w:t>
            </w:r>
          </w:p>
        </w:tc>
        <w:tc>
          <w:tcPr/>
          <w:p>
            <w:pPr>
              <w:pStyle w:val="Compact"/>
              <w:jc w:val="left"/>
            </w:pPr>
            <w:r>
              <w:t xml:space="preserve">114 femmes (45–65 ans), 2,5 g de Verisol contre placebo</w:t>
            </w:r>
          </w:p>
        </w:tc>
        <w:tc>
          <w:tcPr/>
          <w:p>
            <w:pPr>
              <w:pStyle w:val="Compact"/>
              <w:jc w:val="left"/>
            </w:pPr>
            <w:r>
              <w:t xml:space="preserve">8 semaines</w:t>
            </w:r>
          </w:p>
        </w:tc>
        <w:tc>
          <w:tcPr/>
          <w:p>
            <w:pPr>
              <w:pStyle w:val="Compact"/>
              <w:jc w:val="left"/>
            </w:pPr>
            <w:r>
              <w:t xml:space="preserve">Volume des rides du contour de l’œil −20 % par rapport au placebo ; procollagène I dans les biopsies cutanées +65 %</w:t>
            </w:r>
          </w:p>
        </w:tc>
      </w:tr>
      <w:tr>
        <w:tc>
          <w:tcPr/>
          <w:p>
            <w:pPr>
              <w:pStyle w:val="Compact"/>
              <w:jc w:val="left"/>
            </w:pPr>
            <w:r>
              <w:t xml:space="preserve">Kim 2018, PMID 29949889</w:t>
            </w:r>
          </w:p>
        </w:tc>
        <w:tc>
          <w:tcPr/>
          <w:p>
            <w:pPr>
              <w:pStyle w:val="Compact"/>
              <w:jc w:val="left"/>
            </w:pPr>
            <w:r>
              <w:t xml:space="preserve">64 personnes, 1 g de peptide de bas poids moléculaire contre placebo</w:t>
            </w:r>
          </w:p>
        </w:tc>
        <w:tc>
          <w:tcPr/>
          <w:p>
            <w:pPr>
              <w:pStyle w:val="Compact"/>
              <w:jc w:val="left"/>
            </w:pPr>
            <w:r>
              <w:t xml:space="preserve">12 semaines</w:t>
            </w:r>
          </w:p>
        </w:tc>
        <w:tc>
          <w:tcPr/>
          <w:p>
            <w:pPr>
              <w:pStyle w:val="Compact"/>
              <w:jc w:val="left"/>
            </w:pPr>
            <w:r>
              <w:t xml:space="preserve">Hydratation et trois paramètres des rides meilleurs que sous placebo ; élasticité en partie</w:t>
            </w:r>
          </w:p>
        </w:tc>
      </w:tr>
      <w:tr>
        <w:tc>
          <w:tcPr/>
          <w:p>
            <w:pPr>
              <w:pStyle w:val="Compact"/>
              <w:jc w:val="left"/>
            </w:pPr>
            <w:r>
              <w:t xml:space="preserve">Bolke 2019, PMID 31627309</w:t>
            </w:r>
          </w:p>
        </w:tc>
        <w:tc>
          <w:tcPr/>
          <w:p>
            <w:pPr>
              <w:pStyle w:val="Compact"/>
              <w:jc w:val="left"/>
            </w:pPr>
            <w:r>
              <w:t xml:space="preserve">72 femmes de 35 ans et plus, ampoule buvable de 2,5 g de peptides plus vitamines, zinc, acérola contre placebo</w:t>
            </w:r>
          </w:p>
        </w:tc>
        <w:tc>
          <w:tcPr/>
          <w:p>
            <w:pPr>
              <w:pStyle w:val="Compact"/>
              <w:jc w:val="left"/>
            </w:pPr>
            <w:r>
              <w:t xml:space="preserve">12 semaines</w:t>
            </w:r>
          </w:p>
        </w:tc>
        <w:tc>
          <w:tcPr/>
          <w:p>
            <w:pPr>
              <w:pStyle w:val="Compact"/>
              <w:jc w:val="left"/>
            </w:pPr>
            <w:r>
              <w:t xml:space="preserve">Hydratation, élasticité, rugosité et densité meilleures que sous placebo (produit combiné)</w:t>
            </w:r>
          </w:p>
        </w:tc>
      </w:tr>
      <w:tr>
        <w:tc>
          <w:tcPr/>
          <w:p>
            <w:pPr>
              <w:pStyle w:val="Compact"/>
              <w:jc w:val="left"/>
            </w:pPr>
            <w:r>
              <w:t xml:space="preserve">Kim 2022, PMID 36516059</w:t>
            </w:r>
          </w:p>
        </w:tc>
        <w:tc>
          <w:tcPr/>
          <w:p>
            <w:pPr>
              <w:pStyle w:val="Compact"/>
              <w:jc w:val="left"/>
            </w:pPr>
            <w:r>
              <w:t xml:space="preserve">100 personnes, peptides de bas poids moléculaire contre placebo</w:t>
            </w:r>
          </w:p>
        </w:tc>
        <w:tc>
          <w:tcPr/>
          <w:p>
            <w:pPr>
              <w:pStyle w:val="Compact"/>
              <w:jc w:val="left"/>
            </w:pPr>
            <w:r>
              <w:t xml:space="preserve">12 semaines</w:t>
            </w:r>
          </w:p>
        </w:tc>
        <w:tc>
          <w:tcPr/>
          <w:p>
            <w:pPr>
              <w:pStyle w:val="Compact"/>
              <w:jc w:val="left"/>
            </w:pPr>
            <w:r>
              <w:t xml:space="preserve">Pattes d’oie, rugosité, élasticité, hydratation meilleures que sous placebo (analyse de 84 personnes)</w:t>
            </w:r>
          </w:p>
        </w:tc>
      </w:tr>
      <w:tr>
        <w:tc>
          <w:tcPr/>
          <w:p>
            <w:pPr>
              <w:pStyle w:val="Compact"/>
              <w:jc w:val="left"/>
            </w:pPr>
            <w:r>
              <w:t xml:space="preserve">Vleminckx 2024, PMID 39143887</w:t>
            </w:r>
          </w:p>
        </w:tc>
        <w:tc>
          <w:tcPr/>
          <w:p>
            <w:pPr>
              <w:pStyle w:val="Compact"/>
              <w:jc w:val="left"/>
            </w:pPr>
            <w:r>
              <w:t xml:space="preserve">85 femmes d’Asie de l’Est (43–65 ans), 5 g contre maltodextrine</w:t>
            </w:r>
          </w:p>
        </w:tc>
        <w:tc>
          <w:tcPr/>
          <w:p>
            <w:pPr>
              <w:pStyle w:val="Compact"/>
              <w:jc w:val="left"/>
            </w:pPr>
            <w:r>
              <w:t xml:space="preserve">12 semaines</w:t>
            </w:r>
          </w:p>
        </w:tc>
        <w:tc>
          <w:tcPr/>
          <w:p>
            <w:pPr>
              <w:pStyle w:val="Compact"/>
              <w:jc w:val="left"/>
            </w:pPr>
            <w:r>
              <w:t xml:space="preserve">Densité cutanée et hydratation meilleures que sous placebo après 84 jours</w:t>
            </w:r>
          </w:p>
        </w:tc>
      </w:tr>
    </w:tbl>
    <w:p>
      <w:pPr>
        <w:pStyle w:val="BodyText"/>
      </w:pPr>
      <w:r>
        <w:t xml:space="preserve">Certaines études ont aussi porté sur la cellulite (105 femmes, six mois ; amélioration surtout chez les femmes de poids normal, Schunck 2015, PMID 26561784) et les ongles cassants. L’étude sur les ongles était toutefois ouverte et sans groupe témoin : 25 participants, croissance des ongles +12 %, ongles cassés −42 %</w:t>
      </w:r>
      <w:r>
        <w:rPr>
          <w:rStyle w:val="FootnoteReference"/>
        </w:rPr>
        <w:footnoteReference w:id="2325"/>
      </w:r>
      <w:r>
        <w:t xml:space="preserve">. Sans groupe de comparaison, un effet placebo ne peut pas être exclu ici.</w:t>
      </w:r>
    </w:p>
    <w:p>
      <w:pPr>
        <w:pStyle w:val="BodyText"/>
      </w:pPr>
      <w:r>
        <w:t xml:space="preserve">Chez des patientes et patients atteints d’escarres, un hydrolysat de collagène riche en prolyl-hydroxyproline a été testé en complément du traitement standard. Chez 120 participants, la cicatrisation était meilleure dans ce groupe que sous placebo après 16 semaines</w:t>
      </w:r>
      <w:r>
        <w:rPr>
          <w:rStyle w:val="FootnoteReference"/>
        </w:rPr>
        <w:footnoteReference w:id="2326"/>
      </w:r>
      <w:r>
        <w:t xml:space="preserve">. Une petite étude de 2026 dans la dermatite atopique modérée a rapporté une consommation moindre de crème à la cortisone sous 5 g de peptides de collagène (0,94 g contre 5,60 g ; Proksch 2026, PMID 41758763) ; les auteurs eux-mêmes réclament de plus grandes études de confirmation.</w:t>
      </w:r>
    </w:p>
    <w:bookmarkEnd w:id="2327"/>
    <w:bookmarkStart w:id="2332" w:name="X3fa25e505aa1e5478cfc1e037c9cbfb8358960b"/>
    <w:p>
      <w:pPr>
        <w:pStyle w:val="Heading4"/>
      </w:pPr>
      <w:r>
        <w:t xml:space="preserve">Les méta-analyses sur la peau – et la question du financement</w:t>
      </w:r>
    </w:p>
    <w:p>
      <w:pPr>
        <w:pStyle w:val="FirstParagraph"/>
      </w:pPr>
      <w:r>
        <w:t xml:space="preserve">Si l’on regroupe les études sur la peau, on obtient à première vue un tableau clair :</w:t>
      </w:r>
    </w:p>
    <w:p>
      <w:pPr>
        <w:numPr>
          <w:ilvl w:val="0"/>
          <w:numId w:val="1292"/>
        </w:numPr>
        <w:pStyle w:val="Compact"/>
      </w:pPr>
      <w:r>
        <w:t xml:space="preserve">19 études réunissant 1 125 participants : effet favorable sur l’hydratation, l’élasticité et les rides</w:t>
      </w:r>
      <w:r>
        <w:rPr>
          <w:rStyle w:val="FootnoteReference"/>
        </w:rPr>
        <w:footnoteReference w:id="2328"/>
      </w:r>
      <w:r>
        <w:t xml:space="preserve">.</w:t>
      </w:r>
    </w:p>
    <w:p>
      <w:pPr>
        <w:numPr>
          <w:ilvl w:val="0"/>
          <w:numId w:val="1292"/>
        </w:numPr>
        <w:pStyle w:val="Compact"/>
      </w:pPr>
      <w:r>
        <w:t xml:space="preserve">26 études réunissant 1 721 participants : amélioration significative de l’hydratation et de l’élasticité ; les auteurs signalent toutefois plusieurs sources de biais et réclament de grandes études</w:t>
      </w:r>
      <w:r>
        <w:rPr>
          <w:rStyle w:val="FootnoteReference"/>
        </w:rPr>
        <w:footnoteReference w:id="2329"/>
      </w:r>
      <w:r>
        <w:t xml:space="preserve">.</w:t>
      </w:r>
    </w:p>
    <w:p>
      <w:pPr>
        <w:numPr>
          <w:ilvl w:val="0"/>
          <w:numId w:val="1292"/>
        </w:numPr>
        <w:pStyle w:val="Compact"/>
      </w:pPr>
      <w:r>
        <w:t xml:space="preserve">10 études réunissant 646 participants : hydratation et élasticité améliorées, avec une hétérogénéité moyenne et un risque de biais le plus souvent incertain</w:t>
      </w:r>
      <w:r>
        <w:rPr>
          <w:rStyle w:val="FootnoteReference"/>
        </w:rPr>
        <w:footnoteReference w:id="2330"/>
      </w:r>
      <w:r>
        <w:t xml:space="preserve">.</w:t>
      </w:r>
    </w:p>
    <w:p>
      <w:pPr>
        <w:pStyle w:val="FirstParagraph"/>
      </w:pPr>
      <w:r>
        <w:t xml:space="preserve">Une méta-analyse de 2025 est allée plus loin et a séparé les études selon leur financeur et leur qualité. Sur l’ensemble des 23 études réunissant 1 474 participants, un avantage apparaissait de nouveau. Mais si l’on ne considérait que les études</w:t>
      </w:r>
      <w:r>
        <w:t xml:space="preserve"> </w:t>
      </w:r>
      <w:r>
        <w:rPr>
          <w:iCs/>
          <w:i/>
        </w:rPr>
        <w:t xml:space="preserve">sans</w:t>
      </w:r>
      <w:r>
        <w:t xml:space="preserve"> </w:t>
      </w:r>
      <w:r>
        <w:t xml:space="preserve">financement industriel, l’effet sur l’hydratation, l’élasticité et les rides disparaissait. Les études de haute qualité méthodologique ne montraient elles non plus d’effet significatif dans aucune catégorie ; seule une amélioration de l’élasticité apparaissait dans les études de faible qualité. Les auteurs concluent qu’il n’existe actuellement aucune preuve clinique justifiant l’utilisation de préparations de collagène pour prévenir ou traiter le vieillissement cutané</w:t>
      </w:r>
      <w:r>
        <w:rPr>
          <w:rStyle w:val="FootnoteReference"/>
        </w:rPr>
        <w:footnoteReference w:id="2331"/>
      </w:r>
      <w:r>
        <w:t xml:space="preserve">.</w:t>
      </w:r>
    </w:p>
    <w:p>
      <w:pPr>
        <w:pStyle w:val="BodyText"/>
      </w:pPr>
      <w:r>
        <w:t xml:space="preserve">Ce résultat n’est pas un verdict définitif – le nombre d’études indépendantes est faible, et l’absence de significativité statistique ne signifie pas automatiquement qu’il n’y a pas d’effet. Mais il montre à quel point le bilan global positif dépend d’études financées par les vendeurs eux-mêmes. Pour vous, lectrices et lecteurs, cela signifie : la mention « cliniquement prouvé » sur un emballage de collagène repose en règle générale sur des études du propre fournisseur de la matière première.</w:t>
      </w:r>
    </w:p>
    <w:bookmarkEnd w:id="2332"/>
    <w:bookmarkStart w:id="2338" w:name="articulations-et-arthrose"/>
    <w:p>
      <w:pPr>
        <w:pStyle w:val="Heading4"/>
      </w:pPr>
      <w:r>
        <w:t xml:space="preserve">Articulations et arthrose</w:t>
      </w:r>
    </w:p>
    <w:p>
      <w:pPr>
        <w:pStyle w:val="FirstParagraph"/>
      </w:pPr>
      <w:r>
        <w:t xml:space="preserve">Le deuxième grand groupe d’études concerne les douleurs articulaires – aussi bien dans l’arthrose que chez des personnes sportives sans diagnostic.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protocole</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Clark 2008, PMID 18416885</w:t>
            </w:r>
          </w:p>
        </w:tc>
        <w:tc>
          <w:tcPr/>
          <w:p>
            <w:pPr>
              <w:pStyle w:val="Compact"/>
              <w:jc w:val="left"/>
            </w:pPr>
            <w:r>
              <w:t xml:space="preserve">147 sportives et sportifs souffrant de douleurs articulaires liées à l’effort, 10 g contre placebo</w:t>
            </w:r>
          </w:p>
        </w:tc>
        <w:tc>
          <w:tcPr/>
          <w:p>
            <w:pPr>
              <w:pStyle w:val="Compact"/>
              <w:jc w:val="left"/>
            </w:pPr>
            <w:r>
              <w:t xml:space="preserve">24 semaines</w:t>
            </w:r>
          </w:p>
        </w:tc>
        <w:tc>
          <w:tcPr/>
          <w:p>
            <w:pPr>
              <w:pStyle w:val="Compact"/>
              <w:jc w:val="left"/>
            </w:pPr>
            <w:r>
              <w:t xml:space="preserve">Plusieurs scores de douleur meilleurs que sous placebo ; seuls 97 sur 147 analysables</w:t>
            </w:r>
          </w:p>
        </w:tc>
      </w:tr>
      <w:tr>
        <w:tc>
          <w:tcPr/>
          <w:p>
            <w:pPr>
              <w:pStyle w:val="Compact"/>
              <w:jc w:val="left"/>
            </w:pPr>
            <w:r>
              <w:t xml:space="preserve">Bruyère 2012, PMID 22500661</w:t>
            </w:r>
          </w:p>
        </w:tc>
        <w:tc>
          <w:tcPr/>
          <w:p>
            <w:pPr>
              <w:pStyle w:val="Compact"/>
              <w:jc w:val="left"/>
            </w:pPr>
            <w:r>
              <w:t xml:space="preserve">200 personnes de 50 ans et plus souffrant de douleurs articulaires, 1,2 g contre placebo</w:t>
            </w:r>
          </w:p>
        </w:tc>
        <w:tc>
          <w:tcPr/>
          <w:p>
            <w:pPr>
              <w:pStyle w:val="Compact"/>
              <w:jc w:val="left"/>
            </w:pPr>
            <w:r>
              <w:t xml:space="preserve">6 mois</w:t>
            </w:r>
          </w:p>
        </w:tc>
        <w:tc>
          <w:tcPr/>
          <w:p>
            <w:pPr>
              <w:pStyle w:val="Compact"/>
              <w:jc w:val="left"/>
            </w:pPr>
            <w:r>
              <w:t xml:space="preserve">Taux de réponse 51,6 % contre 36,5 % après 6 mois ; aucune différence après 3 mois</w:t>
            </w:r>
          </w:p>
        </w:tc>
      </w:tr>
      <w:tr>
        <w:tc>
          <w:tcPr/>
          <w:p>
            <w:pPr>
              <w:pStyle w:val="Compact"/>
              <w:jc w:val="left"/>
            </w:pPr>
            <w:r>
              <w:t xml:space="preserve">Kumar 2015, PMID 24852756</w:t>
            </w:r>
          </w:p>
        </w:tc>
        <w:tc>
          <w:tcPr/>
          <w:p>
            <w:pPr>
              <w:pStyle w:val="Compact"/>
              <w:jc w:val="left"/>
            </w:pPr>
            <w:r>
              <w:t xml:space="preserve">Gonarthrose, peptides de peau de porc ou d’os bovins contre placebo</w:t>
            </w:r>
          </w:p>
        </w:tc>
        <w:tc>
          <w:tcPr/>
          <w:p>
            <w:pPr>
              <w:pStyle w:val="Compact"/>
              <w:jc w:val="left"/>
            </w:pPr>
            <w:r>
              <w:t xml:space="preserve">13 semaines</w:t>
            </w:r>
          </w:p>
        </w:tc>
        <w:tc>
          <w:tcPr/>
          <w:p>
            <w:pPr>
              <w:pStyle w:val="Compact"/>
              <w:jc w:val="left"/>
            </w:pPr>
            <w:r>
              <w:t xml:space="preserve">Scores WOMAC, de douleur et de qualité de vie meilleurs que sous placebo</w:t>
            </w:r>
          </w:p>
        </w:tc>
      </w:tr>
      <w:tr>
        <w:tc>
          <w:tcPr/>
          <w:p>
            <w:pPr>
              <w:pStyle w:val="Compact"/>
              <w:jc w:val="left"/>
            </w:pPr>
            <w:r>
              <w:t xml:space="preserve">Zdzieblik 2017, PMID 28177710</w:t>
            </w:r>
          </w:p>
        </w:tc>
        <w:tc>
          <w:tcPr/>
          <w:p>
            <w:pPr>
              <w:pStyle w:val="Compact"/>
              <w:jc w:val="left"/>
            </w:pPr>
            <w:r>
              <w:t xml:space="preserve">139 sportifs souffrant de troubles du genou, 5 g contre placebo</w:t>
            </w:r>
          </w:p>
        </w:tc>
        <w:tc>
          <w:tcPr/>
          <w:p>
            <w:pPr>
              <w:pStyle w:val="Compact"/>
              <w:jc w:val="left"/>
            </w:pPr>
            <w:r>
              <w:t xml:space="preserve">12 semaines</w:t>
            </w:r>
          </w:p>
        </w:tc>
        <w:tc>
          <w:tcPr/>
          <w:p>
            <w:pPr>
              <w:pStyle w:val="Compact"/>
              <w:jc w:val="left"/>
            </w:pPr>
            <w:r>
              <w:t xml:space="preserve">Douleur à l’effort meilleure que sous placebo (p = 0,046) ; douleur au repos non</w:t>
            </w:r>
          </w:p>
        </w:tc>
      </w:tr>
      <w:tr>
        <w:tc>
          <w:tcPr/>
          <w:p>
            <w:pPr>
              <w:pStyle w:val="Compact"/>
              <w:jc w:val="left"/>
            </w:pPr>
            <w:r>
              <w:t xml:space="preserve">Bongers 2020, PMID 31990581</w:t>
            </w:r>
          </w:p>
        </w:tc>
        <w:tc>
          <w:tcPr/>
          <w:p>
            <w:pPr>
              <w:pStyle w:val="Compact"/>
              <w:jc w:val="left"/>
            </w:pPr>
            <w:r>
              <w:t xml:space="preserve">167 personnes actives (âge médian 63 ans) souffrant de douleurs au genou, 10 g contre placebo</w:t>
            </w:r>
          </w:p>
        </w:tc>
        <w:tc>
          <w:tcPr/>
          <w:p>
            <w:pPr>
              <w:pStyle w:val="Compact"/>
              <w:jc w:val="left"/>
            </w:pPr>
            <w:r>
              <w:t xml:space="preserve">12 semaines</w:t>
            </w:r>
          </w:p>
        </w:tc>
        <w:tc>
          <w:tcPr/>
          <w:p>
            <w:pPr>
              <w:pStyle w:val="Compact"/>
              <w:jc w:val="left"/>
            </w:pPr>
            <w:r>
              <w:t xml:space="preserve">Aucune différence : la douleur a diminué autant dans les deux groupes</w:t>
            </w:r>
          </w:p>
        </w:tc>
      </w:tr>
    </w:tbl>
    <w:p>
      <w:pPr>
        <w:pStyle w:val="BodyText"/>
      </w:pPr>
      <w:r>
        <w:t xml:space="preserve">L’étude de Bongers est remarquable, car elle fait partie des plus grandes et rapporte un résultat clairement négatif : la douleur et la fonction du genou se sont améliorées – mais tout autant sous placebo que sous collagène. Cela illustre l’ampleur de l’effet placebo dans les douleurs articulaires.</w:t>
      </w:r>
    </w:p>
    <w:p>
      <w:pPr>
        <w:pStyle w:val="BodyText"/>
      </w:pPr>
      <w:r>
        <w:t xml:space="preserve">Les méta-analyses aboutissent malgré tout majoritairement à un résultat favorable :</w:t>
      </w:r>
    </w:p>
    <w:p>
      <w:pPr>
        <w:numPr>
          <w:ilvl w:val="0"/>
          <w:numId w:val="1293"/>
        </w:numPr>
        <w:pStyle w:val="Compact"/>
      </w:pPr>
      <w:r>
        <w:t xml:space="preserve">Une méta-analyse d’études randomisées contrôlées contre placebo a trouvé une réduction significative du score WOMAC total (un questionnaire sur l’arthrose) et du score de douleur sur l’échelle visuelle analogique ; les sous-scores douleur et limitation fonctionnelle du WOMAC ne différaient toutefois pas significativement</w:t>
      </w:r>
      <w:r>
        <w:rPr>
          <w:rStyle w:val="FootnoteReference"/>
        </w:rPr>
        <w:footnoteReference w:id="2333"/>
      </w:r>
      <w:r>
        <w:t xml:space="preserve">.</w:t>
      </w:r>
    </w:p>
    <w:p>
      <w:pPr>
        <w:numPr>
          <w:ilvl w:val="0"/>
          <w:numId w:val="1293"/>
        </w:numPr>
        <w:pStyle w:val="Compact"/>
      </w:pPr>
      <w:r>
        <w:t xml:space="preserve">L’analyse la plus vaste à ce jour portait sur 35 études réunissant 3 165 patientes et patients atteints d’arthrose. Les dérivés du collagène – le collagène hydrolysé et le collagène non dénaturé y sont regroupés – avaient des effets faibles à modérés sur la douleur (différence moyenne standardisée −0,35) et la fonction (−0,31). Les effets indésirables et les abandons d’étude n’étaient pas plus fréquents que dans les groupes témoins</w:t>
      </w:r>
      <w:r>
        <w:rPr>
          <w:rStyle w:val="FootnoteReference"/>
        </w:rPr>
        <w:footnoteReference w:id="2334"/>
      </w:r>
      <w:r>
        <w:t xml:space="preserve">.</w:t>
      </w:r>
    </w:p>
    <w:p>
      <w:pPr>
        <w:numPr>
          <w:ilvl w:val="0"/>
          <w:numId w:val="1293"/>
        </w:numPr>
        <w:pStyle w:val="Compact"/>
      </w:pPr>
      <w:r>
        <w:t xml:space="preserve">Une analyse de quatre études seulement, réunissant 507 patientes et patients atteints de gonarthrose, a également trouvé un soulagement de la douleur, mais a jugé les quatre études à haut risque de biais</w:t>
      </w:r>
      <w:r>
        <w:rPr>
          <w:rStyle w:val="FootnoteReference"/>
        </w:rPr>
        <w:footnoteReference w:id="2335"/>
      </w:r>
      <w:r>
        <w:t xml:space="preserve">.</w:t>
      </w:r>
    </w:p>
    <w:p>
      <w:pPr>
        <w:numPr>
          <w:ilvl w:val="0"/>
          <w:numId w:val="1293"/>
        </w:numPr>
        <w:pStyle w:val="Compact"/>
      </w:pPr>
      <w:r>
        <w:t xml:space="preserve">Une méta-analyse actualisée de 11 études réunissant 870 participants a rapporté des améliorations de la fonction et de la douleur, mais avec une hétérogénéité très élevée (I² 75 et 88 %)</w:t>
      </w:r>
      <w:r>
        <w:rPr>
          <w:rStyle w:val="FootnoteReference"/>
        </w:rPr>
        <w:footnoteReference w:id="2336"/>
      </w:r>
      <w:r>
        <w:t xml:space="preserve">.</w:t>
      </w:r>
    </w:p>
    <w:p>
      <w:pPr>
        <w:pStyle w:val="FirstParagraph"/>
      </w:pPr>
      <w:r>
        <w:t xml:space="preserve">Pour situer les choses : une différence moyenne standardisée d’environ 0,3 est considérée comme un petit effet. Il est d’un ordre de grandeur comparable à celui de certains autres compléments alimentaires contre l’arthrose et nettement inférieur à l’effet qu’on attend d’un antalgique. Une grande revue des compléments alimentaires dans l’arthrose a trouvé pour l’hydrolysat de collagène de grands effets à court terme sur la douleur, mais a conclu globalement que la qualité des preuves était très faible et qu’aucune préparation ne montrait d’effets cliniquement significatifs à long terme</w:t>
      </w:r>
      <w:r>
        <w:rPr>
          <w:rStyle w:val="FootnoteReference"/>
        </w:rPr>
        <w:footnoteReference w:id="2337"/>
      </w:r>
      <w:r>
        <w:t xml:space="preserve">.</w:t>
      </w:r>
    </w:p>
    <w:bookmarkEnd w:id="2338"/>
    <w:bookmarkStart w:id="2341" w:name="X15e713e3e0caa1a54f4b655c85541458ff10054"/>
    <w:p>
      <w:pPr>
        <w:pStyle w:val="Heading4"/>
      </w:pPr>
      <w:r>
        <w:t xml:space="preserve">Distinction : le collagène de type II non dénaturé (UC-II)</w:t>
      </w:r>
    </w:p>
    <w:p>
      <w:pPr>
        <w:pStyle w:val="FirstParagraph"/>
      </w:pPr>
      <w:r>
        <w:t xml:space="preserve">Le collagène de type II non dénaturé est extrait en douceur du cartilage de bréchet de poulet, de sorte que la structure d’origine du collagène est en partie conservée. Il est pris en très petites quantités – 40 milligrammes par jour dans les études, soit environ un centième à un deux-cent-cinquantième des quantités en grammes utilisées pour l’hydrolysat de collagène. Il n’est pas censé agir comme matériau de construction, mais par ce qu’on appelle la tolérance orale : le système immunitaire de l’intestin apprendrait à ne pas traiter le collagène du cartilage comme une cible. Cette idée provient de modèles animaux d’arthrite.</w:t>
      </w:r>
    </w:p>
    <w:p>
      <w:pPr>
        <w:pStyle w:val="BodyText"/>
      </w:pPr>
      <w:r>
        <w:t xml:space="preserve">Historiquement, le principe a d’abord été testé dans la polyarthrite rhumatoïde. Une petite étude portant sur 60 patientes et patients a rapporté en 1993 une diminution des articulations gonflées et douloureuses à la pression</w:t>
      </w:r>
      <w:r>
        <w:rPr>
          <w:rStyle w:val="FootnoteReference"/>
        </w:rPr>
        <w:footnoteReference w:id="2339"/>
      </w:r>
      <w:r>
        <w:t xml:space="preserve">. Une étude plus grande, portant sur 274 participants et quatre doses, n’a ensuite trouvé un avantage significatif qu’avec la dose la plus faible et selon un seul des trois critères d’évaluation</w:t>
      </w:r>
      <w:r>
        <w:rPr>
          <w:rStyle w:val="FootnoteReference"/>
        </w:rPr>
        <w:footnoteReference w:id="2340"/>
      </w:r>
      <w:r>
        <w:t xml:space="preserve">. Cette approche ne s’est pas imposée comme traitement rhumatologique.</w:t>
      </w:r>
    </w:p>
    <w:p>
      <w:pPr>
        <w:pStyle w:val="BodyText"/>
      </w:pPr>
      <w:r>
        <w:t xml:space="preserve">Pour l’arthrose et les troubles articulaires, on dispose surtout d’études proches des fabricants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protocole</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Lugo 2016, PMID 26822714</w:t>
            </w:r>
          </w:p>
        </w:tc>
        <w:tc>
          <w:tcPr/>
          <w:p>
            <w:pPr>
              <w:pStyle w:val="Compact"/>
              <w:jc w:val="left"/>
            </w:pPr>
            <w:r>
              <w:t xml:space="preserve">191 personnes atteintes de gonarthrose, UC-II contre glucosamine/chondroïtine contre placebo</w:t>
            </w:r>
          </w:p>
        </w:tc>
        <w:tc>
          <w:tcPr/>
          <w:p>
            <w:pPr>
              <w:pStyle w:val="Compact"/>
              <w:jc w:val="left"/>
            </w:pPr>
            <w:r>
              <w:t xml:space="preserve">180 jours</w:t>
            </w:r>
          </w:p>
        </w:tc>
        <w:tc>
          <w:tcPr/>
          <w:p>
            <w:pPr>
              <w:pStyle w:val="Compact"/>
              <w:jc w:val="left"/>
            </w:pPr>
            <w:r>
              <w:t xml:space="preserve">Score WOMAC total meilleur que sous placebo (p = 0,002) et que sous glucosamine/chondroïtine (p = 0,04)</w:t>
            </w:r>
          </w:p>
        </w:tc>
      </w:tr>
      <w:tr>
        <w:tc>
          <w:tcPr/>
          <w:p>
            <w:pPr>
              <w:pStyle w:val="Compact"/>
              <w:jc w:val="left"/>
            </w:pPr>
            <w:r>
              <w:t xml:space="preserve">Lugo 2013, PMID 24153020</w:t>
            </w:r>
          </w:p>
        </w:tc>
        <w:tc>
          <w:tcPr/>
          <w:p>
            <w:pPr>
              <w:pStyle w:val="Compact"/>
              <w:jc w:val="left"/>
            </w:pPr>
            <w:r>
              <w:t xml:space="preserve">55 personnes en bonne santé souffrant de douleurs du genou à l’effort, UC-II contre placebo</w:t>
            </w:r>
          </w:p>
        </w:tc>
        <w:tc>
          <w:tcPr/>
          <w:p>
            <w:pPr>
              <w:pStyle w:val="Compact"/>
              <w:jc w:val="left"/>
            </w:pPr>
            <w:r>
              <w:t xml:space="preserve">120 jours</w:t>
            </w:r>
          </w:p>
        </w:tc>
        <w:tc>
          <w:tcPr/>
          <w:p>
            <w:pPr>
              <w:pStyle w:val="Compact"/>
              <w:jc w:val="left"/>
            </w:pPr>
            <w:r>
              <w:t xml:space="preserve">Extension du genou 81,0° contre 74,0° ; effort sans douleur plus long</w:t>
            </w:r>
          </w:p>
        </w:tc>
      </w:tr>
      <w:tr>
        <w:tc>
          <w:tcPr/>
          <w:p>
            <w:pPr>
              <w:pStyle w:val="Compact"/>
              <w:jc w:val="left"/>
            </w:pPr>
            <w:r>
              <w:t xml:space="preserve">Yuenyongviwat 2025, PMID 40897777</w:t>
            </w:r>
          </w:p>
        </w:tc>
        <w:tc>
          <w:tcPr/>
          <w:p>
            <w:pPr>
              <w:pStyle w:val="Compact"/>
              <w:jc w:val="left"/>
            </w:pPr>
            <w:r>
              <w:t xml:space="preserve">68 personnes atteintes de gonarthrose, UC-II plus hydrolysat de collagène contre placebo</w:t>
            </w:r>
          </w:p>
        </w:tc>
        <w:tc>
          <w:tcPr/>
          <w:p>
            <w:pPr>
              <w:pStyle w:val="Compact"/>
              <w:jc w:val="left"/>
            </w:pPr>
            <w:r>
              <w:t xml:space="preserve">12 semaines</w:t>
            </w:r>
          </w:p>
        </w:tc>
        <w:tc>
          <w:tcPr/>
          <w:p>
            <w:pPr>
              <w:pStyle w:val="Compact"/>
              <w:jc w:val="left"/>
            </w:pPr>
            <w:r>
              <w:t xml:space="preserve">Aucune différence pour la douleur, la fonction, les médicaments à la demande</w:t>
            </w:r>
          </w:p>
        </w:tc>
      </w:tr>
    </w:tbl>
    <w:p>
      <w:pPr>
        <w:pStyle w:val="BodyText"/>
      </w:pPr>
      <w:r>
        <w:t xml:space="preserve">L’étude la plus récente provient d’un groupe de recherche indépendant, qui souligne expressément que la plupart des études antérieures sur le collagène ont été financées par l’industrie. Elle a trouvé – comme Bongers 2020 – des améliorations dans les deux groupes, mais aucun avantage par rapport au placebo (Yuenyongviwat 2025, PMID 40897777, enregistrée sous NCT06229951).</w:t>
      </w:r>
    </w:p>
    <w:p>
      <w:pPr>
        <w:pStyle w:val="BodyText"/>
      </w:pPr>
      <w:r>
        <w:t xml:space="preserve">Important pour les consommatrices et consommateurs : l’UC-II et l’hydrolysat de collagène ne sont pas interchangeables. Les études portant sur l’un ne permettent de rien conclure sur l’autre.</w:t>
      </w:r>
    </w:p>
    <w:bookmarkEnd w:id="2341"/>
    <w:bookmarkStart w:id="2342" w:name="os"/>
    <w:p>
      <w:pPr>
        <w:pStyle w:val="Heading4"/>
      </w:pPr>
      <w:r>
        <w:t xml:space="preserve">Os</w:t>
      </w:r>
    </w:p>
    <w:p>
      <w:pPr>
        <w:pStyle w:val="FirstParagraph"/>
      </w:pPr>
      <w:r>
        <w:t xml:space="preserve">Pour les os, les données sont minces mais intéressantes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protocole</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König 2018, PMID 29337906</w:t>
            </w:r>
          </w:p>
        </w:tc>
        <w:tc>
          <w:tcPr/>
          <w:p>
            <w:pPr>
              <w:pStyle w:val="Compact"/>
              <w:jc w:val="left"/>
            </w:pPr>
            <w:r>
              <w:t xml:space="preserve">131 femmes ménopausées avec une densité osseuse réduite, 5 g contre placebo</w:t>
            </w:r>
          </w:p>
        </w:tc>
        <w:tc>
          <w:tcPr/>
          <w:p>
            <w:pPr>
              <w:pStyle w:val="Compact"/>
              <w:jc w:val="left"/>
            </w:pPr>
            <w:r>
              <w:t xml:space="preserve">12 mois</w:t>
            </w:r>
          </w:p>
        </w:tc>
        <w:tc>
          <w:tcPr/>
          <w:p>
            <w:pPr>
              <w:pStyle w:val="Compact"/>
              <w:jc w:val="left"/>
            </w:pPr>
            <w:r>
              <w:t xml:space="preserve">T-score rachis +0,1 contre −0,03 ; col du fémur +0,09 contre −0,01</w:t>
            </w:r>
          </w:p>
        </w:tc>
      </w:tr>
      <w:tr>
        <w:tc>
          <w:tcPr/>
          <w:p>
            <w:pPr>
              <w:pStyle w:val="Compact"/>
              <w:jc w:val="left"/>
            </w:pPr>
            <w:r>
              <w:t xml:space="preserve">Elam 2015, PMID 25314004</w:t>
            </w:r>
          </w:p>
        </w:tc>
        <w:tc>
          <w:tcPr/>
          <w:p>
            <w:pPr>
              <w:pStyle w:val="Compact"/>
              <w:jc w:val="left"/>
            </w:pPr>
            <w:r>
              <w:t xml:space="preserve">39 femmes atteintes d’ostéopénie, chélate calcium-collagène plus vitamine D contre calcium plus vitamine D</w:t>
            </w:r>
          </w:p>
        </w:tc>
        <w:tc>
          <w:tcPr/>
          <w:p>
            <w:pPr>
              <w:pStyle w:val="Compact"/>
              <w:jc w:val="left"/>
            </w:pPr>
            <w:r>
              <w:t xml:space="preserve">12 mois</w:t>
            </w:r>
          </w:p>
        </w:tc>
        <w:tc>
          <w:tcPr/>
          <w:p>
            <w:pPr>
              <w:pStyle w:val="Compact"/>
              <w:jc w:val="left"/>
            </w:pPr>
            <w:r>
              <w:t xml:space="preserve">Perte de densité osseuse du corps entier −1,33 % contre −3,75 % (personnes ayant terminé l’étude)</w:t>
            </w:r>
          </w:p>
        </w:tc>
      </w:tr>
      <w:tr>
        <w:tc>
          <w:tcPr/>
          <w:p>
            <w:pPr>
              <w:pStyle w:val="Compact"/>
              <w:jc w:val="left"/>
            </w:pPr>
            <w:r>
              <w:t xml:space="preserve">Lampropoulou-Adamidou 2022, PMID 34980546</w:t>
            </w:r>
          </w:p>
        </w:tc>
        <w:tc>
          <w:tcPr/>
          <w:p>
            <w:pPr>
              <w:pStyle w:val="Compact"/>
              <w:jc w:val="left"/>
            </w:pPr>
            <w:r>
              <w:t xml:space="preserve">51 femmes atteintes d’ostéopénie, 5 g de peptides plus calcium/vitamine D contre calcium/vitamine D</w:t>
            </w:r>
          </w:p>
        </w:tc>
        <w:tc>
          <w:tcPr/>
          <w:p>
            <w:pPr>
              <w:pStyle w:val="Compact"/>
              <w:jc w:val="left"/>
            </w:pPr>
            <w:r>
              <w:t xml:space="preserve">12 mois</w:t>
            </w:r>
          </w:p>
        </w:tc>
        <w:tc>
          <w:tcPr/>
          <w:p>
            <w:pPr>
              <w:pStyle w:val="Compact"/>
              <w:jc w:val="left"/>
            </w:pPr>
            <w:r>
              <w:t xml:space="preserve">Densité osseuse plus élevée au tibia et au rachis lombaire avec le collagène</w:t>
            </w:r>
          </w:p>
        </w:tc>
      </w:tr>
    </w:tbl>
    <w:p>
      <w:pPr>
        <w:pStyle w:val="BodyText"/>
      </w:pPr>
      <w:r>
        <w:t xml:space="preserve">Les différences sont faibles, les études courtes, et aucune étude n’a examiné les fractures – le critère réellement décisif. Les peptides de collagène ne remplacent pas un traitement de l’ostéoporose ayant démontré une réduction des fractures.</w:t>
      </w:r>
    </w:p>
    <w:bookmarkEnd w:id="2342"/>
    <w:bookmarkStart w:id="2349" w:name="muscles-et-tendons"/>
    <w:p>
      <w:pPr>
        <w:pStyle w:val="Heading4"/>
      </w:pPr>
      <w:r>
        <w:t xml:space="preserve">Muscles et tendons</w:t>
      </w:r>
    </w:p>
    <w:p>
      <w:pPr>
        <w:pStyle w:val="FirstParagraph"/>
      </w:pPr>
      <w:r>
        <w:t xml:space="preserve">Dans le sport, les peptides de collagène sont promus pour deux objectifs différents : le développement musculaire et le renforcement des tendons et ligaments.</w:t>
      </w:r>
    </w:p>
    <w:p>
      <w:pPr>
        <w:pStyle w:val="BodyText"/>
      </w:pPr>
      <w:r>
        <w:rPr>
          <w:bCs/>
          <w:b/>
        </w:rPr>
        <w:t xml:space="preserve">Développement musculaire.</w:t>
      </w:r>
      <w:r>
        <w:t xml:space="preserve"> </w:t>
      </w:r>
      <w:r>
        <w:t xml:space="preserve">L’étude la plus citée a porté sur 53 hommes âgés atteints de sarcopénie (fonte musculaire liée à l’âge), qui ont suivi douze semaines de musculation en recevant 15 g de peptides de collagène ou un placebo (dioxyde de silicium). La masse maigre a augmenté de 4,2 kg sous collagène et de 2,9 kg sous placebo</w:t>
      </w:r>
      <w:r>
        <w:rPr>
          <w:rStyle w:val="FootnoteReference"/>
        </w:rPr>
        <w:footnoteReference w:id="2343"/>
      </w:r>
      <w:r>
        <w:t xml:space="preserve">. Le problème : le groupe placebo ne recevait aucune protéine. L’avantage pourrait donc tenir simplement à l’apport protéique supplémentaire.</w:t>
      </w:r>
    </w:p>
    <w:p>
      <w:pPr>
        <w:pStyle w:val="BodyText"/>
      </w:pPr>
      <w:r>
        <w:t xml:space="preserve">C’est précisément à cette question que répondent les comparaisons avec des protéines de haute qualité. Chez 22 femmes âgées, les protéines de lactosérum ont augmenté la synthèse des protéines musculaires à court terme comme sur six jours, pas les peptides de collagène</w:t>
      </w:r>
      <w:r>
        <w:rPr>
          <w:rStyle w:val="FootnoteReference"/>
        </w:rPr>
        <w:footnoteReference w:id="2344"/>
      </w:r>
      <w:r>
        <w:t xml:space="preserve">. Chez de jeunes adultes, l’épaisseur musculaire a davantage augmenté après dix semaines de musculation avec les protéines de lactosérum qu’avec le collagène, même lorsque le collagène était enrichi en leucine à la même teneur</w:t>
      </w:r>
      <w:r>
        <w:rPr>
          <w:rStyle w:val="FootnoteReference"/>
        </w:rPr>
        <w:footnoteReference w:id="2345"/>
      </w:r>
      <w:r>
        <w:t xml:space="preserve">. Une étude portant sur 25 jeunes hommes n’a trouvé sous 2 × 15 g de collagène par jour aucune synthèse plus élevée de protéines musculaires ou conjonctives que sous placebo</w:t>
      </w:r>
      <w:r>
        <w:rPr>
          <w:rStyle w:val="FootnoteReference"/>
        </w:rPr>
        <w:footnoteReference w:id="2346"/>
      </w:r>
      <w:r>
        <w:t xml:space="preserve">.</w:t>
      </w:r>
    </w:p>
    <w:p>
      <w:pPr>
        <w:pStyle w:val="BodyText"/>
      </w:pPr>
      <w:r>
        <w:rPr>
          <w:bCs/>
          <w:b/>
        </w:rPr>
        <w:t xml:space="preserve">Tendons.</w:t>
      </w:r>
      <w:r>
        <w:t xml:space="preserve"> </w:t>
      </w:r>
      <w:r>
        <w:t xml:space="preserve">Ici, les résultats sont contradictoires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protocole</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Jerger 2023, PMID 37424319</w:t>
            </w:r>
          </w:p>
        </w:tc>
        <w:tc>
          <w:tcPr/>
          <w:p>
            <w:pPr>
              <w:pStyle w:val="Compact"/>
              <w:jc w:val="left"/>
            </w:pPr>
            <w:r>
              <w:t xml:space="preserve">50 hommes, musculation plus 5 g contre placebo</w:t>
            </w:r>
          </w:p>
        </w:tc>
        <w:tc>
          <w:tcPr/>
          <w:p>
            <w:pPr>
              <w:pStyle w:val="Compact"/>
              <w:jc w:val="left"/>
            </w:pPr>
            <w:r>
              <w:t xml:space="preserve">14 semaines</w:t>
            </w:r>
          </w:p>
        </w:tc>
        <w:tc>
          <w:tcPr/>
          <w:p>
            <w:pPr>
              <w:pStyle w:val="Compact"/>
              <w:jc w:val="left"/>
            </w:pPr>
            <w:r>
              <w:t xml:space="preserve">Section du tendon rotulien davantage augmentée ; rigidité et force sans différence entre groupes</w:t>
            </w:r>
          </w:p>
        </w:tc>
      </w:tr>
      <w:tr>
        <w:tc>
          <w:tcPr/>
          <w:p>
            <w:pPr>
              <w:pStyle w:val="Compact"/>
              <w:jc w:val="left"/>
            </w:pPr>
            <w:r>
              <w:t xml:space="preserve">Balshaw 2023, PMID 37436929</w:t>
            </w:r>
          </w:p>
        </w:tc>
        <w:tc>
          <w:tcPr/>
          <w:p>
            <w:pPr>
              <w:pStyle w:val="Compact"/>
              <w:jc w:val="left"/>
            </w:pPr>
            <w:r>
              <w:t xml:space="preserve">39 jeunes hommes, musculation plus 15 g contre placebo</w:t>
            </w:r>
          </w:p>
        </w:tc>
        <w:tc>
          <w:tcPr/>
          <w:p>
            <w:pPr>
              <w:pStyle w:val="Compact"/>
              <w:jc w:val="left"/>
            </w:pPr>
            <w:r>
              <w:t xml:space="preserve">15 semaines</w:t>
            </w:r>
          </w:p>
        </w:tc>
        <w:tc>
          <w:tcPr/>
          <w:p>
            <w:pPr>
              <w:pStyle w:val="Compact"/>
              <w:jc w:val="left"/>
            </w:pPr>
            <w:r>
              <w:t xml:space="preserve">Aucune différence de taille ou de mécanique des tendons</w:t>
            </w:r>
          </w:p>
        </w:tc>
      </w:tr>
      <w:tr>
        <w:tc>
          <w:tcPr/>
          <w:p>
            <w:pPr>
              <w:pStyle w:val="Compact"/>
              <w:jc w:val="left"/>
            </w:pPr>
            <w:r>
              <w:t xml:space="preserve">Miyamoto 2025, PMID 40623147</w:t>
            </w:r>
          </w:p>
        </w:tc>
        <w:tc>
          <w:tcPr/>
          <w:p>
            <w:pPr>
              <w:pStyle w:val="Compact"/>
              <w:jc w:val="left"/>
            </w:pPr>
            <w:r>
              <w:t xml:space="preserve">50 hommes non entraînés, 10 g contre placebo</w:t>
            </w:r>
          </w:p>
        </w:tc>
        <w:tc>
          <w:tcPr/>
          <w:p>
            <w:pPr>
              <w:pStyle w:val="Compact"/>
              <w:jc w:val="left"/>
            </w:pPr>
            <w:r>
              <w:t xml:space="preserve">16 semaines</w:t>
            </w:r>
          </w:p>
        </w:tc>
        <w:tc>
          <w:tcPr/>
          <w:p>
            <w:pPr>
              <w:pStyle w:val="Compact"/>
              <w:jc w:val="left"/>
            </w:pPr>
            <w:r>
              <w:t xml:space="preserve">Rigidité du muscle du mollet et du tendon d’Achille accrue ; section inchangée</w:t>
            </w:r>
          </w:p>
        </w:tc>
      </w:tr>
      <w:tr>
        <w:tc>
          <w:tcPr/>
          <w:p>
            <w:pPr>
              <w:pStyle w:val="Compact"/>
              <w:jc w:val="left"/>
            </w:pPr>
            <w:r>
              <w:t xml:space="preserve">Praet 2019, PMID 30609761</w:t>
            </w:r>
          </w:p>
        </w:tc>
        <w:tc>
          <w:tcPr/>
          <w:p>
            <w:pPr>
              <w:pStyle w:val="Compact"/>
              <w:jc w:val="left"/>
            </w:pPr>
            <w:r>
              <w:t xml:space="preserve">20 personnes souffrant de troubles du tendon d’Achille, étude croisée avec entraînement</w:t>
            </w:r>
          </w:p>
        </w:tc>
        <w:tc>
          <w:tcPr/>
          <w:p>
            <w:pPr>
              <w:pStyle w:val="Compact"/>
              <w:jc w:val="left"/>
            </w:pPr>
            <w:r>
              <w:t xml:space="preserve">6 mois</w:t>
            </w:r>
          </w:p>
        </w:tc>
        <w:tc>
          <w:tcPr/>
          <w:p>
            <w:pPr>
              <w:pStyle w:val="Compact"/>
              <w:jc w:val="left"/>
            </w:pPr>
            <w:r>
              <w:t xml:space="preserve">Amélioration plus rapide au questionnaire de symptômes pendant la phase collagène (étude pilote)</w:t>
            </w:r>
          </w:p>
        </w:tc>
      </w:tr>
      <w:tr>
        <w:tc>
          <w:tcPr/>
          <w:p>
            <w:pPr>
              <w:pStyle w:val="Compact"/>
              <w:jc w:val="left"/>
            </w:pPr>
            <w:r>
              <w:t xml:space="preserve">Dressler 2018, PMID 29769831</w:t>
            </w:r>
          </w:p>
        </w:tc>
        <w:tc>
          <w:tcPr/>
          <w:p>
            <w:pPr>
              <w:pStyle w:val="Compact"/>
              <w:jc w:val="left"/>
            </w:pPr>
            <w:r>
              <w:t xml:space="preserve">50 sportifs présentant une instabilité chronique de la cheville, 5 g contre placebo</w:t>
            </w:r>
          </w:p>
        </w:tc>
        <w:tc>
          <w:tcPr/>
          <w:p>
            <w:pPr>
              <w:pStyle w:val="Compact"/>
              <w:jc w:val="left"/>
            </w:pPr>
            <w:r>
              <w:t xml:space="preserve">6 mois</w:t>
            </w:r>
          </w:p>
        </w:tc>
        <w:tc>
          <w:tcPr/>
          <w:p>
            <w:pPr>
              <w:pStyle w:val="Compact"/>
              <w:jc w:val="left"/>
            </w:pPr>
            <w:r>
              <w:t xml:space="preserve">Stabilité subjective meilleure ; stabilité mécanique inchangée</w:t>
            </w:r>
          </w:p>
        </w:tc>
      </w:tr>
    </w:tbl>
    <w:p>
      <w:pPr>
        <w:pStyle w:val="BodyText"/>
      </w:pPr>
      <w:r>
        <w:t xml:space="preserve">Une méta-analyse de 19 études réunissant 768 adultes en bonne santé a trouvé, avec une prise de collagène à long terme combinée à l’entraînement, de petits avantages pour la masse maigre, la morphologie des tendons, l’architecture musculaire et la force maximale. La fiabilité des preuves a été jugée modérée pour la composition corporelle, très faible pour la morphologie des tendons et faible pour les autres résultats</w:t>
      </w:r>
      <w:r>
        <w:rPr>
          <w:rStyle w:val="FootnoteReference"/>
        </w:rPr>
        <w:footnoteReference w:id="2347"/>
      </w:r>
      <w:r>
        <w:t xml:space="preserve">. Une revue systématique antérieure avait conclu que, pour la synthèse des protéines musculaires, le collagène ne vaut pas les sources de protéines de meilleure qualité</w:t>
      </w:r>
      <w:r>
        <w:rPr>
          <w:rStyle w:val="FootnoteReference"/>
        </w:rPr>
        <w:footnoteReference w:id="2348"/>
      </w:r>
      <w:r>
        <w:t xml:space="preserve">.</w:t>
      </w:r>
    </w:p>
    <w:p>
      <w:pPr>
        <w:pStyle w:val="BodyText"/>
      </w:pPr>
      <w:r>
        <w:rPr>
          <w:bCs/>
          <w:b/>
        </w:rPr>
        <w:t xml:space="preserve">Bilan intermédiaire pour le sport :</w:t>
      </w:r>
      <w:r>
        <w:t xml:space="preserve"> </w:t>
      </w:r>
      <w:r>
        <w:t xml:space="preserve">pour le développement musculaire, il existe des sources de protéines meilleures et moins chères. Pour les tendons et les ligaments, un bénéfice est biologiquement plausible et suggéré par certaines études, mais il n’est pas démontré de manière solide.</w:t>
      </w:r>
    </w:p>
    <w:bookmarkEnd w:id="2349"/>
    <w:bookmarkStart w:id="2351" w:name="autres-domaines-dapplication"/>
    <w:p>
      <w:pPr>
        <w:pStyle w:val="Heading4"/>
      </w:pPr>
      <w:r>
        <w:t xml:space="preserve">Autres domaines d’application</w:t>
      </w:r>
    </w:p>
    <w:p>
      <w:pPr>
        <w:pStyle w:val="FirstParagraph"/>
      </w:pPr>
      <w:r>
        <w:t xml:space="preserve">Dans de plus petites études, les peptides de collagène ont été étudiés entre autres pour la pression artérielle et la fonction vasculaire, le sommeil, l’appétit, la gingivite et les troubles intestinaux. Une méta-analyse de 12 études contrôlées contre placebo a rapporté une baisse de la pression systolique de 5,04 mmHg et du cholestérol LDL de 4,09 mg/dl, mais avec une hétérogénéité extrêmement élevée entre les études (I² 98,9 et 93,4 %)</w:t>
      </w:r>
      <w:r>
        <w:rPr>
          <w:rStyle w:val="FootnoteReference"/>
        </w:rPr>
        <w:footnoteReference w:id="2350"/>
      </w:r>
      <w:r>
        <w:t xml:space="preserve">. Ces domaines sont trop peu étudiés pour permettre des conclusions solides.</w:t>
      </w:r>
    </w:p>
    <w:bookmarkEnd w:id="2351"/>
    <w:bookmarkEnd w:id="2352"/>
    <w:bookmarkStart w:id="2356" w:name="études-animales-et-de-laboratoire-52"/>
    <w:p>
      <w:pPr>
        <w:pStyle w:val="Heading3"/>
      </w:pPr>
      <w:r>
        <w:t xml:space="preserve">Études animales et de laboratoire</w:t>
      </w:r>
    </w:p>
    <w:p>
      <w:pPr>
        <w:pStyle w:val="FirstParagraph"/>
      </w:pPr>
      <w:r>
        <w:t xml:space="preserve">En culture cellulaire, les peptides de collagène, et en particulier la prolyl-hydroxyproline, stimulent la croissance des fibroblastes cutanés ; chez la souris et le rat, ils ont amélioré dans des expériences la barrière cutanée, la densité osseuse et le métabolisme du cartilage. Sur des échantillons de peau humaine en laboratoire (ex vivo), les peptides de collagène ont favorisé la production de collagène et de glycosaminoglycanes</w:t>
      </w:r>
      <w:r>
        <w:rPr>
          <w:rStyle w:val="FootnoteReference"/>
        </w:rPr>
        <w:footnoteReference w:id="2353"/>
      </w:r>
      <w:r>
        <w:t xml:space="preserve">. Une revue systématique de onze études, pour la plupart expérimentales, a conclu que les hydrolysats de collagène stimulent les fibroblastes à des concentrations de 50 à 500 microgrammes par millilitre, sans effet toxique</w:t>
      </w:r>
      <w:r>
        <w:rPr>
          <w:rStyle w:val="FootnoteReference"/>
        </w:rPr>
        <w:footnoteReference w:id="2354"/>
      </w:r>
      <w:r>
        <w:t xml:space="preserve">. Dans des expériences chez des rongeurs soumis à une alimentation hypercalorique, une méta-analyse a décrit des effets sur le poids et la masse grasse</w:t>
      </w:r>
      <w:r>
        <w:rPr>
          <w:rStyle w:val="FootnoteReference"/>
        </w:rPr>
        <w:footnoteReference w:id="2355"/>
      </w:r>
      <w:r>
        <w:t xml:space="preserve"> </w:t>
      </w:r>
      <w:r>
        <w:t xml:space="preserve">– un résultat non démontré chez l’humain.</w:t>
      </w:r>
    </w:p>
    <w:p>
      <w:pPr>
        <w:pStyle w:val="BodyText"/>
      </w:pPr>
      <w:r>
        <w:t xml:space="preserve">Ces résultats rendent les hypothèses plausibles. Mais ils ne prouvent pas que les concentrations de peptides atteintes chez l’humain après ingestion suffisent au niveau du tissu cible.</w:t>
      </w:r>
    </w:p>
    <w:bookmarkEnd w:id="2356"/>
    <w:bookmarkStart w:id="2359" w:name="risques-et-effets-indésirables-52"/>
    <w:p>
      <w:pPr>
        <w:pStyle w:val="Heading3"/>
      </w:pPr>
      <w:r>
        <w:t xml:space="preserve">Risques et effets indésirables</w:t>
      </w:r>
    </w:p>
    <w:p>
      <w:pPr>
        <w:pStyle w:val="FirstParagraph"/>
      </w:pPr>
      <w:r>
        <w:rPr>
          <w:bCs/>
          <w:b/>
        </w:rPr>
        <w:t xml:space="preserve">Établis :</w:t>
      </w:r>
      <w:r>
        <w:t xml:space="preserve"> </w:t>
      </w:r>
      <w:r>
        <w:t xml:space="preserve">dans les études randomisées, les effets indésirables n’ont pas été plus fréquents que sous placebo. La grande méta-analyse sur l’arthrose n’a trouvé aucun risque accru d’événements indésirables ou d’abandons d’étude</w:t>
      </w:r>
      <w:r>
        <w:rPr>
          <w:rStyle w:val="FootnoteReference"/>
        </w:rPr>
        <w:footnoteReference w:id="2357"/>
      </w:r>
      <w:r>
        <w:t xml:space="preserve">. Une sensation de plénitude, des ballonnements ou un goût désagréable sont parfois rapportés.</w:t>
      </w:r>
    </w:p>
    <w:p>
      <w:pPr>
        <w:pStyle w:val="BodyText"/>
      </w:pPr>
      <w:r>
        <w:rPr>
          <w:bCs/>
          <w:b/>
        </w:rPr>
        <w:t xml:space="preserve">À prendre en compte :</w:t>
      </w:r>
    </w:p>
    <w:p>
      <w:pPr>
        <w:numPr>
          <w:ilvl w:val="0"/>
          <w:numId w:val="1294"/>
        </w:numPr>
        <w:pStyle w:val="Compact"/>
      </w:pPr>
      <w:r>
        <w:rPr>
          <w:bCs/>
          <w:b/>
        </w:rPr>
        <w:t xml:space="preserve">Allergies et intolérances :</w:t>
      </w:r>
      <w:r>
        <w:t xml:space="preserve"> </w:t>
      </w:r>
      <w:r>
        <w:t xml:space="preserve">le collagène de poisson peut poser problème en cas d’allergie au poisson ; les produits d’origine bovine ou porcine concernent les personnes qui évitent ces animaux pour des raisons religieuses ou éthiques. L’origine figure dans la liste des ingrédients.</w:t>
      </w:r>
    </w:p>
    <w:p>
      <w:pPr>
        <w:numPr>
          <w:ilvl w:val="0"/>
          <w:numId w:val="1294"/>
        </w:numPr>
        <w:pStyle w:val="Compact"/>
      </w:pPr>
      <w:r>
        <w:rPr>
          <w:bCs/>
          <w:b/>
        </w:rPr>
        <w:t xml:space="preserve">Oxalate et calculs rénaux :</w:t>
      </w:r>
      <w:r>
        <w:t xml:space="preserve"> </w:t>
      </w:r>
      <w:r>
        <w:t xml:space="preserve">l’hydroxyproline est en partie dégradée en oxalate dans l’organisme. Dans une étude, l’excrétion urinaire d’oxalate a augmenté de 43 % après 30 g de gélatine par jour par rapport aux protéines de lactosérum ; dès 5 à 10 g de gélatine, des modifications mesurables apparaissaient</w:t>
      </w:r>
      <w:r>
        <w:rPr>
          <w:rStyle w:val="FootnoteReference"/>
        </w:rPr>
        <w:footnoteReference w:id="2358"/>
      </w:r>
      <w:r>
        <w:t xml:space="preserve">. Pour les personnes en bonne santé, la portée de ce constat est incertaine. Les personnes souffrant de calculs rénaux d’oxalate de calcium ou d’une hyperoxalurie congénitale devraient discuter de la prise avec leur médecin (risque théorique, mais biologiquement fondé).</w:t>
      </w:r>
    </w:p>
    <w:p>
      <w:pPr>
        <w:numPr>
          <w:ilvl w:val="0"/>
          <w:numId w:val="1294"/>
        </w:numPr>
        <w:pStyle w:val="Compact"/>
      </w:pPr>
      <w:r>
        <w:rPr>
          <w:bCs/>
          <w:b/>
        </w:rPr>
        <w:t xml:space="preserve">Quantité de protéines :</w:t>
      </w:r>
      <w:r>
        <w:t xml:space="preserve"> </w:t>
      </w:r>
      <w:r>
        <w:t xml:space="preserve">en cas de maladie rénale avec restriction protéique, le collagène compte lui aussi dans l’apport protéique quotidien.</w:t>
      </w:r>
    </w:p>
    <w:p>
      <w:pPr>
        <w:numPr>
          <w:ilvl w:val="0"/>
          <w:numId w:val="1294"/>
        </w:numPr>
        <w:pStyle w:val="Compact"/>
      </w:pPr>
      <w:r>
        <w:rPr>
          <w:bCs/>
          <w:b/>
        </w:rPr>
        <w:t xml:space="preserve">Qualité des produits :</w:t>
      </w:r>
      <w:r>
        <w:t xml:space="preserve"> </w:t>
      </w:r>
      <w:r>
        <w:t xml:space="preserve">l’efficacité des compléments alimentaires n’est pas contrôlée avant leur mise en vente. Le fabricant est responsable de la pureté et de l’absence de contaminants ; le contrôle alimentaire ne procède que par sondages.</w:t>
      </w:r>
    </w:p>
    <w:p>
      <w:pPr>
        <w:numPr>
          <w:ilvl w:val="0"/>
          <w:numId w:val="1294"/>
        </w:numPr>
        <w:pStyle w:val="Compact"/>
      </w:pPr>
      <w:r>
        <w:rPr>
          <w:bCs/>
          <w:b/>
        </w:rPr>
        <w:t xml:space="preserve">Fausse sécurité :</w:t>
      </w:r>
      <w:r>
        <w:t xml:space="preserve"> </w:t>
      </w:r>
      <w:r>
        <w:t xml:space="preserve">le plus grand risque pratique est que le collagène soit utilisé à la place de mesures efficaces – par exemple au lieu d’une protection UV contre le vieillissement cutané ou au lieu d’un traitement de l’ostéoporose.</w:t>
      </w:r>
    </w:p>
    <w:bookmarkEnd w:id="2359"/>
    <w:bookmarkStart w:id="2360" w:name="statut-juridique-52"/>
    <w:p>
      <w:pPr>
        <w:pStyle w:val="Heading3"/>
      </w:pPr>
      <w:r>
        <w:t xml:space="preserve">Statut juridique</w:t>
      </w:r>
    </w:p>
    <w:p>
      <w:pPr>
        <w:numPr>
          <w:ilvl w:val="0"/>
          <w:numId w:val="1295"/>
        </w:numPr>
        <w:pStyle w:val="Compact"/>
      </w:pPr>
      <w:r>
        <w:rPr>
          <w:bCs/>
          <w:b/>
        </w:rPr>
        <w:t xml:space="preserve">UE / Autriche / Allemagne :</w:t>
      </w:r>
      <w:r>
        <w:t xml:space="preserve"> </w:t>
      </w:r>
      <w:r>
        <w:t xml:space="preserve">les peptides de collagène sont des denrées alimentaires. En Allemagne, les compléments alimentaires doivent être déclarés à l’Office fédéral de la protection des consommateurs et de la sécurité alimentaire (BVL) avant leur première mise en vente ; l’Autriche applique ses propres règles. Aucun des deux pays ne contrôle l’efficacité. Selon le règlement européen sur les allégations de santé (règlement (CE) n° 1924/2006), les allégations de santé ne sont permises que si elles figurent dans la liste autorisée de l’UE.</w:t>
      </w:r>
      <w:r>
        <w:t xml:space="preserve"> </w:t>
      </w:r>
      <w:r>
        <w:rPr>
          <w:bCs/>
          <w:b/>
        </w:rPr>
        <w:t xml:space="preserve">Pour le collagène ou les peptides de collagène, il n’existe aucune allégation de santé autorisée.</w:t>
      </w:r>
      <w:r>
        <w:t xml:space="preserve"> </w:t>
      </w:r>
      <w:r>
        <w:t xml:space="preserve">L’Autorité européenne de sécurité des aliments (EFSA) a rendu des avis négatifs sur les allégations demandées, par exemple sur la santé articulaire, parce qu’aucune relation de cause à effet n’avait été démontrée. C’est pourquoi beaucoup de produits contiennent de la vitamine C : pour la vitamine C, l’allégation selon laquelle elle contribue à la formation normale de collagène pour assurer la fonction normale de la peau, du cartilage, des os, des gencives, des dents et des vaisseaux sanguins est autorisée. Le slogan publicitaire se rapporte alors juridiquement à la vitamine, et non au collagène. Les allégations relatives à la beauté (« pour une peau plus ferme ») se situent dans une zone grise et sont appréciées différemment par les tribunaux.</w:t>
      </w:r>
    </w:p>
    <w:p>
      <w:pPr>
        <w:numPr>
          <w:ilvl w:val="0"/>
          <w:numId w:val="1295"/>
        </w:numPr>
        <w:pStyle w:val="Compact"/>
      </w:pPr>
      <w:r>
        <w:rPr>
          <w:bCs/>
          <w:b/>
        </w:rPr>
        <w:t xml:space="preserve">États-Unis :</w:t>
      </w:r>
      <w:r>
        <w:t xml:space="preserve"> </w:t>
      </w:r>
      <w:r>
        <w:t xml:space="preserve">les peptides de collagène sont vendus comme dietary supplement. Les fabricants peuvent faire des allégations dites structure-fonction (« soutient une peau saine »), mais doivent y joindre la mention que l’allégation n’a pas été évaluée par la FDA. Les promesses liées à des maladies sont interdites.</w:t>
      </w:r>
    </w:p>
    <w:p>
      <w:pPr>
        <w:numPr>
          <w:ilvl w:val="0"/>
          <w:numId w:val="1295"/>
        </w:numPr>
        <w:pStyle w:val="Compact"/>
      </w:pPr>
      <w:r>
        <w:rPr>
          <w:bCs/>
          <w:b/>
        </w:rPr>
        <w:t xml:space="preserve">Sport :</w:t>
      </w:r>
      <w:r>
        <w:t xml:space="preserve"> </w:t>
      </w:r>
      <w:r>
        <w:t xml:space="preserve">les peptides de collagène ne figurent pas sur la liste des interdictions de la WADA. Comme pour tous les compléments alimentaires, il existe un risque résiduel de contamination ; les sportives et sportifs de haut niveau devraient se référer à des listes de produits contrôlés (par ex. la Kölner Liste) (état 2026, à vérifier).</w:t>
      </w:r>
    </w:p>
    <w:bookmarkEnd w:id="2360"/>
    <w:bookmarkStart w:id="2368" w:name="études-en-cours-et-perspectives-52"/>
    <w:p>
      <w:pPr>
        <w:pStyle w:val="Heading3"/>
      </w:pPr>
      <w:r>
        <w:t xml:space="preserve">Études en cours et perspectives</w:t>
      </w:r>
    </w:p>
    <w:p>
      <w:pPr>
        <w:pStyle w:val="FirstParagraph"/>
      </w:pPr>
      <w:r>
        <w:rPr>
          <w:bCs/>
          <w:b/>
        </w:rPr>
        <w:t xml:space="preserve">Établi (études enregistrées, état octobre 2026) :</w:t>
      </w:r>
    </w:p>
    <w:p>
      <w:pPr>
        <w:numPr>
          <w:ilvl w:val="0"/>
          <w:numId w:val="1296"/>
        </w:numPr>
        <w:pStyle w:val="Compact"/>
      </w:pPr>
      <w:r>
        <w:rPr>
          <w:bCs/>
          <w:b/>
        </w:rPr>
        <w:t xml:space="preserve">Gonarthrose :</w:t>
      </w:r>
      <w:r>
        <w:t xml:space="preserve"> </w:t>
      </w:r>
      <w:r>
        <w:t xml:space="preserve">une étude de l’Istituto Ortopedico Rizzoli compare une formulation d’hydrolysat de collagène à un placebo chez 204 participants</w:t>
      </w:r>
      <w:r>
        <w:rPr>
          <w:rStyle w:val="FootnoteReference"/>
        </w:rPr>
        <w:footnoteReference w:id="2361"/>
      </w:r>
      <w:r>
        <w:t xml:space="preserve">. Une étude plus petite compare différentes formes de collagène</w:t>
      </w:r>
      <w:r>
        <w:rPr>
          <w:rStyle w:val="FootnoteReference"/>
        </w:rPr>
        <w:footnoteReference w:id="2362"/>
      </w:r>
      <w:r>
        <w:t xml:space="preserve">.</w:t>
      </w:r>
    </w:p>
    <w:p>
      <w:pPr>
        <w:numPr>
          <w:ilvl w:val="0"/>
          <w:numId w:val="1296"/>
        </w:numPr>
        <w:pStyle w:val="Compact"/>
      </w:pPr>
      <w:r>
        <w:rPr>
          <w:bCs/>
          <w:b/>
        </w:rPr>
        <w:t xml:space="preserve">Prothèse de genou :</w:t>
      </w:r>
      <w:r>
        <w:t xml:space="preserve"> </w:t>
      </w:r>
      <w:r>
        <w:t xml:space="preserve">peptides de collagène après une prothèse totale du genou, avec pour critères le remodelage du tissu conjonctif et la cicatrisation</w:t>
      </w:r>
      <w:r>
        <w:rPr>
          <w:rStyle w:val="FootnoteReference"/>
        </w:rPr>
        <w:footnoteReference w:id="2363"/>
      </w:r>
      <w:r>
        <w:t xml:space="preserve">.</w:t>
      </w:r>
    </w:p>
    <w:p>
      <w:pPr>
        <w:numPr>
          <w:ilvl w:val="0"/>
          <w:numId w:val="1296"/>
        </w:numPr>
        <w:pStyle w:val="Compact"/>
      </w:pPr>
      <w:r>
        <w:rPr>
          <w:bCs/>
          <w:b/>
        </w:rPr>
        <w:t xml:space="preserve">Peau :</w:t>
      </w:r>
      <w:r>
        <w:t xml:space="preserve"> </w:t>
      </w:r>
      <w:r>
        <w:t xml:space="preserve">une comparaison de l’utilisation orale et externe du collagène, seules et combinées, chez 165 femmes prévues</w:t>
      </w:r>
      <w:r>
        <w:rPr>
          <w:rStyle w:val="FootnoteReference"/>
        </w:rPr>
        <w:footnoteReference w:id="2364"/>
      </w:r>
      <w:r>
        <w:t xml:space="preserve">.</w:t>
      </w:r>
    </w:p>
    <w:p>
      <w:pPr>
        <w:numPr>
          <w:ilvl w:val="0"/>
          <w:numId w:val="1296"/>
        </w:numPr>
        <w:pStyle w:val="Compact"/>
      </w:pPr>
      <w:r>
        <w:rPr>
          <w:bCs/>
          <w:b/>
        </w:rPr>
        <w:t xml:space="preserve">Vieillissement :</w:t>
      </w:r>
      <w:r>
        <w:t xml:space="preserve"> </w:t>
      </w:r>
      <w:r>
        <w:t xml:space="preserve">une étude de l’université de Vienne examine les peptides de collagène et des marqueurs du vieillissement cellulaire chez 125 participants prévus</w:t>
      </w:r>
      <w:r>
        <w:rPr>
          <w:rStyle w:val="FootnoteReference"/>
        </w:rPr>
        <w:footnoteReference w:id="2365"/>
      </w:r>
      <w:r>
        <w:t xml:space="preserve">.</w:t>
      </w:r>
    </w:p>
    <w:p>
      <w:pPr>
        <w:numPr>
          <w:ilvl w:val="0"/>
          <w:numId w:val="1296"/>
        </w:numPr>
        <w:pStyle w:val="Compact"/>
      </w:pPr>
      <w:r>
        <w:rPr>
          <w:bCs/>
          <w:b/>
        </w:rPr>
        <w:t xml:space="preserve">Métabolisme :</w:t>
      </w:r>
      <w:r>
        <w:t xml:space="preserve"> </w:t>
      </w:r>
      <w:r>
        <w:t xml:space="preserve">une étude du King’s College London examine la qualité de vie, l’appétit et le contrôle glycémique</w:t>
      </w:r>
      <w:r>
        <w:rPr>
          <w:rStyle w:val="FootnoteReference"/>
        </w:rPr>
        <w:footnoteReference w:id="2366"/>
      </w:r>
      <w:r>
        <w:t xml:space="preserve">.</w:t>
      </w:r>
    </w:p>
    <w:p>
      <w:pPr>
        <w:pStyle w:val="FirstParagraph"/>
      </w:pPr>
      <w:r>
        <w:rPr>
          <w:bCs/>
          <w:b/>
        </w:rPr>
        <w:t xml:space="preserve">Appréciation :</w:t>
      </w:r>
      <w:r>
        <w:t xml:space="preserve"> </w:t>
      </w:r>
      <w:r>
        <w:t xml:space="preserve">la question décisive pour les années à venir n’est pas de savoir s’il y aura d’autres petites études positives – il faut s’y attendre –, mais si de grandes études financées de manière indépendante, avec des critères enregistrés à l’avance, confirmeront les effets. La méta-analyse selon la source de financement</w:t>
      </w:r>
      <w:r>
        <w:rPr>
          <w:rStyle w:val="FootnoteReference"/>
        </w:rPr>
        <w:footnoteReference w:id="2367"/>
      </w:r>
      <w:r>
        <w:t xml:space="preserve"> </w:t>
      </w:r>
      <w:r>
        <w:t xml:space="preserve">a rendu visible la barre à franchir. Pour les douleurs articulaires, un petit effet est ce qui est le mieux étayé ; pour la peau et les tendons, la situation reste ouverte. Une autorisation comme médicament n’est pas à attendre, car les produits sont déjà en vente libre en tant qu’aliments et aucun fabricant n’aurait à supporter le coût d’un programme d’autorisation.</w:t>
      </w:r>
    </w:p>
    <w:bookmarkEnd w:id="2368"/>
    <w:bookmarkStart w:id="2369" w:name="conclusion-52"/>
    <w:p>
      <w:pPr>
        <w:pStyle w:val="Heading3"/>
      </w:pPr>
      <w:r>
        <w:t xml:space="preserve">Conclusion</w:t>
      </w:r>
    </w:p>
    <w:p>
      <w:pPr>
        <w:pStyle w:val="FirstParagraph"/>
      </w:pPr>
      <w:r>
        <w:t xml:space="preserve">Les peptides de collagène sont un produit alimentaire bien toléré, avec une base d’études vaste mais méthodologiquement faible. Pour les douleurs articulaires dans l’arthrose, les méta-analyses montrent de petits effets, mais certaines études plus grandes n’ont trouvé aucune différence avec le placebo. Pour la peau, le bénéfice mesuré dans les études des fabricants disparaît si l’on ne considère que les études financées de manière indépendante ou de haute qualité méthodologique. Pour le développement musculaire, le collagène est inférieur à d’autres sources de protéines ; le collagène de type II non dénaturé est un produit à part, avec ses propres données, elles aussi limitées. Dans l’UE, le collagène ne peut pas être promu par des allégations de santé – les messages publicitaires se rapportent le plus souvent à la vitamine C ajoutée.</w:t>
      </w:r>
    </w:p>
    <w:bookmarkEnd w:id="2369"/>
    <w:bookmarkEnd w:id="2370"/>
    <w:bookmarkStart w:id="2401" w:name="lactotripeptides-vpp-et-ipp"/>
    <w:p>
      <w:pPr>
        <w:pStyle w:val="Heading2"/>
      </w:pPr>
      <w:r>
        <w:t xml:space="preserve">Lactotripeptides (VPP et IPP)</w:t>
      </w:r>
    </w:p>
    <w:bookmarkStart w:id="2371" w:name="fiche-signalétique-53"/>
    <w:p>
      <w:pPr>
        <w:pStyle w:val="Heading3"/>
      </w:pPr>
      <w:r>
        <w:t xml:space="preserve">Fiche signalétique</w:t>
      </w:r>
    </w:p>
    <w:p>
      <w:pPr>
        <w:numPr>
          <w:ilvl w:val="0"/>
          <w:numId w:val="1297"/>
        </w:numPr>
        <w:pStyle w:val="Compact"/>
      </w:pPr>
      <w:r>
        <w:rPr>
          <w:bCs/>
          <w:b/>
        </w:rPr>
        <w:t xml:space="preserve">Type/structure :</w:t>
      </w:r>
      <w:r>
        <w:t xml:space="preserve"> </w:t>
      </w:r>
      <w:r>
        <w:t xml:space="preserve">deux tripeptides de trois acides aminés chacun : valine-proline-proline (VPP) et isoleucine-proline-proline (IPP). La double proline terminale les rend relativement résistants aux enzymes digestives.</w:t>
      </w:r>
    </w:p>
    <w:p>
      <w:pPr>
        <w:numPr>
          <w:ilvl w:val="0"/>
          <w:numId w:val="1297"/>
        </w:numPr>
        <w:pStyle w:val="Compact"/>
      </w:pPr>
      <w:r>
        <w:rPr>
          <w:bCs/>
          <w:b/>
        </w:rPr>
        <w:t xml:space="preserve">Origine :</w:t>
      </w:r>
      <w:r>
        <w:t xml:space="preserve"> </w:t>
      </w:r>
      <w:r>
        <w:t xml:space="preserve">fragments de la caséine, une protéine du lait. Ils se forment lorsque le lait est fermenté par certaines bactéries (surtout</w:t>
      </w:r>
      <w:r>
        <w:t xml:space="preserve"> </w:t>
      </w:r>
      <w:r>
        <w:rPr>
          <w:iCs/>
          <w:i/>
        </w:rPr>
        <w:t xml:space="preserve">Lactobacillus helveticus</w:t>
      </w:r>
      <w:r>
        <w:t xml:space="preserve">) ou par clivage enzymatique de la caséine au moyen d’enzymes de la moisissure</w:t>
      </w:r>
      <w:r>
        <w:t xml:space="preserve"> </w:t>
      </w:r>
      <w:r>
        <w:rPr>
          <w:iCs/>
          <w:i/>
        </w:rPr>
        <w:t xml:space="preserve">Aspergillus oryzae</w:t>
      </w:r>
      <w:r>
        <w:t xml:space="preserve">. Parmi les produits connus figuraient une boisson japonaise au lait fermenté (Calpis) et un produit laitier finlandais (Evolus de Valio).</w:t>
      </w:r>
    </w:p>
    <w:p>
      <w:pPr>
        <w:numPr>
          <w:ilvl w:val="0"/>
          <w:numId w:val="1297"/>
        </w:numPr>
        <w:pStyle w:val="Compact"/>
      </w:pPr>
      <w:r>
        <w:rPr>
          <w:bCs/>
          <w:b/>
        </w:rPr>
        <w:t xml:space="preserve">Principe d’action :</w:t>
      </w:r>
      <w:r>
        <w:t xml:space="preserve"> </w:t>
      </w:r>
      <w:r>
        <w:t xml:space="preserve">ils sont censés inhiber l’enzyme de conversion de l’angiotensine (ECA) – la même enzyme que bloquent les inhibiteurs de l’ECA antihypertenseurs comme le ramipril ou l’énalapril, mais de manière bien plus faible.</w:t>
      </w:r>
    </w:p>
    <w:p>
      <w:pPr>
        <w:numPr>
          <w:ilvl w:val="0"/>
          <w:numId w:val="1297"/>
        </w:numPr>
        <w:pStyle w:val="Compact"/>
      </w:pPr>
      <w:r>
        <w:rPr>
          <w:bCs/>
          <w:b/>
        </w:rPr>
        <w:t xml:space="preserve">Autorisation UE :</w:t>
      </w:r>
      <w:r>
        <w:t xml:space="preserve"> </w:t>
      </w:r>
      <w:r>
        <w:t xml:space="preserve">pas d’autorisation comme médicament ; utilisés comme ingrédient alimentaire ou dans des compléments alimentaires. Aucune allégation de santé autorisée concernant la pression artérielle.</w:t>
      </w:r>
    </w:p>
    <w:p>
      <w:pPr>
        <w:numPr>
          <w:ilvl w:val="0"/>
          <w:numId w:val="1297"/>
        </w:numPr>
        <w:pStyle w:val="Compact"/>
      </w:pPr>
      <w:r>
        <w:rPr>
          <w:bCs/>
          <w:b/>
        </w:rPr>
        <w:t xml:space="preserve">Autorisation États-Unis :</w:t>
      </w:r>
      <w:r>
        <w:t xml:space="preserve"> </w:t>
      </w:r>
      <w:r>
        <w:t xml:space="preserve">pas d’autorisation comme médicament ; disponibles comme compléments alimentaires.</w:t>
      </w:r>
    </w:p>
    <w:p>
      <w:pPr>
        <w:numPr>
          <w:ilvl w:val="0"/>
          <w:numId w:val="1297"/>
        </w:numPr>
        <w:pStyle w:val="Compact"/>
      </w:pPr>
      <w:r>
        <w:rPr>
          <w:bCs/>
          <w:b/>
        </w:rPr>
        <w:t xml:space="preserve">AMA (WADA) :</w:t>
      </w:r>
      <w:r>
        <w:t xml:space="preserve"> </w:t>
      </w:r>
      <w:r>
        <w:t xml:space="preserve">pas listés.</w:t>
      </w:r>
    </w:p>
    <w:p>
      <w:pPr>
        <w:numPr>
          <w:ilvl w:val="0"/>
          <w:numId w:val="1297"/>
        </w:numPr>
        <w:pStyle w:val="Compact"/>
      </w:pPr>
      <w:r>
        <w:rPr>
          <w:bCs/>
          <w:b/>
        </w:rPr>
        <w:t xml:space="preserve">Niveau de preuve :</w:t>
      </w:r>
      <w:r>
        <w:t xml:space="preserve"> </w:t>
      </w:r>
      <w:r>
        <w:rPr>
          <w:bCs/>
          <w:b/>
        </w:rPr>
        <w:t xml:space="preserve">B</w:t>
      </w:r>
      <w:r>
        <w:t xml:space="preserve"> </w:t>
      </w:r>
      <w:r>
        <w:t xml:space="preserve">– une trentaine d’études randomisées réunissant au total quelques milliers de participants, mais chacune petite, avec des résultats contradictoires et sans critères durs.</w:t>
      </w:r>
    </w:p>
    <w:bookmarkEnd w:id="2371"/>
    <w:bookmarkStart w:id="2375" w:name="mode-daction-supposé-53"/>
    <w:p>
      <w:pPr>
        <w:pStyle w:val="Heading3"/>
      </w:pPr>
      <w:r>
        <w:t xml:space="preserve">Mode d’action supposé</w:t>
      </w:r>
    </w:p>
    <w:p>
      <w:pPr>
        <w:pStyle w:val="FirstParagraph"/>
      </w:pPr>
      <w:r>
        <w:t xml:space="preserve">La pression artérielle est régulée notamment par le système rénine-angiotensine. Une étape centrale est la conversion de l’angiotensine I inactive en angiotensine II vasoconstrictrice par l’enzyme ECA. Cette même enzyme dégrade en outre la bradykinine, une substance qui dilate les vaisseaux. Si l’ECA est inhibée, il se forme moins d’angiotensine II et davantage de bradykinine – la pression artérielle baisse. C’est sur ce principe que reposent les inhibiteurs de l’ECA, l’un des plus importants groupes d’antihypertenseurs. Détail historique intéressant : le premier inhibiteur de l’ECA, le captopril, a été développé à partir d’un peptide du venin d’un serpent.</w:t>
      </w:r>
    </w:p>
    <w:p>
      <w:pPr>
        <w:pStyle w:val="BodyText"/>
      </w:pPr>
      <w:r>
        <w:t xml:space="preserve">Dans les années 1990, des chercheurs japonais ont isolé dans du lait fermenté deux tripeptides qui inhibent l’ECA en éprouvette. Chez des rats présentant une hypertension congénitale, une administration unique du lait fermenté ou des peptides isolés VPP et IPP a abaissé la pression systolique pendant quelques heures ; chez des rats à pression normale, rien n’a changé</w:t>
      </w:r>
      <w:r>
        <w:rPr>
          <w:rStyle w:val="FootnoteReference"/>
        </w:rPr>
        <w:footnoteReference w:id="2372"/>
      </w:r>
      <w:r>
        <w:t xml:space="preserve">. C’est de là qu’est née l’idée d’un « aliment qui fait baisser la pression artérielle ».</w:t>
      </w:r>
    </w:p>
    <w:p>
      <w:pPr>
        <w:pStyle w:val="BodyText"/>
      </w:pPr>
      <w:r>
        <w:t xml:space="preserve">Pour que cela fonctionne, les peptides doivent parvenir intacts dans la circulation sanguine. Une petite étude a montré que l’IPP est effectivement détectable intact dans le sang après la consommation d’une boisson au yaourt enrichie – mais à des concentrations de l’ordre du picomole par litre</w:t>
      </w:r>
      <w:r>
        <w:rPr>
          <w:rStyle w:val="FootnoteReference"/>
        </w:rPr>
        <w:footnoteReference w:id="2373"/>
      </w:r>
      <w:r>
        <w:t xml:space="preserve">. Une étude suisse portant sur douze hommes en bonne santé a ensuite vérifié directement si les peptides inhibent l’ECA dans l’organisme : après sept jours de lait fermenté, les marqueurs de l’activité de l’ECA et la rénine sont restés inchangés, alors qu’un seul comprimé de captopril a abaissé l’activité plasmatique de l’ECA de 82 %. L’IPP n’a augmenté dans le sang que brièvement et faiblement, et le VPP est resté sous le seuil de détection</w:t>
      </w:r>
      <w:r>
        <w:rPr>
          <w:rStyle w:val="FootnoteReference"/>
        </w:rPr>
        <w:footnoteReference w:id="2374"/>
      </w:r>
      <w:r>
        <w:t xml:space="preserve">.</w:t>
      </w:r>
    </w:p>
    <w:p>
      <w:pPr>
        <w:pStyle w:val="BodyText"/>
      </w:pPr>
      <w:r>
        <w:t xml:space="preserve">Cela signifie : le mécanisme plausible en laboratoire n’a pas pu être mis en évidence chez l’humain aux quantités testées. D’autres voies sont donc aussi discutées, par exemple une amélioration de la fonction de la paroi interne des vaisseaux par le monoxyde d’azote. Elles proviennent jusqu’à présent surtout d’expériences en culture cellulaire et chez l’animal.</w:t>
      </w:r>
    </w:p>
    <w:bookmarkEnd w:id="2375"/>
    <w:bookmarkStart w:id="2387" w:name="études-chez-lhumain-53"/>
    <w:p>
      <w:pPr>
        <w:pStyle w:val="Heading3"/>
      </w:pPr>
      <w:r>
        <w:t xml:space="preserve">Études chez l’humain</w:t>
      </w:r>
    </w:p>
    <w:p>
      <w:pPr>
        <w:pStyle w:val="FirstParagraph"/>
      </w:pPr>
      <w:r>
        <w:t xml:space="preserve">La requête PubMed analysée pour ce livre (lactotripeptides ou valyl-prolyl-proline, date de requête octobre 2026) a donné 21 études chez l’humain ; sur ClinicalTrials.gov, la recherche « lactotripeptides » n’a trouvé aucune entrée de registre. La plupart des études ont été menées avant l’introduction de l’obligation d’enregistrement pour les études nutritionnelles. Les méta-analyses portent sur jusqu’à 30 études randomisées, dont de nombreuses études japonaises qui ne sont pas toutes recensées par la requête PubMed.</w:t>
      </w:r>
    </w:p>
    <w:bookmarkStart w:id="2376" w:name="les-premières-études-positives"/>
    <w:p>
      <w:pPr>
        <w:pStyle w:val="Heading4"/>
      </w:pPr>
      <w:r>
        <w:t xml:space="preserve">Les premières études positives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protocole</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Hata 1996, PMID 8901799</w:t>
            </w:r>
          </w:p>
        </w:tc>
        <w:tc>
          <w:tcPr/>
          <w:p>
            <w:pPr>
              <w:pStyle w:val="Compact"/>
              <w:jc w:val="left"/>
            </w:pPr>
            <w:r>
              <w:t xml:space="preserve">30 personnes âgées hypertendues (la plupart sous médicaments), lait fermenté contre lait acidifié</w:t>
            </w:r>
          </w:p>
        </w:tc>
        <w:tc>
          <w:tcPr/>
          <w:p>
            <w:pPr>
              <w:pStyle w:val="Compact"/>
              <w:jc w:val="left"/>
            </w:pPr>
            <w:r>
              <w:t xml:space="preserve">8 semaines</w:t>
            </w:r>
          </w:p>
        </w:tc>
        <w:tc>
          <w:tcPr/>
          <w:p>
            <w:pPr>
              <w:pStyle w:val="Compact"/>
              <w:jc w:val="left"/>
            </w:pPr>
            <w:r>
              <w:t xml:space="preserve">Systolique −14,1 mmHg par rapport à la valeur initiale dans le groupe lait fermenté ; placebo inchangé</w:t>
            </w:r>
          </w:p>
        </w:tc>
      </w:tr>
      <w:tr>
        <w:tc>
          <w:tcPr/>
          <w:p>
            <w:pPr>
              <w:pStyle w:val="Compact"/>
              <w:jc w:val="left"/>
            </w:pPr>
            <w:r>
              <w:t xml:space="preserve">Seppo 2003, PMID 12540390</w:t>
            </w:r>
          </w:p>
        </w:tc>
        <w:tc>
          <w:tcPr/>
          <w:p>
            <w:pPr>
              <w:pStyle w:val="Compact"/>
              <w:jc w:val="left"/>
            </w:pPr>
            <w:r>
              <w:t xml:space="preserve">39 personnes hypertendues, lait fermenté contre témoin</w:t>
            </w:r>
          </w:p>
        </w:tc>
        <w:tc>
          <w:tcPr/>
          <w:p>
            <w:pPr>
              <w:pStyle w:val="Compact"/>
              <w:jc w:val="left"/>
            </w:pPr>
            <w:r>
              <w:t xml:space="preserve">21 semaines</w:t>
            </w:r>
          </w:p>
        </w:tc>
        <w:tc>
          <w:tcPr/>
          <w:p>
            <w:pPr>
              <w:pStyle w:val="Compact"/>
              <w:jc w:val="left"/>
            </w:pPr>
            <w:r>
              <w:t xml:space="preserve">Différence systolique 6,7 mmHg (p = 0,03), diastolique 3,6 mmHg (non significative)</w:t>
            </w:r>
          </w:p>
        </w:tc>
      </w:tr>
      <w:tr>
        <w:tc>
          <w:tcPr/>
          <w:p>
            <w:pPr>
              <w:pStyle w:val="Compact"/>
              <w:jc w:val="left"/>
            </w:pPr>
            <w:r>
              <w:t xml:space="preserve">Tuomilehto 2004, PMID 15175633</w:t>
            </w:r>
          </w:p>
        </w:tc>
        <w:tc>
          <w:tcPr/>
          <w:p>
            <w:pPr>
              <w:pStyle w:val="Compact"/>
              <w:jc w:val="left"/>
            </w:pPr>
            <w:r>
              <w:t xml:space="preserve">60 personnes atteintes d’hypertension légère, étude croisée</w:t>
            </w:r>
          </w:p>
        </w:tc>
        <w:tc>
          <w:tcPr/>
          <w:p>
            <w:pPr>
              <w:pStyle w:val="Compact"/>
              <w:jc w:val="left"/>
            </w:pPr>
            <w:r>
              <w:t xml:space="preserve">2 × phases</w:t>
            </w:r>
          </w:p>
        </w:tc>
        <w:tc>
          <w:tcPr/>
          <w:p>
            <w:pPr>
              <w:pStyle w:val="Compact"/>
              <w:jc w:val="left"/>
            </w:pPr>
            <w:r>
              <w:t xml:space="preserve">Analyse globale : différence systolique 2,6 mmHg, non significative</w:t>
            </w:r>
          </w:p>
        </w:tc>
      </w:tr>
      <w:tr>
        <w:tc>
          <w:tcPr/>
          <w:p>
            <w:pPr>
              <w:pStyle w:val="Compact"/>
              <w:jc w:val="left"/>
            </w:pPr>
            <w:r>
              <w:t xml:space="preserve">Jauhiainen 2005, PMID 16364832</w:t>
            </w:r>
          </w:p>
        </w:tc>
        <w:tc>
          <w:tcPr/>
          <w:p>
            <w:pPr>
              <w:pStyle w:val="Compact"/>
              <w:jc w:val="left"/>
            </w:pPr>
            <w:r>
              <w:t xml:space="preserve">94 personnes hypertendues non traitées, lait fermenté contre témoin, mesure sur 24 heures</w:t>
            </w:r>
          </w:p>
        </w:tc>
        <w:tc>
          <w:tcPr/>
          <w:p>
            <w:pPr>
              <w:pStyle w:val="Compact"/>
              <w:jc w:val="left"/>
            </w:pPr>
            <w:r>
              <w:t xml:space="preserve">10 semaines</w:t>
            </w:r>
          </w:p>
        </w:tc>
        <w:tc>
          <w:tcPr/>
          <w:p>
            <w:pPr>
              <w:pStyle w:val="Compact"/>
              <w:jc w:val="left"/>
            </w:pPr>
            <w:r>
              <w:t xml:space="preserve">Systolique −4,1 mmHg, diastolique −1,8 mmHg par rapport au témoin</w:t>
            </w:r>
          </w:p>
        </w:tc>
      </w:tr>
    </w:tbl>
    <w:p>
      <w:pPr>
        <w:pStyle w:val="BodyText"/>
      </w:pPr>
      <w:r>
        <w:t xml:space="preserve">L’étude précoce de Hata était petite, la plupart des participants prenaient déjà des antihypertenseurs, et la comparaison portait surtout sur la valeur initiale. L’étude de Jauhiainen est méthodologiquement plus solide, car elle utilisait la mesure ambulatoire de la pression artérielle sur 24 heures, moins sensible à l’« effet blouse blanche » chez le médecin.</w:t>
      </w:r>
    </w:p>
    <w:bookmarkEnd w:id="2376"/>
    <w:bookmarkStart w:id="2378" w:name="les-études-négatives-des-pays-bas"/>
    <w:p>
      <w:pPr>
        <w:pStyle w:val="Heading4"/>
      </w:pPr>
      <w:r>
        <w:t xml:space="preserve">Les études négatives des Pays-Bas</w:t>
      </w:r>
    </w:p>
    <w:p>
      <w:pPr>
        <w:pStyle w:val="FirstParagraph"/>
      </w:pPr>
      <w:r>
        <w:t xml:space="preserve">À partir de 2008, plusieurs études plus grandes et menées avec soin dans des pays européens ont été publiées, sans trouver d’effet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protocole</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Engberink 2008, PMID 18086944</w:t>
            </w:r>
          </w:p>
        </w:tc>
        <w:tc>
          <w:tcPr/>
          <w:p>
            <w:pPr>
              <w:pStyle w:val="Compact"/>
              <w:jc w:val="left"/>
            </w:pPr>
            <w:r>
              <w:t xml:space="preserve">135 Néerlandais avec une pression systolique élevée, trois modes de fabrication de LTP contre placebo</w:t>
            </w:r>
          </w:p>
        </w:tc>
        <w:tc>
          <w:tcPr/>
          <w:p>
            <w:pPr>
              <w:pStyle w:val="Compact"/>
              <w:jc w:val="left"/>
            </w:pPr>
            <w:r>
              <w:t xml:space="preserve">8 semaines</w:t>
            </w:r>
          </w:p>
        </w:tc>
        <w:tc>
          <w:tcPr/>
          <w:p>
            <w:pPr>
              <w:pStyle w:val="Compact"/>
              <w:jc w:val="left"/>
            </w:pPr>
            <w:r>
              <w:t xml:space="preserve">Aucune différence avec le placebo pour la pression au cabinet, à domicile et sur 24 heures, l’activité de l’ECA ou l’angiotensine II</w:t>
            </w:r>
          </w:p>
        </w:tc>
      </w:tr>
      <w:tr>
        <w:tc>
          <w:tcPr/>
          <w:p>
            <w:pPr>
              <w:pStyle w:val="Compact"/>
              <w:jc w:val="left"/>
            </w:pPr>
            <w:r>
              <w:t xml:space="preserve">van der Zander 2008, PMID 19064533</w:t>
            </w:r>
          </w:p>
        </w:tc>
        <w:tc>
          <w:tcPr/>
          <w:p>
            <w:pPr>
              <w:pStyle w:val="Compact"/>
              <w:jc w:val="left"/>
            </w:pPr>
            <w:r>
              <w:t xml:space="preserve">275 Néerlandais hypertendus, LTP obtenus par voie enzymatique dans une boisson au yaourt contre placebo</w:t>
            </w:r>
          </w:p>
        </w:tc>
        <w:tc>
          <w:tcPr/>
          <w:p>
            <w:pPr>
              <w:pStyle w:val="Compact"/>
              <w:jc w:val="left"/>
            </w:pPr>
            <w:r>
              <w:t xml:space="preserve">8 semaines</w:t>
            </w:r>
          </w:p>
        </w:tc>
        <w:tc>
          <w:tcPr/>
          <w:p>
            <w:pPr>
              <w:pStyle w:val="Compact"/>
              <w:jc w:val="left"/>
            </w:pPr>
            <w:r>
              <w:t xml:space="preserve">Aucune différence systolique (p = 0,66) ou diastolique (p = 0,72)</w:t>
            </w:r>
          </w:p>
        </w:tc>
      </w:tr>
      <w:tr>
        <w:tc>
          <w:tcPr/>
          <w:p>
            <w:pPr>
              <w:pStyle w:val="Compact"/>
              <w:jc w:val="left"/>
            </w:pPr>
            <w:r>
              <w:t xml:space="preserve">van Mierlo 2009, PMID 19106238</w:t>
            </w:r>
          </w:p>
        </w:tc>
        <w:tc>
          <w:tcPr/>
          <w:p>
            <w:pPr>
              <w:pStyle w:val="Compact"/>
              <w:jc w:val="left"/>
            </w:pPr>
            <w:r>
              <w:t xml:space="preserve">2 études croisées avec 69 et 93 adultes non traités, mesure sur 24 heures</w:t>
            </w:r>
          </w:p>
        </w:tc>
        <w:tc>
          <w:tcPr/>
          <w:p>
            <w:pPr>
              <w:pStyle w:val="Compact"/>
              <w:jc w:val="left"/>
            </w:pPr>
            <w:r>
              <w:t xml:space="preserve">4 semaines chacune</w:t>
            </w:r>
          </w:p>
        </w:tc>
        <w:tc>
          <w:tcPr/>
          <w:p>
            <w:pPr>
              <w:pStyle w:val="Compact"/>
              <w:jc w:val="left"/>
            </w:pPr>
            <w:r>
              <w:t xml:space="preserve">Aucune différence de pression artérielle sur 24 heures</w:t>
            </w:r>
          </w:p>
        </w:tc>
      </w:tr>
      <w:tr>
        <w:tc>
          <w:tcPr/>
          <w:p>
            <w:pPr>
              <w:pStyle w:val="Compact"/>
              <w:jc w:val="left"/>
            </w:pPr>
            <w:r>
              <w:t xml:space="preserve">Usinger 2010, PMID 20147968</w:t>
            </w:r>
          </w:p>
        </w:tc>
        <w:tc>
          <w:tcPr/>
          <w:p>
            <w:pPr>
              <w:pStyle w:val="Compact"/>
              <w:jc w:val="left"/>
            </w:pPr>
            <w:r>
              <w:t xml:space="preserve">94 personnes avec une pression normale haute ou limite, 150 ou 300 ml de lait fermenté contre placebo</w:t>
            </w:r>
          </w:p>
        </w:tc>
        <w:tc>
          <w:tcPr/>
          <w:p>
            <w:pPr>
              <w:pStyle w:val="Compact"/>
              <w:jc w:val="left"/>
            </w:pPr>
            <w:r>
              <w:t xml:space="preserve">8 semaines</w:t>
            </w:r>
          </w:p>
        </w:tc>
        <w:tc>
          <w:tcPr/>
          <w:p>
            <w:pPr>
              <w:pStyle w:val="Compact"/>
              <w:jc w:val="left"/>
            </w:pPr>
            <w:r>
              <w:t xml:space="preserve">Aucune différence significative de pression artérielle sur 24 heures</w:t>
            </w:r>
          </w:p>
        </w:tc>
      </w:tr>
    </w:tbl>
    <w:p>
      <w:pPr>
        <w:pStyle w:val="BodyText"/>
      </w:pPr>
      <w:r>
        <w:t xml:space="preserve">Ce qui est remarquable dans l’étude d’Engberink : elle a testé des lactotripeptides de trois sources – issus de lait fermenté concentré, obtenus par voie enzymatique et synthétisés chimiquement. Aucune des trois variantes n’a abaissé la pression artérielle ni inhibé l’ECA de façon mesurable. Une revue a regroupé six études de ce type réunissant 780 participants du Royaume-Uni et des Pays-Bas et a conclu que les données plus récentes n’étayent pas un rôle des lactotripeptides dans la régulation de la pression artérielle</w:t>
      </w:r>
      <w:r>
        <w:rPr>
          <w:rStyle w:val="FootnoteReference"/>
        </w:rPr>
        <w:footnoteReference w:id="2377"/>
      </w:r>
      <w:r>
        <w:t xml:space="preserve">.</w:t>
      </w:r>
    </w:p>
    <w:bookmarkEnd w:id="2378"/>
    <w:bookmarkStart w:id="2384" w:name="études-ultérieures"/>
    <w:p>
      <w:pPr>
        <w:pStyle w:val="Heading4"/>
      </w:pPr>
      <w:r>
        <w:t xml:space="preserve">Études ultérieures</w:t>
      </w:r>
    </w:p>
    <w:p>
      <w:pPr>
        <w:pStyle w:val="FirstParagraph"/>
      </w:pPr>
      <w:r>
        <w:t xml:space="preserve">Après 2010 aussi, les résultats sont restés mitigés. En Finlande, une dose de 50 mg de lactotripeptides par jour a certes abaissé la pression sur 24 heures par rapport à la valeur initiale, mais pas de façon significative par rapport au placebo (−2,6 mmHg systolique) ; 5 mg par jour n’avaient aucun effet</w:t>
      </w:r>
      <w:r>
        <w:rPr>
          <w:rStyle w:val="FootnoteReference"/>
        </w:rPr>
        <w:footnoteReference w:id="2379"/>
      </w:r>
      <w:r>
        <w:t xml:space="preserve">. Une matière grasse à tartiner contenant IPP, VPP et stérols végétaux a abaissé la pression systolique mesurée à domicile davantage que le placebo (−4,1 contre −0,5 mmHg), mais pas la valeur au cabinet ni celle sur 24 heures</w:t>
      </w:r>
      <w:r>
        <w:rPr>
          <w:rStyle w:val="FootnoteReference"/>
        </w:rPr>
        <w:footnoteReference w:id="2380"/>
      </w:r>
      <w:r>
        <w:t xml:space="preserve">. Des études italiennes ont rapporté des effets favorables sur la pression au cabinet et la rigidité artérielle</w:t>
      </w:r>
      <w:r>
        <w:rPr>
          <w:rStyle w:val="FootnoteReference"/>
        </w:rPr>
        <w:footnoteReference w:id="2381"/>
      </w:r>
      <w:r>
        <w:t xml:space="preserve">, l’une d’elles sans effet sur la pression sur 24 heures. Aux États-Unis, dans une étude portant sur 91 personnes atteintes d’hypertension de stade 1 et 2, la pression systolique diurne a baissé de 3,6 mmHg, contrairement au placebo</w:t>
      </w:r>
      <w:r>
        <w:rPr>
          <w:rStyle w:val="FootnoteReference"/>
        </w:rPr>
        <w:footnoteReference w:id="2382"/>
      </w:r>
      <w:r>
        <w:t xml:space="preserve">.</w:t>
      </w:r>
    </w:p>
    <w:p>
      <w:pPr>
        <w:pStyle w:val="BodyText"/>
      </w:pPr>
      <w:r>
        <w:t xml:space="preserve">Il existe en outre de petites études sur la fonction vasculaire, la perfusion cérébrale, la fatigue musculaire et les performances cognitives, le plus souvent avec 15 à 50 participants</w:t>
      </w:r>
      <w:r>
        <w:rPr>
          <w:rStyle w:val="FootnoteReference"/>
        </w:rPr>
        <w:footnoteReference w:id="2383"/>
      </w:r>
      <w:r>
        <w:t xml:space="preserve">. Elles doivent être lues comme des indices, non comme des preuves.</w:t>
      </w:r>
    </w:p>
    <w:bookmarkEnd w:id="2384"/>
    <w:bookmarkStart w:id="2386" w:name="Xff9101e020cfef592da1e9377f82424662a5531"/>
    <w:p>
      <w:pPr>
        <w:pStyle w:val="Heading4"/>
      </w:pPr>
      <w:r>
        <w:t xml:space="preserve">Méta-analyses : petit effet, forte influence de l’origine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Méta-analyse</w:t>
            </w:r>
          </w:p>
        </w:tc>
        <w:tc>
          <w:tcPr/>
          <w:p>
            <w:pPr>
              <w:pStyle w:val="Compact"/>
              <w:jc w:val="left"/>
            </w:pPr>
            <w:r>
              <w:t xml:space="preserve">Ampleur</w:t>
            </w:r>
          </w:p>
        </w:tc>
        <w:tc>
          <w:tcPr/>
          <w:p>
            <w:pPr>
              <w:pStyle w:val="Compact"/>
              <w:jc w:val="left"/>
            </w:pPr>
            <w:r>
              <w:t xml:space="preserve">Effet sur la pression systolique</w:t>
            </w:r>
          </w:p>
        </w:tc>
      </w:tr>
      <w:tr>
        <w:tc>
          <w:tcPr/>
          <w:p>
            <w:pPr>
              <w:pStyle w:val="Compact"/>
              <w:jc w:val="left"/>
            </w:pPr>
            <w:r>
              <w:t xml:space="preserve">Cicero 2011, PMID 20811398</w:t>
            </w:r>
          </w:p>
        </w:tc>
        <w:tc>
          <w:tcPr/>
          <w:p>
            <w:pPr>
              <w:pStyle w:val="Compact"/>
              <w:jc w:val="left"/>
            </w:pPr>
            <w:r>
              <w:t xml:space="preserve">18 études</w:t>
            </w:r>
          </w:p>
        </w:tc>
        <w:tc>
          <w:tcPr/>
          <w:p>
            <w:pPr>
              <w:pStyle w:val="Compact"/>
              <w:jc w:val="left"/>
            </w:pPr>
            <w:r>
              <w:t xml:space="preserve">−3,73 mmHg au total ; Asie −6,93 mmHg ; Europe −1,17 mmHg (non significatif)</w:t>
            </w:r>
          </w:p>
        </w:tc>
      </w:tr>
      <w:tr>
        <w:tc>
          <w:tcPr/>
          <w:p>
            <w:pPr>
              <w:pStyle w:val="Compact"/>
              <w:jc w:val="left"/>
            </w:pPr>
            <w:r>
              <w:t xml:space="preserve">Turpeinen 2013, PMID 23305234</w:t>
            </w:r>
          </w:p>
        </w:tc>
        <w:tc>
          <w:tcPr/>
          <w:p>
            <w:pPr>
              <w:pStyle w:val="Compact"/>
              <w:jc w:val="left"/>
            </w:pPr>
            <w:r>
              <w:t xml:space="preserve">19 études, env. 1 500 personnes</w:t>
            </w:r>
          </w:p>
        </w:tc>
        <w:tc>
          <w:tcPr/>
          <w:p>
            <w:pPr>
              <w:pStyle w:val="Compact"/>
              <w:jc w:val="left"/>
            </w:pPr>
            <w:r>
              <w:t xml:space="preserve">−4,0 mmHg</w:t>
            </w:r>
          </w:p>
        </w:tc>
      </w:tr>
      <w:tr>
        <w:tc>
          <w:tcPr/>
          <w:p>
            <w:pPr>
              <w:pStyle w:val="Compact"/>
              <w:jc w:val="left"/>
            </w:pPr>
            <w:r>
              <w:t xml:space="preserve">Qin 2013, PMID 23566677</w:t>
            </w:r>
          </w:p>
        </w:tc>
        <w:tc>
          <w:tcPr/>
          <w:p>
            <w:pPr>
              <w:pStyle w:val="Compact"/>
              <w:jc w:val="left"/>
            </w:pPr>
            <w:r>
              <w:t xml:space="preserve">28 bras d’étude, 1 919 personnes</w:t>
            </w:r>
          </w:p>
        </w:tc>
        <w:tc>
          <w:tcPr/>
          <w:p>
            <w:pPr>
              <w:pStyle w:val="Compact"/>
              <w:jc w:val="left"/>
            </w:pPr>
            <w:r>
              <w:t xml:space="preserve">−1,66 mmHg ; sur 24 heures −1,30 mmHg</w:t>
            </w:r>
          </w:p>
        </w:tc>
      </w:tr>
      <w:tr>
        <w:tc>
          <w:tcPr/>
          <w:p>
            <w:pPr>
              <w:pStyle w:val="Compact"/>
              <w:jc w:val="left"/>
            </w:pPr>
            <w:r>
              <w:t xml:space="preserve">Cicero 2013, PMID 23382495</w:t>
            </w:r>
          </w:p>
        </w:tc>
        <w:tc>
          <w:tcPr/>
          <w:p>
            <w:pPr>
              <w:pStyle w:val="Compact"/>
              <w:jc w:val="left"/>
            </w:pPr>
            <w:r>
              <w:t xml:space="preserve">14 études européennes, 1 306 personnes</w:t>
            </w:r>
          </w:p>
        </w:tc>
        <w:tc>
          <w:tcPr/>
          <w:p>
            <w:pPr>
              <w:pStyle w:val="Compact"/>
              <w:jc w:val="left"/>
            </w:pPr>
            <w:r>
              <w:t xml:space="preserve">−1,28 mmHg</w:t>
            </w:r>
          </w:p>
        </w:tc>
      </w:tr>
      <w:tr>
        <w:tc>
          <w:tcPr/>
          <w:p>
            <w:pPr>
              <w:pStyle w:val="Compact"/>
              <w:jc w:val="left"/>
            </w:pPr>
            <w:r>
              <w:t xml:space="preserve">Fekete 2015, PMID 25608938</w:t>
            </w:r>
          </w:p>
        </w:tc>
        <w:tc>
          <w:tcPr/>
          <w:p>
            <w:pPr>
              <w:pStyle w:val="Compact"/>
              <w:jc w:val="left"/>
            </w:pPr>
            <w:r>
              <w:t xml:space="preserve">30 études</w:t>
            </w:r>
          </w:p>
        </w:tc>
        <w:tc>
          <w:tcPr/>
          <w:p>
            <w:pPr>
              <w:pStyle w:val="Compact"/>
              <w:jc w:val="left"/>
            </w:pPr>
            <w:r>
              <w:t xml:space="preserve">−2,95 mmHg ; pression sur 24 heures non significative</w:t>
            </w:r>
          </w:p>
        </w:tc>
      </w:tr>
      <w:tr>
        <w:tc>
          <w:tcPr/>
          <w:p>
            <w:pPr>
              <w:pStyle w:val="Compact"/>
              <w:jc w:val="left"/>
            </w:pPr>
            <w:r>
              <w:t xml:space="preserve">Chanson-Rolle 2015, PMID 26536628</w:t>
            </w:r>
          </w:p>
        </w:tc>
        <w:tc>
          <w:tcPr/>
          <w:p>
            <w:pPr>
              <w:pStyle w:val="Compact"/>
              <w:jc w:val="left"/>
            </w:pPr>
            <w:r>
              <w:t xml:space="preserve">18 études japonaises, 1 194 personnes</w:t>
            </w:r>
          </w:p>
        </w:tc>
        <w:tc>
          <w:tcPr/>
          <w:p>
            <w:pPr>
              <w:pStyle w:val="Compact"/>
              <w:jc w:val="left"/>
            </w:pPr>
            <w:r>
              <w:t xml:space="preserve">−5,63 mmHg</w:t>
            </w:r>
          </w:p>
        </w:tc>
      </w:tr>
    </w:tbl>
    <w:p>
      <w:pPr>
        <w:pStyle w:val="BodyText"/>
      </w:pPr>
      <w:r>
        <w:t xml:space="preserve">Trois schémas traversent toutes les analyses :</w:t>
      </w:r>
    </w:p>
    <w:p>
      <w:pPr>
        <w:numPr>
          <w:ilvl w:val="0"/>
          <w:numId w:val="1298"/>
        </w:numPr>
        <w:pStyle w:val="Compact"/>
      </w:pPr>
      <w:r>
        <w:rPr>
          <w:bCs/>
          <w:b/>
        </w:rPr>
        <w:t xml:space="preserve">L’effet est faible.</w:t>
      </w:r>
      <w:r>
        <w:t xml:space="preserve"> </w:t>
      </w:r>
      <w:r>
        <w:t xml:space="preserve">Une fois les données regroupées, il se situe le plus souvent entre 1 et 4 mmHg pour la systolique – nettement moins que ce qu’obtiennent les antihypertenseurs autorisés.</w:t>
      </w:r>
    </w:p>
    <w:p>
      <w:pPr>
        <w:numPr>
          <w:ilvl w:val="0"/>
          <w:numId w:val="1298"/>
        </w:numPr>
        <w:pStyle w:val="Compact"/>
      </w:pPr>
      <w:r>
        <w:rPr>
          <w:bCs/>
          <w:b/>
        </w:rPr>
        <w:t xml:space="preserve">Les études asiatiques, surtout japonaises, montrent des effets nettement plus importants que les études européennes.</w:t>
      </w:r>
      <w:r>
        <w:t xml:space="preserve"> </w:t>
      </w:r>
      <w:r>
        <w:t xml:space="preserve">On ignore si cela tient à des différences génétiques, à l’alimentation (par exemple une consommation de sel plus élevée) ou à des différences méthodologiques.</w:t>
      </w:r>
    </w:p>
    <w:p>
      <w:pPr>
        <w:numPr>
          <w:ilvl w:val="0"/>
          <w:numId w:val="1298"/>
        </w:numPr>
        <w:pStyle w:val="Compact"/>
      </w:pPr>
      <w:r>
        <w:rPr>
          <w:bCs/>
          <w:b/>
        </w:rPr>
        <w:t xml:space="preserve">Indices d’un biais de publication.</w:t>
      </w:r>
      <w:r>
        <w:t xml:space="preserve"> </w:t>
      </w:r>
      <w:r>
        <w:t xml:space="preserve">La méta-analyse de Fekete a trouvé à la fois un biais de publication et un « effet petites études » : les petites études montraient des effets plus importants. Après correction, la baisse systolique se réduisait et la baisse diastolique n’était plus significative. Pour la pression sur 24 heures – la méthode de mesure la plus fiable –, l’effet n’était pas significatif</w:t>
      </w:r>
      <w:r>
        <w:rPr>
          <w:rStyle w:val="FootnoteReference"/>
        </w:rPr>
        <w:footnoteReference w:id="2385"/>
      </w:r>
      <w:r>
        <w:t xml:space="preserve">.</w:t>
      </w:r>
    </w:p>
    <w:p>
      <w:pPr>
        <w:pStyle w:val="FirstParagraph"/>
      </w:pPr>
      <w:r>
        <w:t xml:space="preserve">Il manque une étude montrant que les lactotripeptides préviennent les infarctus, les AVC ou les décès. Compte tenu de la faiblesse de l’effet, une telle étude n’est d’ailleurs pas à attendre.</w:t>
      </w:r>
    </w:p>
    <w:bookmarkEnd w:id="2386"/>
    <w:bookmarkEnd w:id="2387"/>
    <w:bookmarkStart w:id="2394" w:name="études-animales-et-de-laboratoire-53"/>
    <w:p>
      <w:pPr>
        <w:pStyle w:val="Heading3"/>
      </w:pPr>
      <w:r>
        <w:t xml:space="preserve">Études animales et de laboratoire</w:t>
      </w:r>
    </w:p>
    <w:p>
      <w:pPr>
        <w:pStyle w:val="FirstParagraph"/>
      </w:pPr>
      <w:r>
        <w:t xml:space="preserve">Chez des rats présentant une hypertension congénitale (rats SHR), le VPP et l’IPP ont abaissé la pression artérielle de manière dose-dépendante, mais pas chez des rats à pression normale</w:t>
      </w:r>
      <w:r>
        <w:rPr>
          <w:rStyle w:val="FootnoteReference"/>
        </w:rPr>
        <w:footnoteReference w:id="2388"/>
      </w:r>
      <w:r>
        <w:t xml:space="preserve">. En culture cellulaire, le VPP et l’IPP ont stimulé la production de monoxyde d’azote dans les cellules vasculaires à partir de concentrations supérieures à 100 nanomoles par litre, et ils ont déclenché une vasodilatation sur des aortes de rat isolées</w:t>
      </w:r>
      <w:r>
        <w:rPr>
          <w:rStyle w:val="FootnoteReference"/>
        </w:rPr>
        <w:footnoteReference w:id="2389"/>
      </w:r>
      <w:r>
        <w:t xml:space="preserve">. À titre de comparaison : dans le sang humain, moins de 1 nanomole par litre d’IPP a été mesurée après la consommation d’une boisson enrichie</w:t>
      </w:r>
      <w:r>
        <w:rPr>
          <w:rStyle w:val="FootnoteReference"/>
        </w:rPr>
        <w:footnoteReference w:id="2390"/>
      </w:r>
      <w:r>
        <w:t xml:space="preserve">. Les analyses de structure par rayons X montrent que les deux peptides se fixent de préférence sur l’un des deux sites actifs de la molécule d’ECA</w:t>
      </w:r>
      <w:r>
        <w:rPr>
          <w:rStyle w:val="FootnoteReference"/>
        </w:rPr>
        <w:footnoteReference w:id="2391"/>
      </w:r>
      <w:r>
        <w:t xml:space="preserve">. Chez le rat et le lapin, des études de toxicité – y compris des examens du développement rénal de la descendance, car les inhibiteurs de l’ECA peuvent nuire à l’enfant à naître pendant la grossesse – n’ont trouvé aucun effet indésirable aux doses les plus élevées testées</w:t>
      </w:r>
      <w:r>
        <w:rPr>
          <w:rStyle w:val="FootnoteReference"/>
        </w:rPr>
        <w:footnoteReference w:id="2392"/>
      </w:r>
      <w:r>
        <w:t xml:space="preserve">. Un hydrolysat de protéines de lait contenant de l’IPP n’était pas mutagène dans les tests de génotoxicité ; la dose la plus élevée testée dans l’essai de 90 jours chez le rat était environ 141 fois supérieure à l’apport maximal attendu</w:t>
      </w:r>
      <w:r>
        <w:rPr>
          <w:rStyle w:val="FootnoteReference"/>
        </w:rPr>
        <w:footnoteReference w:id="2393"/>
      </w:r>
      <w:r>
        <w:t xml:space="preserve">.</w:t>
      </w:r>
    </w:p>
    <w:bookmarkEnd w:id="2394"/>
    <w:bookmarkStart w:id="2396" w:name="risques-et-effets-indésirables-53"/>
    <w:p>
      <w:pPr>
        <w:pStyle w:val="Heading3"/>
      </w:pPr>
      <w:r>
        <w:t xml:space="preserve">Risques et effets indésirables</w:t>
      </w:r>
    </w:p>
    <w:p>
      <w:pPr>
        <w:pStyle w:val="FirstParagraph"/>
      </w:pPr>
      <w:r>
        <w:rPr>
          <w:bCs/>
          <w:b/>
        </w:rPr>
        <w:t xml:space="preserve">Établis :</w:t>
      </w:r>
      <w:r>
        <w:t xml:space="preserve"> </w:t>
      </w:r>
      <w:r>
        <w:t xml:space="preserve">dans les études chez l’humain, les lactotripeptides n’ont pas entraîné plus d’effets indésirables que le placebo</w:t>
      </w:r>
      <w:r>
        <w:rPr>
          <w:rStyle w:val="FootnoteReference"/>
        </w:rPr>
        <w:footnoteReference w:id="2395"/>
      </w:r>
      <w:r>
        <w:t xml:space="preserve">. Les peptides proviennent de protéines du lait consommées depuis toujours ; les quantités contenues dans les produits sont de l’ordre du milligramme.</w:t>
      </w:r>
    </w:p>
    <w:p>
      <w:pPr>
        <w:pStyle w:val="BodyText"/>
      </w:pPr>
      <w:r>
        <w:rPr>
          <w:bCs/>
          <w:b/>
        </w:rPr>
        <w:t xml:space="preserve">Théoriques ou à prendre en compte :</w:t>
      </w:r>
    </w:p>
    <w:p>
      <w:pPr>
        <w:numPr>
          <w:ilvl w:val="0"/>
          <w:numId w:val="1299"/>
        </w:numPr>
        <w:pStyle w:val="Compact"/>
      </w:pPr>
      <w:r>
        <w:rPr>
          <w:bCs/>
          <w:b/>
        </w:rPr>
        <w:t xml:space="preserve">Allergie au lait :</w:t>
      </w:r>
      <w:r>
        <w:t xml:space="preserve"> </w:t>
      </w:r>
      <w:r>
        <w:t xml:space="preserve">les produits à base de lait ou de caséine ne conviennent pas en cas d’allergie aux protéines du lait de vache.</w:t>
      </w:r>
    </w:p>
    <w:p>
      <w:pPr>
        <w:numPr>
          <w:ilvl w:val="0"/>
          <w:numId w:val="1299"/>
        </w:numPr>
        <w:pStyle w:val="Compact"/>
      </w:pPr>
      <w:r>
        <w:rPr>
          <w:bCs/>
          <w:b/>
        </w:rPr>
        <w:t xml:space="preserve">Association avec des antihypertenseurs :</w:t>
      </w:r>
      <w:r>
        <w:t xml:space="preserve"> </w:t>
      </w:r>
      <w:r>
        <w:t xml:space="preserve">un renforcement significatif est improbable vu la faiblesse de l’effet, mais il n’a pas été étudié systématiquement.</w:t>
      </w:r>
    </w:p>
    <w:p>
      <w:pPr>
        <w:numPr>
          <w:ilvl w:val="0"/>
          <w:numId w:val="1299"/>
        </w:numPr>
        <w:pStyle w:val="Compact"/>
      </w:pPr>
      <w:r>
        <w:rPr>
          <w:bCs/>
          <w:b/>
        </w:rPr>
        <w:t xml:space="preserve">Grossesse :</w:t>
      </w:r>
      <w:r>
        <w:t xml:space="preserve"> </w:t>
      </w:r>
      <w:r>
        <w:t xml:space="preserve">les inhibiteurs de l’ECA sont contre-indiqués pendant la grossesse. Pour les lactotripeptides, aucune atteinte de ce type n’a été trouvée chez l’animal ; les données chez l’humain font défaut.</w:t>
      </w:r>
    </w:p>
    <w:p>
      <w:pPr>
        <w:numPr>
          <w:ilvl w:val="0"/>
          <w:numId w:val="1299"/>
        </w:numPr>
        <w:pStyle w:val="Compact"/>
      </w:pPr>
      <w:r>
        <w:rPr>
          <w:bCs/>
          <w:b/>
        </w:rPr>
        <w:t xml:space="preserve">Le risque le plus important :</w:t>
      </w:r>
      <w:r>
        <w:t xml:space="preserve"> </w:t>
      </w:r>
      <w:r>
        <w:t xml:space="preserve">traiter une hypertension qui nécessite un traitement avec une boisson lactée au lieu de mesures efficaces, c’est renoncer à une protection contre l’infarctus et l’AVC. La perte de poids, la réduction du sel, l’activité physique et – si nécessaire – les médicaments abaissent la pression artérielle de manière démontrée et plus fortement.</w:t>
      </w:r>
    </w:p>
    <w:bookmarkEnd w:id="2396"/>
    <w:bookmarkStart w:id="2397" w:name="statut-juridique-53"/>
    <w:p>
      <w:pPr>
        <w:pStyle w:val="Heading3"/>
      </w:pPr>
      <w:r>
        <w:t xml:space="preserve">Statut juridique</w:t>
      </w:r>
    </w:p>
    <w:p>
      <w:pPr>
        <w:numPr>
          <w:ilvl w:val="0"/>
          <w:numId w:val="1300"/>
        </w:numPr>
        <w:pStyle w:val="Compact"/>
      </w:pPr>
      <w:r>
        <w:rPr>
          <w:bCs/>
          <w:b/>
        </w:rPr>
        <w:t xml:space="preserve">UE / Autriche / Allemagne :</w:t>
      </w:r>
      <w:r>
        <w:t xml:space="preserve"> </w:t>
      </w:r>
      <w:r>
        <w:t xml:space="preserve">les lactotripeptides sont des ingrédients alimentaires. Les allégations de santé relatives à la pression artérielle</w:t>
      </w:r>
      <w:r>
        <w:t xml:space="preserve"> </w:t>
      </w:r>
      <w:r>
        <w:rPr>
          <w:bCs/>
          <w:b/>
        </w:rPr>
        <w:t xml:space="preserve">ne sont pas autorisées</w:t>
      </w:r>
      <w:r>
        <w:t xml:space="preserve"> </w:t>
      </w:r>
      <w:r>
        <w:t xml:space="preserve">selon le règlement sur les allégations de santé (règlement (CE) n° 1924/2006). L’Autorité européenne de sécurité des aliments (EFSA) a examiné des demandes concernant les lactotripeptides et le maintien d’une pression artérielle normale et a conclu qu’une relation de cause à effet n’était pas suffisamment démontrée. Les études européennes contradictoires ont notamment été déterminantes. Dans l’UE, les produits ne peuvent donc pas être promus par des mentions comme « fait baisser la pression artérielle » ou « contribue au maintien d’une pression artérielle normale ».</w:t>
      </w:r>
    </w:p>
    <w:p>
      <w:pPr>
        <w:numPr>
          <w:ilvl w:val="0"/>
          <w:numId w:val="1300"/>
        </w:numPr>
        <w:pStyle w:val="Compact"/>
      </w:pPr>
      <w:r>
        <w:rPr>
          <w:bCs/>
          <w:b/>
        </w:rPr>
        <w:t xml:space="preserve">Japon :</w:t>
      </w:r>
      <w:r>
        <w:t xml:space="preserve"> </w:t>
      </w:r>
      <w:r>
        <w:t xml:space="preserve">des boissons de ce type y ont été commercialisées comme « aliments à usage de santé spécifique » (FOSHU) avec une allégation officiellement autorisée concernant la pression artérielle. Cela explique en partie pourquoi une grande partie des études provient du Japon.</w:t>
      </w:r>
    </w:p>
    <w:p>
      <w:pPr>
        <w:numPr>
          <w:ilvl w:val="0"/>
          <w:numId w:val="1300"/>
        </w:numPr>
        <w:pStyle w:val="Compact"/>
      </w:pPr>
      <w:r>
        <w:rPr>
          <w:bCs/>
          <w:b/>
        </w:rPr>
        <w:t xml:space="preserve">États-Unis :</w:t>
      </w:r>
      <w:r>
        <w:t xml:space="preserve"> </w:t>
      </w:r>
      <w:r>
        <w:t xml:space="preserve">en vente comme compléments alimentaires ; les allégations liées à des maladies sont interdites.</w:t>
      </w:r>
    </w:p>
    <w:p>
      <w:pPr>
        <w:numPr>
          <w:ilvl w:val="0"/>
          <w:numId w:val="1300"/>
        </w:numPr>
        <w:pStyle w:val="Compact"/>
      </w:pPr>
      <w:r>
        <w:rPr>
          <w:bCs/>
          <w:b/>
        </w:rPr>
        <w:t xml:space="preserve">Sport :</w:t>
      </w:r>
      <w:r>
        <w:t xml:space="preserve"> </w:t>
      </w:r>
      <w:r>
        <w:t xml:space="preserve">pas sur la liste des interdictions de la WADA (état 2026, à vérifier).</w:t>
      </w:r>
    </w:p>
    <w:bookmarkEnd w:id="2397"/>
    <w:bookmarkStart w:id="2399" w:name="études-en-cours-et-perspectives-53"/>
    <w:p>
      <w:pPr>
        <w:pStyle w:val="Heading3"/>
      </w:pPr>
      <w:r>
        <w:t xml:space="preserve">Études en cours et perspectives</w:t>
      </w:r>
    </w:p>
    <w:p>
      <w:pPr>
        <w:pStyle w:val="FirstParagraph"/>
      </w:pPr>
      <w:r>
        <w:rPr>
          <w:bCs/>
          <w:b/>
        </w:rPr>
        <w:t xml:space="preserve">Établi :</w:t>
      </w:r>
      <w:r>
        <w:t xml:space="preserve"> </w:t>
      </w:r>
      <w:r>
        <w:t xml:space="preserve">sur ClinicalTrials.gov, aucune étude en cours n’est enregistrée sous le terme « lactotripeptides ». Sous des termes apparentés, on trouve une étude terminée sur l’IPP et la fonction vasculaire dans la maladie coronarienne, portant sur 54 participants</w:t>
      </w:r>
      <w:r>
        <w:rPr>
          <w:rStyle w:val="FootnoteReference"/>
        </w:rPr>
        <w:footnoteReference w:id="2398"/>
      </w:r>
      <w:r>
        <w:t xml:space="preserve">. La recherche sur les lactotripeptides s’est nettement essoufflée depuis 2015 environ ; les travaux récents étudient surtout, de manière générale, pourquoi les personnes réagissent différemment aux peptides alimentaires.</w:t>
      </w:r>
    </w:p>
    <w:p>
      <w:pPr>
        <w:pStyle w:val="BodyText"/>
      </w:pPr>
      <w:r>
        <w:rPr>
          <w:bCs/>
          <w:b/>
        </w:rPr>
        <w:t xml:space="preserve">Appréciation :</w:t>
      </w:r>
      <w:r>
        <w:t xml:space="preserve"> </w:t>
      </w:r>
      <w:r>
        <w:t xml:space="preserve">les lactotripeptides sont un exemple d’école de la manière dont un mécanisme convaincant en laboratoire et des premières études positives peuvent se réduire dans des études plus grandes et indépendantes. Un petit effet sur la pression artérielle est possible – surtout dans les populations d’étude asiatiques –, mais il n’est pas démontré de façon convaincante pour l’Europe. Aucune renaissance n’est en vue.</w:t>
      </w:r>
    </w:p>
    <w:bookmarkEnd w:id="2399"/>
    <w:bookmarkStart w:id="2400" w:name="conclusion-53"/>
    <w:p>
      <w:pPr>
        <w:pStyle w:val="Heading3"/>
      </w:pPr>
      <w:r>
        <w:t xml:space="preserve">Conclusion</w:t>
      </w:r>
    </w:p>
    <w:p>
      <w:pPr>
        <w:pStyle w:val="FirstParagraph"/>
      </w:pPr>
      <w:r>
        <w:t xml:space="preserve">Les lactotripeptides sont deux petits peptides du lait qui inhibent en éprouvette l’ECA, une enzyme régulant la pression artérielle. Dans les premières études japonaises et finlandaises, ils ont abaissé la pression artérielle, mais pas dans plusieurs études néerlandaises plus grandes, et aucune inhibition mesurable de l’ECA n’a pu être démontrée chez l’humain. Les méta-analyses aboutissent à une baisse de la pression systolique d’environ 1 à 4 mmHg, avec des indices de biais de publication et un effet nettement plus faible en Europe. L’EFSA a refusé une allégation sur la pression artérielle. Ils sont sans danger, mais ne remplacent pas un traitement de l’hypertension.</w:t>
      </w:r>
    </w:p>
    <w:bookmarkEnd w:id="2400"/>
    <w:bookmarkEnd w:id="2401"/>
    <w:bookmarkStart w:id="2452" w:name="carnosine"/>
    <w:p>
      <w:pPr>
        <w:pStyle w:val="Heading2"/>
      </w:pPr>
      <w:r>
        <w:t xml:space="preserve">Carnosine</w:t>
      </w:r>
    </w:p>
    <w:bookmarkStart w:id="2402" w:name="fiche-signalétique-54"/>
    <w:p>
      <w:pPr>
        <w:pStyle w:val="Heading3"/>
      </w:pPr>
      <w:r>
        <w:t xml:space="preserve">Fiche signalétique</w:t>
      </w:r>
    </w:p>
    <w:p>
      <w:pPr>
        <w:numPr>
          <w:ilvl w:val="0"/>
          <w:numId w:val="1301"/>
        </w:numPr>
        <w:pStyle w:val="Compact"/>
      </w:pPr>
      <w:r>
        <w:rPr>
          <w:bCs/>
          <w:b/>
        </w:rPr>
        <w:t xml:space="preserve">Type/structure :</w:t>
      </w:r>
      <w:r>
        <w:t xml:space="preserve"> </w:t>
      </w:r>
      <w:r>
        <w:t xml:space="preserve">dipeptide composé des acides aminés bêta-alanine et histidine (β-alanyl-L-histidine). Les substances apparentées sont l’ansérine (dans la volaille et le poisson) et l’homocarnosine (dans le cerveau) ; ensemble, on les appelle dipeptides histidinés.</w:t>
      </w:r>
    </w:p>
    <w:p>
      <w:pPr>
        <w:numPr>
          <w:ilvl w:val="0"/>
          <w:numId w:val="1301"/>
        </w:numPr>
        <w:pStyle w:val="Compact"/>
      </w:pPr>
      <w:r>
        <w:rPr>
          <w:bCs/>
          <w:b/>
        </w:rPr>
        <w:t xml:space="preserve">Origine :</w:t>
      </w:r>
      <w:r>
        <w:t xml:space="preserve"> </w:t>
      </w:r>
      <w:r>
        <w:t xml:space="preserve">endogène, présente en forte concentration dans les muscles squelettiques, ainsi que dans le cœur et le cerveau. Par l’alimentation, la carnosine est surtout apportée par la viande et le poisson ; les aliments végétaux n’en contiennent pratiquement pas. Pour les compléments alimentaires, elle est produite par synthèse.</w:t>
      </w:r>
    </w:p>
    <w:p>
      <w:pPr>
        <w:numPr>
          <w:ilvl w:val="0"/>
          <w:numId w:val="1301"/>
        </w:numPr>
        <w:pStyle w:val="Compact"/>
      </w:pPr>
      <w:r>
        <w:rPr>
          <w:bCs/>
          <w:b/>
        </w:rPr>
        <w:t xml:space="preserve">Principe d’action :</w:t>
      </w:r>
      <w:r>
        <w:t xml:space="preserve"> </w:t>
      </w:r>
      <w:r>
        <w:t xml:space="preserve">tampon contre l’acidification du muscle ; en laboratoire, également piégeage de produits réactifs issus de la dégradation des sucres et des graisses (anti-glycation) et effet antioxydant.</w:t>
      </w:r>
    </w:p>
    <w:p>
      <w:pPr>
        <w:numPr>
          <w:ilvl w:val="0"/>
          <w:numId w:val="1301"/>
        </w:numPr>
        <w:pStyle w:val="Compact"/>
      </w:pPr>
      <w:r>
        <w:rPr>
          <w:bCs/>
          <w:b/>
        </w:rPr>
        <w:t xml:space="preserve">Principes actifs apparentés :</w:t>
      </w:r>
      <w:r>
        <w:t xml:space="preserve"> </w:t>
      </w:r>
      <w:r>
        <w:t xml:space="preserve">bêta-alanine (le précurseur, complément sportif répandu) ; zinc-carnosine (polaprézinc, un médicament contre l’ulcère gastrique au Japon) ; N-acétylcarnosine (dans des collyres).</w:t>
      </w:r>
    </w:p>
    <w:p>
      <w:pPr>
        <w:numPr>
          <w:ilvl w:val="0"/>
          <w:numId w:val="1301"/>
        </w:numPr>
        <w:pStyle w:val="Compact"/>
      </w:pPr>
      <w:r>
        <w:rPr>
          <w:bCs/>
          <w:b/>
        </w:rPr>
        <w:t xml:space="preserve">Autorisation UE :</w:t>
      </w:r>
      <w:r>
        <w:t xml:space="preserve"> </w:t>
      </w:r>
      <w:r>
        <w:t xml:space="preserve">pas d’autorisation comme médicament pour la carnosine ; commercialisée comme complément alimentaire. Aucune allégation de santé autorisée.</w:t>
      </w:r>
    </w:p>
    <w:p>
      <w:pPr>
        <w:numPr>
          <w:ilvl w:val="0"/>
          <w:numId w:val="1301"/>
        </w:numPr>
        <w:pStyle w:val="Compact"/>
      </w:pPr>
      <w:r>
        <w:rPr>
          <w:bCs/>
          <w:b/>
        </w:rPr>
        <w:t xml:space="preserve">Autorisation États-Unis :</w:t>
      </w:r>
      <w:r>
        <w:t xml:space="preserve"> </w:t>
      </w:r>
      <w:r>
        <w:t xml:space="preserve">pas d’autorisation comme médicament ; disponible comme complément alimentaire.</w:t>
      </w:r>
    </w:p>
    <w:p>
      <w:pPr>
        <w:numPr>
          <w:ilvl w:val="0"/>
          <w:numId w:val="1301"/>
        </w:numPr>
        <w:pStyle w:val="Compact"/>
      </w:pPr>
      <w:r>
        <w:rPr>
          <w:bCs/>
          <w:b/>
        </w:rPr>
        <w:t xml:space="preserve">AMA (WADA) :</w:t>
      </w:r>
      <w:r>
        <w:t xml:space="preserve"> </w:t>
      </w:r>
      <w:r>
        <w:t xml:space="preserve">la carnosine et la bêta-alanine ne sont pas listées.</w:t>
      </w:r>
    </w:p>
    <w:p>
      <w:pPr>
        <w:numPr>
          <w:ilvl w:val="0"/>
          <w:numId w:val="1301"/>
        </w:numPr>
        <w:pStyle w:val="Compact"/>
      </w:pPr>
      <w:r>
        <w:rPr>
          <w:bCs/>
          <w:b/>
        </w:rPr>
        <w:t xml:space="preserve">Niveau de preuve :</w:t>
      </w:r>
      <w:r>
        <w:t xml:space="preserve"> </w:t>
      </w:r>
      <w:r>
        <w:rPr>
          <w:bCs/>
          <w:b/>
        </w:rPr>
        <w:t xml:space="preserve">B</w:t>
      </w:r>
      <w:r>
        <w:t xml:space="preserve"> </w:t>
      </w:r>
      <w:r>
        <w:t xml:space="preserve">– plusieurs petites études randomisées, une étude plus grande avec près de 300 participants ; beaucoup de résultats hétérogènes.</w:t>
      </w:r>
    </w:p>
    <w:bookmarkEnd w:id="2402"/>
    <w:bookmarkStart w:id="2411" w:name="mode-daction-supposé-54"/>
    <w:p>
      <w:pPr>
        <w:pStyle w:val="Heading3"/>
      </w:pPr>
      <w:r>
        <w:t xml:space="preserve">Mode d’action supposé</w:t>
      </w:r>
    </w:p>
    <w:p>
      <w:pPr>
        <w:pStyle w:val="FirstParagraph"/>
      </w:pPr>
      <w:r>
        <w:t xml:space="preserve">Lors d’efforts brefs et très intenses – un 400 mètres ou une course d’aviron –, le muscle produit plus d’acide qu’il ne peut en évacuer. L’acidité augmente, le travail musculaire faiblit. La carnosine est l’un des tampons du muscle qui neutralisent cet acide. Chez 18 rameurs belges de haut niveau, la teneur en carnosine des muscles du mollet était étroitement liée à la vitesse sur 100 à 6 000 mètres</w:t>
      </w:r>
      <w:r>
        <w:rPr>
          <w:rStyle w:val="FootnoteReference"/>
        </w:rPr>
        <w:footnoteReference w:id="2403"/>
      </w:r>
      <w:r>
        <w:t xml:space="preserve">.</w:t>
      </w:r>
    </w:p>
    <w:p>
      <w:pPr>
        <w:pStyle w:val="BodyText"/>
      </w:pPr>
      <w:r>
        <w:t xml:space="preserve">En laboratoire, la carnosine possède en outre d’autres propriétés : elle piège des molécules réactives qui se forment en cas de glycémie élevée ou lors de la dégradation des graisses et qui peuvent endommager les protéines (phénomènes appelés glycation et peroxydation lipidique). De là découlent les hypothèses selon lesquelles la carnosine pourrait être utile dans le diabète, les atteintes vasculaires et rénales, le vieillissement cérébral ou le vieillissement cutané.</w:t>
      </w:r>
    </w:p>
    <w:bookmarkStart w:id="2406" w:name="X21c1d1c8bf43e580ac8aaf3e005ebf9eb770503"/>
    <w:p>
      <w:pPr>
        <w:pStyle w:val="Heading4"/>
      </w:pPr>
      <w:r>
        <w:t xml:space="preserve">Le problème de l’absorption : la carnosinase</w:t>
      </w:r>
    </w:p>
    <w:p>
      <w:pPr>
        <w:pStyle w:val="FirstParagraph"/>
      </w:pPr>
      <w:r>
        <w:t xml:space="preserve">Le sang humain contient une enzyme très active, la carnosinase sérique (CN1), qui scinde rapidement la carnosine en bêta-alanine et histidine. Les rongeurs ne possèdent pratiquement pas cette enzyme dans le sang – une raison importante pour laquelle les résultats des expérimentations animales ne sont transposables que de façon limitée. Dès 1991, une étude a montré qu’une partie de la carnosine avalée est certes absorbée intacte par l’intestin (jusqu’à 14 % se retrouvaient dans l’urine), mais qu’elle n’était détectable dans le sang que si la carnosinase était bloquée dans le tube de prélèvement. La quantité dans l’urine variait fortement et était d’autant plus faible que la carnosinase de la personne était active</w:t>
      </w:r>
      <w:r>
        <w:rPr>
          <w:rStyle w:val="FootnoteReference"/>
        </w:rPr>
        <w:footnoteReference w:id="2404"/>
      </w:r>
      <w:r>
        <w:t xml:space="preserve">.</w:t>
      </w:r>
    </w:p>
    <w:p>
      <w:pPr>
        <w:pStyle w:val="BodyText"/>
      </w:pPr>
      <w:r>
        <w:t xml:space="preserve">Dans la plus grande étude à ce jour, sous 2 g de carnosine par jour, les valeurs de carnosine dans les globules rouges ont environ doublé après 6 et 12 semaines, et ont été multipliées par sept environ dans l’urine</w:t>
      </w:r>
      <w:r>
        <w:rPr>
          <w:rStyle w:val="FootnoteReference"/>
        </w:rPr>
        <w:footnoteReference w:id="2405"/>
      </w:r>
      <w:r>
        <w:t xml:space="preserve">. La carnosine parvient donc dans l’organisme – mais on ignore en grande partie quelle quantité atteint les muscles, le cerveau ou les reins.</w:t>
      </w:r>
    </w:p>
    <w:bookmarkEnd w:id="2406"/>
    <w:bookmarkStart w:id="2410" w:name="Xf3bfa8adbd99883d2f65377b9baef763bf14b85"/>
    <w:p>
      <w:pPr>
        <w:pStyle w:val="Heading4"/>
      </w:pPr>
      <w:r>
        <w:t xml:space="preserve">La bêta-alanine : le détour par le précurseur</w:t>
      </w:r>
    </w:p>
    <w:p>
      <w:pPr>
        <w:pStyle w:val="FirstParagraph"/>
      </w:pPr>
      <w:r>
        <w:t xml:space="preserve">Pour le muscle, une autre voie s’est imposée. L’organisme fabrique lui-même la carnosine dans la cellule musculaire à partir de bêta-alanine et d’histidine ; la bêta-alanine est le constituant limitant. Si l’on prend de la bêta-alanine, la teneur en carnosine du muscle augmente nettement. Dans une étude précoce, quatre semaines de bêta-alanine ont augmenté la teneur en carnosine musculaire d’environ 42 à 64 % selon les estimations ; des quantités isomolaires de carnosine avaient un effet similaire</w:t>
      </w:r>
      <w:r>
        <w:rPr>
          <w:rStyle w:val="FootnoteReference"/>
        </w:rPr>
        <w:footnoteReference w:id="2407"/>
      </w:r>
      <w:r>
        <w:t xml:space="preserve">. Après l’arrêt, il a fallu 12 à 16 semaines pour que la valeur revienne au niveau initial</w:t>
      </w:r>
      <w:r>
        <w:rPr>
          <w:rStyle w:val="FootnoteReference"/>
        </w:rPr>
        <w:footnoteReference w:id="2408"/>
      </w:r>
      <w:r>
        <w:t xml:space="preserve">. Pratiquement toutes les personnes répondent à la bêta-alanine</w:t>
      </w:r>
      <w:r>
        <w:rPr>
          <w:rStyle w:val="FootnoteReference"/>
        </w:rPr>
        <w:footnoteReference w:id="2409"/>
      </w:r>
      <w:r>
        <w:t xml:space="preserve">.</w:t>
      </w:r>
    </w:p>
    <w:p>
      <w:pPr>
        <w:pStyle w:val="BodyText"/>
      </w:pPr>
      <w:r>
        <w:t xml:space="preserve">La bêta-alanine n’est pas un peptide, mais un acide aminé isolé. Elle n’est abordée ici que brièvement, parce qu’elle augmente la teneur en carnosine musculaire de façon plus fiable que la carnosine elle-même et qu’elle joue donc un rôle bien plus important dans le sport.</w:t>
      </w:r>
    </w:p>
    <w:bookmarkEnd w:id="2410"/>
    <w:bookmarkEnd w:id="2411"/>
    <w:bookmarkStart w:id="2439" w:name="études-chez-lhumain-54"/>
    <w:p>
      <w:pPr>
        <w:pStyle w:val="Heading3"/>
      </w:pPr>
      <w:r>
        <w:t xml:space="preserve">Études chez l’humain</w:t>
      </w:r>
    </w:p>
    <w:p>
      <w:pPr>
        <w:pStyle w:val="FirstParagraph"/>
      </w:pPr>
      <w:r>
        <w:t xml:space="preserve">La requête PubMed analysée pour ce livre (carnosine dans le titre, combinée à supplémentation ou administration orale, date de requête octobre 2026) a donné 57 études chez l’humain ; 53 entrées de registre figurent sur ClinicalTrials.gov. Une partie d’entre elles concerne en réalité la bêta-alanine ou la zinc-carnosine. Les études se répartissent sur de nombreux petits domaines d’application.</w:t>
      </w:r>
    </w:p>
    <w:bookmarkStart w:id="2416" w:name="sport-et-performance-physique"/>
    <w:p>
      <w:pPr>
        <w:pStyle w:val="Heading4"/>
      </w:pPr>
      <w:r>
        <w:t xml:space="preserve">Sport et performance physique</w:t>
      </w:r>
    </w:p>
    <w:p>
      <w:pPr>
        <w:pStyle w:val="FirstParagraph"/>
      </w:pPr>
      <w:r>
        <w:t xml:space="preserve">Chez les sportives et sportifs, les données sont nettement meilleures pour la</w:t>
      </w:r>
      <w:r>
        <w:t xml:space="preserve"> </w:t>
      </w:r>
      <w:r>
        <w:rPr>
          <w:bCs/>
          <w:b/>
        </w:rPr>
        <w:t xml:space="preserve">bêta-alanine</w:t>
      </w:r>
      <w:r>
        <w:t xml:space="preserve"> </w:t>
      </w:r>
      <w:r>
        <w:t xml:space="preserve">que pour la carnosine. Une méta-analyse de 40 études en double aveugle contrôlées contre placebo réunissant 1 461 participants a trouvé un petit effet global (taille d’effet 0,18). Il était le plus net pour les efforts de 0,5 à 10 minutes et pour les tests d’endurance jusqu’à épuisement, moins pour la performance en compétition</w:t>
      </w:r>
      <w:r>
        <w:rPr>
          <w:rStyle w:val="FootnoteReference"/>
        </w:rPr>
        <w:footnoteReference w:id="2412"/>
      </w:r>
      <w:r>
        <w:t xml:space="preserve">. Un exemple : chez 15 sprinteurs, la bêta-alanine a augmenté la teneur en carnosine des muscles du mollet de 37 à 47 % et atténué la fatigue lors de séries de force répétées, mais n’a pas amélioré le temps au 400 mètres</w:t>
      </w:r>
      <w:r>
        <w:rPr>
          <w:rStyle w:val="FootnoteReference"/>
        </w:rPr>
        <w:footnoteReference w:id="2413"/>
      </w:r>
      <w:r>
        <w:t xml:space="preserve">. De même, un doublement de la carnosine musculaire n’a pas amélioré le temps sur une heure chez des cyclistes</w:t>
      </w:r>
      <w:r>
        <w:rPr>
          <w:rStyle w:val="FootnoteReference"/>
        </w:rPr>
        <w:footnoteReference w:id="2414"/>
      </w:r>
      <w:r>
        <w:t xml:space="preserve"> </w:t>
      </w:r>
      <w:r>
        <w:t xml:space="preserve">– ce qui est logique, car dans les efforts d’endurance le tamponnement de l’acidité joue un rôle moindre.</w:t>
      </w:r>
    </w:p>
    <w:p>
      <w:pPr>
        <w:pStyle w:val="BodyText"/>
      </w:pPr>
      <w:r>
        <w:t xml:space="preserve">Pour la</w:t>
      </w:r>
      <w:r>
        <w:t xml:space="preserve"> </w:t>
      </w:r>
      <w:r>
        <w:rPr>
          <w:bCs/>
          <w:b/>
        </w:rPr>
        <w:t xml:space="preserve">carnosine elle-même</w:t>
      </w:r>
      <w:r>
        <w:t xml:space="preserve">, il n’existe que peu d’études de performance. Dans l’étude NEAT (Nucleophilic Defense Against PM Toxicity, NCT03314987), 299 adultes ont reçu 2 g de carnosine ou un placebo pendant douze semaines. Pour la force de préhension, la vitesse de marche et la plupart des tests, il n’y avait aucune différence ; des améliorations significatives n’apparaissaient que dans certains sous-groupes (certaines tranches d’âge et un sexe donné) pour les élévations sur la pointe des pieds et le test de la marche</w:t>
      </w:r>
      <w:r>
        <w:rPr>
          <w:rStyle w:val="FootnoteReference"/>
        </w:rPr>
        <w:footnoteReference w:id="2415"/>
      </w:r>
      <w:r>
        <w:t xml:space="preserve">. De tels résultats de sous-groupes sont sujets aux résultats dus au hasard et doivent être confirmés.</w:t>
      </w:r>
    </w:p>
    <w:bookmarkEnd w:id="2416"/>
    <w:bookmarkStart w:id="2420" w:name="diabète-et-métabolisme"/>
    <w:p>
      <w:pPr>
        <w:pStyle w:val="Heading4"/>
      </w:pPr>
      <w:r>
        <w:t xml:space="preserve">Diabète et métabolisme</w:t>
      </w:r>
    </w:p>
    <w:p>
      <w:pPr>
        <w:pStyle w:val="FirstParagraph"/>
      </w:pPr>
      <w:r>
        <w:t xml:space="preserve">C’est le domaine médical le plus étudié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protocole</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de Courten 2016, PMID 27040154</w:t>
            </w:r>
          </w:p>
        </w:tc>
        <w:tc>
          <w:tcPr/>
          <w:p>
            <w:pPr>
              <w:pStyle w:val="Compact"/>
              <w:jc w:val="left"/>
            </w:pPr>
            <w:r>
              <w:t xml:space="preserve">30 adultes en surpoids sans diabète, 2 g contre placebo</w:t>
            </w:r>
          </w:p>
        </w:tc>
        <w:tc>
          <w:tcPr/>
          <w:p>
            <w:pPr>
              <w:pStyle w:val="Compact"/>
              <w:jc w:val="left"/>
            </w:pPr>
            <w:r>
              <w:t xml:space="preserve">12 semaines</w:t>
            </w:r>
          </w:p>
        </w:tc>
        <w:tc>
          <w:tcPr/>
          <w:p>
            <w:pPr>
              <w:pStyle w:val="Compact"/>
              <w:jc w:val="left"/>
            </w:pPr>
            <w:r>
              <w:t xml:space="preserve">Hausse de l’insuline à jeun et de l’insulinorésistance freinée sous carnosine (étude pilote)</w:t>
            </w:r>
          </w:p>
        </w:tc>
      </w:tr>
      <w:tr>
        <w:tc>
          <w:tcPr/>
          <w:p>
            <w:pPr>
              <w:pStyle w:val="Compact"/>
              <w:jc w:val="left"/>
            </w:pPr>
            <w:r>
              <w:t xml:space="preserve">Houjeghani 2018, PMID 29420997</w:t>
            </w:r>
          </w:p>
        </w:tc>
        <w:tc>
          <w:tcPr/>
          <w:p>
            <w:pPr>
              <w:pStyle w:val="Compact"/>
              <w:jc w:val="left"/>
            </w:pPr>
            <w:r>
              <w:t xml:space="preserve">54 personnes atteintes de diabète de type 2, 1 g contre placebo</w:t>
            </w:r>
          </w:p>
        </w:tc>
        <w:tc>
          <w:tcPr/>
          <w:p>
            <w:pPr>
              <w:pStyle w:val="Compact"/>
              <w:jc w:val="left"/>
            </w:pPr>
            <w:r>
              <w:t xml:space="preserve">12 semaines</w:t>
            </w:r>
          </w:p>
        </w:tc>
        <w:tc>
          <w:tcPr/>
          <w:p>
            <w:pPr>
              <w:pStyle w:val="Compact"/>
              <w:jc w:val="left"/>
            </w:pPr>
            <w:r>
              <w:t xml:space="preserve">Glycémie à jeun −13,1 mg/dl, HbA1c −0,6 point de pourcentage par rapport au placebo</w:t>
            </w:r>
          </w:p>
        </w:tc>
      </w:tr>
      <w:tr>
        <w:tc>
          <w:tcPr/>
          <w:p>
            <w:pPr>
              <w:pStyle w:val="Compact"/>
              <w:jc w:val="left"/>
            </w:pPr>
            <w:r>
              <w:t xml:space="preserve">Hariharan 2024, PMID 38172006</w:t>
            </w:r>
          </w:p>
        </w:tc>
        <w:tc>
          <w:tcPr/>
          <w:p>
            <w:pPr>
              <w:pStyle w:val="Compact"/>
              <w:jc w:val="left"/>
            </w:pPr>
            <w:r>
              <w:t xml:space="preserve">43 adultes prédiabétiques ou atteints de diabète de type 2, 2 g contre placebo</w:t>
            </w:r>
          </w:p>
        </w:tc>
        <w:tc>
          <w:tcPr/>
          <w:p>
            <w:pPr>
              <w:pStyle w:val="Compact"/>
              <w:jc w:val="left"/>
            </w:pPr>
            <w:r>
              <w:t xml:space="preserve">14 semaines</w:t>
            </w:r>
          </w:p>
        </w:tc>
        <w:tc>
          <w:tcPr/>
          <w:p>
            <w:pPr>
              <w:pStyle w:val="Compact"/>
              <w:jc w:val="left"/>
            </w:pPr>
            <w:r>
              <w:t xml:space="preserve">Glycémie plus basse 90 et 120 minutes après une charge en glucose ; insuline inchangée</w:t>
            </w:r>
          </w:p>
        </w:tc>
      </w:tr>
      <w:tr>
        <w:tc>
          <w:tcPr/>
          <w:p>
            <w:pPr>
              <w:pStyle w:val="Compact"/>
              <w:jc w:val="left"/>
            </w:pPr>
            <w:r>
              <w:t xml:space="preserve">Saadati 2023, PMID 38004228</w:t>
            </w:r>
          </w:p>
        </w:tc>
        <w:tc>
          <w:tcPr/>
          <w:p>
            <w:pPr>
              <w:pStyle w:val="Compact"/>
              <w:jc w:val="left"/>
            </w:pPr>
            <w:r>
              <w:t xml:space="preserve">49 adultes prédiabétiques ou atteints de diabète de type 2 bien équilibré, 2 g contre placebo</w:t>
            </w:r>
          </w:p>
        </w:tc>
        <w:tc>
          <w:tcPr/>
          <w:p>
            <w:pPr>
              <w:pStyle w:val="Compact"/>
              <w:jc w:val="left"/>
            </w:pPr>
            <w:r>
              <w:t xml:space="preserve">14 semaines</w:t>
            </w:r>
          </w:p>
        </w:tc>
        <w:tc>
          <w:tcPr/>
          <w:p>
            <w:pPr>
              <w:pStyle w:val="Compact"/>
              <w:jc w:val="left"/>
            </w:pPr>
            <w:r>
              <w:t xml:space="preserve">Aucun effet sur la fonction vasculaire, la rigidité artérielle, les lipides sanguins, la pression artérielle, les valeurs hépatiques et rénales</w:t>
            </w:r>
          </w:p>
        </w:tc>
      </w:tr>
      <w:tr>
        <w:tc>
          <w:tcPr/>
          <w:p>
            <w:pPr>
              <w:pStyle w:val="Compact"/>
              <w:jc w:val="left"/>
            </w:pPr>
            <w:r>
              <w:t xml:space="preserve">Elbarbary 2018, PMID 28744992</w:t>
            </w:r>
          </w:p>
        </w:tc>
        <w:tc>
          <w:tcPr/>
          <w:p>
            <w:pPr>
              <w:pStyle w:val="Compact"/>
              <w:jc w:val="left"/>
            </w:pPr>
            <w:r>
              <w:t xml:space="preserve">90 enfants et adolescents atteints de diabète de type 1 avec atteinte rénale, 1 g contre placebo</w:t>
            </w:r>
          </w:p>
        </w:tc>
        <w:tc>
          <w:tcPr/>
          <w:p>
            <w:pPr>
              <w:pStyle w:val="Compact"/>
              <w:jc w:val="left"/>
            </w:pPr>
            <w:r>
              <w:t xml:space="preserve">12 semaines</w:t>
            </w:r>
          </w:p>
        </w:tc>
        <w:tc>
          <w:tcPr/>
          <w:p>
            <w:pPr>
              <w:pStyle w:val="Compact"/>
              <w:jc w:val="left"/>
            </w:pPr>
            <w:r>
              <w:t xml:space="preserve">Albumine urinaire, HbA1c et marqueurs d’oxydation améliorés</w:t>
            </w:r>
          </w:p>
        </w:tc>
      </w:tr>
    </w:tbl>
    <w:p>
      <w:pPr>
        <w:pStyle w:val="BodyText"/>
      </w:pPr>
      <w:r>
        <w:t xml:space="preserve">Plusieurs méta-analyses regroupent ces études. Une analyse de quatre études réunissant 184 participants a trouvé une baisse de l’HbA1c de 0,92 point de pourcentage, mais aucun effet sur la glycémie à jeun, l’insulinorésistance ou les lipides sanguins</w:t>
      </w:r>
      <w:r>
        <w:rPr>
          <w:rStyle w:val="FootnoteReference"/>
        </w:rPr>
        <w:footnoteReference w:id="2417"/>
      </w:r>
      <w:r>
        <w:t xml:space="preserve">. Une méta-analyse bayésienne, qui considérait ensemble la carnosine et la bêta-alanine, a estimé chez l’humain une baisse de l’HbA1c de 0,91 point de pourcentage – sur la base de seulement quatre études chez l’humain</w:t>
      </w:r>
      <w:r>
        <w:rPr>
          <w:rStyle w:val="FootnoteReference"/>
        </w:rPr>
        <w:footnoteReference w:id="2418"/>
      </w:r>
      <w:r>
        <w:t xml:space="preserve">. Une méta-analyse plus récente de huit études réunissant 377 participants prédiabétiques ou atteints de diabète de type 2 a trouvé des améliorations de la glycémie à jeun et de l’HbA1c, mais pas de l’insuline ni du poids corporel</w:t>
      </w:r>
      <w:r>
        <w:rPr>
          <w:rStyle w:val="FootnoteReference"/>
        </w:rPr>
        <w:footnoteReference w:id="2419"/>
      </w:r>
      <w:r>
        <w:t xml:space="preserve">.</w:t>
      </w:r>
    </w:p>
    <w:p>
      <w:pPr>
        <w:pStyle w:val="BodyText"/>
      </w:pPr>
      <w:r>
        <w:t xml:space="preserve">Ces effets paraissent notables sur le papier, mais reposent sur une base très étroite : des études peu nombreuses, petites, courtes, souvent monocentriques, aux résultats en partie contradictoires (voir les études de 14 semaines de conception similaire de Hariharan 2024 et de Saadati 2023, dont l’une a trouvé des effets favorables sur la glycémie et l’autre aucun effet sur les vaisseaux et les paramètres métaboliques). On n’a jamais étudié si la carnosine prévient à long terme les complications du diabète.</w:t>
      </w:r>
    </w:p>
    <w:bookmarkEnd w:id="2420"/>
    <w:bookmarkStart w:id="2422" w:name="inflammation-et-stress-oxydatif"/>
    <w:p>
      <w:pPr>
        <w:pStyle w:val="Heading4"/>
      </w:pPr>
      <w:r>
        <w:t xml:space="preserve">Inflammation et stress oxydatif</w:t>
      </w:r>
    </w:p>
    <w:p>
      <w:pPr>
        <w:pStyle w:val="FirstParagraph"/>
      </w:pPr>
      <w:r>
        <w:t xml:space="preserve">Une méta-analyse de neuf études réunissant 350 participants a trouvé sous carnosine ou dipeptides histidinés des valeurs plus basses du marqueur inflammatoire CRP et du marqueur d’oxydation malondialdéhyde, mais aucune modification de plusieurs autres marqueurs</w:t>
      </w:r>
      <w:r>
        <w:rPr>
          <w:rStyle w:val="FootnoteReference"/>
        </w:rPr>
        <w:footnoteReference w:id="2421"/>
      </w:r>
      <w:r>
        <w:t xml:space="preserve">. Les valeurs de laboratoire sont toutefois des critères de substitution – on ignore s’ils s’accompagnent d’un bénéfice pour la santé.</w:t>
      </w:r>
    </w:p>
    <w:bookmarkEnd w:id="2422"/>
    <w:bookmarkStart w:id="2430" w:name="cerveau-mémoire-et-psychisme"/>
    <w:p>
      <w:pPr>
        <w:pStyle w:val="Heading4"/>
      </w:pPr>
      <w:r>
        <w:t xml:space="preserve">Cerveau, mémoire et psychisme</w:t>
      </w:r>
    </w:p>
    <w:p>
      <w:pPr>
        <w:numPr>
          <w:ilvl w:val="0"/>
          <w:numId w:val="1302"/>
        </w:numPr>
        <w:pStyle w:val="Compact"/>
      </w:pPr>
      <w:r>
        <w:rPr>
          <w:bCs/>
          <w:b/>
        </w:rPr>
        <w:t xml:space="preserve">Personnes âgées :</w:t>
      </w:r>
      <w:r>
        <w:t xml:space="preserve"> </w:t>
      </w:r>
      <w:r>
        <w:t xml:space="preserve">dans des études japonaises d’un même groupe de recherche, des personnes âgées ont reçu un mélange d’ansérine et de carnosine (3:1). Chez 39 personnes âgées en bonne santé, le rappel différé de contenus verbaux s’est mieux maintenu que sous placebo</w:t>
      </w:r>
      <w:r>
        <w:rPr>
          <w:rStyle w:val="FootnoteReference"/>
        </w:rPr>
        <w:footnoteReference w:id="2423"/>
      </w:r>
      <w:r>
        <w:t xml:space="preserve">. Chez 54 personnes présentant un trouble cognitif léger, un score global de sévérité de la démence était plus favorable sous le mélange ; la plupart des autres tests ne différaient pas</w:t>
      </w:r>
      <w:r>
        <w:rPr>
          <w:rStyle w:val="FootnoteReference"/>
        </w:rPr>
        <w:footnoteReference w:id="2424"/>
      </w:r>
      <w:r>
        <w:t xml:space="preserve">.</w:t>
      </w:r>
    </w:p>
    <w:p>
      <w:pPr>
        <w:numPr>
          <w:ilvl w:val="0"/>
          <w:numId w:val="1302"/>
        </w:numPr>
        <w:pStyle w:val="Compact"/>
      </w:pPr>
      <w:r>
        <w:rPr>
          <w:bCs/>
          <w:b/>
        </w:rPr>
        <w:t xml:space="preserve">Jeunes adultes :</w:t>
      </w:r>
      <w:r>
        <w:t xml:space="preserve"> </w:t>
      </w:r>
      <w:r>
        <w:t xml:space="preserve">dans une analyse a posteriori de l’étude NEAT, la vitesse et l’efficacité aux tests cognitifs ne se sont améliorées que dans la tranche d’âge la plus jeune (23–35 ans)</w:t>
      </w:r>
      <w:r>
        <w:rPr>
          <w:rStyle w:val="FootnoteReference"/>
        </w:rPr>
        <w:footnoteReference w:id="2425"/>
      </w:r>
      <w:r>
        <w:t xml:space="preserve">.</w:t>
      </w:r>
    </w:p>
    <w:p>
      <w:pPr>
        <w:numPr>
          <w:ilvl w:val="0"/>
          <w:numId w:val="1302"/>
        </w:numPr>
        <w:pStyle w:val="Compact"/>
      </w:pPr>
      <w:r>
        <w:rPr>
          <w:bCs/>
          <w:b/>
        </w:rPr>
        <w:t xml:space="preserve">Synthèse :</w:t>
      </w:r>
      <w:r>
        <w:t xml:space="preserve"> </w:t>
      </w:r>
      <w:r>
        <w:t xml:space="preserve">une méta-analyse de 2026 a inclus 13 études. La plupart des tests cognitifs ne montraient aucune différence avec le placebo ; les effets regroupés favorables reposaient en partie sur trois études du même groupe de recherche. Les auteurs jugent le niveau de preuve faible</w:t>
      </w:r>
      <w:r>
        <w:rPr>
          <w:rStyle w:val="FootnoteReference"/>
        </w:rPr>
        <w:footnoteReference w:id="2426"/>
      </w:r>
      <w:r>
        <w:t xml:space="preserve">. Une autre méta-analyse a trouvé une diminution des scores de dépression (fiabilité modérée), mais souligne la petite taille des études et leur risque de biais modéré à élevé</w:t>
      </w:r>
      <w:r>
        <w:rPr>
          <w:rStyle w:val="FootnoteReference"/>
        </w:rPr>
        <w:footnoteReference w:id="2427"/>
      </w:r>
      <w:r>
        <w:t xml:space="preserve">.</w:t>
      </w:r>
    </w:p>
    <w:p>
      <w:pPr>
        <w:numPr>
          <w:ilvl w:val="0"/>
          <w:numId w:val="1302"/>
        </w:numPr>
        <w:pStyle w:val="Compact"/>
      </w:pPr>
      <w:r>
        <w:rPr>
          <w:bCs/>
          <w:b/>
        </w:rPr>
        <w:t xml:space="preserve">Autisme :</w:t>
      </w:r>
      <w:r>
        <w:t xml:space="preserve"> </w:t>
      </w:r>
      <w:r>
        <w:t xml:space="preserve">une étude précoce portant sur 31 enfants a rapporté des améliorations sur une échelle comportementale</w:t>
      </w:r>
      <w:r>
        <w:rPr>
          <w:rStyle w:val="FootnoteReference"/>
        </w:rPr>
        <w:footnoteReference w:id="2428"/>
      </w:r>
      <w:r>
        <w:t xml:space="preserve">. Une étude randomisée ultérieure portant sur 63 enfants analysables n’a en revanche trouvé de différence pour aucun critère</w:t>
      </w:r>
      <w:r>
        <w:rPr>
          <w:rStyle w:val="FootnoteReference"/>
        </w:rPr>
        <w:footnoteReference w:id="2429"/>
      </w:r>
      <w:r>
        <w:t xml:space="preserve">.</w:t>
      </w:r>
    </w:p>
    <w:bookmarkEnd w:id="2430"/>
    <w:bookmarkStart w:id="2435" w:name="autres-applications-4"/>
    <w:p>
      <w:pPr>
        <w:pStyle w:val="Heading4"/>
      </w:pPr>
      <w:r>
        <w:t xml:space="preserve">Autres applications</w:t>
      </w:r>
    </w:p>
    <w:p>
      <w:pPr>
        <w:numPr>
          <w:ilvl w:val="0"/>
          <w:numId w:val="1303"/>
        </w:numPr>
        <w:pStyle w:val="Compact"/>
      </w:pPr>
      <w:r>
        <w:rPr>
          <w:bCs/>
          <w:b/>
        </w:rPr>
        <w:t xml:space="preserve">Neuropathies dues à la chimiothérapie :</w:t>
      </w:r>
      <w:r>
        <w:t xml:space="preserve"> </w:t>
      </w:r>
      <w:r>
        <w:t xml:space="preserve">dans une étude pilote randomisée portant sur 65 patientes et patients atteints d’un cancer colorectal, des neuropathies de grade 2 sont survenues moins souvent sous chimiothérapie par oxaliplatine plus carnosine (1 sur 30 contre 19 sur 31 sans carnosine)</w:t>
      </w:r>
      <w:r>
        <w:rPr>
          <w:rStyle w:val="FootnoteReference"/>
        </w:rPr>
        <w:footnoteReference w:id="2431"/>
      </w:r>
      <w:r>
        <w:t xml:space="preserve">. L’étude n’était ni en aveugle ni contrôlée contre placebo ; une confirmation est attendue.</w:t>
      </w:r>
    </w:p>
    <w:p>
      <w:pPr>
        <w:numPr>
          <w:ilvl w:val="0"/>
          <w:numId w:val="1303"/>
        </w:numPr>
        <w:pStyle w:val="Compact"/>
      </w:pPr>
      <w:r>
        <w:rPr>
          <w:bCs/>
          <w:b/>
        </w:rPr>
        <w:t xml:space="preserve">Insuffisance cardiaque :</w:t>
      </w:r>
      <w:r>
        <w:t xml:space="preserve"> </w:t>
      </w:r>
      <w:r>
        <w:t xml:space="preserve">chez 50 patientes et patients atteints d’insuffisance cardiaque sévère, la distance de marche, la consommation maximale d’oxygène et la qualité de vie se sont améliorées sous carnosine par rapport au traitement standard</w:t>
      </w:r>
      <w:r>
        <w:rPr>
          <w:rStyle w:val="FootnoteReference"/>
        </w:rPr>
        <w:footnoteReference w:id="2432"/>
      </w:r>
      <w:r>
        <w:t xml:space="preserve"> </w:t>
      </w:r>
      <w:r>
        <w:t xml:space="preserve">– là encore sans placebo.</w:t>
      </w:r>
    </w:p>
    <w:p>
      <w:pPr>
        <w:numPr>
          <w:ilvl w:val="0"/>
          <w:numId w:val="1303"/>
        </w:numPr>
        <w:pStyle w:val="Compact"/>
      </w:pPr>
      <w:r>
        <w:rPr>
          <w:bCs/>
          <w:b/>
        </w:rPr>
        <w:t xml:space="preserve">Syndrome de la guerre du Golfe :</w:t>
      </w:r>
      <w:r>
        <w:t xml:space="preserve"> </w:t>
      </w:r>
      <w:r>
        <w:t xml:space="preserve">dans une petite étude portant sur 25 vétérans, un test cognitif s’est amélioré ; la fatigue et la douleur sont restées inchangées</w:t>
      </w:r>
      <w:r>
        <w:rPr>
          <w:rStyle w:val="FootnoteReference"/>
        </w:rPr>
        <w:footnoteReference w:id="2433"/>
      </w:r>
      <w:r>
        <w:t xml:space="preserve">.</w:t>
      </w:r>
    </w:p>
    <w:p>
      <w:pPr>
        <w:numPr>
          <w:ilvl w:val="0"/>
          <w:numId w:val="1303"/>
        </w:numPr>
        <w:pStyle w:val="Compact"/>
      </w:pPr>
      <w:r>
        <w:rPr>
          <w:bCs/>
          <w:b/>
        </w:rPr>
        <w:t xml:space="preserve">Peau :</w:t>
      </w:r>
      <w:r>
        <w:t xml:space="preserve"> </w:t>
      </w:r>
      <w:r>
        <w:t xml:space="preserve">une étude utilisant une préparation de carnosine « non hydrolysable » a rapporté des améliorations cutanées ; elle émane de l’inventeur de la formulation brevetée et mêle expériences de laboratoire et essai clinique</w:t>
      </w:r>
      <w:r>
        <w:rPr>
          <w:rStyle w:val="FootnoteReference"/>
        </w:rPr>
        <w:footnoteReference w:id="2434"/>
      </w:r>
      <w:r>
        <w:t xml:space="preserve">.</w:t>
      </w:r>
    </w:p>
    <w:bookmarkEnd w:id="2435"/>
    <w:bookmarkStart w:id="2438" w:name="Xe1a43fb913dd30eca3f7ca8512a588aea7ac7e5"/>
    <w:p>
      <w:pPr>
        <w:pStyle w:val="Heading4"/>
      </w:pPr>
      <w:r>
        <w:t xml:space="preserve">Substances apparentées : zinc-carnosine et N-acétylcarnosine</w:t>
      </w:r>
    </w:p>
    <w:p>
      <w:pPr>
        <w:pStyle w:val="FirstParagraph"/>
      </w:pPr>
      <w:r>
        <w:t xml:space="preserve">La</w:t>
      </w:r>
      <w:r>
        <w:t xml:space="preserve"> </w:t>
      </w:r>
      <w:r>
        <w:rPr>
          <w:bCs/>
          <w:b/>
        </w:rPr>
        <w:t xml:space="preserve">zinc-carnosine (polaprézinc)</w:t>
      </w:r>
      <w:r>
        <w:t xml:space="preserve"> </w:t>
      </w:r>
      <w:r>
        <w:t xml:space="preserve">est un composé de zinc et de carnosine utilisé au Japon comme médicament contre l’ulcère gastrique. Dans une étude multicentrique portant sur 224 patientes et patients, elle était, après huit semaines, à peu près aussi efficace que le médicament de comparaison rébamipide (taux de cicatrisation 81,5 % contre 74,3 %, différence non significative)</w:t>
      </w:r>
      <w:r>
        <w:rPr>
          <w:rStyle w:val="FootnoteReference"/>
        </w:rPr>
        <w:footnoteReference w:id="2436"/>
      </w:r>
      <w:r>
        <w:t xml:space="preserve">. Cet effet est probablement fortement lié au zinc et ne peut pas être transposé à la carnosine pure.</w:t>
      </w:r>
    </w:p>
    <w:p>
      <w:pPr>
        <w:pStyle w:val="BodyText"/>
      </w:pPr>
      <w:r>
        <w:t xml:space="preserve">Les</w:t>
      </w:r>
      <w:r>
        <w:t xml:space="preserve"> </w:t>
      </w:r>
      <w:r>
        <w:rPr>
          <w:bCs/>
          <w:b/>
        </w:rPr>
        <w:t xml:space="preserve">collyres à la N-acétylcarnosine</w:t>
      </w:r>
      <w:r>
        <w:t xml:space="preserve"> </w:t>
      </w:r>
      <w:r>
        <w:t xml:space="preserve">sont promus sur Internet contre la cataracte. Une revue Cochrane n’a trouvé que deux études possibles réunissant 114 participants, dont la méthodologie n’était pas vérifiable, et a conclu qu’il n’existe aucune preuve convaincante que ces gouttes fassent régresser une cataracte ou en empêchent la progression</w:t>
      </w:r>
      <w:r>
        <w:rPr>
          <w:rStyle w:val="FootnoteReference"/>
        </w:rPr>
        <w:footnoteReference w:id="2437"/>
      </w:r>
      <w:r>
        <w:t xml:space="preserve">. Le seul traitement efficace reste l’opération.</w:t>
      </w:r>
    </w:p>
    <w:bookmarkEnd w:id="2438"/>
    <w:bookmarkEnd w:id="2439"/>
    <w:bookmarkStart w:id="2442" w:name="études-animales-et-de-laboratoire-54"/>
    <w:p>
      <w:pPr>
        <w:pStyle w:val="Heading3"/>
      </w:pPr>
      <w:r>
        <w:t xml:space="preserve">Études animales et de laboratoire</w:t>
      </w:r>
    </w:p>
    <w:p>
      <w:pPr>
        <w:pStyle w:val="FirstParagraph"/>
      </w:pPr>
      <w:r>
        <w:t xml:space="preserve">En culture cellulaire et chez les rongeurs, la carnosine agit comme antioxydant, inhibe la glycation des protéines et fixe des aldéhydes réactifs. Chez la souris et le rat, elle a amélioré dans de nombreuses expériences la glycémie, les atteintes rénales du diabète, la cicatrisation et la fonction vasculaire. La méta-analyse de Matthews 2021 a inclus, outre quatre études chez l’humain, 16 études chez les rongeurs et a jugé très faible la fiabilité des données animales</w:t>
      </w:r>
      <w:r>
        <w:rPr>
          <w:rStyle w:val="FootnoteReference"/>
        </w:rPr>
        <w:footnoteReference w:id="2440"/>
      </w:r>
      <w:r>
        <w:t xml:space="preserve">.</w:t>
      </w:r>
    </w:p>
    <w:p>
      <w:pPr>
        <w:pStyle w:val="BodyText"/>
      </w:pPr>
      <w:r>
        <w:t xml:space="preserve">Un problème fondamental de transposition demeure : les rongeurs ne possèdent pratiquement pas de carnosinase dans le sang. Chez des souris auxquelles on avait intégré par génie génétique l’enzyme humaine, le diabète et les atteintes rénales ont été plus sévères</w:t>
      </w:r>
      <w:r>
        <w:rPr>
          <w:rStyle w:val="FootnoteReference"/>
        </w:rPr>
        <w:footnoteReference w:id="2441"/>
      </w:r>
      <w:r>
        <w:t xml:space="preserve">. Cela suggère que cette enzyme pourrait limiter nettement chez l’humain l’effet de la carnosine apportée.</w:t>
      </w:r>
    </w:p>
    <w:bookmarkEnd w:id="2442"/>
    <w:bookmarkStart w:id="2445" w:name="risques-et-effets-indésirables-54"/>
    <w:p>
      <w:pPr>
        <w:pStyle w:val="Heading3"/>
      </w:pPr>
      <w:r>
        <w:t xml:space="preserve">Risques et effets indésirables</w:t>
      </w:r>
    </w:p>
    <w:p>
      <w:pPr>
        <w:pStyle w:val="FirstParagraph"/>
      </w:pPr>
      <w:r>
        <w:rPr>
          <w:bCs/>
          <w:b/>
        </w:rPr>
        <w:t xml:space="preserve">Établis :</w:t>
      </w:r>
      <w:r>
        <w:t xml:space="preserve"> </w:t>
      </w:r>
      <w:r>
        <w:t xml:space="preserve">dans les études menées jusqu’ici – avec des quantités quotidiennes allant jusqu’à 2 g pendant 14 semaines au maximum –, aucun effet indésirable significatif n’a été rapporté. Dans l’étude NEAT, qui comptait près de 300 participants, aucune modification des fonctions rénale, hépatique et cardiaque ni des électrolytes sanguins n’a été constatée</w:t>
      </w:r>
      <w:r>
        <w:rPr>
          <w:rStyle w:val="FootnoteReference"/>
        </w:rPr>
        <w:footnoteReference w:id="2443"/>
      </w:r>
      <w:r>
        <w:t xml:space="preserve">.</w:t>
      </w:r>
    </w:p>
    <w:p>
      <w:pPr>
        <w:pStyle w:val="BodyText"/>
      </w:pPr>
      <w:r>
        <w:rPr>
          <w:bCs/>
          <w:b/>
        </w:rPr>
        <w:t xml:space="preserve">Bêta-alanine :</w:t>
      </w:r>
      <w:r>
        <w:t xml:space="preserve"> </w:t>
      </w:r>
      <w:r>
        <w:t xml:space="preserve">le seul effet indésirable régulièrement rapporté est un picotement cutané inoffensif mais désagréable (paresthésie), le plus souvent au visage et aux mains, peu après la prise. Une évaluation des risques portant sur 101 études chez l’humain a estimé la probabilité (odds) de ce picotement environ neuf fois plus élevée sous bêta-alanine que sous placebo (odds ratio 8,9) ; les taux d’abandon ne différaient pas, et une légère hausse d’une valeur hépatique est restée dans les limites normales</w:t>
      </w:r>
      <w:r>
        <w:rPr>
          <w:rStyle w:val="FootnoteReference"/>
        </w:rPr>
        <w:footnoteReference w:id="2444"/>
      </w:r>
      <w:r>
        <w:t xml:space="preserve">.</w:t>
      </w:r>
    </w:p>
    <w:p>
      <w:pPr>
        <w:pStyle w:val="BodyText"/>
      </w:pPr>
      <w:r>
        <w:rPr>
          <w:bCs/>
          <w:b/>
        </w:rPr>
        <w:t xml:space="preserve">Théoriques ou incertains :</w:t>
      </w:r>
    </w:p>
    <w:p>
      <w:pPr>
        <w:numPr>
          <w:ilvl w:val="0"/>
          <w:numId w:val="1304"/>
        </w:numPr>
        <w:pStyle w:val="Compact"/>
      </w:pPr>
      <w:r>
        <w:t xml:space="preserve">Les données à long terme au-delà d’un an font défaut.</w:t>
      </w:r>
    </w:p>
    <w:p>
      <w:pPr>
        <w:numPr>
          <w:ilvl w:val="0"/>
          <w:numId w:val="1304"/>
        </w:numPr>
        <w:pStyle w:val="Compact"/>
      </w:pPr>
      <w:r>
        <w:t xml:space="preserve">Pour la grossesse, l’allaitement et les enfants (hormis les petites études citées), aucune donnée de sécurité n’est disponible.</w:t>
      </w:r>
    </w:p>
    <w:p>
      <w:pPr>
        <w:numPr>
          <w:ilvl w:val="0"/>
          <w:numId w:val="1304"/>
        </w:numPr>
        <w:pStyle w:val="Compact"/>
      </w:pPr>
      <w:r>
        <w:t xml:space="preserve">Avec les médicaments antidiabétiques, un renforcement de la baisse de la glycémie est envisageable, mais non démontré ; des contrôles de la glycémie et un avis médical sont judicieux.</w:t>
      </w:r>
    </w:p>
    <w:p>
      <w:pPr>
        <w:numPr>
          <w:ilvl w:val="0"/>
          <w:numId w:val="1304"/>
        </w:numPr>
        <w:pStyle w:val="Compact"/>
      </w:pPr>
      <w:r>
        <w:t xml:space="preserve">Comme pour tous les compléments alimentaires, la qualité dépend du fabricant.</w:t>
      </w:r>
    </w:p>
    <w:bookmarkEnd w:id="2445"/>
    <w:bookmarkStart w:id="2446" w:name="statut-juridique-54"/>
    <w:p>
      <w:pPr>
        <w:pStyle w:val="Heading3"/>
      </w:pPr>
      <w:r>
        <w:t xml:space="preserve">Statut juridique</w:t>
      </w:r>
    </w:p>
    <w:p>
      <w:pPr>
        <w:numPr>
          <w:ilvl w:val="0"/>
          <w:numId w:val="1305"/>
        </w:numPr>
        <w:pStyle w:val="Compact"/>
      </w:pPr>
      <w:r>
        <w:rPr>
          <w:bCs/>
          <w:b/>
        </w:rPr>
        <w:t xml:space="preserve">UE / Autriche / Allemagne :</w:t>
      </w:r>
      <w:r>
        <w:t xml:space="preserve"> </w:t>
      </w:r>
      <w:r>
        <w:t xml:space="preserve">la carnosine est commercialisée comme complément alimentaire. Il n’existe pour la carnosine aucune allégation de santé autorisée selon le règlement sur les allégations de santé (règlement (CE) n° 1924/2006) ; les allégations publicitaires comme « anti-âge » ou « protège les cellules » ne sont donc pas admises. La question de savoir si certaines préparations doivent être classées comme nouveaux aliments (novel food) peut varier d’un produit à l’autre – à vérifier. La zinc-carnosine n’est pas autorisée comme médicament dans l’UE ; il n’existe aucune autorisation de médicament pour les collyres à la N-acétylcarnosine contre la cataracte.</w:t>
      </w:r>
    </w:p>
    <w:p>
      <w:pPr>
        <w:numPr>
          <w:ilvl w:val="0"/>
          <w:numId w:val="1305"/>
        </w:numPr>
        <w:pStyle w:val="Compact"/>
      </w:pPr>
      <w:r>
        <w:rPr>
          <w:bCs/>
          <w:b/>
        </w:rPr>
        <w:t xml:space="preserve">États-Unis :</w:t>
      </w:r>
      <w:r>
        <w:t xml:space="preserve"> </w:t>
      </w:r>
      <w:r>
        <w:t xml:space="preserve">disponible comme complément alimentaire, sans autorisation comme médicament.</w:t>
      </w:r>
    </w:p>
    <w:p>
      <w:pPr>
        <w:numPr>
          <w:ilvl w:val="0"/>
          <w:numId w:val="1305"/>
        </w:numPr>
        <w:pStyle w:val="Compact"/>
      </w:pPr>
      <w:r>
        <w:rPr>
          <w:bCs/>
          <w:b/>
        </w:rPr>
        <w:t xml:space="preserve">Japon :</w:t>
      </w:r>
      <w:r>
        <w:t xml:space="preserve"> </w:t>
      </w:r>
      <w:r>
        <w:t xml:space="preserve">le polaprézinc (zinc-carnosine) est un médicament gastrique autorisé.</w:t>
      </w:r>
    </w:p>
    <w:p>
      <w:pPr>
        <w:numPr>
          <w:ilvl w:val="0"/>
          <w:numId w:val="1305"/>
        </w:numPr>
        <w:pStyle w:val="Compact"/>
      </w:pPr>
      <w:r>
        <w:rPr>
          <w:bCs/>
          <w:b/>
        </w:rPr>
        <w:t xml:space="preserve">Sport :</w:t>
      </w:r>
      <w:r>
        <w:t xml:space="preserve"> </w:t>
      </w:r>
      <w:r>
        <w:t xml:space="preserve">ni la carnosine ni la bêta-alanine ne figurent sur la liste des interdictions de la WADA (état 2026, à vérifier).</w:t>
      </w:r>
    </w:p>
    <w:bookmarkEnd w:id="2446"/>
    <w:bookmarkStart w:id="2450" w:name="études-en-cours-et-perspectives-54"/>
    <w:p>
      <w:pPr>
        <w:pStyle w:val="Heading3"/>
      </w:pPr>
      <w:r>
        <w:t xml:space="preserve">Études en cours et perspectives</w:t>
      </w:r>
    </w:p>
    <w:p>
      <w:pPr>
        <w:pStyle w:val="FirstParagraph"/>
      </w:pPr>
      <w:r>
        <w:rPr>
          <w:bCs/>
          <w:b/>
        </w:rPr>
        <w:t xml:space="preserve">Établi (études enregistrées, état octobre 2026) :</w:t>
      </w:r>
    </w:p>
    <w:p>
      <w:pPr>
        <w:numPr>
          <w:ilvl w:val="0"/>
          <w:numId w:val="1306"/>
        </w:numPr>
        <w:pStyle w:val="Compact"/>
      </w:pPr>
      <w:r>
        <w:rPr>
          <w:bCs/>
          <w:b/>
        </w:rPr>
        <w:t xml:space="preserve">Artériopathie oblitérante des membres inférieurs :</w:t>
      </w:r>
      <w:r>
        <w:t xml:space="preserve"> </w:t>
      </w:r>
      <w:r>
        <w:t xml:space="preserve">une étude de phase 1/2 prévoyant 144 participants examine la carnosine dans les troubles circulatoires des jambes</w:t>
      </w:r>
      <w:r>
        <w:rPr>
          <w:rStyle w:val="FootnoteReference"/>
        </w:rPr>
        <w:footnoteReference w:id="2447"/>
      </w:r>
      <w:r>
        <w:t xml:space="preserve"> </w:t>
      </w:r>
      <w:r>
        <w:t xml:space="preserve">; des études antérieures plus petites sur le même sujet sont terminées ou listées avec un statut inconnu.</w:t>
      </w:r>
    </w:p>
    <w:p>
      <w:pPr>
        <w:numPr>
          <w:ilvl w:val="0"/>
          <w:numId w:val="1306"/>
        </w:numPr>
        <w:pStyle w:val="Compact"/>
      </w:pPr>
      <w:r>
        <w:rPr>
          <w:bCs/>
          <w:b/>
        </w:rPr>
        <w:t xml:space="preserve">Gérothérapie :</w:t>
      </w:r>
      <w:r>
        <w:t xml:space="preserve"> </w:t>
      </w:r>
      <w:r>
        <w:t xml:space="preserve">une petite étude de phase 3 portant sur 30 participants évalue des associations de substances destinées à améliorer l’espérance de vie en bonne santé, dont la carnosine</w:t>
      </w:r>
      <w:r>
        <w:rPr>
          <w:rStyle w:val="FootnoteReference"/>
        </w:rPr>
        <w:footnoteReference w:id="2448"/>
      </w:r>
      <w:r>
        <w:t xml:space="preserve">.</w:t>
      </w:r>
    </w:p>
    <w:p>
      <w:pPr>
        <w:numPr>
          <w:ilvl w:val="0"/>
          <w:numId w:val="1306"/>
        </w:numPr>
        <w:pStyle w:val="Compact"/>
      </w:pPr>
      <w:r>
        <w:t xml:space="preserve">L’étude NEAT</w:t>
      </w:r>
      <w:r>
        <w:rPr>
          <w:rStyle w:val="FootnoteReference"/>
        </w:rPr>
        <w:footnoteReference w:id="2449"/>
      </w:r>
      <w:r>
        <w:t xml:space="preserve"> </w:t>
      </w:r>
      <w:r>
        <w:t xml:space="preserve">est terminée ; d’autres analyses sur les vaisseaux et la pollution atmosphérique sont possibles.</w:t>
      </w:r>
    </w:p>
    <w:p>
      <w:pPr>
        <w:pStyle w:val="FirstParagraph"/>
      </w:pPr>
      <w:r>
        <w:rPr>
          <w:bCs/>
          <w:b/>
        </w:rPr>
        <w:t xml:space="preserve">Appréciation :</w:t>
      </w:r>
      <w:r>
        <w:t xml:space="preserve"> </w:t>
      </w:r>
      <w:r>
        <w:t xml:space="preserve">la carnosine est biologiquement intéressante, mais les études chez l’humain sont petites et hétérogènes. Pour le sport, le précurseur bêta-alanine est la voie la mieux étayée. Pour le diabète et le vieillissement cérébral, il faudrait des études plus grandes et plus longues, avec des critères cliniques. Une piste de recherche consiste à développer des dérivés résistants à la carnosinase, qui ne sont pas immédiatement dégradés dans le sang – ils en sont toutefois encore au stade du laboratoire.</w:t>
      </w:r>
    </w:p>
    <w:bookmarkEnd w:id="2450"/>
    <w:bookmarkStart w:id="2451" w:name="conclusion-54"/>
    <w:p>
      <w:pPr>
        <w:pStyle w:val="Heading3"/>
      </w:pPr>
      <w:r>
        <w:t xml:space="preserve">Conclusion</w:t>
      </w:r>
    </w:p>
    <w:p>
      <w:pPr>
        <w:pStyle w:val="FirstParagraph"/>
      </w:pPr>
      <w:r>
        <w:t xml:space="preserve">La carnosine est un dipeptide endogène qui tamponne l’acidité dans le muscle et, en laboratoire, protège les cellules contre les produits de dégradation des sucres et des graisses. Chez l’humain, elle est rapidement dégradée dans le sang par l’enzyme carnosinase, ce qui explique pourquoi les résultats animaux ne sont transposables que de façon limitée. De petites études et des méta-analyses suggèrent une légère amélioration de la glycémie à long terme dans le diabète et des effets sur les marqueurs inflammatoires ; pour la performance, la mémoire et le vieillissement cutané, les données sont faibles ou contradictoires. Pour la performance sportive, le précurseur bêta-alanine est mieux étudié et associé à de petits avantages lors d’efforts brefs et intenses. Aux quantités étudiées, la carnosine est considérée comme bien tolérée.</w:t>
      </w:r>
    </w:p>
    <w:bookmarkEnd w:id="2451"/>
    <w:bookmarkEnd w:id="2452"/>
    <w:bookmarkStart w:id="2480" w:name="ghk-cu-peptide-de-cuivre"/>
    <w:p>
      <w:pPr>
        <w:pStyle w:val="Heading2"/>
      </w:pPr>
      <w:r>
        <w:t xml:space="preserve">GHK-Cu (peptide de cuivre)</w:t>
      </w:r>
    </w:p>
    <w:bookmarkStart w:id="2454" w:name="fiche-signalétique-55"/>
    <w:p>
      <w:pPr>
        <w:pStyle w:val="Heading3"/>
      </w:pPr>
      <w:r>
        <w:t xml:space="preserve">Fiche signalétique</w:t>
      </w:r>
    </w:p>
    <w:p>
      <w:pPr>
        <w:numPr>
          <w:ilvl w:val="0"/>
          <w:numId w:val="1307"/>
        </w:numPr>
        <w:pStyle w:val="Compact"/>
      </w:pPr>
      <w:r>
        <w:rPr>
          <w:bCs/>
          <w:b/>
        </w:rPr>
        <w:t xml:space="preserve">Type/structure :</w:t>
      </w:r>
      <w:r>
        <w:t xml:space="preserve"> </w:t>
      </w:r>
      <w:r>
        <w:t xml:space="preserve">tripeptide composé de glycine, d’histidine et de lysine (Gly-His-Lys, en abrégé GHK), qui fixe solidement un ion cuivre. Dans les listes d’ingrédients cosmétiques, il apparaît le plus souvent sous le nom</w:t>
      </w:r>
      <w:r>
        <w:t xml:space="preserve"> </w:t>
      </w:r>
      <w:r>
        <w:rPr>
          <w:iCs/>
          <w:i/>
        </w:rPr>
        <w:t xml:space="preserve">Copper Tripeptide-1</w:t>
      </w:r>
      <w:r>
        <w:t xml:space="preserve">. Une forme apparentée sans cuivre, mais avec un résidu d’acide gras, est le palmitoyl tripeptide-1 (Pal-GHK), composant du « Matrixyl 3000 ».</w:t>
      </w:r>
    </w:p>
    <w:p>
      <w:pPr>
        <w:numPr>
          <w:ilvl w:val="0"/>
          <w:numId w:val="1307"/>
        </w:numPr>
        <w:pStyle w:val="Compact"/>
      </w:pPr>
      <w:r>
        <w:rPr>
          <w:bCs/>
          <w:b/>
        </w:rPr>
        <w:t xml:space="preserve">Origine :</w:t>
      </w:r>
      <w:r>
        <w:t xml:space="preserve"> </w:t>
      </w:r>
      <w:r>
        <w:t xml:space="preserve">endogène. Le GHK a été découvert dans les années 1970 dans le plasma sanguin humain</w:t>
      </w:r>
      <w:r>
        <w:rPr>
          <w:rStyle w:val="FootnoteReference"/>
        </w:rPr>
        <w:footnoteReference w:id="2453"/>
      </w:r>
      <w:r>
        <w:t xml:space="preserve"> </w:t>
      </w:r>
      <w:r>
        <w:t xml:space="preserve">et est aussi présent dans la salive et l’urine. La séquence GHK fait partie du collagène et pourrait être libérée lors de sa dégradation. Pour les produits, il est fabriqué par synthèse.</w:t>
      </w:r>
    </w:p>
    <w:p>
      <w:pPr>
        <w:numPr>
          <w:ilvl w:val="0"/>
          <w:numId w:val="1307"/>
        </w:numPr>
        <w:pStyle w:val="Compact"/>
      </w:pPr>
      <w:r>
        <w:rPr>
          <w:bCs/>
          <w:b/>
        </w:rPr>
        <w:t xml:space="preserve">Principe d’action :</w:t>
      </w:r>
      <w:r>
        <w:t xml:space="preserve"> </w:t>
      </w:r>
      <w:r>
        <w:t xml:space="preserve">il est censé stimuler la cicatrisation et le remodelage du tissu conjonctif, notamment en transportant le cuivre dans les cellules et en stimulant la production de collagène.</w:t>
      </w:r>
    </w:p>
    <w:p>
      <w:pPr>
        <w:numPr>
          <w:ilvl w:val="0"/>
          <w:numId w:val="1307"/>
        </w:numPr>
        <w:pStyle w:val="Compact"/>
      </w:pPr>
      <w:r>
        <w:rPr>
          <w:bCs/>
          <w:b/>
        </w:rPr>
        <w:t xml:space="preserve">Utilisation :</w:t>
      </w:r>
      <w:r>
        <w:t xml:space="preserve"> </w:t>
      </w:r>
      <w:r>
        <w:t xml:space="preserve">autorisé comme ingrédient dans les cosmétiques (crèmes, sérums, soins capillaires). Par ailleurs proposé sur le marché gris comme « research peptide » à injecter.</w:t>
      </w:r>
    </w:p>
    <w:p>
      <w:pPr>
        <w:numPr>
          <w:ilvl w:val="0"/>
          <w:numId w:val="1307"/>
        </w:numPr>
        <w:pStyle w:val="Compact"/>
      </w:pPr>
      <w:r>
        <w:rPr>
          <w:bCs/>
          <w:b/>
        </w:rPr>
        <w:t xml:space="preserve">Autorisation UE :</w:t>
      </w:r>
      <w:r>
        <w:t xml:space="preserve"> </w:t>
      </w:r>
      <w:r>
        <w:t xml:space="preserve">pas d’autorisation comme médicament. Utilisable comme ingrédient cosmétique.</w:t>
      </w:r>
    </w:p>
    <w:p>
      <w:pPr>
        <w:numPr>
          <w:ilvl w:val="0"/>
          <w:numId w:val="1307"/>
        </w:numPr>
        <w:pStyle w:val="Compact"/>
      </w:pPr>
      <w:r>
        <w:rPr>
          <w:bCs/>
          <w:b/>
        </w:rPr>
        <w:t xml:space="preserve">Autorisation États-Unis :</w:t>
      </w:r>
      <w:r>
        <w:t xml:space="preserve"> </w:t>
      </w:r>
      <w:r>
        <w:t xml:space="preserve">pas d’autorisation comme médicament ; commercialisé comme ingrédient cosmétique. Des restrictions s’appliquent à la fabrication de préparations injectables en pharmacie (voir Statut juridique).</w:t>
      </w:r>
    </w:p>
    <w:p>
      <w:pPr>
        <w:numPr>
          <w:ilvl w:val="0"/>
          <w:numId w:val="1307"/>
        </w:numPr>
        <w:pStyle w:val="Compact"/>
      </w:pPr>
      <w:r>
        <w:rPr>
          <w:bCs/>
          <w:b/>
        </w:rPr>
        <w:t xml:space="preserve">AMA (WADA) :</w:t>
      </w:r>
      <w:r>
        <w:t xml:space="preserve"> </w:t>
      </w:r>
      <w:r>
        <w:t xml:space="preserve">pas listé nommément. En cas d’injection, en tant que principe actif non autorisé, la catégorie S0 (« substances non approuvées ») peut s’appliquer.</w:t>
      </w:r>
    </w:p>
    <w:p>
      <w:pPr>
        <w:numPr>
          <w:ilvl w:val="0"/>
          <w:numId w:val="1307"/>
        </w:numPr>
        <w:pStyle w:val="Compact"/>
      </w:pPr>
      <w:r>
        <w:rPr>
          <w:bCs/>
          <w:b/>
        </w:rPr>
        <w:t xml:space="preserve">Niveau de preuve :</w:t>
      </w:r>
      <w:r>
        <w:t xml:space="preserve"> </w:t>
      </w:r>
      <w:r>
        <w:rPr>
          <w:bCs/>
          <w:b/>
        </w:rPr>
        <w:t xml:space="preserve">C</w:t>
      </w:r>
      <w:r>
        <w:t xml:space="preserve"> </w:t>
      </w:r>
      <w:r>
        <w:t xml:space="preserve">– une ancienne étude randomisée sur les plaies et quelques très petites études cutanées ; pour les usages promus aujourd’hui (cosmétique anti-âge, injections), aucune donnée contrôlée solide chez l’humain.</w:t>
      </w:r>
    </w:p>
    <w:bookmarkEnd w:id="2454"/>
    <w:bookmarkStart w:id="2461" w:name="mode-daction-supposé-55"/>
    <w:p>
      <w:pPr>
        <w:pStyle w:val="Heading3"/>
      </w:pPr>
      <w:r>
        <w:t xml:space="preserve">Mode d’action supposé</w:t>
      </w:r>
    </w:p>
    <w:p>
      <w:pPr>
        <w:pStyle w:val="FirstParagraph"/>
      </w:pPr>
      <w:r>
        <w:t xml:space="preserve">Le GHK fixe le cuivre si solidement qu’il peut transporter cet oligo-élément vital dans les cellules. Le cuivre est nécessaire à plusieurs enzymes importantes pour le tissu conjonctif, par exemple la lysyl oxydase, qui relie entre elles les fibres de collagène et d’élastine. Dès 1980, un travail précoce supposait que le GHK exerce son effet sur les cellules en facilitant l’absorption du cuivre</w:t>
      </w:r>
      <w:r>
        <w:rPr>
          <w:rStyle w:val="FootnoteReference"/>
        </w:rPr>
        <w:footnoteReference w:id="2455"/>
      </w:r>
      <w:r>
        <w:t xml:space="preserve">.</w:t>
      </w:r>
    </w:p>
    <w:p>
      <w:pPr>
        <w:pStyle w:val="BodyText"/>
      </w:pPr>
      <w:r>
        <w:t xml:space="preserve">En culture cellulaire, le GHK-Cu a stimulé la production de collagène par les fibroblastes dès des concentrations extrêmement faibles ; le maximum se situait autour d’un nanomole par litre</w:t>
      </w:r>
      <w:r>
        <w:rPr>
          <w:rStyle w:val="FootnoteReference"/>
        </w:rPr>
        <w:footnoteReference w:id="2456"/>
      </w:r>
      <w:r>
        <w:t xml:space="preserve">. Le découvreur du GHK, Loren Pickart, a décrit dans plusieurs revues une multitude d’autres effets – sur la cicatrisation, la pousse des cheveux, l’inflammation, la croissance nerveuse et même sur l’activité de milliers de gènes</w:t>
      </w:r>
      <w:r>
        <w:rPr>
          <w:rStyle w:val="FootnoteReference"/>
        </w:rPr>
        <w:footnoteReference w:id="2457"/>
      </w:r>
      <w:r>
        <w:t xml:space="preserve">. Ces affirmations reposent principalement sur des expériences cellulaires et animales ainsi que sur des données d’expression génique issues de bases de données, et non sur des études chez l’humain. En outre, beaucoup de ces revues émanent de l’entourage des personnes qui ont aussi développé commercialement le GHK-Cu – un élément que vous devriez connaître pour en juger.</w:t>
      </w:r>
    </w:p>
    <w:bookmarkStart w:id="2460" w:name="le-peptide-traverse-t-il-la-peau"/>
    <w:p>
      <w:pPr>
        <w:pStyle w:val="Heading4"/>
      </w:pPr>
      <w:r>
        <w:t xml:space="preserve">Le peptide traverse-t-il la peau ?</w:t>
      </w:r>
    </w:p>
    <w:p>
      <w:pPr>
        <w:pStyle w:val="FirstParagraph"/>
      </w:pPr>
      <w:r>
        <w:t xml:space="preserve">Pour l’usage cosmétique, la question décisive est de savoir si le GHK-Cu franchit la barrière cutanée. La couche cornée de la peau est peu perméable aux molécules hydrosolubles et chargées comme le GHK. Une revue de 2025 conclut que le GHK pourrait sans doute être considéré, d’après les expériences cellulaires, comme un actif anti-rides, mais que les études cliniques sont remarquablement peu nombreuses ; la liaison au cuivre et l’ajout d’acides gras améliorent la perméabilité, et les micro-aiguilles et d’autres outils font l’objet de recherches</w:t>
      </w:r>
      <w:r>
        <w:rPr>
          <w:rStyle w:val="FootnoteReference"/>
        </w:rPr>
        <w:footnoteReference w:id="2458"/>
      </w:r>
      <w:r>
        <w:t xml:space="preserve">. Une étude chez trois volontaires a retrouvé le Pal-GHK apparenté, après application, dans toutes les strates de la couche cornée, mais seulement entre les cellules et en quantité décroissante avec la profondeur</w:t>
      </w:r>
      <w:r>
        <w:rPr>
          <w:rStyle w:val="FootnoteReference"/>
        </w:rPr>
        <w:footnoteReference w:id="2459"/>
      </w:r>
      <w:r>
        <w:t xml:space="preserve">. On ignore si des quantités suffisantes atteignent les couches profondes de la peau, où le collagène est produit.</w:t>
      </w:r>
    </w:p>
    <w:bookmarkEnd w:id="2460"/>
    <w:bookmarkEnd w:id="2461"/>
    <w:bookmarkStart w:id="2465" w:name="études-chez-lhumain-55"/>
    <w:p>
      <w:pPr>
        <w:pStyle w:val="Heading3"/>
      </w:pPr>
      <w:r>
        <w:t xml:space="preserve">Études chez l’humain</w:t>
      </w:r>
    </w:p>
    <w:p>
      <w:pPr>
        <w:pStyle w:val="FirstParagraph"/>
      </w:pPr>
      <w:r>
        <w:t xml:space="preserve">La requête PubMed analysée pour ce livre (GHK-Cu, tripeptide de cuivre ou peptide de cuivre GHK dans le titre ou le résumé, date de requête octobre 2026) n’a donné qu’</w:t>
      </w:r>
      <w:r>
        <w:rPr>
          <w:bCs/>
          <w:b/>
        </w:rPr>
        <w:t xml:space="preserve">une seule</w:t>
      </w:r>
      <w:r>
        <w:t xml:space="preserve"> </w:t>
      </w:r>
      <w:r>
        <w:t xml:space="preserve">étude chez l’humain. Sur ClinicalTrials.gov, la recherche a donné 25 entrées, dont presque toutes concernent cependant d’autres composés du cuivre (par exemple le cuivre 64 radioactif pour l’imagerie). Une seule entrée crédible étudie réellement le GHK ou le GHK-Cu ; une autre entrée portant sur un gel cicatrisant au GHK-Cu provient d’un promoteur dont les entrées de registre sont manifestement, d’après notre vérification, des entrées fictives d’exemple ou de test, et elle n’est donc pas prise en compte ici. Une recherche élargie a en outre permis de trouver l’ancienne étude sur les plaies citée plus bas ainsi que des cas isolés.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protocole</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Mulder 1994, PMID 17147644</w:t>
            </w:r>
          </w:p>
        </w:tc>
        <w:tc>
          <w:tcPr/>
          <w:p>
            <w:pPr>
              <w:pStyle w:val="Compact"/>
              <w:jc w:val="left"/>
            </w:pPr>
            <w:r>
              <w:t xml:space="preserve">Personnes atteintes d’ulcères du pied diabétique, multicentrique, randomisée, évaluation en aveugle, gel de GHK-Cu contre gel excipient</w:t>
            </w:r>
          </w:p>
        </w:tc>
        <w:tc>
          <w:tcPr/>
          <w:p>
            <w:pPr>
              <w:pStyle w:val="Compact"/>
              <w:jc w:val="left"/>
            </w:pPr>
            <w:r>
              <w:t xml:space="preserve">non précisée dans le résumé</w:t>
            </w:r>
          </w:p>
        </w:tc>
        <w:tc>
          <w:tcPr/>
          <w:p>
            <w:pPr>
              <w:pStyle w:val="Compact"/>
              <w:jc w:val="left"/>
            </w:pPr>
            <w:r>
              <w:t xml:space="preserve">Réduction médiane de la surface de la plaie 98,5 % contre 60,8 % ; infections 7 % contre 34 %</w:t>
            </w:r>
          </w:p>
        </w:tc>
      </w:tr>
      <w:tr>
        <w:tc>
          <w:tcPr/>
          <w:p>
            <w:pPr>
              <w:pStyle w:val="Compact"/>
              <w:jc w:val="left"/>
            </w:pPr>
            <w:r>
              <w:t xml:space="preserve">Miller 2006, PMID 16847171</w:t>
            </w:r>
          </w:p>
        </w:tc>
        <w:tc>
          <w:tcPr/>
          <w:p>
            <w:pPr>
              <w:pStyle w:val="Compact"/>
              <w:jc w:val="left"/>
            </w:pPr>
            <w:r>
              <w:t xml:space="preserve">Soins cutanés après traitement au laser CO₂, randomisée, 13 personnes analysables</w:t>
            </w:r>
          </w:p>
        </w:tc>
        <w:tc>
          <w:tcPr/>
          <w:p>
            <w:pPr>
              <w:pStyle w:val="Compact"/>
              <w:jc w:val="left"/>
            </w:pPr>
            <w:r>
              <w:t xml:space="preserve">12 semaines</w:t>
            </w:r>
          </w:p>
        </w:tc>
        <w:tc>
          <w:tcPr/>
          <w:p>
            <w:pPr>
              <w:pStyle w:val="Compact"/>
              <w:jc w:val="left"/>
            </w:pPr>
            <w:r>
              <w:t xml:space="preserve">Aucune différence de rougeur, de rides ou de qualité de la peau selon les mesures et l’évaluation en aveugle ; satisfaction plus élevée au questionnaire</w:t>
            </w:r>
          </w:p>
        </w:tc>
      </w:tr>
      <w:tr>
        <w:tc>
          <w:tcPr/>
          <w:p>
            <w:pPr>
              <w:pStyle w:val="Compact"/>
              <w:jc w:val="left"/>
            </w:pPr>
            <w:r>
              <w:t xml:space="preserve">Byun 2016, PMID 27064823</w:t>
            </w:r>
          </w:p>
        </w:tc>
        <w:tc>
          <w:tcPr/>
          <w:p>
            <w:pPr>
              <w:pStyle w:val="Compact"/>
              <w:jc w:val="left"/>
            </w:pPr>
            <w:r>
              <w:t xml:space="preserve">1 homme, mélange de GHK-Cu, acide hyaluronique, extrait végétal, acide tranexamique et bêta-glucane avec un pulvérisateur</w:t>
            </w:r>
          </w:p>
        </w:tc>
        <w:tc>
          <w:tcPr/>
          <w:p>
            <w:pPr>
              <w:pStyle w:val="Compact"/>
              <w:jc w:val="left"/>
            </w:pPr>
            <w:r>
              <w:t xml:space="preserve">12 semaines</w:t>
            </w:r>
          </w:p>
        </w:tc>
        <w:tc>
          <w:tcPr/>
          <w:p>
            <w:pPr>
              <w:pStyle w:val="Compact"/>
              <w:jc w:val="left"/>
            </w:pPr>
            <w:r>
              <w:t xml:space="preserve">Moins de rides du contour de l’œil ; plus de collagène dans les biopsies cutanées (cas isolé, produit combiné)</w:t>
            </w:r>
          </w:p>
        </w:tc>
      </w:tr>
    </w:tbl>
    <w:p>
      <w:pPr>
        <w:pStyle w:val="BodyText"/>
      </w:pPr>
      <w:r>
        <w:rPr>
          <w:bCs/>
          <w:b/>
        </w:rPr>
        <w:t xml:space="preserve">L’étude de 1994 sur les plaies</w:t>
      </w:r>
      <w:r>
        <w:t xml:space="preserve"> </w:t>
      </w:r>
      <w:r>
        <w:t xml:space="preserve">est la seule étude contrôlée qui ait amélioré un critère cliniquement pertinent. La préparation (développée sous le nom d’Iamin) n’a toutefois pas obtenu d’autorisation comme médicament. Le résumé ne précise ni le nombre de participants ni la durée de l’étude ; des études de confirmation ultérieures sont introuvables dans PubMed.</w:t>
      </w:r>
    </w:p>
    <w:p>
      <w:pPr>
        <w:pStyle w:val="BodyText"/>
      </w:pPr>
      <w:r>
        <w:rPr>
          <w:bCs/>
          <w:b/>
        </w:rPr>
        <w:t xml:space="preserve">L’étude laser de 2006</w:t>
      </w:r>
      <w:r>
        <w:t xml:space="preserve"> </w:t>
      </w:r>
      <w:r>
        <w:t xml:space="preserve">est la seule étude randomisée à visée cosmétique recensée dans PubMed. Avec seulement 13 patientes et patients analysables, elle était trop petite pour détecter des différences de façon sûre – et elle n’en a objectivement trouvé aucune.</w:t>
      </w:r>
    </w:p>
    <w:p>
      <w:pPr>
        <w:pStyle w:val="BodyText"/>
      </w:pPr>
      <w:r>
        <w:rPr>
          <w:bCs/>
          <w:b/>
        </w:rPr>
        <w:t xml:space="preserve">Études cosmétiques :</w:t>
      </w:r>
      <w:r>
        <w:t xml:space="preserve"> </w:t>
      </w:r>
      <w:r>
        <w:t xml:space="preserve">dans des ouvrages spécialisés et des documents publicitaires sont citées des études selon lesquelles des crèmes au GHK-Cu auraient amélioré les rides, la densité et l’élasticité de la peau. Elles sont pour la plupart parues dans des revues non référencées dans PubMed, ou ne sont disponibles que sous forme de communications de congrès et de rapports de fabricants, et n’ont pas pu être vérifiées dans l’original pour ce livre. Une méta-analyse de 2026 sur les peptides oraux et topiques contre le vieillissement cutané a montré que le bénéfice sur les rides était surtout porté par les peptides pris</w:t>
      </w:r>
      <w:r>
        <w:t xml:space="preserve"> </w:t>
      </w:r>
      <w:r>
        <w:rPr>
          <w:iCs/>
          <w:i/>
        </w:rPr>
        <w:t xml:space="preserve">par voie orale</w:t>
      </w:r>
      <w:r>
        <w:t xml:space="preserve"> </w:t>
      </w:r>
      <w:r>
        <w:t xml:space="preserve">; le résumé ne présente pas de résultats spécifiques au GHK-Cu</w:t>
      </w:r>
      <w:r>
        <w:rPr>
          <w:rStyle w:val="FootnoteReference"/>
        </w:rPr>
        <w:footnoteReference w:id="2462"/>
      </w:r>
      <w:r>
        <w:t xml:space="preserve">.</w:t>
      </w:r>
    </w:p>
    <w:p>
      <w:pPr>
        <w:pStyle w:val="BodyText"/>
      </w:pPr>
      <w:r>
        <w:rPr>
          <w:bCs/>
          <w:b/>
        </w:rPr>
        <w:t xml:space="preserve">Injections :</w:t>
      </w:r>
      <w:r>
        <w:t xml:space="preserve"> </w:t>
      </w:r>
      <w:r>
        <w:t xml:space="preserve">pour le GHK-Cu injecté, il n’existe pas une seule étude contrôlée publiée chez l’humain. Une revue destinée à l’orthopédie et à la médecine du sport constate qu’aucune donnée clinique n’existe pour une utilisation dans les maladies de l’appareil locomoteur et que la posologie, la fréquence et la durée d’un traitement sont inconnues</w:t>
      </w:r>
      <w:r>
        <w:rPr>
          <w:rStyle w:val="FootnoteReference"/>
        </w:rPr>
        <w:footnoteReference w:id="2463"/>
      </w:r>
      <w:r>
        <w:t xml:space="preserve">. Une autre revue sur les peptides non autorisés en médecine du sport conclut que des données de sécurité solides chez l’humain font défaut et qu’il existe un potentiel de nuisance</w:t>
      </w:r>
      <w:r>
        <w:rPr>
          <w:rStyle w:val="FootnoteReference"/>
        </w:rPr>
        <w:footnoteReference w:id="2464"/>
      </w:r>
      <w:r>
        <w:t xml:space="preserve">.</w:t>
      </w:r>
    </w:p>
    <w:bookmarkEnd w:id="2465"/>
    <w:bookmarkStart w:id="2472" w:name="études-animales-et-de-laboratoire-55"/>
    <w:p>
      <w:pPr>
        <w:pStyle w:val="Heading3"/>
      </w:pPr>
      <w:r>
        <w:t xml:space="preserve">Études animales et de laboratoire</w:t>
      </w:r>
    </w:p>
    <w:p>
      <w:pPr>
        <w:pStyle w:val="FirstParagraph"/>
      </w:pPr>
      <w:r>
        <w:t xml:space="preserve">La littérature préclinique est abondante :</w:t>
      </w:r>
    </w:p>
    <w:p>
      <w:pPr>
        <w:numPr>
          <w:ilvl w:val="0"/>
          <w:numId w:val="1308"/>
        </w:numPr>
        <w:pStyle w:val="Compact"/>
      </w:pPr>
      <w:r>
        <w:rPr>
          <w:bCs/>
          <w:b/>
        </w:rPr>
        <w:t xml:space="preserve">Culture cellulaire :</w:t>
      </w:r>
      <w:r>
        <w:t xml:space="preserve"> </w:t>
      </w:r>
      <w:r>
        <w:t xml:space="preserve">augmentation de la production de collagène par les fibroblastes</w:t>
      </w:r>
      <w:r>
        <w:rPr>
          <w:rStyle w:val="FootnoteReference"/>
        </w:rPr>
        <w:footnoteReference w:id="2466"/>
      </w:r>
      <w:r>
        <w:t xml:space="preserve"> </w:t>
      </w:r>
      <w:r>
        <w:t xml:space="preserve">; action sur des enzymes qui construisent et dégradent le tissu conjonctif.</w:t>
      </w:r>
    </w:p>
    <w:p>
      <w:pPr>
        <w:numPr>
          <w:ilvl w:val="0"/>
          <w:numId w:val="1308"/>
        </w:numPr>
        <w:pStyle w:val="Compact"/>
      </w:pPr>
      <w:r>
        <w:rPr>
          <w:bCs/>
          <w:b/>
        </w:rPr>
        <w:t xml:space="preserve">Cicatrisation chez l’animal :</w:t>
      </w:r>
      <w:r>
        <w:t xml:space="preserve"> </w:t>
      </w:r>
      <w:r>
        <w:t xml:space="preserve">chez des rats présentant des plaies mal irriguées, la surface de la plaie a diminué de 64,5 % après 13 jours sous gel de GHK-Cu, de 45,6 % sous gel excipient et de 28,2 % sans traitement</w:t>
      </w:r>
      <w:r>
        <w:rPr>
          <w:rStyle w:val="FootnoteReference"/>
        </w:rPr>
        <w:footnoteReference w:id="2467"/>
      </w:r>
      <w:r>
        <w:t xml:space="preserve">. Chez la souris, des liposomes contenant du GHK-Cu ont favorisé la néoformation de vaisseaux dans une peau ébouillantée et raccourci le temps de cicatrisation</w:t>
      </w:r>
      <w:r>
        <w:rPr>
          <w:rStyle w:val="FootnoteReference"/>
        </w:rPr>
        <w:footnoteReference w:id="2468"/>
      </w:r>
      <w:r>
        <w:t xml:space="preserve">.</w:t>
      </w:r>
    </w:p>
    <w:p>
      <w:pPr>
        <w:numPr>
          <w:ilvl w:val="0"/>
          <w:numId w:val="1308"/>
        </w:numPr>
        <w:pStyle w:val="Compact"/>
      </w:pPr>
      <w:r>
        <w:rPr>
          <w:bCs/>
          <w:b/>
        </w:rPr>
        <w:t xml:space="preserve">Autres organes (chez l’animal) :</w:t>
      </w:r>
      <w:r>
        <w:t xml:space="preserve"> </w:t>
      </w:r>
      <w:r>
        <w:t xml:space="preserve">chez la souris, le GHK-Cu injecté dans la cavité abdominale a atténué une fibrose pulmonaire induite expérimentalement</w:t>
      </w:r>
      <w:r>
        <w:rPr>
          <w:rStyle w:val="FootnoteReference"/>
        </w:rPr>
        <w:footnoteReference w:id="2469"/>
      </w:r>
      <w:r>
        <w:t xml:space="preserve"> </w:t>
      </w:r>
      <w:r>
        <w:t xml:space="preserve">; d’autres études chez la souris décrivent des effets sur les lésions pulmonaires, l’inflammation intestinale et la faiblesse musculaire après exposition à la fumée de cigarette. Chez le rat, il n’a amélioré que transitoirement la cicatrisation après reconstruction du ligament croisé</w:t>
      </w:r>
      <w:r>
        <w:rPr>
          <w:rStyle w:val="FootnoteReference"/>
        </w:rPr>
        <w:footnoteReference w:id="2470"/>
      </w:r>
      <w:r>
        <w:t xml:space="preserve">.</w:t>
      </w:r>
    </w:p>
    <w:p>
      <w:pPr>
        <w:numPr>
          <w:ilvl w:val="0"/>
          <w:numId w:val="1308"/>
        </w:numPr>
        <w:pStyle w:val="Compact"/>
      </w:pPr>
      <w:r>
        <w:rPr>
          <w:bCs/>
          <w:b/>
        </w:rPr>
        <w:t xml:space="preserve">Cerveau (chez la souris) :</w:t>
      </w:r>
      <w:r>
        <w:t xml:space="preserve"> </w:t>
      </w:r>
      <w:r>
        <w:t xml:space="preserve">une prépublication de 2026, non encore évaluée par les pairs, a décrit chez des souris âgées de meilleures performances d’apprentissage après huit semaines d’administration par voie nasale ; après une brève administration dans la cavité abdominale, l’effet n’était que transitoire et limité aux mâles</w:t>
      </w:r>
      <w:r>
        <w:rPr>
          <w:rStyle w:val="FootnoteReference"/>
        </w:rPr>
        <w:footnoteReference w:id="2471"/>
      </w:r>
      <w:r>
        <w:t xml:space="preserve">.</w:t>
      </w:r>
    </w:p>
    <w:p>
      <w:pPr>
        <w:pStyle w:val="FirstParagraph"/>
      </w:pPr>
      <w:r>
        <w:t xml:space="preserve">Ces résultats montrent une activité biologique, mais ne sont pas directement transposables à l’humain – et encore moins aux crèmes cosmétiques dont la pénétration cutanée est incertaine.</w:t>
      </w:r>
    </w:p>
    <w:bookmarkEnd w:id="2472"/>
    <w:bookmarkStart w:id="2475" w:name="risques-et-effets-indésirables-55"/>
    <w:p>
      <w:pPr>
        <w:pStyle w:val="Heading3"/>
      </w:pPr>
      <w:r>
        <w:t xml:space="preserve">Risques et effets indésirables</w:t>
      </w:r>
    </w:p>
    <w:p>
      <w:pPr>
        <w:pStyle w:val="FirstParagraph"/>
      </w:pPr>
      <w:r>
        <w:rPr>
          <w:bCs/>
          <w:b/>
        </w:rPr>
        <w:t xml:space="preserve">Usage cosmétique (établi ou probable) :</w:t>
      </w:r>
      <w:r>
        <w:t xml:space="preserve"> </w:t>
      </w:r>
      <w:r>
        <w:t xml:space="preserve">le GHK-Cu est utilisé depuis des décennies dans les cosmétiques ; les rares études n’ont rapporté aucun effet indésirable significatif. Comme pour tout ingrédient cosmétique, des irritations cutanées et des allergies de contact sont possibles. Les sérums contenant du cuivre peuvent être chimiquement compatibles ou non avec d’autres actifs (par exemple la vitamine C ou les acides) – c’est une question de formulation.</w:t>
      </w:r>
    </w:p>
    <w:p>
      <w:pPr>
        <w:pStyle w:val="BodyText"/>
      </w:pPr>
      <w:r>
        <w:rPr>
          <w:bCs/>
          <w:b/>
        </w:rPr>
        <w:t xml:space="preserve">Injection (théorique, mais à prendre au sérieux) :</w:t>
      </w:r>
    </w:p>
    <w:p>
      <w:pPr>
        <w:numPr>
          <w:ilvl w:val="0"/>
          <w:numId w:val="1309"/>
        </w:numPr>
        <w:pStyle w:val="Compact"/>
      </w:pPr>
      <w:r>
        <w:rPr>
          <w:bCs/>
          <w:b/>
        </w:rPr>
        <w:t xml:space="preserve">Aucune donnée de sécurité :</w:t>
      </w:r>
      <w:r>
        <w:t xml:space="preserve"> </w:t>
      </w:r>
      <w:r>
        <w:t xml:space="preserve">il n’existe aucune donnée systématique sur la tolérance, la posologie ou les conséquences à long terme chez l’humain.</w:t>
      </w:r>
    </w:p>
    <w:p>
      <w:pPr>
        <w:numPr>
          <w:ilvl w:val="0"/>
          <w:numId w:val="1309"/>
        </w:numPr>
        <w:pStyle w:val="Compact"/>
      </w:pPr>
      <w:r>
        <w:rPr>
          <w:bCs/>
          <w:b/>
        </w:rPr>
        <w:t xml:space="preserve">Effets cellulaires hétérogènes :</w:t>
      </w:r>
      <w:r>
        <w:t xml:space="preserve"> </w:t>
      </w:r>
      <w:r>
        <w:t xml:space="preserve">les premiers travaux de laboratoire décrivaient déjà que le GHK peut, selon le système cellulaire, favoriser la croissance mais aussi avoir un effet toxique</w:t>
      </w:r>
      <w:r>
        <w:rPr>
          <w:rStyle w:val="FootnoteReference"/>
        </w:rPr>
        <w:footnoteReference w:id="2473"/>
      </w:r>
      <w:r>
        <w:t xml:space="preserve">.</w:t>
      </w:r>
    </w:p>
    <w:p>
      <w:pPr>
        <w:numPr>
          <w:ilvl w:val="0"/>
          <w:numId w:val="1309"/>
        </w:numPr>
        <w:pStyle w:val="Compact"/>
      </w:pPr>
      <w:r>
        <w:rPr>
          <w:bCs/>
          <w:b/>
        </w:rPr>
        <w:t xml:space="preserve">Charge en cuivre :</w:t>
      </w:r>
      <w:r>
        <w:t xml:space="preserve"> </w:t>
      </w:r>
      <w:r>
        <w:t xml:space="preserve">le cuivre est toxique à doses plus élevées. La quantité de cuivre qui reste dans l’organisme après des injections répétées n’a pas été étudiée. Les personnes atteintes de la maladie de Wilson, une maladie congénitale de surcharge en cuivre, seraient particulièrement exposées.</w:t>
      </w:r>
    </w:p>
    <w:p>
      <w:pPr>
        <w:numPr>
          <w:ilvl w:val="0"/>
          <w:numId w:val="1309"/>
        </w:numPr>
        <w:pStyle w:val="Compact"/>
      </w:pPr>
      <w:r>
        <w:rPr>
          <w:bCs/>
          <w:b/>
        </w:rPr>
        <w:t xml:space="preserve">Signaux de croissance :</w:t>
      </w:r>
      <w:r>
        <w:t xml:space="preserve"> </w:t>
      </w:r>
      <w:r>
        <w:t xml:space="preserve">chez l’animal, le GHK-Cu favorise la formation de nouveaux vaisseaux sanguins (angiogenèse). On ignore si cela représente un risque en présence de tumeurs existantes (risque théorique).</w:t>
      </w:r>
    </w:p>
    <w:p>
      <w:pPr>
        <w:numPr>
          <w:ilvl w:val="0"/>
          <w:numId w:val="1309"/>
        </w:numPr>
        <w:pStyle w:val="Compact"/>
      </w:pPr>
      <w:r>
        <w:rPr>
          <w:bCs/>
          <w:b/>
        </w:rPr>
        <w:t xml:space="preserve">Qualité du marché gris :</w:t>
      </w:r>
      <w:r>
        <w:t xml:space="preserve"> </w:t>
      </w:r>
      <w:r>
        <w:t xml:space="preserve">les « research peptides » sont fabriqués sans contrôle de qualité pharmaceutique. Des impuretés, des quantités erronées ou une contamination bactérienne sont possibles ; l’injection de produits non stériles peut provoquer des abcès et des infections. Une revue décrit ces risques pour les peptides injectables de « biohacking » en général</w:t>
      </w:r>
      <w:r>
        <w:rPr>
          <w:rStyle w:val="FootnoteReference"/>
        </w:rPr>
        <w:footnoteReference w:id="2474"/>
      </w:r>
      <w:r>
        <w:t xml:space="preserve">. La partie IV traite ce sujet en détail.</w:t>
      </w:r>
    </w:p>
    <w:bookmarkEnd w:id="2475"/>
    <w:bookmarkStart w:id="2476" w:name="statut-juridique-55"/>
    <w:p>
      <w:pPr>
        <w:pStyle w:val="Heading3"/>
      </w:pPr>
      <w:r>
        <w:t xml:space="preserve">Statut juridique</w:t>
      </w:r>
    </w:p>
    <w:p>
      <w:pPr>
        <w:numPr>
          <w:ilvl w:val="0"/>
          <w:numId w:val="1310"/>
        </w:numPr>
        <w:pStyle w:val="Compact"/>
      </w:pPr>
      <w:r>
        <w:rPr>
          <w:bCs/>
          <w:b/>
        </w:rPr>
        <w:t xml:space="preserve">UE / Autriche / Allemagne :</w:t>
      </w:r>
      <w:r>
        <w:t xml:space="preserve"> </w:t>
      </w:r>
      <w:r>
        <w:t xml:space="preserve">le GHK-Cu (Copper Tripeptide-1) peut être utilisé comme ingrédient dans les cosmétiques ; le règlement européen sur les produits cosmétiques (règlement (CE) n° 1223/2009) s’applique. Les cosmétiques ne peuvent être destinés qu’à une application sur la peau et ses annexes et ne peuvent revendiquer aucun effet médicamenteux ; selon le règlement (UE) n° 655/2013, les allégations publicitaires doivent pouvoir être justifiées. Un GHK-Cu destiné à l’injection n’est pas un cosmétique, mais un médicament non autorisé. Sa vente pour un usage chez l’humain n’est pas permise ; des étiquettes comme « réservé à la recherche » n’y changent rien.</w:t>
      </w:r>
    </w:p>
    <w:p>
      <w:pPr>
        <w:numPr>
          <w:ilvl w:val="0"/>
          <w:numId w:val="1310"/>
        </w:numPr>
        <w:pStyle w:val="Compact"/>
      </w:pPr>
      <w:r>
        <w:rPr>
          <w:bCs/>
          <w:b/>
        </w:rPr>
        <w:t xml:space="preserve">États-Unis :</w:t>
      </w:r>
      <w:r>
        <w:t xml:space="preserve"> </w:t>
      </w:r>
      <w:r>
        <w:t xml:space="preserve">autorisé dans les cosmétiques. À notre connaissance, la FDA a placé en 2023 le GHK-Cu injectable sur une liste de substances pour lesquelles elle voit d’importants problèmes de sécurité concernant leur préparation en pharmacie (compounding) ; le classement de plusieurs peptides a depuis été rediscuté.</w:t>
      </w:r>
    </w:p>
    <w:p>
      <w:pPr>
        <w:numPr>
          <w:ilvl w:val="0"/>
          <w:numId w:val="1310"/>
        </w:numPr>
        <w:pStyle w:val="Compact"/>
      </w:pPr>
      <w:r>
        <w:rPr>
          <w:bCs/>
          <w:b/>
        </w:rPr>
        <w:t xml:space="preserve">Sport :</w:t>
      </w:r>
      <w:r>
        <w:t xml:space="preserve"> </w:t>
      </w:r>
      <w:r>
        <w:t xml:space="preserve">le GHK-Cu ne figure pas nommément sur la liste de la WADA. Les crèmes cosmétiques sont considérées comme sans problème. Le GHK-Cu injecté pourrait, en tant que substance non approuvée, relever de la catégorie S0 ; en cas de doute, les athlètes devraient se renseigner auprès de leur agence nationale antidopage (état 2026, à vérifier).</w:t>
      </w:r>
    </w:p>
    <w:bookmarkEnd w:id="2476"/>
    <w:bookmarkStart w:id="2478" w:name="études-en-cours-et-perspectives-55"/>
    <w:p>
      <w:pPr>
        <w:pStyle w:val="Heading3"/>
      </w:pPr>
      <w:r>
        <w:t xml:space="preserve">Études en cours et perspectives</w:t>
      </w:r>
    </w:p>
    <w:p>
      <w:pPr>
        <w:pStyle w:val="FirstParagraph"/>
      </w:pPr>
      <w:r>
        <w:rPr>
          <w:bCs/>
          <w:b/>
        </w:rPr>
        <w:t xml:space="preserve">Établi (études enregistrées, état octobre 2026) :</w:t>
      </w:r>
    </w:p>
    <w:p>
      <w:pPr>
        <w:numPr>
          <w:ilvl w:val="0"/>
          <w:numId w:val="1311"/>
        </w:numPr>
        <w:pStyle w:val="Compact"/>
      </w:pPr>
      <w:r>
        <w:rPr>
          <w:bCs/>
          <w:b/>
        </w:rPr>
        <w:t xml:space="preserve">Patch :</w:t>
      </w:r>
      <w:r>
        <w:t xml:space="preserve"> </w:t>
      </w:r>
      <w:r>
        <w:t xml:space="preserve">une étude prévoyant 100 personnes en bonne santé doit examiner si un patch (X39) modifie les taux sanguins de GHK et de GHK-Cu ; début prévu en 2027</w:t>
      </w:r>
      <w:r>
        <w:rPr>
          <w:rStyle w:val="FootnoteReference"/>
        </w:rPr>
        <w:footnoteReference w:id="2477"/>
      </w:r>
      <w:r>
        <w:t xml:space="preserve">. Le promoteur est une entreprise qui commercialise ce patch.</w:t>
      </w:r>
    </w:p>
    <w:p>
      <w:pPr>
        <w:pStyle w:val="FirstParagraph"/>
      </w:pPr>
      <w:r>
        <w:rPr>
          <w:bCs/>
          <w:b/>
        </w:rPr>
        <w:t xml:space="preserve">Appréciation :</w:t>
      </w:r>
      <w:r>
        <w:t xml:space="preserve"> </w:t>
      </w:r>
      <w:r>
        <w:t xml:space="preserve">aucune étude sérieuse et enregistrée portant sur un critère médicalement pertinent – par exemple la cicatrisation, d’où proviennent les seules données contrôlées positives chez l’humain – n’est actuellement en vue. Pour l’usage cosmétique, il faudrait des études indépendantes, suffisamment grandes et contrôlées contre placebo, avec une crème ne contenant pas d’autres actifs. Pour les injections, aucune étude sérieuse n’est en vue ; l’intérêt est surtout alimenté par les réseaux sociaux et le marché gris.</w:t>
      </w:r>
    </w:p>
    <w:bookmarkEnd w:id="2478"/>
    <w:bookmarkStart w:id="2479" w:name="conclusion-55"/>
    <w:p>
      <w:pPr>
        <w:pStyle w:val="Heading3"/>
      </w:pPr>
      <w:r>
        <w:t xml:space="preserve">Conclusion</w:t>
      </w:r>
    </w:p>
    <w:p>
      <w:pPr>
        <w:pStyle w:val="FirstParagraph"/>
      </w:pPr>
      <w:r>
        <w:t xml:space="preserve">Le GHK-Cu est un peptide de cuivre endogène qui stimule la production de collagène en laboratoire et accélère la cicatrisation chez l’animal. Chez l’humain, il n’existe qu’une ancienne étude randomisée sur les ulcères du pied diabétique avec un résultat positif et une minuscule étude cosmétique sans effet mesurable. On ignore si le GHK-Cu des crèmes pénètre dans la peau en quantité suffisante ; les allégations publicitaires reposent surtout sur des données de laboratoire et sur des études de fabricants non vérifiées de manière indépendante. En tant qu’ingrédient cosmétique, il est légal et considéré comme bien toléré. Les injections de GHK-Cu du marché gris ne sont ni étudiées ni autorisées et comportent des risques évitables.</w:t>
      </w:r>
    </w:p>
    <w:bookmarkEnd w:id="2479"/>
    <w:bookmarkEnd w:id="2480"/>
    <w:bookmarkStart w:id="2499" w:name="palmitoyl-pentapeptide-4-matrixyl"/>
    <w:p>
      <w:pPr>
        <w:pStyle w:val="Heading2"/>
      </w:pPr>
      <w:r>
        <w:t xml:space="preserve">Palmitoyl pentapeptide-4 (Matrixyl)</w:t>
      </w:r>
    </w:p>
    <w:bookmarkStart w:id="2481" w:name="fiche-signalétique-56"/>
    <w:p>
      <w:pPr>
        <w:pStyle w:val="Heading3"/>
      </w:pPr>
      <w:r>
        <w:t xml:space="preserve">Fiche signalétique</w:t>
      </w:r>
    </w:p>
    <w:p>
      <w:pPr>
        <w:numPr>
          <w:ilvl w:val="0"/>
          <w:numId w:val="1312"/>
        </w:numPr>
        <w:pStyle w:val="Compact"/>
      </w:pPr>
      <w:r>
        <w:rPr>
          <w:bCs/>
          <w:b/>
        </w:rPr>
        <w:t xml:space="preserve">Type/structure :</w:t>
      </w:r>
      <w:r>
        <w:t xml:space="preserve"> </w:t>
      </w:r>
      <w:r>
        <w:t xml:space="preserve">pentapeptide composé de lysine, thréonine, thréonine, lysine et sérine (KTTKS), auquel est couplé un acide palmitique (un acide gras à 16 atomes de carbone). Abréviation Pal-KTTKS ; autrefois désigné comme palmitoyl pentapeptide-3. Nom commercial de la matière première : Matrixyl.</w:t>
      </w:r>
    </w:p>
    <w:p>
      <w:pPr>
        <w:numPr>
          <w:ilvl w:val="0"/>
          <w:numId w:val="1312"/>
        </w:numPr>
        <w:pStyle w:val="Compact"/>
      </w:pPr>
      <w:r>
        <w:rPr>
          <w:bCs/>
          <w:b/>
        </w:rPr>
        <w:t xml:space="preserve">Origine :</w:t>
      </w:r>
      <w:r>
        <w:t xml:space="preserve"> </w:t>
      </w:r>
      <w:r>
        <w:t xml:space="preserve">synthétique. La séquence KTTKS provient de la molécule précurseur du collagène de type I (procollagène). L’ajout de l’acide gras est censé améliorer la pénétration dans la peau.</w:t>
      </w:r>
    </w:p>
    <w:p>
      <w:pPr>
        <w:numPr>
          <w:ilvl w:val="0"/>
          <w:numId w:val="1312"/>
        </w:numPr>
        <w:pStyle w:val="Compact"/>
      </w:pPr>
      <w:r>
        <w:rPr>
          <w:bCs/>
          <w:b/>
        </w:rPr>
        <w:t xml:space="preserve">Principe d’action :</w:t>
      </w:r>
      <w:r>
        <w:t xml:space="preserve"> </w:t>
      </w:r>
      <w:r>
        <w:t xml:space="preserve">en tant que « matrikine » – un fragment de la matrice du tissu conjonctif doté d’un effet de signal –, il est censé stimuler les fibroblastes de la peau pour qu’ils produisent du collagène et d’autres composants de la matrice.</w:t>
      </w:r>
    </w:p>
    <w:p>
      <w:pPr>
        <w:numPr>
          <w:ilvl w:val="0"/>
          <w:numId w:val="1312"/>
        </w:numPr>
        <w:pStyle w:val="Compact"/>
      </w:pPr>
      <w:r>
        <w:rPr>
          <w:bCs/>
          <w:b/>
        </w:rPr>
        <w:t xml:space="preserve">Distinction :</w:t>
      </w:r>
      <w:r>
        <w:t xml:space="preserve"> </w:t>
      </w:r>
      <w:r>
        <w:t xml:space="preserve">le « Matrixyl 3000 » est un autre produit, une association de palmitoyl tripeptide-1 (Pal-GHK, voir chapitre GHK-Cu) et de palmitoyl tétrapeptide-7.</w:t>
      </w:r>
    </w:p>
    <w:p>
      <w:pPr>
        <w:numPr>
          <w:ilvl w:val="0"/>
          <w:numId w:val="1312"/>
        </w:numPr>
        <w:pStyle w:val="Compact"/>
      </w:pPr>
      <w:r>
        <w:rPr>
          <w:bCs/>
          <w:b/>
        </w:rPr>
        <w:t xml:space="preserve">Autorisation UE :</w:t>
      </w:r>
      <w:r>
        <w:t xml:space="preserve"> </w:t>
      </w:r>
      <w:r>
        <w:t xml:space="preserve">pas un médicament ; ingrédient cosmétique.</w:t>
      </w:r>
    </w:p>
    <w:p>
      <w:pPr>
        <w:numPr>
          <w:ilvl w:val="0"/>
          <w:numId w:val="1312"/>
        </w:numPr>
        <w:pStyle w:val="Compact"/>
      </w:pPr>
      <w:r>
        <w:rPr>
          <w:bCs/>
          <w:b/>
        </w:rPr>
        <w:t xml:space="preserve">Autorisation États-Unis :</w:t>
      </w:r>
      <w:r>
        <w:t xml:space="preserve"> </w:t>
      </w:r>
      <w:r>
        <w:t xml:space="preserve">pas un médicament ; ingrédient cosmétique.</w:t>
      </w:r>
    </w:p>
    <w:p>
      <w:pPr>
        <w:numPr>
          <w:ilvl w:val="0"/>
          <w:numId w:val="1312"/>
        </w:numPr>
        <w:pStyle w:val="Compact"/>
      </w:pPr>
      <w:r>
        <w:rPr>
          <w:bCs/>
          <w:b/>
        </w:rPr>
        <w:t xml:space="preserve">AMA (WADA) :</w:t>
      </w:r>
      <w:r>
        <w:t xml:space="preserve"> </w:t>
      </w:r>
      <w:r>
        <w:t xml:space="preserve">pas listé ; en tant que composant cosmétique, sans importance en droit du sport.</w:t>
      </w:r>
    </w:p>
    <w:p>
      <w:pPr>
        <w:numPr>
          <w:ilvl w:val="0"/>
          <w:numId w:val="1312"/>
        </w:numPr>
        <w:pStyle w:val="Compact"/>
      </w:pPr>
      <w:r>
        <w:rPr>
          <w:bCs/>
          <w:b/>
        </w:rPr>
        <w:t xml:space="preserve">Niveau de preuve :</w:t>
      </w:r>
      <w:r>
        <w:t xml:space="preserve"> </w:t>
      </w:r>
      <w:r>
        <w:rPr>
          <w:bCs/>
          <w:b/>
        </w:rPr>
        <w:t xml:space="preserve">B</w:t>
      </w:r>
      <w:r>
        <w:t xml:space="preserve"> </w:t>
      </w:r>
      <w:r>
        <w:t xml:space="preserve">(faible) – une étude randomisée en hémivisage assez grande de 2005 et une très petite étude randomisée ; aucune étude de confirmation indépendante.</w:t>
      </w:r>
    </w:p>
    <w:bookmarkEnd w:id="2481"/>
    <w:bookmarkStart w:id="2485" w:name="mode-daction-supposé-56"/>
    <w:p>
      <w:pPr>
        <w:pStyle w:val="Heading3"/>
      </w:pPr>
      <w:r>
        <w:t xml:space="preserve">Mode d’action supposé</w:t>
      </w:r>
    </w:p>
    <w:p>
      <w:pPr>
        <w:pStyle w:val="FirstParagraph"/>
      </w:pPr>
      <w:r>
        <w:t xml:space="preserve">Lorsque le tissu conjonctif est lésé, des enzymes décomposent le collagène et d’autres composants de la matrice en fragments. Certains de ces fragments agissent comme signal : ils indiquent aux cellules du tissu conjonctif qu’une réparation est nécessaire. Ces fragments de signalisation sont appelés matrikines.</w:t>
      </w:r>
    </w:p>
    <w:p>
      <w:pPr>
        <w:pStyle w:val="BodyText"/>
      </w:pPr>
      <w:r>
        <w:t xml:space="preserve">En 1993, un groupe de recherche a décrit que le pentapeptide KTTKS – un petit morceau de l’extrémité du procollagène de type I – augmente fortement, dans des cultures de fibroblastes, la production de collagène de types I et III ainsi que de fibronectine. KTTKS était la plus petite séquence qui déclenchait encore cet effet</w:t>
      </w:r>
      <w:r>
        <w:rPr>
          <w:rStyle w:val="FootnoteReference"/>
        </w:rPr>
        <w:footnoteReference w:id="2482"/>
      </w:r>
      <w:r>
        <w:t xml:space="preserve">. L’industrie cosmétique a repris l’idée : un peptide qui signale à la peau un « besoin de réparation » pourrait relancer la production de collagène qui diminue avec l’âge.</w:t>
      </w:r>
    </w:p>
    <w:p>
      <w:pPr>
        <w:pStyle w:val="BodyText"/>
      </w:pPr>
      <w:r>
        <w:t xml:space="preserve">Le KTTKS pur ne pénètre cependant guère dans la peau. L’ajout d’un acide gras (palmitoylation) rend la molécule plus liposoluble. En culture cellulaire, le Pal-KTTKS a stimulé de manière dépendante de la concentration la production de collagène par des fibroblastes cutanés et cornéens ; l’effet apparaissait près de la concentration à partir de laquelle les molécules s’assemblent en nanostructures en forme de rubans</w:t>
      </w:r>
      <w:r>
        <w:rPr>
          <w:rStyle w:val="FootnoteReference"/>
        </w:rPr>
        <w:footnoteReference w:id="2483"/>
      </w:r>
      <w:r>
        <w:t xml:space="preserve">.</w:t>
      </w:r>
    </w:p>
    <w:p>
      <w:pPr>
        <w:pStyle w:val="BodyText"/>
      </w:pPr>
      <w:r>
        <w:t xml:space="preserve">Reste à savoir quelle quantité de Pal-KTTKS contenu dans une crème atteint réellement le derme, où se trouvent les fibroblastes. Pour le Pal-GHK apparenté, une étude chez des volontaires a montré qu’après application, il ne se répartit qu’entre les cellules de la couche cornée et diminue avec la profondeur</w:t>
      </w:r>
      <w:r>
        <w:rPr>
          <w:rStyle w:val="FootnoteReference"/>
        </w:rPr>
        <w:footnoteReference w:id="2484"/>
      </w:r>
      <w:r>
        <w:t xml:space="preserve">. Pour le Pal-KTTKS lui-même, des mesures comparables chez l’humain font défaut dans la littérature analysée.</w:t>
      </w:r>
    </w:p>
    <w:bookmarkEnd w:id="2485"/>
    <w:bookmarkStart w:id="2488" w:name="études-chez-lhumain-56"/>
    <w:p>
      <w:pPr>
        <w:pStyle w:val="Heading3"/>
      </w:pPr>
      <w:r>
        <w:t xml:space="preserve">Études chez l’humain</w:t>
      </w:r>
    </w:p>
    <w:p>
      <w:pPr>
        <w:pStyle w:val="FirstParagraph"/>
      </w:pPr>
      <w:r>
        <w:t xml:space="preserve">La requête PubMed analysée pour ce livre (palmitoyl pentapeptide ou Matrixyl dans le titre ou le résumé, date de requête octobre 2026) n’a donné qu’</w:t>
      </w:r>
      <w:r>
        <w:rPr>
          <w:bCs/>
          <w:b/>
        </w:rPr>
        <w:t xml:space="preserve">un seul</w:t>
      </w:r>
      <w:r>
        <w:t xml:space="preserve"> </w:t>
      </w:r>
      <w:r>
        <w:t xml:space="preserve">travail classé comme étude chez l’humain ; aucune entrée de registre ne figure sur ClinicalTrials.gov. L’examen manuel a permis de trouver deux autres études contrôlées ainsi que des études portant sur des produits combinés.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protocole</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Robinson 2005, PMID 18492182</w:t>
            </w:r>
          </w:p>
        </w:tc>
        <w:tc>
          <w:tcPr/>
          <w:p>
            <w:pPr>
              <w:pStyle w:val="Compact"/>
              <w:jc w:val="left"/>
            </w:pPr>
            <w:r>
              <w:t xml:space="preserve">93 femmes à peau claire (35–55 ans), crème hydratante au Pal-KTTKS sur une moitié du visage contre la même crème sans actif sur l’autre, double aveugle</w:t>
            </w:r>
          </w:p>
        </w:tc>
        <w:tc>
          <w:tcPr/>
          <w:p>
            <w:pPr>
              <w:pStyle w:val="Compact"/>
              <w:jc w:val="left"/>
            </w:pPr>
            <w:r>
              <w:t xml:space="preserve">12 semaines</w:t>
            </w:r>
          </w:p>
        </w:tc>
        <w:tc>
          <w:tcPr/>
          <w:p>
            <w:pPr>
              <w:pStyle w:val="Compact"/>
              <w:jc w:val="left"/>
            </w:pPr>
            <w:r>
              <w:t xml:space="preserve">Réduction significative des rides et ridules par rapport au côté témoin, mesurée par analyse d’images et par des spécialistes ; bonne tolérance</w:t>
            </w:r>
          </w:p>
        </w:tc>
      </w:tr>
      <w:tr>
        <w:tc>
          <w:tcPr/>
          <w:p>
            <w:pPr>
              <w:pStyle w:val="Compact"/>
              <w:jc w:val="left"/>
            </w:pPr>
            <w:r>
              <w:t xml:space="preserve">Aruan 2023, PMID 36909866</w:t>
            </w:r>
          </w:p>
        </w:tc>
        <w:tc>
          <w:tcPr/>
          <w:p>
            <w:pPr>
              <w:pStyle w:val="Compact"/>
              <w:jc w:val="left"/>
            </w:pPr>
            <w:r>
              <w:t xml:space="preserve">21 femmes indonésiennes (26–55 ans), crème au palmitoyl pentapeptide-4 contre acétyl hexapeptide-3 contre placebo, double aveugle</w:t>
            </w:r>
          </w:p>
        </w:tc>
        <w:tc>
          <w:tcPr/>
          <w:p>
            <w:pPr>
              <w:pStyle w:val="Compact"/>
              <w:jc w:val="left"/>
            </w:pPr>
            <w:r>
              <w:t xml:space="preserve">8 semaines</w:t>
            </w:r>
          </w:p>
        </w:tc>
        <w:tc>
          <w:tcPr/>
          <w:p>
            <w:pPr>
              <w:pStyle w:val="Compact"/>
              <w:jc w:val="left"/>
            </w:pPr>
            <w:r>
              <w:t xml:space="preserve">Améliorations « chez certaines participantes » ; le palmitoyl pentapeptide-4 a obtenu de meilleurs résultats que les groupes de comparaison ; aucune taille d’effet solide dans le résumé</w:t>
            </w:r>
          </w:p>
        </w:tc>
      </w:tr>
      <w:tr>
        <w:tc>
          <w:tcPr/>
          <w:p>
            <w:pPr>
              <w:pStyle w:val="Compact"/>
              <w:jc w:val="left"/>
            </w:pPr>
            <w:r>
              <w:t xml:space="preserve">Röper 2004, PMID 15127162</w:t>
            </w:r>
          </w:p>
        </w:tc>
        <w:tc>
          <w:tcPr/>
          <w:p>
            <w:pPr>
              <w:pStyle w:val="Compact"/>
              <w:jc w:val="left"/>
            </w:pPr>
            <w:r>
              <w:t xml:space="preserve">20 femmes atteintes d’un cancer du sein sous radiothérapie, crème au Matrixyl et à d’autres actifs contre lotion au dexpanthénol</w:t>
            </w:r>
          </w:p>
        </w:tc>
        <w:tc>
          <w:tcPr/>
          <w:p>
            <w:pPr>
              <w:pStyle w:val="Compact"/>
              <w:jc w:val="left"/>
            </w:pPr>
            <w:r>
              <w:t xml:space="preserve">durée du traitement</w:t>
            </w:r>
          </w:p>
        </w:tc>
        <w:tc>
          <w:tcPr/>
          <w:p>
            <w:pPr>
              <w:pStyle w:val="Compact"/>
              <w:jc w:val="left"/>
            </w:pPr>
            <w:r>
              <w:t xml:space="preserve">Aucun avantage pour les réactions cutanées ; démangeaisons plus fréquentes, une suspicion de réaction allergique uniquement dans le groupe Matrixyl</w:t>
            </w:r>
          </w:p>
        </w:tc>
      </w:tr>
    </w:tbl>
    <w:p>
      <w:pPr>
        <w:pStyle w:val="BodyText"/>
      </w:pPr>
      <w:r>
        <w:rPr>
          <w:bCs/>
          <w:b/>
        </w:rPr>
        <w:t xml:space="preserve">Robinson 2005</w:t>
      </w:r>
      <w:r>
        <w:t xml:space="preserve"> </w:t>
      </w:r>
      <w:r>
        <w:t xml:space="preserve">est l’étude centrale. Le protocole en hémivisage est astucieux, car chaque participante est son propre témoin. La concentration dans le produit était de 3 ppm (parties par million). Limites : le résumé ne donne aucune taille d’effet ; l’étude a été publiée dans une revue spécialisée en cosmétique et n’a jamais été reproduite de manière indépendante. Seules des femmes à peau claire présentant un photovieillissement ont été étudiées ; on ignore si les résultats sont transposables à d’autres types de peau.</w:t>
      </w:r>
    </w:p>
    <w:p>
      <w:pPr>
        <w:pStyle w:val="BodyText"/>
      </w:pPr>
      <w:r>
        <w:rPr>
          <w:bCs/>
          <w:b/>
        </w:rPr>
        <w:t xml:space="preserve">Aruan 2023</w:t>
      </w:r>
      <w:r>
        <w:t xml:space="preserve">, avec 21 participantes réparties en trois groupes, était trop petite pour permettre des conclusions fiables ; les auteurs la qualifient eux-mêmes de point de départ pour des études plus grandes.</w:t>
      </w:r>
    </w:p>
    <w:p>
      <w:pPr>
        <w:pStyle w:val="BodyText"/>
      </w:pPr>
      <w:r>
        <w:rPr>
          <w:bCs/>
          <w:b/>
        </w:rPr>
        <w:t xml:space="preserve">Röper 2004</w:t>
      </w:r>
      <w:r>
        <w:t xml:space="preserve"> </w:t>
      </w:r>
      <w:r>
        <w:t xml:space="preserve">a évalué un produit combiné dans un contexte médical et n’a trouvé aucun bénéfice.</w:t>
      </w:r>
    </w:p>
    <w:p>
      <w:pPr>
        <w:pStyle w:val="BodyText"/>
      </w:pPr>
      <w:r>
        <w:rPr>
          <w:bCs/>
          <w:b/>
        </w:rPr>
        <w:t xml:space="preserve">Produits combinés :</w:t>
      </w:r>
      <w:r>
        <w:t xml:space="preserve"> </w:t>
      </w:r>
      <w:r>
        <w:t xml:space="preserve">dans deux études en hémivisage portant sur 42 et 35 femmes, des produits de soin contenant du Pal-KTTKS associé à de la niacinamide, un autre peptide, de la carnosine et, pour certains, du propionate de rétinyle ont amélioré la douceur de la peau du contour de l’œil par rapport à une peau non traitée</w:t>
      </w:r>
      <w:r>
        <w:rPr>
          <w:rStyle w:val="FootnoteReference"/>
        </w:rPr>
        <w:footnoteReference w:id="2486"/>
      </w:r>
      <w:r>
        <w:t xml:space="preserve">. Comme plusieurs actifs ont été testés simultanément et comparés à « aucun traitement », l’effet ne peut pas être attribué au peptide.</w:t>
      </w:r>
    </w:p>
    <w:p>
      <w:pPr>
        <w:pStyle w:val="BodyText"/>
      </w:pPr>
      <w:r>
        <w:rPr>
          <w:bCs/>
          <w:b/>
        </w:rPr>
        <w:t xml:space="preserve">Méta-analyse :</w:t>
      </w:r>
      <w:r>
        <w:t xml:space="preserve"> </w:t>
      </w:r>
      <w:r>
        <w:t xml:space="preserve">une méta-analyse sur les peptides oraux et topiques contre le vieillissement cutané (19 études, 1 341 participants) a trouvé un effet global modeste sur les rides, porté surtout par les peptides pris par voie orale</w:t>
      </w:r>
      <w:r>
        <w:rPr>
          <w:rStyle w:val="FootnoteReference"/>
        </w:rPr>
        <w:footnoteReference w:id="2487"/>
      </w:r>
      <w:r>
        <w:t xml:space="preserve">. Pour les peptides appliqués localement comme le Pal-KTTKS, il n’en découle aucune preuve propre.</w:t>
      </w:r>
    </w:p>
    <w:bookmarkEnd w:id="2488"/>
    <w:bookmarkStart w:id="2492" w:name="études-animales-et-de-laboratoire-56"/>
    <w:p>
      <w:pPr>
        <w:pStyle w:val="Heading3"/>
      </w:pPr>
      <w:r>
        <w:t xml:space="preserve">Études animales et de laboratoire</w:t>
      </w:r>
    </w:p>
    <w:p>
      <w:pPr>
        <w:numPr>
          <w:ilvl w:val="0"/>
          <w:numId w:val="1313"/>
        </w:numPr>
        <w:pStyle w:val="Compact"/>
      </w:pPr>
      <w:r>
        <w:rPr>
          <w:bCs/>
          <w:b/>
        </w:rPr>
        <w:t xml:space="preserve">Culture cellulaire :</w:t>
      </w:r>
      <w:r>
        <w:t xml:space="preserve"> </w:t>
      </w:r>
      <w:r>
        <w:t xml:space="preserve">le KTTKS et le Pal-KTTKS augmentent la production de collagène et de fibronectine par les fibroblastes</w:t>
      </w:r>
      <w:r>
        <w:rPr>
          <w:rStyle w:val="FootnoteReference"/>
        </w:rPr>
        <w:footnoteReference w:id="2489"/>
      </w:r>
      <w:r>
        <w:t xml:space="preserve">. Dans une autre étude cellulaire, le Pal-KTTKS à faible concentration a réduit la transformation des fibroblastes en myofibroblastes cicatriciels ; à concentration plus élevée, l’effet n’était pas significatif</w:t>
      </w:r>
      <w:r>
        <w:rPr>
          <w:rStyle w:val="FootnoteReference"/>
        </w:rPr>
        <w:footnoteReference w:id="2490"/>
      </w:r>
      <w:r>
        <w:t xml:space="preserve">.</w:t>
      </w:r>
    </w:p>
    <w:p>
      <w:pPr>
        <w:numPr>
          <w:ilvl w:val="0"/>
          <w:numId w:val="1313"/>
        </w:numPr>
        <w:pStyle w:val="Compact"/>
      </w:pPr>
      <w:r>
        <w:rPr>
          <w:bCs/>
          <w:b/>
        </w:rPr>
        <w:t xml:space="preserve">Expérimentations animales :</w:t>
      </w:r>
      <w:r>
        <w:t xml:space="preserve"> </w:t>
      </w:r>
      <w:r>
        <w:t xml:space="preserve">chez des animaux de laboratoire, des pansements et des crèmes au Matrixyl ont amélioré la cicatrisation de plaies cutanées par rapport à des témoins non traités</w:t>
      </w:r>
      <w:r>
        <w:rPr>
          <w:rStyle w:val="FootnoteReference"/>
        </w:rPr>
        <w:footnoteReference w:id="2491"/>
      </w:r>
      <w:r>
        <w:t xml:space="preserve">.</w:t>
      </w:r>
    </w:p>
    <w:p>
      <w:pPr>
        <w:numPr>
          <w:ilvl w:val="0"/>
          <w:numId w:val="1313"/>
        </w:numPr>
        <w:pStyle w:val="Compact"/>
      </w:pPr>
      <w:r>
        <w:rPr>
          <w:bCs/>
          <w:b/>
        </w:rPr>
        <w:t xml:space="preserve">Nouveaux dérivés :</w:t>
      </w:r>
      <w:r>
        <w:t xml:space="preserve"> </w:t>
      </w:r>
      <w:r>
        <w:t xml:space="preserve">des groupes de recherche couplent le KTTKS à d’autres molécules afin de créer des variantes antibactériennes ou stimulant plus fortement le collagène – jusqu’à présent exclusivement en laboratoire.</w:t>
      </w:r>
    </w:p>
    <w:bookmarkEnd w:id="2492"/>
    <w:bookmarkStart w:id="2495" w:name="risques-et-effets-indésirables-56"/>
    <w:p>
      <w:pPr>
        <w:pStyle w:val="Heading3"/>
      </w:pPr>
      <w:r>
        <w:t xml:space="preserve">Risques et effets indésirables</w:t>
      </w:r>
    </w:p>
    <w:p>
      <w:pPr>
        <w:pStyle w:val="FirstParagraph"/>
      </w:pPr>
      <w:r>
        <w:rPr>
          <w:bCs/>
          <w:b/>
        </w:rPr>
        <w:t xml:space="preserve">Établis :</w:t>
      </w:r>
      <w:r>
        <w:t xml:space="preserve"> </w:t>
      </w:r>
      <w:r>
        <w:t xml:space="preserve">dans l’étude de Robinson, le peptide a été bien toléré. Dans l’étude en radiothérapie, les démangeaisons ont été plus fréquentes sous le produit combiné contenant du Matrixyl, et une suspicion de réaction allergique n’est apparue qu’avec ce produit</w:t>
      </w:r>
      <w:r>
        <w:rPr>
          <w:rStyle w:val="FootnoteReference"/>
        </w:rPr>
        <w:footnoteReference w:id="2493"/>
      </w:r>
      <w:r>
        <w:t xml:space="preserve"> </w:t>
      </w:r>
      <w:r>
        <w:t xml:space="preserve">; on ignore quel composant en était responsable.</w:t>
      </w:r>
    </w:p>
    <w:p>
      <w:pPr>
        <w:pStyle w:val="BodyText"/>
      </w:pPr>
      <w:r>
        <w:rPr>
          <w:bCs/>
          <w:b/>
        </w:rPr>
        <w:t xml:space="preserve">En général :</w:t>
      </w:r>
      <w:r>
        <w:t xml:space="preserve"> </w:t>
      </w:r>
      <w:r>
        <w:t xml:space="preserve">comme pour tout composant cosmétique, des irritations et des allergies de contact sont possibles, mais elles semblent rares. Un travail issu de l’industrie cosmétique, qui a évalué par des outils bio-informatiques le potentiel toxique et allergisant de peptides, a trouvé pour le palmitoyl pentapeptide-4 des similitudes avec des protéines du tissu conjonctif de la peau, mais aucun indice de structures de toxines ou d’allergènes</w:t>
      </w:r>
      <w:r>
        <w:rPr>
          <w:rStyle w:val="FootnoteReference"/>
        </w:rPr>
        <w:footnoteReference w:id="2494"/>
      </w:r>
      <w:r>
        <w:t xml:space="preserve">. De telles analyses informatiques ne remplacent pas l’observation clinique.</w:t>
      </w:r>
    </w:p>
    <w:p>
      <w:pPr>
        <w:pStyle w:val="BodyText"/>
      </w:pPr>
      <w:r>
        <w:rPr>
          <w:bCs/>
          <w:b/>
        </w:rPr>
        <w:t xml:space="preserve">Théoriques :</w:t>
      </w:r>
      <w:r>
        <w:t xml:space="preserve"> </w:t>
      </w:r>
      <w:r>
        <w:t xml:space="preserve">une molécule de signalisation qui stimule réellement les fibroblastes pour produire du collagène pourrait être indésirable en cas de tendance aux cicatrices hypertrophiques. Il n’existe aucun cas rapporté ; la faible pénétration cutanée plaide contre un effet significatif.</w:t>
      </w:r>
    </w:p>
    <w:bookmarkEnd w:id="2495"/>
    <w:bookmarkStart w:id="2496" w:name="statut-juridique-56"/>
    <w:p>
      <w:pPr>
        <w:pStyle w:val="Heading3"/>
      </w:pPr>
      <w:r>
        <w:t xml:space="preserve">Statut juridique</w:t>
      </w:r>
    </w:p>
    <w:p>
      <w:pPr>
        <w:numPr>
          <w:ilvl w:val="0"/>
          <w:numId w:val="1314"/>
        </w:numPr>
        <w:pStyle w:val="Compact"/>
      </w:pPr>
      <w:r>
        <w:rPr>
          <w:bCs/>
          <w:b/>
        </w:rPr>
        <w:t xml:space="preserve">UE / Autriche / Allemagne :</w:t>
      </w:r>
      <w:r>
        <w:t xml:space="preserve"> </w:t>
      </w:r>
      <w:r>
        <w:t xml:space="preserve">le palmitoyl pentapeptide-4 est un ingrédient cosmétique autorisé selon le règlement européen sur les produits cosmétiques (règlement (CE) n° 1223/2009). Les cosmétiques ne font pas l’objet d’un contrôle officiel de leur efficacité avant la mise en vente ; le fabricant doit établir une évaluation de la sécurité et pouvoir justifier les allégations publicitaires conformément au règlement (UE) n° 655/2013. Des affirmations comme « agit comme une injection de comblement des rides » ou « reconstruit le collagène » sont donc juridiquement délicates si elles ne sont pas couvertes par des études sur le produit.</w:t>
      </w:r>
    </w:p>
    <w:p>
      <w:pPr>
        <w:numPr>
          <w:ilvl w:val="0"/>
          <w:numId w:val="1314"/>
        </w:numPr>
        <w:pStyle w:val="Compact"/>
      </w:pPr>
      <w:r>
        <w:rPr>
          <w:bCs/>
          <w:b/>
        </w:rPr>
        <w:t xml:space="preserve">États-Unis :</w:t>
      </w:r>
      <w:r>
        <w:t xml:space="preserve"> </w:t>
      </w:r>
      <w:r>
        <w:t xml:space="preserve">ingrédient cosmétique sans contrôle préalable par la FDA. Des allégations publicitaires promettant une modification de la structure de la peau peuvent juridiquement faire d’un produit un médicament.</w:t>
      </w:r>
    </w:p>
    <w:p>
      <w:pPr>
        <w:numPr>
          <w:ilvl w:val="0"/>
          <w:numId w:val="1314"/>
        </w:numPr>
        <w:pStyle w:val="Compact"/>
      </w:pPr>
      <w:r>
        <w:rPr>
          <w:bCs/>
          <w:b/>
        </w:rPr>
        <w:t xml:space="preserve">Sport :</w:t>
      </w:r>
      <w:r>
        <w:t xml:space="preserve"> </w:t>
      </w:r>
      <w:r>
        <w:t xml:space="preserve">sans importance (état 2026, à vérifier).</w:t>
      </w:r>
    </w:p>
    <w:bookmarkEnd w:id="2496"/>
    <w:bookmarkStart w:id="2497" w:name="études-en-cours-et-perspectives-56"/>
    <w:p>
      <w:pPr>
        <w:pStyle w:val="Heading3"/>
      </w:pPr>
      <w:r>
        <w:t xml:space="preserve">Études en cours et perspectives</w:t>
      </w:r>
    </w:p>
    <w:p>
      <w:pPr>
        <w:pStyle w:val="FirstParagraph"/>
      </w:pPr>
      <w:r>
        <w:rPr>
          <w:bCs/>
          <w:b/>
        </w:rPr>
        <w:t xml:space="preserve">Établi :</w:t>
      </w:r>
      <w:r>
        <w:t xml:space="preserve"> </w:t>
      </w:r>
      <w:r>
        <w:t xml:space="preserve">aucune étude n’est enregistrée sur ClinicalTrials.gov sous « palmitoyl pentapeptide » (état octobre 2026). Les études d’efficacité cosmétique ne sont en règle générale pas enregistrées, mais commandées par les fabricants et seulement en partie publiées.</w:t>
      </w:r>
    </w:p>
    <w:p>
      <w:pPr>
        <w:pStyle w:val="BodyText"/>
      </w:pPr>
      <w:r>
        <w:rPr>
          <w:bCs/>
          <w:b/>
        </w:rPr>
        <w:t xml:space="preserve">Appréciation :</w:t>
      </w:r>
      <w:r>
        <w:t xml:space="preserve"> </w:t>
      </w:r>
      <w:r>
        <w:t xml:space="preserve">le Matrixyl est l’un des « peptides anti-âge » les plus anciens et les plus utilisés en cosmétique. Sa base scientifique – un travail de culture cellulaire de 1993 et une étude en hémivisage de 2005 – est étonnamment mince pour un produit aussi répandu. Les nouveaux développements visent une meilleure pénétration cutanée (micro-aiguilles, nanostructures) et des associations avec d’autres peptides. Sans études indépendantes et suffisamment grandes portant sur l’actif seul, l’état des connaissances ne changera guère.</w:t>
      </w:r>
    </w:p>
    <w:bookmarkEnd w:id="2497"/>
    <w:bookmarkStart w:id="2498" w:name="conclusion-56"/>
    <w:p>
      <w:pPr>
        <w:pStyle w:val="Heading3"/>
      </w:pPr>
      <w:r>
        <w:t xml:space="preserve">Conclusion</w:t>
      </w:r>
    </w:p>
    <w:p>
      <w:pPr>
        <w:pStyle w:val="FirstParagraph"/>
      </w:pPr>
      <w:r>
        <w:t xml:space="preserve">Le palmitoyl pentapeptide-4 est un fragment du précurseur du collagène couplé à un acide gras, qui stimule en laboratoire la production de collagène par les fibroblastes. Chez l’humain, son efficacité repose surtout sur une étude en hémivisage de 2005 portant sur 93 femmes, qui a montré une réduction des ridules, ainsi que sur une très petite étude de 2023. La quantité d’actif qui atteint réellement les couches profondes de la peau n’est pas établie. En tant qu’ingrédient cosmétique, il est considéré comme bien toléré. Si vous utilisez des produits au Matrixyl, attendez-vous à un petit effet cosmétique – pas à un substitut à la protection UV ou à des actifs évalués médicalement comme les rétinoïdes.</w:t>
      </w:r>
    </w:p>
    <w:bookmarkEnd w:id="2498"/>
    <w:bookmarkEnd w:id="2499"/>
    <w:bookmarkStart w:id="2523" w:name="acétyl-hexapeptide-8-argireline"/>
    <w:p>
      <w:pPr>
        <w:pStyle w:val="Heading2"/>
      </w:pPr>
      <w:r>
        <w:t xml:space="preserve">Acétyl hexapeptide-8 (Argireline)</w:t>
      </w:r>
    </w:p>
    <w:bookmarkStart w:id="2500" w:name="fiche-signalétique-57"/>
    <w:p>
      <w:pPr>
        <w:pStyle w:val="Heading3"/>
      </w:pPr>
      <w:r>
        <w:t xml:space="preserve">Fiche signalétique</w:t>
      </w:r>
    </w:p>
    <w:p>
      <w:pPr>
        <w:numPr>
          <w:ilvl w:val="0"/>
          <w:numId w:val="1315"/>
        </w:numPr>
        <w:pStyle w:val="Compact"/>
      </w:pPr>
      <w:r>
        <w:rPr>
          <w:bCs/>
          <w:b/>
        </w:rPr>
        <w:t xml:space="preserve">Type/structure :</w:t>
      </w:r>
      <w:r>
        <w:t xml:space="preserve"> </w:t>
      </w:r>
      <w:r>
        <w:t xml:space="preserve">hexapeptide de séquence glutamate-glutamate-méthionine-glutamine-arginine-arginine (Ac-EEMQRR-NH₂), acétylé au début et amidé à la fin. Autrefois désigné comme acétyl hexapeptide-3 ; nom commercial de la matière première : Argireline.</w:t>
      </w:r>
    </w:p>
    <w:p>
      <w:pPr>
        <w:numPr>
          <w:ilvl w:val="0"/>
          <w:numId w:val="1315"/>
        </w:numPr>
        <w:pStyle w:val="Compact"/>
      </w:pPr>
      <w:r>
        <w:rPr>
          <w:bCs/>
          <w:b/>
        </w:rPr>
        <w:t xml:space="preserve">Origine :</w:t>
      </w:r>
      <w:r>
        <w:t xml:space="preserve"> </w:t>
      </w:r>
      <w:r>
        <w:t xml:space="preserve">synthétique, conçu délibérément au début des années 2000. La séquence imite le segment initial de la protéine neuronale SNAP-25.</w:t>
      </w:r>
    </w:p>
    <w:p>
      <w:pPr>
        <w:numPr>
          <w:ilvl w:val="0"/>
          <w:numId w:val="1315"/>
        </w:numPr>
        <w:pStyle w:val="Compact"/>
      </w:pPr>
      <w:r>
        <w:rPr>
          <w:bCs/>
          <w:b/>
        </w:rPr>
        <w:t xml:space="preserve">Principe d’action :</w:t>
      </w:r>
      <w:r>
        <w:t xml:space="preserve"> </w:t>
      </w:r>
      <w:r>
        <w:t xml:space="preserve">il est censé atténuer la libération du messager acétylcholine à la jonction entre nerf et muscle et ainsi lisser les rides d’expression – une cible similaire à celle de la toxine botulique, mais avec un effet beaucoup plus faible. D’où le terme publicitaire de « Botox en tube ».</w:t>
      </w:r>
    </w:p>
    <w:p>
      <w:pPr>
        <w:numPr>
          <w:ilvl w:val="0"/>
          <w:numId w:val="1315"/>
        </w:numPr>
        <w:pStyle w:val="Compact"/>
      </w:pPr>
      <w:r>
        <w:rPr>
          <w:bCs/>
          <w:b/>
        </w:rPr>
        <w:t xml:space="preserve">Autorisation UE :</w:t>
      </w:r>
      <w:r>
        <w:t xml:space="preserve"> </w:t>
      </w:r>
      <w:r>
        <w:t xml:space="preserve">pas un médicament ; ingrédient cosmétique.</w:t>
      </w:r>
    </w:p>
    <w:p>
      <w:pPr>
        <w:numPr>
          <w:ilvl w:val="0"/>
          <w:numId w:val="1315"/>
        </w:numPr>
        <w:pStyle w:val="Compact"/>
      </w:pPr>
      <w:r>
        <w:rPr>
          <w:bCs/>
          <w:b/>
        </w:rPr>
        <w:t xml:space="preserve">Autorisation États-Unis :</w:t>
      </w:r>
      <w:r>
        <w:t xml:space="preserve"> </w:t>
      </w:r>
      <w:r>
        <w:t xml:space="preserve">pas un médicament ; ingrédient cosmétique.</w:t>
      </w:r>
    </w:p>
    <w:p>
      <w:pPr>
        <w:numPr>
          <w:ilvl w:val="0"/>
          <w:numId w:val="1315"/>
        </w:numPr>
        <w:pStyle w:val="Compact"/>
      </w:pPr>
      <w:r>
        <w:rPr>
          <w:bCs/>
          <w:b/>
        </w:rPr>
        <w:t xml:space="preserve">AMA (WADA) :</w:t>
      </w:r>
      <w:r>
        <w:t xml:space="preserve"> </w:t>
      </w:r>
      <w:r>
        <w:t xml:space="preserve">pas listé.</w:t>
      </w:r>
    </w:p>
    <w:p>
      <w:pPr>
        <w:numPr>
          <w:ilvl w:val="0"/>
          <w:numId w:val="1315"/>
        </w:numPr>
        <w:pStyle w:val="Compact"/>
      </w:pPr>
      <w:r>
        <w:rPr>
          <w:bCs/>
          <w:b/>
        </w:rPr>
        <w:t xml:space="preserve">Niveau de preuve :</w:t>
      </w:r>
      <w:r>
        <w:t xml:space="preserve"> </w:t>
      </w:r>
      <w:r>
        <w:rPr>
          <w:bCs/>
          <w:b/>
        </w:rPr>
        <w:t xml:space="preserve">B</w:t>
      </w:r>
      <w:r>
        <w:t xml:space="preserve"> </w:t>
      </w:r>
      <w:r>
        <w:t xml:space="preserve">(faible) – quelques petites études randomisées, le plus souvent de courte durée et aux résultats hétérogènes.</w:t>
      </w:r>
    </w:p>
    <w:bookmarkEnd w:id="2500"/>
    <w:bookmarkStart w:id="2504" w:name="mode-daction-supposé-57"/>
    <w:p>
      <w:pPr>
        <w:pStyle w:val="Heading3"/>
      </w:pPr>
      <w:r>
        <w:t xml:space="preserve">Mode d’action supposé</w:t>
      </w:r>
    </w:p>
    <w:p>
      <w:pPr>
        <w:pStyle w:val="FirstParagraph"/>
      </w:pPr>
      <w:r>
        <w:t xml:space="preserve">Pour qu’un muscle se contracte, une cellule nerveuse doit libérer le messager acétylcholine. Pour cela, de petites vésicules remplies de ce messager fusionnent avec la membrane cellulaire. Cette fusion est assurée par un complexe protéique, le complexe SNARE, auquel participe notamment la protéine SNAP-25. La toxine botulique de type A découpe SNAP-25 et bloque ainsi la libération du messager pendant des mois – le muscle se relâche, la ride située au-dessus s’atténue.</w:t>
      </w:r>
    </w:p>
    <w:p>
      <w:pPr>
        <w:pStyle w:val="BodyText"/>
      </w:pPr>
      <w:r>
        <w:t xml:space="preserve">L’Argireline a été conçue comme une imitation du segment initial de SNAP-25. L’idée : ce court peptide entre en concurrence avec la vraie SNAP-25 pour sa place dans le complexe SNARE et perturbe sa formation. Dans la description initiale, l’Argireline inhibait en expériences cellulaires la libération de messagers avec une</w:t>
      </w:r>
      <w:r>
        <w:t xml:space="preserve"> </w:t>
      </w:r>
      <w:r>
        <w:rPr>
          <w:iCs/>
          <w:i/>
        </w:rPr>
        <w:t xml:space="preserve">puissance</w:t>
      </w:r>
      <w:r>
        <w:t xml:space="preserve"> </w:t>
      </w:r>
      <w:r>
        <w:t xml:space="preserve">semblable à celle de la toxine botulique A, mais atteignait, comme attendu, une</w:t>
      </w:r>
      <w:r>
        <w:t xml:space="preserve"> </w:t>
      </w:r>
      <w:r>
        <w:rPr>
          <w:iCs/>
          <w:i/>
        </w:rPr>
        <w:t xml:space="preserve">efficacité</w:t>
      </w:r>
      <w:r>
        <w:t xml:space="preserve"> </w:t>
      </w:r>
      <w:r>
        <w:t xml:space="preserve">bien moindre – c’est-à-dire un effet maximal nettement plus faible</w:t>
      </w:r>
      <w:r>
        <w:rPr>
          <w:rStyle w:val="FootnoteReference"/>
        </w:rPr>
        <w:footnoteReference w:id="2501"/>
      </w:r>
      <w:r>
        <w:t xml:space="preserve">.</w:t>
      </w:r>
    </w:p>
    <w:p>
      <w:pPr>
        <w:pStyle w:val="BodyText"/>
      </w:pPr>
      <w:r>
        <w:t xml:space="preserve">Le hic décisif : pour agir, l’Argireline contenue dans une crème devrait traverser l’épiderme et le derme jusqu’aux terminaisons nerveuses des muscles du visage. La molécule est hydrosoluble, chargée électriquement et relativement grosse pour la peau. Dans une expérience de laboratoire sur de la peau de donneurs décédés, la plus grande partie est restée à la surface de la peau après 24 heures ; 0,22 % du peptide appliqué se trouvaient dans la couche cornée, 0,01 % dans l’épiderme, et rien n’était détectable dans le derme et en dessous</w:t>
      </w:r>
      <w:r>
        <w:rPr>
          <w:rStyle w:val="FootnoteReference"/>
        </w:rPr>
        <w:footnoteReference w:id="2502"/>
      </w:r>
      <w:r>
        <w:t xml:space="preserve">. Une revue de 2025 constate qu’il reste incertain que le peptide atteigne seulement la jonction neuromusculaire</w:t>
      </w:r>
      <w:r>
        <w:rPr>
          <w:rStyle w:val="FootnoteReference"/>
        </w:rPr>
        <w:footnoteReference w:id="2503"/>
      </w:r>
      <w:r>
        <w:t xml:space="preserve">.</w:t>
      </w:r>
    </w:p>
    <w:p>
      <w:pPr>
        <w:pStyle w:val="BodyText"/>
      </w:pPr>
      <w:r>
        <w:t xml:space="preserve">Cela n’exclut pas des effets sur la peau – par exemple sur l’hydratation ou par des terminaisons nerveuses situées dans les couches supérieures de la peau –, mais rend peu probable le « mécanisme Botox » mis en avant lors d’une application sur la peau.</w:t>
      </w:r>
    </w:p>
    <w:bookmarkEnd w:id="2504"/>
    <w:bookmarkStart w:id="2511" w:name="études-chez-lhumain-57"/>
    <w:p>
      <w:pPr>
        <w:pStyle w:val="Heading3"/>
      </w:pPr>
      <w:r>
        <w:t xml:space="preserve">Études chez l’humain</w:t>
      </w:r>
    </w:p>
    <w:p>
      <w:pPr>
        <w:pStyle w:val="FirstParagraph"/>
      </w:pPr>
      <w:r>
        <w:t xml:space="preserve">La requête PubMed analysée pour ce livre (acétyl hexapeptide ou Argireline dans le titre ou le résumé, date de requête octobre 2026) a donné trois travaux classés comme études chez l’humain ; sept entrées de registre figurent sur ClinicalTrials.gov. L’examen a permis de trouver quelques autres petites études.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protocole</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Blanes-Mira 2002, PMID 18498523</w:t>
            </w:r>
          </w:p>
        </w:tc>
        <w:tc>
          <w:tcPr/>
          <w:p>
            <w:pPr>
              <w:pStyle w:val="Compact"/>
              <w:jc w:val="left"/>
            </w:pPr>
            <w:r>
              <w:t xml:space="preserve">Femmes en bonne santé, émulsion à 10 % d’Argireline (informations succinctes dans le résumé)</w:t>
            </w:r>
          </w:p>
        </w:tc>
        <w:tc>
          <w:tcPr/>
          <w:p>
            <w:pPr>
              <w:pStyle w:val="Compact"/>
              <w:jc w:val="left"/>
            </w:pPr>
            <w:r>
              <w:t xml:space="preserve">30 jours</w:t>
            </w:r>
          </w:p>
        </w:tc>
        <w:tc>
          <w:tcPr/>
          <w:p>
            <w:pPr>
              <w:pStyle w:val="Compact"/>
              <w:jc w:val="left"/>
            </w:pPr>
            <w:r>
              <w:t xml:space="preserve">Profondeur des rides réduite jusqu’à 30 %</w:t>
            </w:r>
          </w:p>
        </w:tc>
      </w:tr>
      <w:tr>
        <w:tc>
          <w:tcPr/>
          <w:p>
            <w:pPr>
              <w:pStyle w:val="Compact"/>
              <w:jc w:val="left"/>
            </w:pPr>
            <w:r>
              <w:t xml:space="preserve">Wang 2013, PMID 23417317</w:t>
            </w:r>
          </w:p>
        </w:tc>
        <w:tc>
          <w:tcPr/>
          <w:p>
            <w:pPr>
              <w:pStyle w:val="Compact"/>
              <w:jc w:val="left"/>
            </w:pPr>
            <w:r>
              <w:t xml:space="preserve">60 adultes chinois présentant des rides du contour de l’œil, Argireline contre placebo dans un rapport 3:1</w:t>
            </w:r>
          </w:p>
        </w:tc>
        <w:tc>
          <w:tcPr/>
          <w:p>
            <w:pPr>
              <w:pStyle w:val="Compact"/>
              <w:jc w:val="left"/>
            </w:pPr>
            <w:r>
              <w:t xml:space="preserve">4 semaines</w:t>
            </w:r>
          </w:p>
        </w:tc>
        <w:tc>
          <w:tcPr/>
          <w:p>
            <w:pPr>
              <w:pStyle w:val="Compact"/>
              <w:jc w:val="left"/>
            </w:pPr>
            <w:r>
              <w:t xml:space="preserve">« Efficacité globale » subjective 48,9 % contre 0 % ; valeurs de rugosité des empreintes cutanées en baisse</w:t>
            </w:r>
          </w:p>
        </w:tc>
      </w:tr>
      <w:tr>
        <w:tc>
          <w:tcPr/>
          <w:p>
            <w:pPr>
              <w:pStyle w:val="Compact"/>
              <w:jc w:val="left"/>
            </w:pPr>
            <w:r>
              <w:t xml:space="preserve">Raikou 2017, PMID 28150423</w:t>
            </w:r>
          </w:p>
        </w:tc>
        <w:tc>
          <w:tcPr/>
          <w:p>
            <w:pPr>
              <w:pStyle w:val="Compact"/>
              <w:jc w:val="left"/>
            </w:pPr>
            <w:r>
              <w:t xml:space="preserve">24 personnes en bonne santé, quatre groupes : Argireline, tripeptide-10 citrulline, les deux ou aucun</w:t>
            </w:r>
          </w:p>
        </w:tc>
        <w:tc>
          <w:tcPr/>
          <w:p>
            <w:pPr>
              <w:pStyle w:val="Compact"/>
              <w:jc w:val="left"/>
            </w:pPr>
            <w:r>
              <w:t xml:space="preserve">60 jours</w:t>
            </w:r>
          </w:p>
        </w:tc>
        <w:tc>
          <w:tcPr/>
          <w:p>
            <w:pPr>
              <w:pStyle w:val="Compact"/>
              <w:jc w:val="left"/>
            </w:pPr>
            <w:r>
              <w:t xml:space="preserve">Certains paramètres des rides et la perte d’eau cutanée meilleurs avec l’Argireline</w:t>
            </w:r>
          </w:p>
        </w:tc>
      </w:tr>
      <w:tr>
        <w:tc>
          <w:tcPr/>
          <w:p>
            <w:pPr>
              <w:pStyle w:val="Compact"/>
              <w:jc w:val="left"/>
            </w:pPr>
            <w:r>
              <w:t xml:space="preserve">Henseler 2023, PMID 38024099</w:t>
            </w:r>
          </w:p>
        </w:tc>
        <w:tc>
          <w:tcPr/>
          <w:p>
            <w:pPr>
              <w:pStyle w:val="Compact"/>
              <w:jc w:val="left"/>
            </w:pPr>
            <w:r>
              <w:t xml:space="preserve">19 femmes, comparaison en hémivisage : sérum à l’acide hyaluronique avec contre sans Argireline, double aveugle</w:t>
            </w:r>
          </w:p>
        </w:tc>
        <w:tc>
          <w:tcPr/>
          <w:p>
            <w:pPr>
              <w:pStyle w:val="Compact"/>
              <w:jc w:val="left"/>
            </w:pPr>
            <w:r>
              <w:t xml:space="preserve">4 semaines</w:t>
            </w:r>
          </w:p>
        </w:tc>
        <w:tc>
          <w:tcPr/>
          <w:p>
            <w:pPr>
              <w:pStyle w:val="Compact"/>
              <w:jc w:val="left"/>
            </w:pPr>
            <w:r>
              <w:t xml:space="preserve">Aucune différence significative entre les deux moitiés du visage</w:t>
            </w:r>
          </w:p>
        </w:tc>
      </w:tr>
      <w:tr>
        <w:tc>
          <w:tcPr/>
          <w:p>
            <w:pPr>
              <w:pStyle w:val="Compact"/>
              <w:jc w:val="left"/>
            </w:pPr>
            <w:r>
              <w:t xml:space="preserve">Aruan 2023, PMID 36909866</w:t>
            </w:r>
          </w:p>
        </w:tc>
        <w:tc>
          <w:tcPr/>
          <w:p>
            <w:pPr>
              <w:pStyle w:val="Compact"/>
              <w:jc w:val="left"/>
            </w:pPr>
            <w:r>
              <w:t xml:space="preserve">21 femmes, acétyl hexapeptide-3 contre palmitoyl pentapeptide-4 contre placebo</w:t>
            </w:r>
          </w:p>
        </w:tc>
        <w:tc>
          <w:tcPr/>
          <w:p>
            <w:pPr>
              <w:pStyle w:val="Compact"/>
              <w:jc w:val="left"/>
            </w:pPr>
            <w:r>
              <w:t xml:space="preserve">8 semaines</w:t>
            </w:r>
          </w:p>
        </w:tc>
        <w:tc>
          <w:tcPr/>
          <w:p>
            <w:pPr>
              <w:pStyle w:val="Compact"/>
              <w:jc w:val="left"/>
            </w:pPr>
            <w:r>
              <w:t xml:space="preserve">Le palmitoyl pentapeptide-4 a obtenu de meilleurs résultats que l’Argireline et le placebo</w:t>
            </w:r>
          </w:p>
        </w:tc>
      </w:tr>
    </w:tbl>
    <w:p>
      <w:pPr>
        <w:pStyle w:val="BodyText"/>
      </w:pPr>
      <w:r>
        <w:rPr>
          <w:bCs/>
          <w:b/>
        </w:rPr>
        <w:t xml:space="preserve">Pour situer les études positives :</w:t>
      </w:r>
    </w:p>
    <w:p>
      <w:pPr>
        <w:numPr>
          <w:ilvl w:val="0"/>
          <w:numId w:val="1316"/>
        </w:numPr>
        <w:pStyle w:val="Compact"/>
      </w:pPr>
      <w:r>
        <w:t xml:space="preserve">La description initiale de 2002 émane des concepteurs et ne précise dans son résumé ni le nombre de participants ni l’existence d’un groupe témoin. Elle a testé une concentration de 10 % – bien au-delà de ce qu’une évaluation de sécurité américaine a ensuite jugé suffisamment étudié (voir Risques).</w:t>
      </w:r>
    </w:p>
    <w:p>
      <w:pPr>
        <w:numPr>
          <w:ilvl w:val="0"/>
          <w:numId w:val="1316"/>
        </w:numPr>
        <w:pStyle w:val="Compact"/>
      </w:pPr>
      <w:r>
        <w:t xml:space="preserve">L’étude chinoise (Wang 2013) est la plus grande. Les groupes étaient de tailles inégales (environ 45 contre 15), l’évaluation principale était subjective, et les mêmes données cliniques figurent, avec des expériences chez la souris, dans une autre publication du même groupe</w:t>
      </w:r>
      <w:r>
        <w:rPr>
          <w:rStyle w:val="FootnoteReference"/>
        </w:rPr>
        <w:footnoteReference w:id="2505"/>
      </w:r>
      <w:r>
        <w:t xml:space="preserve">. Dans les comparaisons avec la valeur initiale, seul le groupe Argireline montrait une baisse des valeurs de rugosité – aucune comparaison statistique directe entre les groupes n’est rapportée dans le résumé.</w:t>
      </w:r>
    </w:p>
    <w:p>
      <w:pPr>
        <w:numPr>
          <w:ilvl w:val="0"/>
          <w:numId w:val="1316"/>
        </w:numPr>
        <w:pStyle w:val="Compact"/>
      </w:pPr>
      <w:r>
        <w:t xml:space="preserve">L’étude de Raikou ne comptait que six participants par groupe et une multitude de comparaisons isolées ; certaines différences étaient significatives, d’autres non.</w:t>
      </w:r>
    </w:p>
    <w:p>
      <w:pPr>
        <w:pStyle w:val="FirstParagraph"/>
      </w:pPr>
      <w:r>
        <w:rPr>
          <w:bCs/>
          <w:b/>
        </w:rPr>
        <w:t xml:space="preserve">L’étude négative :</w:t>
      </w:r>
      <w:r>
        <w:t xml:space="preserve"> </w:t>
      </w:r>
      <w:r>
        <w:t xml:space="preserve">une étude en hémivisage en double aveugle, menée dans un cabinet de chirurgie plastique avec une mesure objective par caméra (Henseler 2023), n’a trouvé aucune différence entre la moitié du visage avec et celle sans Argireline. Les responsables de l’étude ont conclu qu’aucun effet n’avait été démontré et que l’Argireline ne doit pas être considérée comme une alternative à la toxine botulique. Avec 19 participantes, cette étude était toutefois elle aussi petite.</w:t>
      </w:r>
    </w:p>
    <w:bookmarkStart w:id="2510" w:name="autres-applications-5"/>
    <w:p>
      <w:pPr>
        <w:pStyle w:val="Heading4"/>
      </w:pPr>
      <w:r>
        <w:t xml:space="preserve">Autres applications</w:t>
      </w:r>
    </w:p>
    <w:p>
      <w:pPr>
        <w:numPr>
          <w:ilvl w:val="0"/>
          <w:numId w:val="1317"/>
        </w:numPr>
        <w:pStyle w:val="Compact"/>
      </w:pPr>
      <w:r>
        <w:rPr>
          <w:bCs/>
          <w:b/>
        </w:rPr>
        <w:t xml:space="preserve">Blépharospasme :</w:t>
      </w:r>
      <w:r>
        <w:t xml:space="preserve"> </w:t>
      </w:r>
      <w:r>
        <w:t xml:space="preserve">dans cette maladie neurologique, les muscles des paupières se contractent involontairement ; le traitement standard est l’injection de toxine botulique tous les trois mois. Dans une étude pilote portant sur 24 patientes et patients, une crème à l’Argireline devait prolonger la durée d’action de l’injection. Il y a eu une tendance non significative (3,7 contre 3,0 mois avant le retour des symptômes) et aucun effet indésirable significatif (Lungu 2013, PMID 23146065 ; enregistrée sous NCT00942851). Une étude de suivi a été arrêtée après huit participants</w:t>
      </w:r>
      <w:r>
        <w:rPr>
          <w:rStyle w:val="FootnoteReference"/>
        </w:rPr>
        <w:footnoteReference w:id="2506"/>
      </w:r>
      <w:r>
        <w:t xml:space="preserve">.</w:t>
      </w:r>
    </w:p>
    <w:p>
      <w:pPr>
        <w:numPr>
          <w:ilvl w:val="0"/>
          <w:numId w:val="1317"/>
        </w:numPr>
        <w:pStyle w:val="Compact"/>
      </w:pPr>
      <w:r>
        <w:rPr>
          <w:bCs/>
          <w:b/>
        </w:rPr>
        <w:t xml:space="preserve">Patchs à micro-aiguilles :</w:t>
      </w:r>
      <w:r>
        <w:t xml:space="preserve"> </w:t>
      </w:r>
      <w:r>
        <w:t xml:space="preserve">dans une étude coréenne en hémivisage portant sur 52 femmes, un patch à micro-aiguilles d’acide hyaluronique contenant de l’Argireline a davantage amélioré les rides que le patch seul</w:t>
      </w:r>
      <w:r>
        <w:rPr>
          <w:rStyle w:val="FootnoteReference"/>
        </w:rPr>
        <w:footnoteReference w:id="2507"/>
      </w:r>
      <w:r>
        <w:t xml:space="preserve">. Ici, le peptide est introduit dans la peau par de minuscules aiguilles – le résultat n’est pas transposable aux crèmes ordinaires.</w:t>
      </w:r>
    </w:p>
    <w:p>
      <w:pPr>
        <w:numPr>
          <w:ilvl w:val="0"/>
          <w:numId w:val="1317"/>
        </w:numPr>
        <w:pStyle w:val="Compact"/>
      </w:pPr>
      <w:r>
        <w:rPr>
          <w:bCs/>
          <w:b/>
        </w:rPr>
        <w:t xml:space="preserve">Produits combinés :</w:t>
      </w:r>
      <w:r>
        <w:t xml:space="preserve"> </w:t>
      </w:r>
      <w:r>
        <w:t xml:space="preserve">beaucoup d’études testent des sérums contenant de l’Argireline associée à du rétinol, de l’acide hyaluronique ou d’autres peptides. Leur résultat ne peut pas être attribué au peptide pris isolément.</w:t>
      </w:r>
    </w:p>
    <w:p>
      <w:pPr>
        <w:numPr>
          <w:ilvl w:val="0"/>
          <w:numId w:val="1317"/>
        </w:numPr>
        <w:pStyle w:val="Compact"/>
      </w:pPr>
      <w:r>
        <w:rPr>
          <w:bCs/>
          <w:b/>
        </w:rPr>
        <w:t xml:space="preserve">Très petites études enregistrées :</w:t>
      </w:r>
      <w:r>
        <w:t xml:space="preserve"> </w:t>
      </w:r>
      <w:r>
        <w:t xml:space="preserve">sur ClinicalTrials.gov figurent notamment une étude terminée sur la peau grasse portant sur 14 participants</w:t>
      </w:r>
      <w:r>
        <w:rPr>
          <w:rStyle w:val="FootnoteReference"/>
        </w:rPr>
        <w:footnoteReference w:id="2508"/>
      </w:r>
      <w:r>
        <w:t xml:space="preserve"> </w:t>
      </w:r>
      <w:r>
        <w:t xml:space="preserve">et une étude qualifiée de phase 3 sur les rides du contour de l’œil portant sur 70 participants</w:t>
      </w:r>
      <w:r>
        <w:rPr>
          <w:rStyle w:val="FootnoteReference"/>
        </w:rPr>
        <w:footnoteReference w:id="2509"/>
      </w:r>
      <w:r>
        <w:t xml:space="preserve"> </w:t>
      </w:r>
      <w:r>
        <w:t xml:space="preserve">; il n’a pas été possible d’établir clairement si cette dernière correspond à l’étude chinoise mentionnée plus haut.</w:t>
      </w:r>
    </w:p>
    <w:bookmarkEnd w:id="2510"/>
    <w:bookmarkEnd w:id="2511"/>
    <w:bookmarkStart w:id="2516" w:name="études-animales-et-de-laboratoire-57"/>
    <w:p>
      <w:pPr>
        <w:pStyle w:val="Heading3"/>
      </w:pPr>
      <w:r>
        <w:t xml:space="preserve">Études animales et de laboratoire</w:t>
      </w:r>
    </w:p>
    <w:p>
      <w:pPr>
        <w:numPr>
          <w:ilvl w:val="0"/>
          <w:numId w:val="1318"/>
        </w:numPr>
        <w:pStyle w:val="Compact"/>
      </w:pPr>
      <w:r>
        <w:rPr>
          <w:bCs/>
          <w:b/>
        </w:rPr>
        <w:t xml:space="preserve">Expériences cellulaires :</w:t>
      </w:r>
      <w:r>
        <w:t xml:space="preserve"> </w:t>
      </w:r>
      <w:r>
        <w:t xml:space="preserve">inhibition de la libération de messagers et perturbation de la formation du complexe SNARE</w:t>
      </w:r>
      <w:r>
        <w:rPr>
          <w:rStyle w:val="FootnoteReference"/>
        </w:rPr>
        <w:footnoteReference w:id="2512"/>
      </w:r>
      <w:r>
        <w:t xml:space="preserve">. Dans des cultures de fibroblastes cutanés humains et d’autres lignées cellulaires, l’Argireline a inhibé la prolifération cellulaire de manière dose-dépendante, mais seulement à des concentrations 18 à 10 000 fois plus élevées que celles de la substance de comparaison doxorubicine, un médicament anticancéreux</w:t>
      </w:r>
      <w:r>
        <w:rPr>
          <w:rStyle w:val="FootnoteReference"/>
        </w:rPr>
        <w:footnoteReference w:id="2513"/>
      </w:r>
      <w:r>
        <w:t xml:space="preserve">.</w:t>
      </w:r>
    </w:p>
    <w:p>
      <w:pPr>
        <w:numPr>
          <w:ilvl w:val="0"/>
          <w:numId w:val="1318"/>
        </w:numPr>
        <w:pStyle w:val="Compact"/>
      </w:pPr>
      <w:r>
        <w:rPr>
          <w:bCs/>
          <w:b/>
        </w:rPr>
        <w:t xml:space="preserve">Expérimentations animales :</w:t>
      </w:r>
      <w:r>
        <w:t xml:space="preserve"> </w:t>
      </w:r>
      <w:r>
        <w:t xml:space="preserve">chez des souris présentant un vieillissement accéléré artificiellement (par le D-galactose), la proportion de fibres de collagène de type I dans la peau a augmenté sous Argireline</w:t>
      </w:r>
      <w:r>
        <w:rPr>
          <w:rStyle w:val="FootnoteReference"/>
        </w:rPr>
        <w:footnoteReference w:id="2514"/>
      </w:r>
      <w:r>
        <w:t xml:space="preserve">.</w:t>
      </w:r>
    </w:p>
    <w:p>
      <w:pPr>
        <w:numPr>
          <w:ilvl w:val="0"/>
          <w:numId w:val="1318"/>
        </w:numPr>
        <w:pStyle w:val="Compact"/>
      </w:pPr>
      <w:r>
        <w:rPr>
          <w:bCs/>
          <w:b/>
        </w:rPr>
        <w:t xml:space="preserve">Pénétration cutanée :</w:t>
      </w:r>
      <w:r>
        <w:t xml:space="preserve"> </w:t>
      </w:r>
      <w:r>
        <w:t xml:space="preserve">outre l’étude sur la peau de donneurs décédés</w:t>
      </w:r>
      <w:r>
        <w:rPr>
          <w:rStyle w:val="FootnoteReference"/>
        </w:rPr>
        <w:footnoteReference w:id="2515"/>
      </w:r>
      <w:r>
        <w:t xml:space="preserve">, de nombreux travaux de laboratoire étudient des émulsions, des micro-aiguilles, l’ionophorèse et des modifications chimiques afin de faire pénétrer davantage de principe actif dans la peau.</w:t>
      </w:r>
    </w:p>
    <w:bookmarkEnd w:id="2516"/>
    <w:bookmarkStart w:id="2519" w:name="risques-et-effets-indésirables-57"/>
    <w:p>
      <w:pPr>
        <w:pStyle w:val="Heading3"/>
      </w:pPr>
      <w:r>
        <w:t xml:space="preserve">Risques et effets indésirables</w:t>
      </w:r>
    </w:p>
    <w:p>
      <w:pPr>
        <w:pStyle w:val="FirstParagraph"/>
      </w:pPr>
      <w:r>
        <w:rPr>
          <w:bCs/>
          <w:b/>
        </w:rPr>
        <w:t xml:space="preserve">En crème (établi) :</w:t>
      </w:r>
      <w:r>
        <w:t xml:space="preserve"> </w:t>
      </w:r>
      <w:r>
        <w:t xml:space="preserve">aucun effet indésirable significatif n’a été observé dans les études ; des irritations cutanées et des allergies sont possibles, comme pour tout composant cosmétique. Le comité d’experts indépendant américain pour la sécurité des ingrédients cosmétiques (Cosmetic Ingredient Review) a conclu en 2025 que l’acétyl hexapeptide-8 est sûr aux concentrations actuellement usuelles, jusqu’à 0,005 %. Pour des concentrations plus élevées, les données disponibles étaient insuffisantes pour se prononcer sur la sécurité</w:t>
      </w:r>
      <w:r>
        <w:rPr>
          <w:rStyle w:val="FootnoteReference"/>
        </w:rPr>
        <w:footnoteReference w:id="2517"/>
      </w:r>
      <w:r>
        <w:t xml:space="preserve">.</w:t>
      </w:r>
    </w:p>
    <w:p>
      <w:pPr>
        <w:pStyle w:val="BodyText"/>
      </w:pPr>
      <w:r>
        <w:rPr>
          <w:bCs/>
          <w:b/>
        </w:rPr>
        <w:t xml:space="preserve">En injection :</w:t>
      </w:r>
      <w:r>
        <w:t xml:space="preserve"> </w:t>
      </w:r>
      <w:r>
        <w:t xml:space="preserve">l’Argireline est parfois aussi injectée dans la peau, par exemple dans des instituts de beauté ou via des produits du marché gris. Il n’existe pour cela ni autorisation ni études. Un cas rapporté décrit une femme de 45 ans chez qui des rougeurs, des nodules et des abcès sont apparus après des injections d’Argireline dans le front et les tempes ; la cause était une infection par la bactérie difficile à traiter</w:t>
      </w:r>
      <w:r>
        <w:t xml:space="preserve"> </w:t>
      </w:r>
      <w:r>
        <w:rPr>
          <w:iCs/>
          <w:i/>
        </w:rPr>
        <w:t xml:space="preserve">Mycobacterium abscessus</w:t>
      </w:r>
      <w:r>
        <w:t xml:space="preserve">, qui a nécessité une antibiothérapie de cinq mois</w:t>
      </w:r>
      <w:r>
        <w:rPr>
          <w:rStyle w:val="FootnoteReference"/>
        </w:rPr>
        <w:footnoteReference w:id="2518"/>
      </w:r>
      <w:r>
        <w:t xml:space="preserve">. Le risque tient ici moins au peptide lui-même qu’aux produits et procédés non stériles.</w:t>
      </w:r>
    </w:p>
    <w:p>
      <w:pPr>
        <w:pStyle w:val="BodyText"/>
      </w:pPr>
      <w:r>
        <w:rPr>
          <w:bCs/>
          <w:b/>
        </w:rPr>
        <w:t xml:space="preserve">Théorique :</w:t>
      </w:r>
      <w:r>
        <w:t xml:space="preserve"> </w:t>
      </w:r>
      <w:r>
        <w:t xml:space="preserve">si l’Argireline parvenait en quantité notable aux jonctions neuromusculaires, des faiblesses musculaires indésirables seraient envisageables – comme avec la toxine botulique. Rien ne l’indique en cas d’application externe.</w:t>
      </w:r>
    </w:p>
    <w:bookmarkEnd w:id="2519"/>
    <w:bookmarkStart w:id="2520" w:name="statut-juridique-57"/>
    <w:p>
      <w:pPr>
        <w:pStyle w:val="Heading3"/>
      </w:pPr>
      <w:r>
        <w:t xml:space="preserve">Statut juridique</w:t>
      </w:r>
    </w:p>
    <w:p>
      <w:pPr>
        <w:numPr>
          <w:ilvl w:val="0"/>
          <w:numId w:val="1319"/>
        </w:numPr>
        <w:pStyle w:val="Compact"/>
      </w:pPr>
      <w:r>
        <w:rPr>
          <w:bCs/>
          <w:b/>
        </w:rPr>
        <w:t xml:space="preserve">UE / Autriche / Allemagne :</w:t>
      </w:r>
      <w:r>
        <w:t xml:space="preserve"> </w:t>
      </w:r>
      <w:r>
        <w:t xml:space="preserve">l’acétyl hexapeptide-8 est un ingrédient cosmétique autorisé selon le règlement européen sur les produits cosmétiques (règlement (CE) n° 1223/2009). Les allégations publicitaires doivent pouvoir être justifiées conformément au règlement (UE) n° 655/2013. Les comparaisons avec la toxine botulique (« comme le Botox ») sont trompeuses si elles suggèrent un effet comparable. Une injection n’est pas une utilisation cosmétique ; un produit destiné à l’injection serait un médicament ou un dispositif médical non autorisé et ne peut pas être distribué comme tel.</w:t>
      </w:r>
    </w:p>
    <w:p>
      <w:pPr>
        <w:numPr>
          <w:ilvl w:val="0"/>
          <w:numId w:val="1319"/>
        </w:numPr>
        <w:pStyle w:val="Compact"/>
      </w:pPr>
      <w:r>
        <w:rPr>
          <w:bCs/>
          <w:b/>
        </w:rPr>
        <w:t xml:space="preserve">États-Unis :</w:t>
      </w:r>
      <w:r>
        <w:t xml:space="preserve"> </w:t>
      </w:r>
      <w:r>
        <w:t xml:space="preserve">ingrédient cosmétique sans contrôle préalable par la FDA ; des allégations promettant un effet sur les muscles peuvent juridiquement faire d’un produit un médicament.</w:t>
      </w:r>
    </w:p>
    <w:p>
      <w:pPr>
        <w:numPr>
          <w:ilvl w:val="0"/>
          <w:numId w:val="1319"/>
        </w:numPr>
        <w:pStyle w:val="Compact"/>
      </w:pPr>
      <w:r>
        <w:rPr>
          <w:bCs/>
          <w:b/>
        </w:rPr>
        <w:t xml:space="preserve">Sport :</w:t>
      </w:r>
      <w:r>
        <w:t xml:space="preserve"> </w:t>
      </w:r>
      <w:r>
        <w:t xml:space="preserve">sans importance (état 2026, à vérifier).</w:t>
      </w:r>
    </w:p>
    <w:bookmarkEnd w:id="2520"/>
    <w:bookmarkStart w:id="2521" w:name="études-en-cours-et-perspectives-57"/>
    <w:p>
      <w:pPr>
        <w:pStyle w:val="Heading3"/>
      </w:pPr>
      <w:r>
        <w:t xml:space="preserve">Études en cours et perspectives</w:t>
      </w:r>
    </w:p>
    <w:p>
      <w:pPr>
        <w:pStyle w:val="FirstParagraph"/>
      </w:pPr>
      <w:r>
        <w:rPr>
          <w:bCs/>
          <w:b/>
        </w:rPr>
        <w:t xml:space="preserve">Établi :</w:t>
      </w:r>
      <w:r>
        <w:t xml:space="preserve"> </w:t>
      </w:r>
      <w:r>
        <w:t xml:space="preserve">aucune étude en cours portant sur l’acétyl hexapeptide-8 comme actif unique n’est enregistrée sur ClinicalTrials.gov (état octobre 2026) ; les entrées listées sont terminées ou interrompues. Les études d’efficacité cosmétique sont rarement enregistrées.</w:t>
      </w:r>
    </w:p>
    <w:p>
      <w:pPr>
        <w:pStyle w:val="BodyText"/>
      </w:pPr>
      <w:r>
        <w:rPr>
          <w:bCs/>
          <w:b/>
        </w:rPr>
        <w:t xml:space="preserve">Appréciation :</w:t>
      </w:r>
      <w:r>
        <w:t xml:space="preserve"> </w:t>
      </w:r>
      <w:r>
        <w:t xml:space="preserve">l’Argireline est l’exemple d’un peptide conçu de manière rationnelle, dont le résultat de laboratoire est convaincant, mais dont le chemin vers le site d’action reste un problème non résolu. La recherche se concentre donc sur des systèmes de transport comme les micro-aiguilles et les nanovecteurs. Il appartiendra à des études plus grandes et indépendantes de montrer s’ils permettent d’obtenir un effet visible pour les utilisatrices et utilisateurs, qui aille au-delà de celui d’un bon produit hydratant. En l’état actuel des connaissances, une véritable alternative à la toxine botulique n’est pas à attendre.</w:t>
      </w:r>
    </w:p>
    <w:bookmarkEnd w:id="2521"/>
    <w:bookmarkStart w:id="2522" w:name="conclusion-57"/>
    <w:p>
      <w:pPr>
        <w:pStyle w:val="Heading3"/>
      </w:pPr>
      <w:r>
        <w:t xml:space="preserve">Conclusion</w:t>
      </w:r>
    </w:p>
    <w:p>
      <w:pPr>
        <w:pStyle w:val="FirstParagraph"/>
      </w:pPr>
      <w:r>
        <w:t xml:space="preserve">L’acétyl hexapeptide-8 est un peptide synthétique qui inhibe en laboratoire la libération de messagers par les cellules nerveuses, de manière semblable à la toxine botulique, mais nettement plus faiblement. Contenu dans des crèmes, il ne pénètre guère dans la peau ; dans une expérience de laboratoire, il est resté presque entièrement dans les couches superficielles. De petites études de courte durée – en partie menées par les concepteurs, en partie avec des produits combinés – rapportent moins de ridules ; une étude en hémivisage en aveugle avec mesure objective n’a en revanche trouvé aucune différence. En crème, il est considéré comme sûr aux concentrations usuelles ; les injections ne sont ni étudiées ni autorisées et peuvent provoquer des infections graves. Le terme publicitaire de « Botox en tube » n’est pas couvert par les données.</w:t>
      </w:r>
    </w:p>
    <w:bookmarkEnd w:id="2522"/>
    <w:bookmarkEnd w:id="2523"/>
    <w:bookmarkEnd w:id="2524"/>
    <w:bookmarkStart w:id="2603" w:name="partie-iii-la-grande-comparaison"/>
    <w:p>
      <w:pPr>
        <w:pStyle w:val="Heading1"/>
      </w:pPr>
      <w:r>
        <w:t xml:space="preserve">Partie III – La grande comparaison</w:t>
      </w:r>
    </w:p>
    <w:p>
      <w:pPr>
        <w:pStyle w:val="FirstParagraph"/>
      </w:pPr>
      <w:r>
        <w:t xml:space="preserve">Dans la partie II, chaque peptide a été examiné séparément. Cette partie met les résultats côte à côte et répond à trois questions : dans quelle mesure un peptide est-il étudié par rapport aux autres ? Comment les médicaments contre l’obésité et le diabète se comparent-ils entre eux ? Et que reste-t-il des promesses d’Internet si l’on ne retient que les études chez l’humain ?</w:t>
      </w:r>
    </w:p>
    <w:p>
      <w:pPr>
        <w:pStyle w:val="BodyText"/>
      </w:pPr>
      <w:r>
        <w:t xml:space="preserve">Les tableaux sont des condensés. Les sources et les limites de chaque chiffre se trouvent dans les chapitres de la partie II. Toutes les informations sur l’autorisation et le statut antidopage correspondent à l’état 2026 et doivent être vérifiées.</w:t>
      </w:r>
    </w:p>
    <w:bookmarkStart w:id="2537" w:name="tous-les-peptides-en-un-coup-dœil"/>
    <w:p>
      <w:pPr>
        <w:pStyle w:val="Heading2"/>
      </w:pPr>
      <w:r>
        <w:t xml:space="preserve">Tous les peptides en un coup d’œil</w:t>
      </w:r>
    </w:p>
    <w:bookmarkStart w:id="2525" w:name="comment-lire-les-tableaux"/>
    <w:p>
      <w:pPr>
        <w:pStyle w:val="Heading3"/>
      </w:pPr>
      <w:r>
        <w:t xml:space="preserve">Comment lire les tableaux</w:t>
      </w:r>
    </w:p>
    <w:p>
      <w:pPr>
        <w:pStyle w:val="FirstParagraph"/>
      </w:pPr>
      <w:r>
        <w:t xml:space="preserve">Pour chaque groupe de la partie II, deux tableaux suivent : le premier indique le niveau de preuve, l’autorisation et l’ampleur des données, le second le principal résultat d’étude et le risque principal.</w:t>
      </w:r>
    </w:p>
    <w:p>
      <w:pPr>
        <w:pStyle w:val="BodyText"/>
      </w:pPr>
      <w:r>
        <w:rPr>
          <w:bCs/>
          <w:b/>
        </w:rPr>
        <w:t xml:space="preserve">Niveau de preuve</w:t>
      </w:r>
      <w:r>
        <w:t xml:space="preserve"> </w:t>
      </w:r>
      <w:r>
        <w:t xml:space="preserve">(comme dans la partie II) :</w:t>
      </w:r>
    </w:p>
    <w:p>
      <w:pPr>
        <w:numPr>
          <w:ilvl w:val="0"/>
          <w:numId w:val="1320"/>
        </w:numPr>
        <w:pStyle w:val="Compact"/>
      </w:pPr>
      <w:r>
        <w:rPr>
          <w:bCs/>
          <w:b/>
        </w:rPr>
        <w:t xml:space="preserve">A</w:t>
      </w:r>
      <w:r>
        <w:t xml:space="preserve"> </w:t>
      </w:r>
      <w:r>
        <w:t xml:space="preserve">: plusieurs grandes études randomisées chez l’humain, le plus souvent avec autorisation</w:t>
      </w:r>
    </w:p>
    <w:p>
      <w:pPr>
        <w:numPr>
          <w:ilvl w:val="0"/>
          <w:numId w:val="1320"/>
        </w:numPr>
        <w:pStyle w:val="Compact"/>
      </w:pPr>
      <w:r>
        <w:rPr>
          <w:bCs/>
          <w:b/>
        </w:rPr>
        <w:t xml:space="preserve">B</w:t>
      </w:r>
      <w:r>
        <w:t xml:space="preserve"> </w:t>
      </w:r>
      <w:r>
        <w:t xml:space="preserve">: quelques études randomisées chez l’humain</w:t>
      </w:r>
    </w:p>
    <w:p>
      <w:pPr>
        <w:numPr>
          <w:ilvl w:val="0"/>
          <w:numId w:val="1320"/>
        </w:numPr>
        <w:pStyle w:val="Compact"/>
      </w:pPr>
      <w:r>
        <w:rPr>
          <w:bCs/>
          <w:b/>
        </w:rPr>
        <w:t xml:space="preserve">C</w:t>
      </w:r>
      <w:r>
        <w:t xml:space="preserve"> </w:t>
      </w:r>
      <w:r>
        <w:t xml:space="preserve">: uniquement de petites études chez l’humain ou des études non contrôlées</w:t>
      </w:r>
    </w:p>
    <w:p>
      <w:pPr>
        <w:numPr>
          <w:ilvl w:val="0"/>
          <w:numId w:val="1320"/>
        </w:numPr>
        <w:pStyle w:val="Compact"/>
      </w:pPr>
      <w:r>
        <w:rPr>
          <w:bCs/>
          <w:b/>
        </w:rPr>
        <w:t xml:space="preserve">D</w:t>
      </w:r>
      <w:r>
        <w:t xml:space="preserve"> </w:t>
      </w:r>
      <w:r>
        <w:t xml:space="preserve">: uniquement des études animales et de laboratoire</w:t>
      </w:r>
    </w:p>
    <w:p>
      <w:pPr>
        <w:pStyle w:val="FirstParagraph"/>
      </w:pPr>
      <w:r>
        <w:t xml:space="preserve">Le niveau décrit</w:t>
      </w:r>
      <w:r>
        <w:t xml:space="preserve"> </w:t>
      </w:r>
      <w:r>
        <w:rPr>
          <w:iCs/>
          <w:i/>
        </w:rPr>
        <w:t xml:space="preserve">dans quelle mesure</w:t>
      </w:r>
      <w:r>
        <w:t xml:space="preserve"> </w:t>
      </w:r>
      <w:r>
        <w:t xml:space="preserve">quelque chose a été étudié, et non</w:t>
      </w:r>
      <w:r>
        <w:t xml:space="preserve"> </w:t>
      </w:r>
      <w:r>
        <w:rPr>
          <w:iCs/>
          <w:i/>
        </w:rPr>
        <w:t xml:space="preserve">si</w:t>
      </w:r>
      <w:r>
        <w:t xml:space="preserve"> </w:t>
      </w:r>
      <w:r>
        <w:t xml:space="preserve">cela fonctionne – et il ne vaut que pour l’usage étudié.</w:t>
      </w:r>
    </w:p>
    <w:p>
      <w:pPr>
        <w:pStyle w:val="BodyText"/>
      </w:pPr>
      <w:r>
        <w:rPr>
          <w:bCs/>
          <w:b/>
        </w:rPr>
        <w:t xml:space="preserve">Études chez l’humain / registre :</w:t>
      </w:r>
      <w:r>
        <w:t xml:space="preserve"> </w:t>
      </w:r>
      <w:r>
        <w:t xml:space="preserve">les chiffres proviennent de la requête automatisée réalisée pour ce livre (octobre 2026, méthodologie en annexe) : publications classées comme études chez l’humain dans PubMed et entrées dans le registre d’études ClinicalTrials.gov. Ils n’indiquent qu’un ordre de grandeur, dépendent fortement du terme de recherche et contiennent parfois des résultats hors sujet, tandis que des travaux plus anciens publiés sous d’autres noms peuvent manquer. Lorsqu’un chiffre est nettement trompeur, il est signalé par « (rem.) » et expliqué sous le tableau. Les entrées de registre d’un promoteur dont les entrées se sont révélées, à l’examen, être manifestement des entrées fictives d’exemple ou de test ne sont pas comptées.</w:t>
      </w:r>
    </w:p>
    <w:bookmarkEnd w:id="2525"/>
    <w:bookmarkStart w:id="2526" w:name="a.-métabolisme-et-poids"/>
    <w:p>
      <w:pPr>
        <w:pStyle w:val="Heading3"/>
      </w:pPr>
      <w:r>
        <w:t xml:space="preserve">A. Métabolisme et poids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Preuve</w:t>
            </w:r>
          </w:p>
        </w:tc>
        <w:tc>
          <w:tcPr/>
          <w:p>
            <w:pPr>
              <w:pStyle w:val="Compact"/>
              <w:jc w:val="left"/>
            </w:pPr>
            <w:r>
              <w:t xml:space="preserve">Autorisation UE / États-Unis</w:t>
            </w:r>
          </w:p>
        </w:tc>
        <w:tc>
          <w:tcPr/>
          <w:p>
            <w:pPr>
              <w:pStyle w:val="Compact"/>
              <w:jc w:val="left"/>
            </w:pPr>
            <w:r>
              <w:t xml:space="preserve">Études chez l’humain / registre</w:t>
            </w:r>
          </w:p>
        </w:tc>
      </w:tr>
      <w:tr>
        <w:tc>
          <w:tcPr/>
          <w:p>
            <w:pPr>
              <w:pStyle w:val="Compact"/>
              <w:jc w:val="left"/>
            </w:pPr>
            <w:r>
              <w:t xml:space="preserve">Exénatide</w:t>
            </w:r>
          </w:p>
        </w:tc>
        <w:tc>
          <w:tcPr/>
          <w:p>
            <w:pPr>
              <w:pStyle w:val="Compact"/>
              <w:jc w:val="left"/>
            </w:pPr>
            <w:r>
              <w:t xml:space="preserve">A</w:t>
            </w:r>
          </w:p>
        </w:tc>
        <w:tc>
          <w:tcPr/>
          <w:p>
            <w:pPr>
              <w:pStyle w:val="Compact"/>
              <w:jc w:val="left"/>
            </w:pPr>
            <w:r>
              <w:t xml:space="preserve">oui / oui</w:t>
            </w:r>
          </w:p>
        </w:tc>
        <w:tc>
          <w:tcPr/>
          <w:p>
            <w:pPr>
              <w:pStyle w:val="Compact"/>
              <w:jc w:val="left"/>
            </w:pPr>
            <w:r>
              <w:t xml:space="preserve">437 / 379</w:t>
            </w:r>
          </w:p>
        </w:tc>
      </w:tr>
      <w:tr>
        <w:tc>
          <w:tcPr/>
          <w:p>
            <w:pPr>
              <w:pStyle w:val="Compact"/>
              <w:jc w:val="left"/>
            </w:pPr>
            <w:r>
              <w:t xml:space="preserve">Liraglutide</w:t>
            </w:r>
          </w:p>
        </w:tc>
        <w:tc>
          <w:tcPr/>
          <w:p>
            <w:pPr>
              <w:pStyle w:val="Compact"/>
              <w:jc w:val="left"/>
            </w:pPr>
            <w:r>
              <w:t xml:space="preserve">A</w:t>
            </w:r>
          </w:p>
        </w:tc>
        <w:tc>
          <w:tcPr/>
          <w:p>
            <w:pPr>
              <w:pStyle w:val="Compact"/>
              <w:jc w:val="left"/>
            </w:pPr>
            <w:r>
              <w:t xml:space="preserve">oui / oui (génériques aussi)</w:t>
            </w:r>
          </w:p>
        </w:tc>
        <w:tc>
          <w:tcPr/>
          <w:p>
            <w:pPr>
              <w:pStyle w:val="Compact"/>
              <w:jc w:val="left"/>
            </w:pPr>
            <w:r>
              <w:t xml:space="preserve">613 / 517</w:t>
            </w:r>
          </w:p>
        </w:tc>
      </w:tr>
      <w:tr>
        <w:tc>
          <w:tcPr/>
          <w:p>
            <w:pPr>
              <w:pStyle w:val="Compact"/>
              <w:jc w:val="left"/>
            </w:pPr>
            <w:r>
              <w:t xml:space="preserve">Dulaglutide</w:t>
            </w:r>
          </w:p>
        </w:tc>
        <w:tc>
          <w:tcPr/>
          <w:p>
            <w:pPr>
              <w:pStyle w:val="Compact"/>
              <w:jc w:val="left"/>
            </w:pPr>
            <w:r>
              <w:t xml:space="preserve">A</w:t>
            </w:r>
          </w:p>
        </w:tc>
        <w:tc>
          <w:tcPr/>
          <w:p>
            <w:pPr>
              <w:pStyle w:val="Compact"/>
              <w:jc w:val="left"/>
            </w:pPr>
            <w:r>
              <w:t xml:space="preserve">oui / oui</w:t>
            </w:r>
          </w:p>
        </w:tc>
        <w:tc>
          <w:tcPr/>
          <w:p>
            <w:pPr>
              <w:pStyle w:val="Compact"/>
              <w:jc w:val="left"/>
            </w:pPr>
            <w:r>
              <w:t xml:space="preserve">158 / 143</w:t>
            </w:r>
          </w:p>
        </w:tc>
      </w:tr>
      <w:tr>
        <w:tc>
          <w:tcPr/>
          <w:p>
            <w:pPr>
              <w:pStyle w:val="Compact"/>
              <w:jc w:val="left"/>
            </w:pPr>
            <w:r>
              <w:t xml:space="preserve">Sémaglutide</w:t>
            </w:r>
          </w:p>
        </w:tc>
        <w:tc>
          <w:tcPr/>
          <w:p>
            <w:pPr>
              <w:pStyle w:val="Compact"/>
              <w:jc w:val="left"/>
            </w:pPr>
            <w:r>
              <w:t xml:space="preserve">A</w:t>
            </w:r>
          </w:p>
        </w:tc>
        <w:tc>
          <w:tcPr/>
          <w:p>
            <w:pPr>
              <w:pStyle w:val="Compact"/>
              <w:jc w:val="left"/>
            </w:pPr>
            <w:r>
              <w:t xml:space="preserve">oui / oui (injection et comprimé)</w:t>
            </w:r>
          </w:p>
        </w:tc>
        <w:tc>
          <w:tcPr/>
          <w:p>
            <w:pPr>
              <w:pStyle w:val="Compact"/>
              <w:jc w:val="left"/>
            </w:pPr>
            <w:r>
              <w:t xml:space="preserve">342 / 793</w:t>
            </w:r>
          </w:p>
        </w:tc>
      </w:tr>
      <w:tr>
        <w:tc>
          <w:tcPr/>
          <w:p>
            <w:pPr>
              <w:pStyle w:val="Compact"/>
              <w:jc w:val="left"/>
            </w:pPr>
            <w:r>
              <w:t xml:space="preserve">Tirzépatide</w:t>
            </w:r>
          </w:p>
        </w:tc>
        <w:tc>
          <w:tcPr/>
          <w:p>
            <w:pPr>
              <w:pStyle w:val="Compact"/>
              <w:jc w:val="left"/>
            </w:pPr>
            <w:r>
              <w:t xml:space="preserve">A</w:t>
            </w:r>
          </w:p>
        </w:tc>
        <w:tc>
          <w:tcPr/>
          <w:p>
            <w:pPr>
              <w:pStyle w:val="Compact"/>
              <w:jc w:val="left"/>
            </w:pPr>
            <w:r>
              <w:t xml:space="preserve">oui / oui</w:t>
            </w:r>
          </w:p>
        </w:tc>
        <w:tc>
          <w:tcPr/>
          <w:p>
            <w:pPr>
              <w:pStyle w:val="Compact"/>
              <w:jc w:val="left"/>
            </w:pPr>
            <w:r>
              <w:t xml:space="preserve">144 / 307</w:t>
            </w:r>
          </w:p>
        </w:tc>
      </w:tr>
      <w:tr>
        <w:tc>
          <w:tcPr/>
          <w:p>
            <w:pPr>
              <w:pStyle w:val="Compact"/>
              <w:jc w:val="left"/>
            </w:pPr>
            <w:r>
              <w:t xml:space="preserve">Rétatrutide</w:t>
            </w:r>
          </w:p>
        </w:tc>
        <w:tc>
          <w:tcPr/>
          <w:p>
            <w:pPr>
              <w:pStyle w:val="Compact"/>
              <w:jc w:val="left"/>
            </w:pPr>
            <w:r>
              <w:t xml:space="preserve">B</w:t>
            </w:r>
          </w:p>
        </w:tc>
        <w:tc>
          <w:tcPr/>
          <w:p>
            <w:pPr>
              <w:pStyle w:val="Compact"/>
              <w:jc w:val="left"/>
            </w:pPr>
            <w:r>
              <w:t xml:space="preserve">non / non</w:t>
            </w:r>
          </w:p>
        </w:tc>
        <w:tc>
          <w:tcPr/>
          <w:p>
            <w:pPr>
              <w:pStyle w:val="Compact"/>
              <w:jc w:val="left"/>
            </w:pPr>
            <w:r>
              <w:t xml:space="preserve">10 / 32</w:t>
            </w:r>
          </w:p>
        </w:tc>
      </w:tr>
      <w:tr>
        <w:tc>
          <w:tcPr/>
          <w:p>
            <w:pPr>
              <w:pStyle w:val="Compact"/>
              <w:jc w:val="left"/>
            </w:pPr>
            <w:r>
              <w:t xml:space="preserve">Survodutide</w:t>
            </w:r>
          </w:p>
        </w:tc>
        <w:tc>
          <w:tcPr/>
          <w:p>
            <w:pPr>
              <w:pStyle w:val="Compact"/>
              <w:jc w:val="left"/>
            </w:pPr>
            <w:r>
              <w:t xml:space="preserve">B</w:t>
            </w:r>
          </w:p>
        </w:tc>
        <w:tc>
          <w:tcPr/>
          <w:p>
            <w:pPr>
              <w:pStyle w:val="Compact"/>
              <w:jc w:val="left"/>
            </w:pPr>
            <w:r>
              <w:t xml:space="preserve">non / non</w:t>
            </w:r>
          </w:p>
        </w:tc>
        <w:tc>
          <w:tcPr/>
          <w:p>
            <w:pPr>
              <w:pStyle w:val="Compact"/>
              <w:jc w:val="left"/>
            </w:pPr>
            <w:r>
              <w:t xml:space="preserve">10 / 29</w:t>
            </w:r>
          </w:p>
        </w:tc>
      </w:tr>
      <w:tr>
        <w:tc>
          <w:tcPr/>
          <w:p>
            <w:pPr>
              <w:pStyle w:val="Compact"/>
              <w:jc w:val="left"/>
            </w:pPr>
            <w:r>
              <w:t xml:space="preserve">Mazdutide</w:t>
            </w:r>
          </w:p>
        </w:tc>
        <w:tc>
          <w:tcPr/>
          <w:p>
            <w:pPr>
              <w:pStyle w:val="Compact"/>
              <w:jc w:val="left"/>
            </w:pPr>
            <w:r>
              <w:t xml:space="preserve">A</w:t>
            </w:r>
          </w:p>
        </w:tc>
        <w:tc>
          <w:tcPr/>
          <w:p>
            <w:pPr>
              <w:pStyle w:val="Compact"/>
              <w:jc w:val="left"/>
            </w:pPr>
            <w:r>
              <w:t xml:space="preserve">non / non (Chine uniquement, 2025)</w:t>
            </w:r>
          </w:p>
        </w:tc>
        <w:tc>
          <w:tcPr/>
          <w:p>
            <w:pPr>
              <w:pStyle w:val="Compact"/>
              <w:jc w:val="left"/>
            </w:pPr>
            <w:r>
              <w:t xml:space="preserve">9 / 44</w:t>
            </w:r>
          </w:p>
        </w:tc>
      </w:tr>
      <w:tr>
        <w:tc>
          <w:tcPr/>
          <w:p>
            <w:pPr>
              <w:pStyle w:val="Compact"/>
              <w:jc w:val="left"/>
            </w:pPr>
            <w:r>
              <w:t xml:space="preserve">Cagrilintide / CagriSema</w:t>
            </w:r>
          </w:p>
        </w:tc>
        <w:tc>
          <w:tcPr/>
          <w:p>
            <w:pPr>
              <w:pStyle w:val="Compact"/>
              <w:jc w:val="left"/>
            </w:pPr>
            <w:r>
              <w:t xml:space="preserve">B</w:t>
            </w:r>
          </w:p>
        </w:tc>
        <w:tc>
          <w:tcPr/>
          <w:p>
            <w:pPr>
              <w:pStyle w:val="Compact"/>
              <w:jc w:val="left"/>
            </w:pPr>
            <w:r>
              <w:t xml:space="preserve">non / non</w:t>
            </w:r>
          </w:p>
        </w:tc>
        <w:tc>
          <w:tcPr/>
          <w:p>
            <w:pPr>
              <w:pStyle w:val="Compact"/>
              <w:jc w:val="left"/>
            </w:pPr>
            <w:r>
              <w:t xml:space="preserve">15 / 44</w:t>
            </w:r>
          </w:p>
        </w:tc>
      </w:tr>
      <w:tr>
        <w:tc>
          <w:tcPr/>
          <w:p>
            <w:pPr>
              <w:pStyle w:val="Compact"/>
              <w:jc w:val="left"/>
            </w:pPr>
            <w:r>
              <w:t xml:space="preserve">Amycrétine</w:t>
            </w:r>
          </w:p>
        </w:tc>
        <w:tc>
          <w:tcPr/>
          <w:p>
            <w:pPr>
              <w:pStyle w:val="Compact"/>
              <w:jc w:val="left"/>
            </w:pPr>
            <w:r>
              <w:t xml:space="preserve">B</w:t>
            </w:r>
          </w:p>
        </w:tc>
        <w:tc>
          <w:tcPr/>
          <w:p>
            <w:pPr>
              <w:pStyle w:val="Compact"/>
              <w:jc w:val="left"/>
            </w:pPr>
            <w:r>
              <w:t xml:space="preserve">non / non</w:t>
            </w:r>
          </w:p>
        </w:tc>
        <w:tc>
          <w:tcPr/>
          <w:p>
            <w:pPr>
              <w:pStyle w:val="Compact"/>
              <w:jc w:val="left"/>
            </w:pPr>
            <w:r>
              <w:t xml:space="preserve">4 / 1 (rem.)</w:t>
            </w:r>
          </w:p>
        </w:tc>
      </w:tr>
      <w:tr>
        <w:tc>
          <w:tcPr/>
          <w:p>
            <w:pPr>
              <w:pStyle w:val="Compact"/>
              <w:jc w:val="left"/>
            </w:pPr>
            <w:r>
              <w:t xml:space="preserve">Maridebart cafraglutide</w:t>
            </w:r>
          </w:p>
        </w:tc>
        <w:tc>
          <w:tcPr/>
          <w:p>
            <w:pPr>
              <w:pStyle w:val="Compact"/>
              <w:jc w:val="left"/>
            </w:pPr>
            <w:r>
              <w:t xml:space="preserve">B</w:t>
            </w:r>
          </w:p>
        </w:tc>
        <w:tc>
          <w:tcPr/>
          <w:p>
            <w:pPr>
              <w:pStyle w:val="Compact"/>
              <w:jc w:val="left"/>
            </w:pPr>
            <w:r>
              <w:t xml:space="preserve">non / non</w:t>
            </w:r>
          </w:p>
        </w:tc>
        <w:tc>
          <w:tcPr/>
          <w:p>
            <w:pPr>
              <w:pStyle w:val="Compact"/>
              <w:jc w:val="left"/>
            </w:pPr>
            <w:r>
              <w:t xml:space="preserve">2 / 28</w:t>
            </w:r>
          </w:p>
        </w:tc>
      </w:tr>
      <w:tr>
        <w:tc>
          <w:tcPr/>
          <w:p>
            <w:pPr>
              <w:pStyle w:val="Compact"/>
              <w:jc w:val="left"/>
            </w:pPr>
            <w:r>
              <w:t xml:space="preserve">Pramlintide</w:t>
            </w:r>
          </w:p>
        </w:tc>
        <w:tc>
          <w:tcPr/>
          <w:p>
            <w:pPr>
              <w:pStyle w:val="Compact"/>
              <w:jc w:val="left"/>
            </w:pPr>
            <w:r>
              <w:t xml:space="preserve">A</w:t>
            </w:r>
          </w:p>
        </w:tc>
        <w:tc>
          <w:tcPr/>
          <w:p>
            <w:pPr>
              <w:pStyle w:val="Compact"/>
              <w:jc w:val="left"/>
            </w:pPr>
            <w:r>
              <w:t xml:space="preserve">non / oui</w:t>
            </w:r>
          </w:p>
        </w:tc>
        <w:tc>
          <w:tcPr/>
          <w:p>
            <w:pPr>
              <w:pStyle w:val="Compact"/>
              <w:jc w:val="left"/>
            </w:pPr>
            <w:r>
              <w:t xml:space="preserve">76 / 64</w:t>
            </w:r>
          </w:p>
        </w:tc>
      </w:tr>
      <w:tr>
        <w:tc>
          <w:tcPr/>
          <w:p>
            <w:pPr>
              <w:pStyle w:val="Compact"/>
              <w:jc w:val="left"/>
            </w:pPr>
            <w:r>
              <w:t xml:space="preserve">Setmélanotide</w:t>
            </w:r>
          </w:p>
        </w:tc>
        <w:tc>
          <w:tcPr/>
          <w:p>
            <w:pPr>
              <w:pStyle w:val="Compact"/>
              <w:jc w:val="left"/>
            </w:pPr>
            <w:r>
              <w:t xml:space="preserve">A</w:t>
            </w:r>
          </w:p>
        </w:tc>
        <w:tc>
          <w:tcPr/>
          <w:p>
            <w:pPr>
              <w:pStyle w:val="Compact"/>
              <w:jc w:val="left"/>
            </w:pPr>
            <w:r>
              <w:t xml:space="preserve">oui / oui (formes génétiques rares)</w:t>
            </w:r>
          </w:p>
        </w:tc>
        <w:tc>
          <w:tcPr/>
          <w:p>
            <w:pPr>
              <w:pStyle w:val="Compact"/>
              <w:jc w:val="left"/>
            </w:pPr>
            <w:r>
              <w:t xml:space="preserve">15 / 27</w:t>
            </w:r>
          </w:p>
        </w:tc>
      </w:tr>
      <w:tr>
        <w:tc>
          <w:tcPr/>
          <w:p>
            <w:pPr>
              <w:pStyle w:val="Compact"/>
              <w:jc w:val="left"/>
            </w:pPr>
            <w:r>
              <w:t xml:space="preserve">AOD-9604</w:t>
            </w:r>
          </w:p>
        </w:tc>
        <w:tc>
          <w:tcPr/>
          <w:p>
            <w:pPr>
              <w:pStyle w:val="Compact"/>
              <w:jc w:val="left"/>
            </w:pPr>
            <w:r>
              <w:t xml:space="preserve">D</w:t>
            </w:r>
          </w:p>
        </w:tc>
        <w:tc>
          <w:tcPr/>
          <w:p>
            <w:pPr>
              <w:pStyle w:val="Compact"/>
              <w:jc w:val="left"/>
            </w:pPr>
            <w:r>
              <w:t xml:space="preserve">non / non</w:t>
            </w:r>
          </w:p>
        </w:tc>
        <w:tc>
          <w:tcPr/>
          <w:p>
            <w:pPr>
              <w:pStyle w:val="Compact"/>
              <w:jc w:val="left"/>
            </w:pPr>
            <w:r>
              <w:t xml:space="preserve">0 / 0</w:t>
            </w:r>
          </w:p>
        </w:tc>
      </w:tr>
      <w:tr>
        <w:tc>
          <w:tcPr/>
          <w:p>
            <w:pPr>
              <w:pStyle w:val="Compact"/>
              <w:jc w:val="left"/>
            </w:pPr>
            <w:r>
              <w:t xml:space="preserve">Orforglipron (pas un peptide)</w:t>
            </w:r>
          </w:p>
        </w:tc>
        <w:tc>
          <w:tcPr/>
          <w:p>
            <w:pPr>
              <w:pStyle w:val="Compact"/>
              <w:jc w:val="left"/>
            </w:pPr>
            <w:r>
              <w:t xml:space="preserve">A</w:t>
            </w:r>
          </w:p>
        </w:tc>
        <w:tc>
          <w:tcPr/>
          <w:p>
            <w:pPr>
              <w:pStyle w:val="Compact"/>
              <w:jc w:val="left"/>
            </w:pPr>
            <w:r>
              <w:t xml:space="preserve">non / demande déposée (à vérifier)</w:t>
            </w:r>
          </w:p>
        </w:tc>
        <w:tc>
          <w:tcPr/>
          <w:p>
            <w:pPr>
              <w:pStyle w:val="Compact"/>
              <w:jc w:val="left"/>
            </w:pPr>
            <w:r>
              <w:t xml:space="preserve">20 / 53</w:t>
            </w:r>
          </w:p>
        </w:tc>
      </w:tr>
    </w:tbl>
    <w:p>
      <w:pPr>
        <w:pStyle w:val="BodyText"/>
      </w:pPr>
      <w:r>
        <w:t xml:space="preserve">Remarque sur le tableau : pour l’</w:t>
      </w:r>
      <w:r>
        <w:rPr>
          <w:bCs/>
          <w:b/>
        </w:rPr>
        <w:t xml:space="preserve">amycrétine</w:t>
      </w:r>
      <w:r>
        <w:t xml:space="preserve">, la recherche dans le registre n’a trouvé qu’une seule entrée ; sous le nom de zénagamtide et sous le code de développement, une trentaine d’études sont enregistrées, dont le programme de phase 3 commencé en 2026. Pour le</w:t>
      </w:r>
      <w:r>
        <w:t xml:space="preserve"> </w:t>
      </w:r>
      <w:r>
        <w:rPr>
          <w:bCs/>
          <w:b/>
        </w:rPr>
        <w:t xml:space="preserve">mazdutide</w:t>
      </w:r>
      <w:r>
        <w:t xml:space="preserve">, les études proviennent presque toutes de Chine ; pour l’</w:t>
      </w:r>
      <w:r>
        <w:rPr>
          <w:bCs/>
          <w:b/>
        </w:rPr>
        <w:t xml:space="preserve">orforglipron</w:t>
      </w:r>
      <w:r>
        <w:t xml:space="preserve">, l’autorisation était encore attendue à la date de clôture de la rédaction.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Peptide</w:t>
            </w:r>
          </w:p>
        </w:tc>
        <w:tc>
          <w:tcPr/>
          <w:p>
            <w:pPr>
              <w:pStyle w:val="Compact"/>
              <w:jc w:val="left"/>
            </w:pPr>
            <w:r>
              <w:t xml:space="preserve">Résultat clé</w:t>
            </w:r>
          </w:p>
        </w:tc>
        <w:tc>
          <w:tcPr/>
          <w:p>
            <w:pPr>
              <w:pStyle w:val="Compact"/>
              <w:jc w:val="left"/>
            </w:pPr>
            <w:r>
              <w:t xml:space="preserve">Risque principal</w:t>
            </w:r>
          </w:p>
        </w:tc>
      </w:tr>
      <w:tr>
        <w:tc>
          <w:tcPr/>
          <w:p>
            <w:pPr>
              <w:pStyle w:val="Compact"/>
              <w:jc w:val="left"/>
            </w:pPr>
            <w:r>
              <w:t xml:space="preserve">Exénatide</w:t>
            </w:r>
          </w:p>
        </w:tc>
        <w:tc>
          <w:tcPr/>
          <w:p>
            <w:pPr>
              <w:pStyle w:val="Compact"/>
              <w:jc w:val="left"/>
            </w:pPr>
            <w:r>
              <w:t xml:space="preserve">EXSCEL : risque cardiovasculaire non augmenté, mais pas non plus significativement réduit (HR 0,91 ; PMID 28910237)</w:t>
            </w:r>
          </w:p>
        </w:tc>
        <w:tc>
          <w:tcPr/>
          <w:p>
            <w:pPr>
              <w:pStyle w:val="Compact"/>
              <w:jc w:val="left"/>
            </w:pPr>
            <w:r>
              <w:t xml:space="preserve">Nausées, nodules, anticorps</w:t>
            </w:r>
          </w:p>
        </w:tc>
      </w:tr>
      <w:tr>
        <w:tc>
          <w:tcPr/>
          <w:p>
            <w:pPr>
              <w:pStyle w:val="Compact"/>
              <w:jc w:val="left"/>
            </w:pPr>
            <w:r>
              <w:t xml:space="preserve">Liraglutide</w:t>
            </w:r>
          </w:p>
        </w:tc>
        <w:tc>
          <w:tcPr/>
          <w:p>
            <w:pPr>
              <w:pStyle w:val="Compact"/>
              <w:jc w:val="left"/>
            </w:pPr>
            <w:r>
              <w:t xml:space="preserve">LEADER : 13 % d’événements cardiovasculaires en moins (PMID 27295427) ; SCALE : −8,4 contre −2,8 kg (PMID 26132939)</w:t>
            </w:r>
          </w:p>
        </w:tc>
        <w:tc>
          <w:tcPr/>
          <w:p>
            <w:pPr>
              <w:pStyle w:val="Compact"/>
              <w:jc w:val="left"/>
            </w:pPr>
            <w:r>
              <w:t xml:space="preserve">Troubles digestifs, vésicule biliaire</w:t>
            </w:r>
          </w:p>
        </w:tc>
      </w:tr>
      <w:tr>
        <w:tc>
          <w:tcPr/>
          <w:p>
            <w:pPr>
              <w:pStyle w:val="Compact"/>
              <w:jc w:val="left"/>
            </w:pPr>
            <w:r>
              <w:t xml:space="preserve">Dulaglutide</w:t>
            </w:r>
          </w:p>
        </w:tc>
        <w:tc>
          <w:tcPr/>
          <w:p>
            <w:pPr>
              <w:pStyle w:val="Compact"/>
              <w:jc w:val="left"/>
            </w:pPr>
            <w:r>
              <w:t xml:space="preserve">REWIND : 12 % d’événements cardiovasculaires graves en moins chez 9 901 participants (PMID 31189511)</w:t>
            </w:r>
          </w:p>
        </w:tc>
        <w:tc>
          <w:tcPr/>
          <w:p>
            <w:pPr>
              <w:pStyle w:val="Compact"/>
              <w:jc w:val="left"/>
            </w:pPr>
            <w:r>
              <w:t xml:space="preserve">Troubles digestifs ; hypoglycémie en association</w:t>
            </w:r>
          </w:p>
        </w:tc>
      </w:tr>
      <w:tr>
        <w:tc>
          <w:tcPr/>
          <w:p>
            <w:pPr>
              <w:pStyle w:val="Compact"/>
              <w:jc w:val="left"/>
            </w:pPr>
            <w:r>
              <w:t xml:space="preserve">Sémaglutide</w:t>
            </w:r>
          </w:p>
        </w:tc>
        <w:tc>
          <w:tcPr/>
          <w:p>
            <w:pPr>
              <w:pStyle w:val="Compact"/>
              <w:jc w:val="left"/>
            </w:pPr>
            <w:r>
              <w:t xml:space="preserve">STEP 1 : −14,9 % contre −2,4 % (PMID 33567185) ; SELECT : 20 % d’événements cardiovasculaires en moins (PMID 37952131)</w:t>
            </w:r>
          </w:p>
        </w:tc>
        <w:tc>
          <w:tcPr/>
          <w:p>
            <w:pPr>
              <w:pStyle w:val="Compact"/>
              <w:jc w:val="left"/>
            </w:pPr>
            <w:r>
              <w:t xml:space="preserve">Troubles digestifs, vésicule biliaire, signal rare de NOIAN, contrefaçons</w:t>
            </w:r>
          </w:p>
        </w:tc>
      </w:tr>
      <w:tr>
        <w:tc>
          <w:tcPr/>
          <w:p>
            <w:pPr>
              <w:pStyle w:val="Compact"/>
              <w:jc w:val="left"/>
            </w:pPr>
            <w:r>
              <w:t xml:space="preserve">Tirzépatide</w:t>
            </w:r>
          </w:p>
        </w:tc>
        <w:tc>
          <w:tcPr/>
          <w:p>
            <w:pPr>
              <w:pStyle w:val="Compact"/>
              <w:jc w:val="left"/>
            </w:pPr>
            <w:r>
              <w:t xml:space="preserve">SURMOUNT-5 : −20,2 % contre −13,7 % sous sémaglutide (PMID 40353578)</w:t>
            </w:r>
          </w:p>
        </w:tc>
        <w:tc>
          <w:tcPr/>
          <w:p>
            <w:pPr>
              <w:pStyle w:val="Compact"/>
              <w:jc w:val="left"/>
            </w:pPr>
            <w:r>
              <w:t xml:space="preserve">Troubles digestifs, voies biliaires ; reprise de poids après l’arrêt</w:t>
            </w:r>
          </w:p>
        </w:tc>
      </w:tr>
      <w:tr>
        <w:tc>
          <w:tcPr/>
          <w:p>
            <w:pPr>
              <w:pStyle w:val="Compact"/>
              <w:jc w:val="left"/>
            </w:pPr>
            <w:r>
              <w:t xml:space="preserve">Rétatrutide</w:t>
            </w:r>
          </w:p>
        </w:tc>
        <w:tc>
          <w:tcPr/>
          <w:p>
            <w:pPr>
              <w:pStyle w:val="Compact"/>
              <w:jc w:val="left"/>
            </w:pPr>
            <w:r>
              <w:t xml:space="preserve">TRIUMPH-1 : jusqu’à −25,0 % contre −3,9 % après 80 semaines (PMID 42814954)</w:t>
            </w:r>
          </w:p>
        </w:tc>
        <w:tc>
          <w:tcPr/>
          <w:p>
            <w:pPr>
              <w:pStyle w:val="Compact"/>
              <w:jc w:val="left"/>
            </w:pPr>
            <w:r>
              <w:t xml:space="preserve">Troubles digestifs, dysesthésies cutanées, plus d’abandons à dose élevée</w:t>
            </w:r>
          </w:p>
        </w:tc>
      </w:tr>
      <w:tr>
        <w:tc>
          <w:tcPr/>
          <w:p>
            <w:pPr>
              <w:pStyle w:val="Compact"/>
              <w:jc w:val="left"/>
            </w:pPr>
            <w:r>
              <w:t xml:space="preserve">Survodutide</w:t>
            </w:r>
          </w:p>
        </w:tc>
        <w:tc>
          <w:tcPr/>
          <w:p>
            <w:pPr>
              <w:pStyle w:val="Compact"/>
              <w:jc w:val="left"/>
            </w:pPr>
            <w:r>
              <w:t xml:space="preserve">SYNCHRONIZE-1 : jusqu’à −13,0 % contre −5,4 % après 76 semaines (PMID 42253238)</w:t>
            </w:r>
          </w:p>
        </w:tc>
        <w:tc>
          <w:tcPr/>
          <w:p>
            <w:pPr>
              <w:pStyle w:val="Compact"/>
              <w:jc w:val="left"/>
            </w:pPr>
            <w:r>
              <w:t xml:space="preserve">Troubles digestifs très fréquents</w:t>
            </w:r>
          </w:p>
        </w:tc>
      </w:tr>
      <w:tr>
        <w:tc>
          <w:tcPr/>
          <w:p>
            <w:pPr>
              <w:pStyle w:val="Compact"/>
              <w:jc w:val="left"/>
            </w:pPr>
            <w:r>
              <w:t xml:space="preserve">Mazdutide</w:t>
            </w:r>
          </w:p>
        </w:tc>
        <w:tc>
          <w:tcPr/>
          <w:p>
            <w:pPr>
              <w:pStyle w:val="Compact"/>
              <w:jc w:val="left"/>
            </w:pPr>
            <w:r>
              <w:t xml:space="preserve">GLORY-1 : jusqu’à −14,0 % contre +0,3 % après 48 semaines (PMID 40421736)</w:t>
            </w:r>
          </w:p>
        </w:tc>
        <w:tc>
          <w:tcPr/>
          <w:p>
            <w:pPr>
              <w:pStyle w:val="Compact"/>
              <w:jc w:val="left"/>
            </w:pPr>
            <w:r>
              <w:t xml:space="preserve">Troubles digestifs, surtout vomissements</w:t>
            </w:r>
          </w:p>
        </w:tc>
      </w:tr>
      <w:tr>
        <w:tc>
          <w:tcPr/>
          <w:p>
            <w:pPr>
              <w:pStyle w:val="Compact"/>
              <w:jc w:val="left"/>
            </w:pPr>
            <w:r>
              <w:t xml:space="preserve">Cagrilintide / CagriSema</w:t>
            </w:r>
          </w:p>
        </w:tc>
        <w:tc>
          <w:tcPr/>
          <w:p>
            <w:pPr>
              <w:pStyle w:val="Compact"/>
              <w:jc w:val="left"/>
            </w:pPr>
            <w:r>
              <w:t xml:space="preserve">REDEFINE 1 : −20,4 % contre −3,0 % après 68 semaines (PMID 40544433)</w:t>
            </w:r>
          </w:p>
        </w:tc>
        <w:tc>
          <w:tcPr/>
          <w:p>
            <w:pPr>
              <w:pStyle w:val="Compact"/>
              <w:jc w:val="left"/>
            </w:pPr>
            <w:r>
              <w:t xml:space="preserve">Troubles digestifs chez environ 80 %</w:t>
            </w:r>
          </w:p>
        </w:tc>
      </w:tr>
      <w:tr>
        <w:tc>
          <w:tcPr/>
          <w:p>
            <w:pPr>
              <w:pStyle w:val="Compact"/>
              <w:jc w:val="left"/>
            </w:pPr>
            <w:r>
              <w:t xml:space="preserve">Amycrétine</w:t>
            </w:r>
          </w:p>
        </w:tc>
        <w:tc>
          <w:tcPr/>
          <w:p>
            <w:pPr>
              <w:pStyle w:val="Compact"/>
              <w:jc w:val="left"/>
            </w:pPr>
            <w:r>
              <w:t xml:space="preserve">Phase 1b/2a : jusqu’à −24,3 % contre −1,1 % après 36 semaines (PMID 40550231)</w:t>
            </w:r>
          </w:p>
        </w:tc>
        <w:tc>
          <w:tcPr/>
          <w:p>
            <w:pPr>
              <w:pStyle w:val="Compact"/>
              <w:jc w:val="left"/>
            </w:pPr>
            <w:r>
              <w:t xml:space="preserve">Troubles digestifs ; conséquences à long terme inconnues</w:t>
            </w:r>
          </w:p>
        </w:tc>
      </w:tr>
      <w:tr>
        <w:tc>
          <w:tcPr/>
          <w:p>
            <w:pPr>
              <w:pStyle w:val="Compact"/>
              <w:jc w:val="left"/>
            </w:pPr>
            <w:r>
              <w:t xml:space="preserve">Maridebart cafraglutide</w:t>
            </w:r>
          </w:p>
        </w:tc>
        <w:tc>
          <w:tcPr/>
          <w:p>
            <w:pPr>
              <w:pStyle w:val="Compact"/>
              <w:jc w:val="left"/>
            </w:pPr>
            <w:r>
              <w:t xml:space="preserve">Phase 2 : −12,3 à −16,2 % contre −2,5 % après 52 semaines (PMID 40549887)</w:t>
            </w:r>
          </w:p>
        </w:tc>
        <w:tc>
          <w:tcPr/>
          <w:p>
            <w:pPr>
              <w:pStyle w:val="Compact"/>
              <w:jc w:val="left"/>
            </w:pPr>
            <w:r>
              <w:t xml:space="preserve">Troubles digestifs ; durée d’action très longue</w:t>
            </w:r>
          </w:p>
        </w:tc>
      </w:tr>
      <w:tr>
        <w:tc>
          <w:tcPr/>
          <w:p>
            <w:pPr>
              <w:pStyle w:val="Compact"/>
              <w:jc w:val="left"/>
            </w:pPr>
            <w:r>
              <w:t xml:space="preserve">Pramlintide</w:t>
            </w:r>
          </w:p>
        </w:tc>
        <w:tc>
          <w:tcPr/>
          <w:p>
            <w:pPr>
              <w:pStyle w:val="Compact"/>
              <w:jc w:val="left"/>
            </w:pPr>
            <w:r>
              <w:t xml:space="preserve">HbA1c −0,62 point de pourcentage, poids −1,4 kg (PMID 12610038)</w:t>
            </w:r>
          </w:p>
        </w:tc>
        <w:tc>
          <w:tcPr/>
          <w:p>
            <w:pPr>
              <w:pStyle w:val="Compact"/>
              <w:jc w:val="left"/>
            </w:pPr>
            <w:r>
              <w:t xml:space="preserve">Hypoglycémie sévère avec l’insuline, nausées</w:t>
            </w:r>
          </w:p>
        </w:tc>
      </w:tr>
      <w:tr>
        <w:tc>
          <w:tcPr/>
          <w:p>
            <w:pPr>
              <w:pStyle w:val="Compact"/>
              <w:jc w:val="left"/>
            </w:pPr>
            <w:r>
              <w:t xml:space="preserve">Setmélanotide</w:t>
            </w:r>
          </w:p>
        </w:tc>
        <w:tc>
          <w:tcPr/>
          <w:p>
            <w:pPr>
              <w:pStyle w:val="Compact"/>
              <w:jc w:val="left"/>
            </w:pPr>
            <w:r>
              <w:t xml:space="preserve">TRANSCEND : IMC −16,5 % contre +3,3 % dans l’obésité hypothalamique (PMID 42418774)</w:t>
            </w:r>
          </w:p>
        </w:tc>
        <w:tc>
          <w:tcPr/>
          <w:p>
            <w:pPr>
              <w:pStyle w:val="Compact"/>
              <w:jc w:val="left"/>
            </w:pPr>
            <w:r>
              <w:t xml:space="preserve">Points d’injection, assombrissement de la peau, nausées</w:t>
            </w:r>
          </w:p>
        </w:tc>
      </w:tr>
      <w:tr>
        <w:tc>
          <w:tcPr/>
          <w:p>
            <w:pPr>
              <w:pStyle w:val="Compact"/>
              <w:jc w:val="left"/>
            </w:pPr>
            <w:r>
              <w:t xml:space="preserve">AOD-9604</w:t>
            </w:r>
          </w:p>
        </w:tc>
        <w:tc>
          <w:tcPr/>
          <w:p>
            <w:pPr>
              <w:pStyle w:val="Compact"/>
              <w:jc w:val="left"/>
            </w:pPr>
            <w:r>
              <w:t xml:space="preserve">Données animales uniquement : moins de prise de poids chez la souris (PMID 11673763)</w:t>
            </w:r>
          </w:p>
        </w:tc>
        <w:tc>
          <w:tcPr/>
          <w:p>
            <w:pPr>
              <w:pStyle w:val="Compact"/>
              <w:jc w:val="left"/>
            </w:pPr>
            <w:r>
              <w:t xml:space="preserve">Effet chez l’humain inconnu</w:t>
            </w:r>
          </w:p>
        </w:tc>
      </w:tr>
      <w:tr>
        <w:tc>
          <w:tcPr/>
          <w:p>
            <w:pPr>
              <w:pStyle w:val="Compact"/>
              <w:jc w:val="left"/>
            </w:pPr>
            <w:r>
              <w:t xml:space="preserve">Orforglipron</w:t>
            </w:r>
          </w:p>
        </w:tc>
        <w:tc>
          <w:tcPr/>
          <w:p>
            <w:pPr>
              <w:pStyle w:val="Compact"/>
              <w:jc w:val="left"/>
            </w:pPr>
            <w:r>
              <w:t xml:space="preserve">ATTAIN-1 : jusqu’à −11,2 % contre −2,1 % en comprimé (PMID 40960239)</w:t>
            </w:r>
          </w:p>
        </w:tc>
        <w:tc>
          <w:tcPr/>
          <w:p>
            <w:pPr>
              <w:pStyle w:val="Compact"/>
              <w:jc w:val="left"/>
            </w:pPr>
            <w:r>
              <w:t xml:space="preserve">Troubles digestifs, un peu plus d’abandons qu’avec le sémaglutide en comprimé</w:t>
            </w:r>
          </w:p>
        </w:tc>
      </w:tr>
    </w:tbl>
    <w:bookmarkEnd w:id="2526"/>
    <w:bookmarkStart w:id="2527" w:name="X014961a156fe25f6d2665c8d52b06f9161d24af"/>
    <w:p>
      <w:pPr>
        <w:pStyle w:val="Heading3"/>
      </w:pPr>
      <w:r>
        <w:t xml:space="preserve">B. Cicatrisation, régénération et système immunitaire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Preuve</w:t>
            </w:r>
          </w:p>
        </w:tc>
        <w:tc>
          <w:tcPr/>
          <w:p>
            <w:pPr>
              <w:pStyle w:val="Compact"/>
              <w:jc w:val="left"/>
            </w:pPr>
            <w:r>
              <w:t xml:space="preserve">Autorisation UE / États-Unis</w:t>
            </w:r>
          </w:p>
        </w:tc>
        <w:tc>
          <w:tcPr/>
          <w:p>
            <w:pPr>
              <w:pStyle w:val="Compact"/>
              <w:jc w:val="left"/>
            </w:pPr>
            <w:r>
              <w:t xml:space="preserve">Études chez l’humain / registre</w:t>
            </w:r>
          </w:p>
        </w:tc>
      </w:tr>
      <w:tr>
        <w:tc>
          <w:tcPr/>
          <w:p>
            <w:pPr>
              <w:pStyle w:val="Compact"/>
              <w:jc w:val="left"/>
            </w:pPr>
            <w:r>
              <w:t xml:space="preserve">BPC-157</w:t>
            </w:r>
          </w:p>
        </w:tc>
        <w:tc>
          <w:tcPr/>
          <w:p>
            <w:pPr>
              <w:pStyle w:val="Compact"/>
              <w:jc w:val="left"/>
            </w:pPr>
            <w:r>
              <w:t xml:space="preserve">C</w:t>
            </w:r>
          </w:p>
        </w:tc>
        <w:tc>
          <w:tcPr/>
          <w:p>
            <w:pPr>
              <w:pStyle w:val="Compact"/>
              <w:jc w:val="left"/>
            </w:pPr>
            <w:r>
              <w:t xml:space="preserve">non / non</w:t>
            </w:r>
          </w:p>
        </w:tc>
        <w:tc>
          <w:tcPr/>
          <w:p>
            <w:pPr>
              <w:pStyle w:val="Compact"/>
              <w:jc w:val="left"/>
            </w:pPr>
            <w:r>
              <w:t xml:space="preserve">0 / 4 (rem.)</w:t>
            </w:r>
          </w:p>
        </w:tc>
      </w:tr>
      <w:tr>
        <w:tc>
          <w:tcPr/>
          <w:p>
            <w:pPr>
              <w:pStyle w:val="Compact"/>
              <w:jc w:val="left"/>
            </w:pPr>
            <w:r>
              <w:t xml:space="preserve">TB-500 / thymosine bêta-4</w:t>
            </w:r>
          </w:p>
        </w:tc>
        <w:tc>
          <w:tcPr/>
          <w:p>
            <w:pPr>
              <w:pStyle w:val="Compact"/>
              <w:jc w:val="left"/>
            </w:pPr>
            <w:r>
              <w:t xml:space="preserve">B (Tβ4) / D (TB-500)</w:t>
            </w:r>
          </w:p>
        </w:tc>
        <w:tc>
          <w:tcPr/>
          <w:p>
            <w:pPr>
              <w:pStyle w:val="Compact"/>
              <w:jc w:val="left"/>
            </w:pPr>
            <w:r>
              <w:t xml:space="preserve">non / non</w:t>
            </w:r>
          </w:p>
        </w:tc>
        <w:tc>
          <w:tcPr/>
          <w:p>
            <w:pPr>
              <w:pStyle w:val="Compact"/>
              <w:jc w:val="left"/>
            </w:pPr>
            <w:r>
              <w:t xml:space="preserve">9 / 18 (rem.)</w:t>
            </w:r>
          </w:p>
        </w:tc>
      </w:tr>
      <w:tr>
        <w:tc>
          <w:tcPr/>
          <w:p>
            <w:pPr>
              <w:pStyle w:val="Compact"/>
              <w:jc w:val="left"/>
            </w:pPr>
            <w:r>
              <w:t xml:space="preserve">Thymosine alpha-1</w:t>
            </w:r>
          </w:p>
        </w:tc>
        <w:tc>
          <w:tcPr/>
          <w:p>
            <w:pPr>
              <w:pStyle w:val="Compact"/>
              <w:jc w:val="left"/>
            </w:pPr>
            <w:r>
              <w:t xml:space="preserve">B</w:t>
            </w:r>
          </w:p>
        </w:tc>
        <w:tc>
          <w:tcPr/>
          <w:p>
            <w:pPr>
              <w:pStyle w:val="Compact"/>
              <w:jc w:val="left"/>
            </w:pPr>
            <w:r>
              <w:t xml:space="preserve">non / non (autorisée notamment en Chine)</w:t>
            </w:r>
          </w:p>
        </w:tc>
        <w:tc>
          <w:tcPr/>
          <w:p>
            <w:pPr>
              <w:pStyle w:val="Compact"/>
              <w:jc w:val="left"/>
            </w:pPr>
            <w:r>
              <w:t xml:space="preserve">90 / 66</w:t>
            </w:r>
          </w:p>
        </w:tc>
      </w:tr>
      <w:tr>
        <w:tc>
          <w:tcPr/>
          <w:p>
            <w:pPr>
              <w:pStyle w:val="Compact"/>
              <w:jc w:val="left"/>
            </w:pPr>
            <w:r>
              <w:t xml:space="preserve">KPV</w:t>
            </w:r>
          </w:p>
        </w:tc>
        <w:tc>
          <w:tcPr/>
          <w:p>
            <w:pPr>
              <w:pStyle w:val="Compact"/>
              <w:jc w:val="left"/>
            </w:pPr>
            <w:r>
              <w:t xml:space="preserve">D</w:t>
            </w:r>
          </w:p>
        </w:tc>
        <w:tc>
          <w:tcPr/>
          <w:p>
            <w:pPr>
              <w:pStyle w:val="Compact"/>
              <w:jc w:val="left"/>
            </w:pPr>
            <w:r>
              <w:t xml:space="preserve">non / non</w:t>
            </w:r>
          </w:p>
        </w:tc>
        <w:tc>
          <w:tcPr/>
          <w:p>
            <w:pPr>
              <w:pStyle w:val="Compact"/>
              <w:jc w:val="left"/>
            </w:pPr>
            <w:r>
              <w:t xml:space="preserve">0 / 0</w:t>
            </w:r>
          </w:p>
        </w:tc>
      </w:tr>
      <w:tr>
        <w:tc>
          <w:tcPr/>
          <w:p>
            <w:pPr>
              <w:pStyle w:val="Compact"/>
              <w:jc w:val="left"/>
            </w:pPr>
            <w:r>
              <w:t xml:space="preserve">LL-37</w:t>
            </w:r>
          </w:p>
        </w:tc>
        <w:tc>
          <w:tcPr/>
          <w:p>
            <w:pPr>
              <w:pStyle w:val="Compact"/>
              <w:jc w:val="left"/>
            </w:pPr>
            <w:r>
              <w:t xml:space="preserve">B</w:t>
            </w:r>
          </w:p>
        </w:tc>
        <w:tc>
          <w:tcPr/>
          <w:p>
            <w:pPr>
              <w:pStyle w:val="Compact"/>
              <w:jc w:val="left"/>
            </w:pPr>
            <w:r>
              <w:t xml:space="preserve">non / non</w:t>
            </w:r>
          </w:p>
        </w:tc>
        <w:tc>
          <w:tcPr/>
          <w:p>
            <w:pPr>
              <w:pStyle w:val="Compact"/>
              <w:jc w:val="left"/>
            </w:pPr>
            <w:r>
              <w:t xml:space="preserve">91 / 20 (rem.)</w:t>
            </w:r>
          </w:p>
        </w:tc>
      </w:tr>
      <w:tr>
        <w:tc>
          <w:tcPr/>
          <w:p>
            <w:pPr>
              <w:pStyle w:val="Compact"/>
              <w:jc w:val="left"/>
            </w:pPr>
            <w:r>
              <w:t xml:space="preserve">ARA-290</w:t>
            </w:r>
          </w:p>
        </w:tc>
        <w:tc>
          <w:tcPr/>
          <w:p>
            <w:pPr>
              <w:pStyle w:val="Compact"/>
              <w:jc w:val="left"/>
            </w:pPr>
            <w:r>
              <w:t xml:space="preserve">B</w:t>
            </w:r>
          </w:p>
        </w:tc>
        <w:tc>
          <w:tcPr/>
          <w:p>
            <w:pPr>
              <w:pStyle w:val="Compact"/>
              <w:jc w:val="left"/>
            </w:pPr>
            <w:r>
              <w:t xml:space="preserve">non / non</w:t>
            </w:r>
          </w:p>
        </w:tc>
        <w:tc>
          <w:tcPr/>
          <w:p>
            <w:pPr>
              <w:pStyle w:val="Compact"/>
              <w:jc w:val="left"/>
            </w:pPr>
            <w:r>
              <w:t xml:space="preserve">5 / 5</w:t>
            </w:r>
          </w:p>
        </w:tc>
      </w:tr>
      <w:tr>
        <w:tc>
          <w:tcPr/>
          <w:p>
            <w:pPr>
              <w:pStyle w:val="Compact"/>
              <w:jc w:val="left"/>
            </w:pPr>
            <w:r>
              <w:t xml:space="preserve">Larazotide</w:t>
            </w:r>
          </w:p>
        </w:tc>
        <w:tc>
          <w:tcPr/>
          <w:p>
            <w:pPr>
              <w:pStyle w:val="Compact"/>
              <w:jc w:val="left"/>
            </w:pPr>
            <w:r>
              <w:t xml:space="preserve">B</w:t>
            </w:r>
          </w:p>
        </w:tc>
        <w:tc>
          <w:tcPr/>
          <w:p>
            <w:pPr>
              <w:pStyle w:val="Compact"/>
              <w:jc w:val="left"/>
            </w:pPr>
            <w:r>
              <w:t xml:space="preserve">non / non</w:t>
            </w:r>
          </w:p>
        </w:tc>
        <w:tc>
          <w:tcPr/>
          <w:p>
            <w:pPr>
              <w:pStyle w:val="Compact"/>
              <w:jc w:val="left"/>
            </w:pPr>
            <w:r>
              <w:t xml:space="preserve">4 / 10 (rem.)</w:t>
            </w:r>
          </w:p>
        </w:tc>
      </w:tr>
      <w:tr>
        <w:tc>
          <w:tcPr/>
          <w:p>
            <w:pPr>
              <w:pStyle w:val="Compact"/>
              <w:jc w:val="left"/>
            </w:pPr>
            <w:r>
              <w:t xml:space="preserve">Thymaline</w:t>
            </w:r>
          </w:p>
        </w:tc>
        <w:tc>
          <w:tcPr/>
          <w:p>
            <w:pPr>
              <w:pStyle w:val="Compact"/>
              <w:jc w:val="left"/>
            </w:pPr>
            <w:r>
              <w:t xml:space="preserve">C</w:t>
            </w:r>
          </w:p>
        </w:tc>
        <w:tc>
          <w:tcPr/>
          <w:p>
            <w:pPr>
              <w:pStyle w:val="Compact"/>
              <w:jc w:val="left"/>
            </w:pPr>
            <w:r>
              <w:t xml:space="preserve">non / non (autorisée en Russie)</w:t>
            </w:r>
          </w:p>
        </w:tc>
        <w:tc>
          <w:tcPr/>
          <w:p>
            <w:pPr>
              <w:pStyle w:val="Compact"/>
              <w:jc w:val="left"/>
            </w:pPr>
            <w:r>
              <w:t xml:space="preserve">17 / 0</w:t>
            </w:r>
          </w:p>
        </w:tc>
      </w:tr>
    </w:tbl>
    <w:p>
      <w:pPr>
        <w:pStyle w:val="BodyText"/>
      </w:pPr>
      <w:r>
        <w:t xml:space="preserve">Remarques sur le tableau : pour le</w:t>
      </w:r>
      <w:r>
        <w:t xml:space="preserve"> </w:t>
      </w:r>
      <w:r>
        <w:rPr>
          <w:bCs/>
          <w:b/>
        </w:rPr>
        <w:t xml:space="preserve">BPC-157</w:t>
      </w:r>
      <w:r>
        <w:t xml:space="preserve">, aucune publication ne remplissait les critères de filtrage de la recherche automatique ; il existe en réalité trois petites études non contrôlées portant au total sur une trentaine de personnes. Pour le</w:t>
      </w:r>
      <w:r>
        <w:t xml:space="preserve"> </w:t>
      </w:r>
      <w:r>
        <w:rPr>
          <w:bCs/>
          <w:b/>
        </w:rPr>
        <w:t xml:space="preserve">TB-500</w:t>
      </w:r>
      <w:r>
        <w:t xml:space="preserve">, les résultats concernent la protéine entière thymosine bêta-4 (seuls six l’utilisent comme principe actif) ; aucun n’étudie le TB-500. Pour le</w:t>
      </w:r>
      <w:r>
        <w:t xml:space="preserve"> </w:t>
      </w:r>
      <w:r>
        <w:rPr>
          <w:bCs/>
          <w:b/>
        </w:rPr>
        <w:t xml:space="preserve">LL-37</w:t>
      </w:r>
      <w:r>
        <w:t xml:space="preserve">, la plupart des résultats ne mesurent le LL-37 que comme valeur de laboratoire, par exemple dans des études sur la vitamine D ; les études dans lesquelles le LL-37 lui-même a été administré ne sont que cinq dans PubMed et deux dans le registre. Pour le</w:t>
      </w:r>
      <w:r>
        <w:t xml:space="preserve"> </w:t>
      </w:r>
      <w:r>
        <w:rPr>
          <w:bCs/>
          <w:b/>
        </w:rPr>
        <w:t xml:space="preserve">larazotide</w:t>
      </w:r>
      <w:r>
        <w:t xml:space="preserve">, la recherche a trouvé 29 entrées de registre, dont 19 concernent un autre médicament portant le même ancien code de développement ; le tableau indique le chiffre corrigé.</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Peptide</w:t>
            </w:r>
          </w:p>
        </w:tc>
        <w:tc>
          <w:tcPr/>
          <w:p>
            <w:pPr>
              <w:pStyle w:val="Compact"/>
              <w:jc w:val="left"/>
            </w:pPr>
            <w:r>
              <w:t xml:space="preserve">Résultat clé</w:t>
            </w:r>
          </w:p>
        </w:tc>
        <w:tc>
          <w:tcPr/>
          <w:p>
            <w:pPr>
              <w:pStyle w:val="Compact"/>
              <w:jc w:val="left"/>
            </w:pPr>
            <w:r>
              <w:t xml:space="preserve">Risque principal</w:t>
            </w:r>
          </w:p>
        </w:tc>
      </w:tr>
      <w:tr>
        <w:tc>
          <w:tcPr/>
          <w:p>
            <w:pPr>
              <w:pStyle w:val="Compact"/>
              <w:jc w:val="left"/>
            </w:pPr>
            <w:r>
              <w:t xml:space="preserve">BPC-157</w:t>
            </w:r>
          </w:p>
        </w:tc>
        <w:tc>
          <w:tcPr/>
          <w:p>
            <w:pPr>
              <w:pStyle w:val="Compact"/>
              <w:jc w:val="left"/>
            </w:pPr>
            <w:r>
              <w:t xml:space="preserve">Trois études pilotes non contrôlées, preuves très faibles selon une revue (PMID 42885452)</w:t>
            </w:r>
          </w:p>
        </w:tc>
        <w:tc>
          <w:tcPr/>
          <w:p>
            <w:pPr>
              <w:pStyle w:val="Compact"/>
              <w:jc w:val="left"/>
            </w:pPr>
            <w:r>
              <w:t xml:space="preserve">Sécurité à long terme inconnue, qualité du marché gris</w:t>
            </w:r>
          </w:p>
        </w:tc>
      </w:tr>
      <w:tr>
        <w:tc>
          <w:tcPr/>
          <w:p>
            <w:pPr>
              <w:pStyle w:val="Compact"/>
              <w:jc w:val="left"/>
            </w:pPr>
            <w:r>
              <w:t xml:space="preserve">TB-500 / thymosine bêta-4</w:t>
            </w:r>
          </w:p>
        </w:tc>
        <w:tc>
          <w:tcPr/>
          <w:p>
            <w:pPr>
              <w:pStyle w:val="Compact"/>
              <w:jc w:val="left"/>
            </w:pPr>
            <w:r>
              <w:t xml:space="preserve">Tβ4 après infarctus : taille de l’infarctus pas significativement réduite (PMID 41229390) ; TB-500 non évalué</w:t>
            </w:r>
          </w:p>
        </w:tc>
        <w:tc>
          <w:tcPr/>
          <w:p>
            <w:pPr>
              <w:pStyle w:val="Compact"/>
              <w:jc w:val="left"/>
            </w:pPr>
            <w:r>
              <w:t xml:space="preserve">Contenu incertain, promotion tumorale théorique</w:t>
            </w:r>
          </w:p>
        </w:tc>
      </w:tr>
      <w:tr>
        <w:tc>
          <w:tcPr/>
          <w:p>
            <w:pPr>
              <w:pStyle w:val="Compact"/>
              <w:jc w:val="left"/>
            </w:pPr>
            <w:r>
              <w:t xml:space="preserve">Thymosine alpha-1</w:t>
            </w:r>
          </w:p>
        </w:tc>
        <w:tc>
          <w:tcPr/>
          <w:p>
            <w:pPr>
              <w:pStyle w:val="Compact"/>
              <w:jc w:val="left"/>
            </w:pPr>
            <w:r>
              <w:t xml:space="preserve">TESTS dans le sepsis : mortalité à 28 jours 23,4 % contre 24,1 %, aucune différence (PMID 39814420)</w:t>
            </w:r>
          </w:p>
        </w:tc>
        <w:tc>
          <w:tcPr/>
          <w:p>
            <w:pPr>
              <w:pStyle w:val="Compact"/>
              <w:jc w:val="left"/>
            </w:pPr>
            <w:r>
              <w:t xml:space="preserve">Désavantages possibles dans des sous-groupes ; marché gris</w:t>
            </w:r>
          </w:p>
        </w:tc>
      </w:tr>
      <w:tr>
        <w:tc>
          <w:tcPr/>
          <w:p>
            <w:pPr>
              <w:pStyle w:val="Compact"/>
              <w:jc w:val="left"/>
            </w:pPr>
            <w:r>
              <w:t xml:space="preserve">KPV</w:t>
            </w:r>
          </w:p>
        </w:tc>
        <w:tc>
          <w:tcPr/>
          <w:p>
            <w:pPr>
              <w:pStyle w:val="Compact"/>
              <w:jc w:val="left"/>
            </w:pPr>
            <w:r>
              <w:t xml:space="preserve">Données animales uniquement : moins d’inflammation intestinale chez la souris (PMID 18061177)</w:t>
            </w:r>
          </w:p>
        </w:tc>
        <w:tc>
          <w:tcPr/>
          <w:p>
            <w:pPr>
              <w:pStyle w:val="Compact"/>
              <w:jc w:val="left"/>
            </w:pPr>
            <w:r>
              <w:t xml:space="preserve">Profil chez l’humain totalement inconnu</w:t>
            </w:r>
          </w:p>
        </w:tc>
      </w:tr>
      <w:tr>
        <w:tc>
          <w:tcPr/>
          <w:p>
            <w:pPr>
              <w:pStyle w:val="Compact"/>
              <w:jc w:val="left"/>
            </w:pPr>
            <w:r>
              <w:t xml:space="preserve">LL-37</w:t>
            </w:r>
          </w:p>
        </w:tc>
        <w:tc>
          <w:tcPr/>
          <w:p>
            <w:pPr>
              <w:pStyle w:val="Compact"/>
              <w:jc w:val="left"/>
            </w:pPr>
            <w:r>
              <w:t xml:space="preserve">HEAL LL-37 : les ulcères de jambe n’ont pas mieux cicatrisé que sous placebo (PMID 34687253)</w:t>
            </w:r>
          </w:p>
        </w:tc>
        <w:tc>
          <w:tcPr/>
          <w:p>
            <w:pPr>
              <w:pStyle w:val="Compact"/>
              <w:jc w:val="left"/>
            </w:pPr>
            <w:r>
              <w:t xml:space="preserve">Réactions inflammatoires et auto-immunes</w:t>
            </w:r>
          </w:p>
        </w:tc>
      </w:tr>
      <w:tr>
        <w:tc>
          <w:tcPr/>
          <w:p>
            <w:pPr>
              <w:pStyle w:val="Compact"/>
              <w:jc w:val="left"/>
            </w:pPr>
            <w:r>
              <w:t xml:space="preserve">ARA-290</w:t>
            </w:r>
          </w:p>
        </w:tc>
        <w:tc>
          <w:tcPr/>
          <w:p>
            <w:pPr>
              <w:pStyle w:val="Compact"/>
              <w:jc w:val="left"/>
            </w:pPr>
            <w:r>
              <w:t xml:space="preserve">Phase 2b : fibres nerveuses augmentées avec une seule dose sur trois (PMID 28475703)</w:t>
            </w:r>
          </w:p>
        </w:tc>
        <w:tc>
          <w:tcPr/>
          <w:p>
            <w:pPr>
              <w:pStyle w:val="Compact"/>
              <w:jc w:val="left"/>
            </w:pPr>
            <w:r>
              <w:t xml:space="preserve">Très peu de données au-delà de douze semaines</w:t>
            </w:r>
          </w:p>
        </w:tc>
      </w:tr>
      <w:tr>
        <w:tc>
          <w:tcPr/>
          <w:p>
            <w:pPr>
              <w:pStyle w:val="Compact"/>
              <w:jc w:val="left"/>
            </w:pPr>
            <w:r>
              <w:t xml:space="preserve">Larazotide</w:t>
            </w:r>
          </w:p>
        </w:tc>
        <w:tc>
          <w:tcPr/>
          <w:p>
            <w:pPr>
              <w:pStyle w:val="Compact"/>
              <w:jc w:val="left"/>
            </w:pPr>
            <w:r>
              <w:t xml:space="preserve">Seule la plus faible des trois doses meilleure que le placebo (PMID 25683116) ; phase 3 interrompue</w:t>
            </w:r>
          </w:p>
        </w:tc>
        <w:tc>
          <w:tcPr/>
          <w:p>
            <w:pPr>
              <w:pStyle w:val="Compact"/>
              <w:jc w:val="left"/>
            </w:pPr>
            <w:r>
              <w:t xml:space="preserve">Relâchement du régime sans gluten</w:t>
            </w:r>
          </w:p>
        </w:tc>
      </w:tr>
      <w:tr>
        <w:tc>
          <w:tcPr/>
          <w:p>
            <w:pPr>
              <w:pStyle w:val="Compact"/>
              <w:jc w:val="left"/>
            </w:pPr>
            <w:r>
              <w:t xml:space="preserve">Thymaline</w:t>
            </w:r>
          </w:p>
        </w:tc>
        <w:tc>
          <w:tcPr/>
          <w:p>
            <w:pPr>
              <w:pStyle w:val="Compact"/>
              <w:jc w:val="left"/>
            </w:pPr>
            <w:r>
              <w:t xml:space="preserve">Observation russo-ukrainienne : mortalité plus faible, répartition des groupes incertaine (PMID 14523363)</w:t>
            </w:r>
          </w:p>
        </w:tc>
        <w:tc>
          <w:tcPr/>
          <w:p>
            <w:pPr>
              <w:pStyle w:val="Compact"/>
              <w:jc w:val="left"/>
            </w:pPr>
            <w:r>
              <w:t xml:space="preserve">Extrait animal, risques liés aux lots</w:t>
            </w:r>
          </w:p>
        </w:tc>
      </w:tr>
    </w:tbl>
    <w:bookmarkEnd w:id="2527"/>
    <w:bookmarkStart w:id="2528" w:name="c.-axe-de-lhormone-de-croissance"/>
    <w:p>
      <w:pPr>
        <w:pStyle w:val="Heading3"/>
      </w:pPr>
      <w:r>
        <w:t xml:space="preserve">C. Axe de l’hormone de croissance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Preuve</w:t>
            </w:r>
          </w:p>
        </w:tc>
        <w:tc>
          <w:tcPr/>
          <w:p>
            <w:pPr>
              <w:pStyle w:val="Compact"/>
              <w:jc w:val="left"/>
            </w:pPr>
            <w:r>
              <w:t xml:space="preserve">Autorisation UE / États-Unis</w:t>
            </w:r>
          </w:p>
        </w:tc>
        <w:tc>
          <w:tcPr/>
          <w:p>
            <w:pPr>
              <w:pStyle w:val="Compact"/>
              <w:jc w:val="left"/>
            </w:pPr>
            <w:r>
              <w:t xml:space="preserve">Études chez l’humain / registre</w:t>
            </w:r>
          </w:p>
        </w:tc>
      </w:tr>
      <w:tr>
        <w:tc>
          <w:tcPr/>
          <w:p>
            <w:pPr>
              <w:pStyle w:val="Compact"/>
              <w:jc w:val="left"/>
            </w:pPr>
            <w:r>
              <w:t xml:space="preserve">Sermoréline</w:t>
            </w:r>
          </w:p>
        </w:tc>
        <w:tc>
          <w:tcPr/>
          <w:p>
            <w:pPr>
              <w:pStyle w:val="Compact"/>
              <w:jc w:val="left"/>
            </w:pPr>
            <w:r>
              <w:t xml:space="preserve">B</w:t>
            </w:r>
          </w:p>
        </w:tc>
        <w:tc>
          <w:tcPr/>
          <w:p>
            <w:pPr>
              <w:pStyle w:val="Compact"/>
              <w:jc w:val="left"/>
            </w:pPr>
            <w:r>
              <w:t xml:space="preserve">non / autrefois oui, retirée du marché</w:t>
            </w:r>
          </w:p>
        </w:tc>
        <w:tc>
          <w:tcPr/>
          <w:p>
            <w:pPr>
              <w:pStyle w:val="Compact"/>
              <w:jc w:val="left"/>
            </w:pPr>
            <w:r>
              <w:t xml:space="preserve">0 / 27 (rem.)</w:t>
            </w:r>
          </w:p>
        </w:tc>
      </w:tr>
      <w:tr>
        <w:tc>
          <w:tcPr/>
          <w:p>
            <w:pPr>
              <w:pStyle w:val="Compact"/>
              <w:jc w:val="left"/>
            </w:pPr>
            <w:r>
              <w:t xml:space="preserve">Tésamoréline</w:t>
            </w:r>
          </w:p>
        </w:tc>
        <w:tc>
          <w:tcPr/>
          <w:p>
            <w:pPr>
              <w:pStyle w:val="Compact"/>
              <w:jc w:val="left"/>
            </w:pPr>
            <w:r>
              <w:t xml:space="preserve">A</w:t>
            </w:r>
          </w:p>
        </w:tc>
        <w:tc>
          <w:tcPr/>
          <w:p>
            <w:pPr>
              <w:pStyle w:val="Compact"/>
              <w:jc w:val="left"/>
            </w:pPr>
            <w:r>
              <w:t xml:space="preserve">non / oui (lipodystrophie liée au VIH)</w:t>
            </w:r>
          </w:p>
        </w:tc>
        <w:tc>
          <w:tcPr/>
          <w:p>
            <w:pPr>
              <w:pStyle w:val="Compact"/>
              <w:jc w:val="left"/>
            </w:pPr>
            <w:r>
              <w:t xml:space="preserve">23 / 23</w:t>
            </w:r>
          </w:p>
        </w:tc>
      </w:tr>
      <w:tr>
        <w:tc>
          <w:tcPr/>
          <w:p>
            <w:pPr>
              <w:pStyle w:val="Compact"/>
              <w:jc w:val="left"/>
            </w:pPr>
            <w:r>
              <w:t xml:space="preserve">CJC-1295</w:t>
            </w:r>
          </w:p>
        </w:tc>
        <w:tc>
          <w:tcPr/>
          <w:p>
            <w:pPr>
              <w:pStyle w:val="Compact"/>
              <w:jc w:val="left"/>
            </w:pPr>
            <w:r>
              <w:t xml:space="preserve">C</w:t>
            </w:r>
          </w:p>
        </w:tc>
        <w:tc>
          <w:tcPr/>
          <w:p>
            <w:pPr>
              <w:pStyle w:val="Compact"/>
              <w:jc w:val="left"/>
            </w:pPr>
            <w:r>
              <w:t xml:space="preserve">non / non</w:t>
            </w:r>
          </w:p>
        </w:tc>
        <w:tc>
          <w:tcPr/>
          <w:p>
            <w:pPr>
              <w:pStyle w:val="Compact"/>
              <w:jc w:val="left"/>
            </w:pPr>
            <w:r>
              <w:t xml:space="preserve">2 / 1</w:t>
            </w:r>
          </w:p>
        </w:tc>
      </w:tr>
      <w:tr>
        <w:tc>
          <w:tcPr/>
          <w:p>
            <w:pPr>
              <w:pStyle w:val="Compact"/>
              <w:jc w:val="left"/>
            </w:pPr>
            <w:r>
              <w:t xml:space="preserve">Ipamoréline</w:t>
            </w:r>
          </w:p>
        </w:tc>
        <w:tc>
          <w:tcPr/>
          <w:p>
            <w:pPr>
              <w:pStyle w:val="Compact"/>
              <w:jc w:val="left"/>
            </w:pPr>
            <w:r>
              <w:t xml:space="preserve">B</w:t>
            </w:r>
          </w:p>
        </w:tc>
        <w:tc>
          <w:tcPr/>
          <w:p>
            <w:pPr>
              <w:pStyle w:val="Compact"/>
              <w:jc w:val="left"/>
            </w:pPr>
            <w:r>
              <w:t xml:space="preserve">non / non</w:t>
            </w:r>
          </w:p>
        </w:tc>
        <w:tc>
          <w:tcPr/>
          <w:p>
            <w:pPr>
              <w:pStyle w:val="Compact"/>
              <w:jc w:val="left"/>
            </w:pPr>
            <w:r>
              <w:t xml:space="preserve">2 / 3</w:t>
            </w:r>
          </w:p>
        </w:tc>
      </w:tr>
      <w:tr>
        <w:tc>
          <w:tcPr/>
          <w:p>
            <w:pPr>
              <w:pStyle w:val="Compact"/>
              <w:jc w:val="left"/>
            </w:pPr>
            <w:r>
              <w:t xml:space="preserve">GHRP-2</w:t>
            </w:r>
          </w:p>
        </w:tc>
        <w:tc>
          <w:tcPr/>
          <w:p>
            <w:pPr>
              <w:pStyle w:val="Compact"/>
              <w:jc w:val="left"/>
            </w:pPr>
            <w:r>
              <w:t xml:space="preserve">B</w:t>
            </w:r>
          </w:p>
        </w:tc>
        <w:tc>
          <w:tcPr/>
          <w:p>
            <w:pPr>
              <w:pStyle w:val="Compact"/>
              <w:jc w:val="left"/>
            </w:pPr>
            <w:r>
              <w:t xml:space="preserve">non / non (Japon : produit diagnostique)</w:t>
            </w:r>
          </w:p>
        </w:tc>
        <w:tc>
          <w:tcPr/>
          <w:p>
            <w:pPr>
              <w:pStyle w:val="Compact"/>
              <w:jc w:val="left"/>
            </w:pPr>
            <w:r>
              <w:t xml:space="preserve">55 / 0 (rem.)</w:t>
            </w:r>
          </w:p>
        </w:tc>
      </w:tr>
      <w:tr>
        <w:tc>
          <w:tcPr/>
          <w:p>
            <w:pPr>
              <w:pStyle w:val="Compact"/>
              <w:jc w:val="left"/>
            </w:pPr>
            <w:r>
              <w:t xml:space="preserve">GHRP-6</w:t>
            </w:r>
          </w:p>
        </w:tc>
        <w:tc>
          <w:tcPr/>
          <w:p>
            <w:pPr>
              <w:pStyle w:val="Compact"/>
              <w:jc w:val="left"/>
            </w:pPr>
            <w:r>
              <w:t xml:space="preserve">C</w:t>
            </w:r>
          </w:p>
        </w:tc>
        <w:tc>
          <w:tcPr/>
          <w:p>
            <w:pPr>
              <w:pStyle w:val="Compact"/>
              <w:jc w:val="left"/>
            </w:pPr>
            <w:r>
              <w:t xml:space="preserve">non / non</w:t>
            </w:r>
          </w:p>
        </w:tc>
        <w:tc>
          <w:tcPr/>
          <w:p>
            <w:pPr>
              <w:pStyle w:val="Compact"/>
              <w:jc w:val="left"/>
            </w:pPr>
            <w:r>
              <w:t xml:space="preserve">40 / 0 (rem.)</w:t>
            </w:r>
          </w:p>
        </w:tc>
      </w:tr>
      <w:tr>
        <w:tc>
          <w:tcPr/>
          <w:p>
            <w:pPr>
              <w:pStyle w:val="Compact"/>
              <w:jc w:val="left"/>
            </w:pPr>
            <w:r>
              <w:t xml:space="preserve">Hexaréline</w:t>
            </w:r>
          </w:p>
        </w:tc>
        <w:tc>
          <w:tcPr/>
          <w:p>
            <w:pPr>
              <w:pStyle w:val="Compact"/>
              <w:jc w:val="left"/>
            </w:pPr>
            <w:r>
              <w:t xml:space="preserve">C</w:t>
            </w:r>
          </w:p>
        </w:tc>
        <w:tc>
          <w:tcPr/>
          <w:p>
            <w:pPr>
              <w:pStyle w:val="Compact"/>
              <w:jc w:val="left"/>
            </w:pPr>
            <w:r>
              <w:t xml:space="preserve">non / non</w:t>
            </w:r>
          </w:p>
        </w:tc>
        <w:tc>
          <w:tcPr/>
          <w:p>
            <w:pPr>
              <w:pStyle w:val="Compact"/>
              <w:jc w:val="left"/>
            </w:pPr>
            <w:r>
              <w:t xml:space="preserve">58 / 0 (rem.)</w:t>
            </w:r>
          </w:p>
        </w:tc>
      </w:tr>
      <w:tr>
        <w:tc>
          <w:tcPr/>
          <w:p>
            <w:pPr>
              <w:pStyle w:val="Compact"/>
              <w:jc w:val="left"/>
            </w:pPr>
            <w:r>
              <w:t xml:space="preserve">Macimoréline</w:t>
            </w:r>
          </w:p>
        </w:tc>
        <w:tc>
          <w:tcPr/>
          <w:p>
            <w:pPr>
              <w:pStyle w:val="Compact"/>
              <w:jc w:val="left"/>
            </w:pPr>
            <w:r>
              <w:t xml:space="preserve">A</w:t>
            </w:r>
          </w:p>
        </w:tc>
        <w:tc>
          <w:tcPr/>
          <w:p>
            <w:pPr>
              <w:pStyle w:val="Compact"/>
              <w:jc w:val="left"/>
            </w:pPr>
            <w:r>
              <w:t xml:space="preserve">oui / oui (diagnostic uniquement)</w:t>
            </w:r>
          </w:p>
        </w:tc>
        <w:tc>
          <w:tcPr/>
          <w:p>
            <w:pPr>
              <w:pStyle w:val="Compact"/>
              <w:jc w:val="left"/>
            </w:pPr>
            <w:r>
              <w:t xml:space="preserve">4 / 6</w:t>
            </w:r>
          </w:p>
        </w:tc>
      </w:tr>
      <w:tr>
        <w:tc>
          <w:tcPr/>
          <w:p>
            <w:pPr>
              <w:pStyle w:val="Compact"/>
              <w:jc w:val="left"/>
            </w:pPr>
            <w:r>
              <w:t xml:space="preserve">Mécasermine (IGF-1)</w:t>
            </w:r>
          </w:p>
        </w:tc>
        <w:tc>
          <w:tcPr/>
          <w:p>
            <w:pPr>
              <w:pStyle w:val="Compact"/>
              <w:jc w:val="left"/>
            </w:pPr>
            <w:r>
              <w:t xml:space="preserve">A</w:t>
            </w:r>
          </w:p>
        </w:tc>
        <w:tc>
          <w:tcPr/>
          <w:p>
            <w:pPr>
              <w:pStyle w:val="Compact"/>
              <w:jc w:val="left"/>
            </w:pPr>
            <w:r>
              <w:t xml:space="preserve">oui / oui</w:t>
            </w:r>
          </w:p>
        </w:tc>
        <w:tc>
          <w:tcPr/>
          <w:p>
            <w:pPr>
              <w:pStyle w:val="Compact"/>
              <w:jc w:val="left"/>
            </w:pPr>
            <w:r>
              <w:t xml:space="preserve">21 / 37</w:t>
            </w:r>
          </w:p>
        </w:tc>
      </w:tr>
      <w:tr>
        <w:tc>
          <w:tcPr/>
          <w:p>
            <w:pPr>
              <w:pStyle w:val="Compact"/>
              <w:jc w:val="left"/>
            </w:pPr>
            <w:r>
              <w:t xml:space="preserve">IGF-1 LR3</w:t>
            </w:r>
          </w:p>
        </w:tc>
        <w:tc>
          <w:tcPr/>
          <w:p>
            <w:pPr>
              <w:pStyle w:val="Compact"/>
              <w:jc w:val="left"/>
            </w:pPr>
            <w:r>
              <w:t xml:space="preserve">D</w:t>
            </w:r>
          </w:p>
        </w:tc>
        <w:tc>
          <w:tcPr/>
          <w:p>
            <w:pPr>
              <w:pStyle w:val="Compact"/>
              <w:jc w:val="left"/>
            </w:pPr>
            <w:r>
              <w:t xml:space="preserve">non / non</w:t>
            </w:r>
          </w:p>
        </w:tc>
        <w:tc>
          <w:tcPr/>
          <w:p>
            <w:pPr>
              <w:pStyle w:val="Compact"/>
              <w:jc w:val="left"/>
            </w:pPr>
            <w:r>
              <w:t xml:space="preserve">0 / 0</w:t>
            </w:r>
          </w:p>
        </w:tc>
      </w:tr>
      <w:tr>
        <w:tc>
          <w:tcPr/>
          <w:p>
            <w:pPr>
              <w:pStyle w:val="Compact"/>
              <w:jc w:val="left"/>
            </w:pPr>
            <w:r>
              <w:t xml:space="preserve">Ibutamorène (pas un peptide)</w:t>
            </w:r>
          </w:p>
        </w:tc>
        <w:tc>
          <w:tcPr/>
          <w:p>
            <w:pPr>
              <w:pStyle w:val="Compact"/>
              <w:jc w:val="left"/>
            </w:pPr>
            <w:r>
              <w:t xml:space="preserve">B</w:t>
            </w:r>
          </w:p>
        </w:tc>
        <w:tc>
          <w:tcPr/>
          <w:p>
            <w:pPr>
              <w:pStyle w:val="Compact"/>
              <w:jc w:val="left"/>
            </w:pPr>
            <w:r>
              <w:t xml:space="preserve">non / non</w:t>
            </w:r>
          </w:p>
        </w:tc>
        <w:tc>
          <w:tcPr/>
          <w:p>
            <w:pPr>
              <w:pStyle w:val="Compact"/>
              <w:jc w:val="left"/>
            </w:pPr>
            <w:r>
              <w:t xml:space="preserve">19 / 8</w:t>
            </w:r>
          </w:p>
        </w:tc>
      </w:tr>
    </w:tbl>
    <w:p>
      <w:pPr>
        <w:pStyle w:val="BodyText"/>
      </w:pPr>
      <w:r>
        <w:t xml:space="preserve">Remarques sur le tableau : pour la</w:t>
      </w:r>
      <w:r>
        <w:t xml:space="preserve"> </w:t>
      </w:r>
      <w:r>
        <w:rPr>
          <w:bCs/>
          <w:b/>
        </w:rPr>
        <w:t xml:space="preserve">sermoréline</w:t>
      </w:r>
      <w:r>
        <w:t xml:space="preserve">, la recherche par nom ne trouve aucune étude chez l’humain, car la plupart des travaux ont été publiés sous « GHRH(1-29) » ou « GRF 1-29 » ; une recherche ciblée en trouve plusieurs dizaines de petites études, pour la plupart antérieures à 2000. Beaucoup des 27 résultats du registre concernent en revanche la tésamoréline ou les tests à la GHRH en général. Pour le</w:t>
      </w:r>
      <w:r>
        <w:t xml:space="preserve"> </w:t>
      </w:r>
      <w:r>
        <w:rPr>
          <w:bCs/>
          <w:b/>
        </w:rPr>
        <w:t xml:space="preserve">GHRP-2, le GHRP-6 et l’hexaréline</w:t>
      </w:r>
      <w:r>
        <w:t xml:space="preserve">, presque tous les travaux n’utilisent la substance que comme substance de test administrée une seule fois pour étudier la régulation hormonale ; ils ne disent rien d’un éventuel bénéfice.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Peptide</w:t>
            </w:r>
          </w:p>
        </w:tc>
        <w:tc>
          <w:tcPr/>
          <w:p>
            <w:pPr>
              <w:pStyle w:val="Compact"/>
              <w:jc w:val="left"/>
            </w:pPr>
            <w:r>
              <w:t xml:space="preserve">Résultat clé</w:t>
            </w:r>
          </w:p>
        </w:tc>
        <w:tc>
          <w:tcPr/>
          <w:p>
            <w:pPr>
              <w:pStyle w:val="Compact"/>
              <w:jc w:val="left"/>
            </w:pPr>
            <w:r>
              <w:t xml:space="preserve">Risque principal</w:t>
            </w:r>
          </w:p>
        </w:tc>
      </w:tr>
      <w:tr>
        <w:tc>
          <w:tcPr/>
          <w:p>
            <w:pPr>
              <w:pStyle w:val="Compact"/>
              <w:jc w:val="left"/>
            </w:pPr>
            <w:r>
              <w:t xml:space="preserve">Sermoréline</w:t>
            </w:r>
          </w:p>
        </w:tc>
        <w:tc>
          <w:tcPr/>
          <w:p>
            <w:pPr>
              <w:pStyle w:val="Compact"/>
              <w:jc w:val="left"/>
            </w:pPr>
            <w:r>
              <w:t xml:space="preserve">110 enfants avec déficit en GH : croissance de 4,1 à 7,2 cm/an (PMID 8772599)</w:t>
            </w:r>
          </w:p>
        </w:tc>
        <w:tc>
          <w:tcPr/>
          <w:p>
            <w:pPr>
              <w:pStyle w:val="Compact"/>
              <w:jc w:val="left"/>
            </w:pPr>
            <w:r>
              <w:t xml:space="preserve">Bouffées vasomotrices ; conséquences à long terme chez l’adulte inconnues</w:t>
            </w:r>
          </w:p>
        </w:tc>
      </w:tr>
      <w:tr>
        <w:tc>
          <w:tcPr/>
          <w:p>
            <w:pPr>
              <w:pStyle w:val="Compact"/>
              <w:jc w:val="left"/>
            </w:pPr>
            <w:r>
              <w:t xml:space="preserve">Tésamoréline</w:t>
            </w:r>
          </w:p>
        </w:tc>
        <w:tc>
          <w:tcPr/>
          <w:p>
            <w:pPr>
              <w:pStyle w:val="Compact"/>
              <w:jc w:val="left"/>
            </w:pPr>
            <w:r>
              <w:t xml:space="preserve">Deux études de phase 3 portant sur 806 personnes : graisse abdominale viscérale −15,4 % par rapport au placebo (PMID 20554713)</w:t>
            </w:r>
          </w:p>
        </w:tc>
        <w:tc>
          <w:tcPr/>
          <w:p>
            <w:pPr>
              <w:pStyle w:val="Compact"/>
              <w:jc w:val="left"/>
            </w:pPr>
            <w:r>
              <w:t xml:space="preserve">Douleurs articulaires, rétention d’eau, glycémie</w:t>
            </w:r>
          </w:p>
        </w:tc>
      </w:tr>
      <w:tr>
        <w:tc>
          <w:tcPr/>
          <w:p>
            <w:pPr>
              <w:pStyle w:val="Compact"/>
              <w:jc w:val="left"/>
            </w:pPr>
            <w:r>
              <w:t xml:space="preserve">CJC-1295</w:t>
            </w:r>
          </w:p>
        </w:tc>
        <w:tc>
          <w:tcPr/>
          <w:p>
            <w:pPr>
              <w:pStyle w:val="Compact"/>
              <w:jc w:val="left"/>
            </w:pPr>
            <w:r>
              <w:t xml:space="preserve">Injection unique : GH multipliée par 2 à 10, IGF-1 par 1,5 à 3 (PMID 16352683)</w:t>
            </w:r>
          </w:p>
        </w:tc>
        <w:tc>
          <w:tcPr/>
          <w:p>
            <w:pPr>
              <w:pStyle w:val="Compact"/>
              <w:jc w:val="left"/>
            </w:pPr>
            <w:r>
              <w:t xml:space="preserve">Stimulation continue inexplorée, contenu incertain</w:t>
            </w:r>
          </w:p>
        </w:tc>
      </w:tr>
      <w:tr>
        <w:tc>
          <w:tcPr/>
          <w:p>
            <w:pPr>
              <w:pStyle w:val="Compact"/>
              <w:jc w:val="left"/>
            </w:pPr>
            <w:r>
              <w:t xml:space="preserve">Ipamoréline</w:t>
            </w:r>
          </w:p>
        </w:tc>
        <w:tc>
          <w:tcPr/>
          <w:p>
            <w:pPr>
              <w:pStyle w:val="Compact"/>
              <w:jc w:val="left"/>
            </w:pPr>
            <w:r>
              <w:t xml:space="preserve">Phase 2 après chirurgie intestinale : aucun bénéfice significatif (PMID 25331030)</w:t>
            </w:r>
          </w:p>
        </w:tc>
        <w:tc>
          <w:tcPr/>
          <w:p>
            <w:pPr>
              <w:pStyle w:val="Compact"/>
              <w:jc w:val="left"/>
            </w:pPr>
            <w:r>
              <w:t xml:space="preserve">Aucune donnée sur l’utilisation prolongée ; molécules modifiées</w:t>
            </w:r>
          </w:p>
        </w:tc>
      </w:tr>
      <w:tr>
        <w:tc>
          <w:tcPr/>
          <w:p>
            <w:pPr>
              <w:pStyle w:val="Compact"/>
              <w:jc w:val="left"/>
            </w:pPr>
            <w:r>
              <w:t xml:space="preserve">GHRP-2</w:t>
            </w:r>
          </w:p>
        </w:tc>
        <w:tc>
          <w:tcPr/>
          <w:p>
            <w:pPr>
              <w:pStyle w:val="Compact"/>
              <w:jc w:val="left"/>
            </w:pPr>
            <w:r>
              <w:t xml:space="preserve">Comme test, il distinguait de façon fiable le déficit en GH des personnes en bonne santé (PMID 17609397)</w:t>
            </w:r>
          </w:p>
        </w:tc>
        <w:tc>
          <w:tcPr/>
          <w:p>
            <w:pPr>
              <w:pStyle w:val="Compact"/>
              <w:jc w:val="left"/>
            </w:pPr>
            <w:r>
              <w:t xml:space="preserve">Fringales, hausse des hormones du stress</w:t>
            </w:r>
          </w:p>
        </w:tc>
      </w:tr>
      <w:tr>
        <w:tc>
          <w:tcPr/>
          <w:p>
            <w:pPr>
              <w:pStyle w:val="Compact"/>
              <w:jc w:val="left"/>
            </w:pPr>
            <w:r>
              <w:t xml:space="preserve">GHRP-6</w:t>
            </w:r>
          </w:p>
        </w:tc>
        <w:tc>
          <w:tcPr/>
          <w:p>
            <w:pPr>
              <w:pStyle w:val="Compact"/>
              <w:jc w:val="left"/>
            </w:pPr>
            <w:r>
              <w:t xml:space="preserve">Un test combiné détectait de façon fiable le déficit en GH (PMID 11030292)</w:t>
            </w:r>
          </w:p>
        </w:tc>
        <w:tc>
          <w:tcPr/>
          <w:p>
            <w:pPr>
              <w:pStyle w:val="Compact"/>
              <w:jc w:val="left"/>
            </w:pPr>
            <w:r>
              <w:t xml:space="preserve">Bouffées vasomotrices, hausses hormonales, faim</w:t>
            </w:r>
          </w:p>
        </w:tc>
      </w:tr>
      <w:tr>
        <w:tc>
          <w:tcPr/>
          <w:p>
            <w:pPr>
              <w:pStyle w:val="Compact"/>
              <w:jc w:val="left"/>
            </w:pPr>
            <w:r>
              <w:t xml:space="preserve">Hexaréline</w:t>
            </w:r>
          </w:p>
        </w:tc>
        <w:tc>
          <w:tcPr/>
          <w:p>
            <w:pPr>
              <w:pStyle w:val="Compact"/>
              <w:jc w:val="left"/>
            </w:pPr>
            <w:r>
              <w:t xml:space="preserve">Perte d’effet sur 16 semaines, composition corporelle inchangée (PMID 9589671)</w:t>
            </w:r>
          </w:p>
        </w:tc>
        <w:tc>
          <w:tcPr/>
          <w:p>
            <w:pPr>
              <w:pStyle w:val="Compact"/>
              <w:jc w:val="left"/>
            </w:pPr>
            <w:r>
              <w:t xml:space="preserve">Hormones du stress, prolactine, perte d’effet</w:t>
            </w:r>
          </w:p>
        </w:tc>
      </w:tr>
      <w:tr>
        <w:tc>
          <w:tcPr/>
          <w:p>
            <w:pPr>
              <w:pStyle w:val="Compact"/>
              <w:jc w:val="left"/>
            </w:pPr>
            <w:r>
              <w:t xml:space="preserve">Macimoréline</w:t>
            </w:r>
          </w:p>
        </w:tc>
        <w:tc>
          <w:tcPr/>
          <w:p>
            <w:pPr>
              <w:pStyle w:val="Compact"/>
              <w:jc w:val="left"/>
            </w:pPr>
            <w:r>
              <w:t xml:space="preserve">Test avec 87 % de sensibilité et 96 % de spécificité par rapport au test à l’insuline (PMID 29860473)</w:t>
            </w:r>
          </w:p>
        </w:tc>
        <w:tc>
          <w:tcPr/>
          <w:p>
            <w:pPr>
              <w:pStyle w:val="Compact"/>
              <w:jc w:val="left"/>
            </w:pPr>
            <w:r>
              <w:t xml:space="preserve">Allongement du QT en cas de surdosage</w:t>
            </w:r>
          </w:p>
        </w:tc>
      </w:tr>
      <w:tr>
        <w:tc>
          <w:tcPr/>
          <w:p>
            <w:pPr>
              <w:pStyle w:val="Compact"/>
              <w:jc w:val="left"/>
            </w:pPr>
            <w:r>
              <w:t xml:space="preserve">Mécasermine (IGF-1)</w:t>
            </w:r>
          </w:p>
        </w:tc>
        <w:tc>
          <w:tcPr/>
          <w:p>
            <w:pPr>
              <w:pStyle w:val="Compact"/>
              <w:jc w:val="left"/>
            </w:pPr>
            <w:r>
              <w:t xml:space="preserve">76 enfants avec résistance à la GH : croissance de 2,8 à 8,0 cm/an (PMID 17192294)</w:t>
            </w:r>
          </w:p>
        </w:tc>
        <w:tc>
          <w:tcPr/>
          <w:p>
            <w:pPr>
              <w:pStyle w:val="Compact"/>
              <w:jc w:val="left"/>
            </w:pPr>
            <w:r>
              <w:t xml:space="preserve">Hypoglycémie ; mise en garde sur les néoplasies</w:t>
            </w:r>
          </w:p>
        </w:tc>
      </w:tr>
      <w:tr>
        <w:tc>
          <w:tcPr/>
          <w:p>
            <w:pPr>
              <w:pStyle w:val="Compact"/>
              <w:jc w:val="left"/>
            </w:pPr>
            <w:r>
              <w:t xml:space="preserve">IGF-1 LR3</w:t>
            </w:r>
          </w:p>
        </w:tc>
        <w:tc>
          <w:tcPr/>
          <w:p>
            <w:pPr>
              <w:pStyle w:val="Compact"/>
              <w:jc w:val="left"/>
            </w:pPr>
            <w:r>
              <w:t xml:space="preserve">Aucune étude chez l’humain ; dans un flacon du marché noir, une variante de laboratoire (PMID 20675162)</w:t>
            </w:r>
          </w:p>
        </w:tc>
        <w:tc>
          <w:tcPr/>
          <w:p>
            <w:pPr>
              <w:pStyle w:val="Compact"/>
              <w:jc w:val="left"/>
            </w:pPr>
            <w:r>
              <w:t xml:space="preserve">Hypoglycémie, signaux de croissance (théoriques)</w:t>
            </w:r>
          </w:p>
        </w:tc>
      </w:tr>
      <w:tr>
        <w:tc>
          <w:tcPr/>
          <w:p>
            <w:pPr>
              <w:pStyle w:val="Compact"/>
              <w:jc w:val="left"/>
            </w:pPr>
            <w:r>
              <w:t xml:space="preserve">Ibutamorène</w:t>
            </w:r>
          </w:p>
        </w:tc>
        <w:tc>
          <w:tcPr/>
          <w:p>
            <w:pPr>
              <w:pStyle w:val="Compact"/>
              <w:jc w:val="left"/>
            </w:pPr>
            <w:r>
              <w:t xml:space="preserve">65 personnes âgées : masse maigre +1,1 kg, force et fonction inchangées (PMID 18981485)</w:t>
            </w:r>
          </w:p>
        </w:tc>
        <w:tc>
          <w:tcPr/>
          <w:p>
            <w:pPr>
              <w:pStyle w:val="Compact"/>
              <w:jc w:val="left"/>
            </w:pPr>
            <w:r>
              <w:t xml:space="preserve">Signal d’insuffisance cardiaque, glycémie plus élevée</w:t>
            </w:r>
          </w:p>
        </w:tc>
      </w:tr>
    </w:tbl>
    <w:bookmarkEnd w:id="2528"/>
    <w:bookmarkStart w:id="2529" w:name="d.-cerveau-sommeil-et-longévité"/>
    <w:p>
      <w:pPr>
        <w:pStyle w:val="Heading3"/>
      </w:pPr>
      <w:r>
        <w:t xml:space="preserve">D. Cerveau, sommeil et longévité</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Preuve</w:t>
            </w:r>
          </w:p>
        </w:tc>
        <w:tc>
          <w:tcPr/>
          <w:p>
            <w:pPr>
              <w:pStyle w:val="Compact"/>
              <w:jc w:val="left"/>
            </w:pPr>
            <w:r>
              <w:t xml:space="preserve">Autorisation UE / États-Unis</w:t>
            </w:r>
          </w:p>
        </w:tc>
        <w:tc>
          <w:tcPr/>
          <w:p>
            <w:pPr>
              <w:pStyle w:val="Compact"/>
              <w:jc w:val="left"/>
            </w:pPr>
            <w:r>
              <w:t xml:space="preserve">Études chez l’humain / registre</w:t>
            </w:r>
          </w:p>
        </w:tc>
      </w:tr>
      <w:tr>
        <w:tc>
          <w:tcPr/>
          <w:p>
            <w:pPr>
              <w:pStyle w:val="Compact"/>
              <w:jc w:val="left"/>
            </w:pPr>
            <w:r>
              <w:t xml:space="preserve">Semax</w:t>
            </w:r>
          </w:p>
        </w:tc>
        <w:tc>
          <w:tcPr/>
          <w:p>
            <w:pPr>
              <w:pStyle w:val="Compact"/>
              <w:jc w:val="left"/>
            </w:pPr>
            <w:r>
              <w:t xml:space="preserve">C</w:t>
            </w:r>
          </w:p>
        </w:tc>
        <w:tc>
          <w:tcPr/>
          <w:p>
            <w:pPr>
              <w:pStyle w:val="Compact"/>
              <w:jc w:val="left"/>
            </w:pPr>
            <w:r>
              <w:t xml:space="preserve">non / non (enregistré en Russie)</w:t>
            </w:r>
          </w:p>
        </w:tc>
        <w:tc>
          <w:tcPr/>
          <w:p>
            <w:pPr>
              <w:pStyle w:val="Compact"/>
              <w:jc w:val="left"/>
            </w:pPr>
            <w:r>
              <w:t xml:space="preserve">4 / 0</w:t>
            </w:r>
          </w:p>
        </w:tc>
      </w:tr>
      <w:tr>
        <w:tc>
          <w:tcPr/>
          <w:p>
            <w:pPr>
              <w:pStyle w:val="Compact"/>
              <w:jc w:val="left"/>
            </w:pPr>
            <w:r>
              <w:t xml:space="preserve">Selank</w:t>
            </w:r>
          </w:p>
        </w:tc>
        <w:tc>
          <w:tcPr/>
          <w:p>
            <w:pPr>
              <w:pStyle w:val="Compact"/>
              <w:jc w:val="left"/>
            </w:pPr>
            <w:r>
              <w:t xml:space="preserve">C</w:t>
            </w:r>
          </w:p>
        </w:tc>
        <w:tc>
          <w:tcPr/>
          <w:p>
            <w:pPr>
              <w:pStyle w:val="Compact"/>
              <w:jc w:val="left"/>
            </w:pPr>
            <w:r>
              <w:t xml:space="preserve">non / non (enregistré en Russie)</w:t>
            </w:r>
          </w:p>
        </w:tc>
        <w:tc>
          <w:tcPr/>
          <w:p>
            <w:pPr>
              <w:pStyle w:val="Compact"/>
              <w:jc w:val="left"/>
            </w:pPr>
            <w:r>
              <w:t xml:space="preserve">3 / 2 (rem.)</w:t>
            </w:r>
          </w:p>
        </w:tc>
      </w:tr>
      <w:tr>
        <w:tc>
          <w:tcPr/>
          <w:p>
            <w:pPr>
              <w:pStyle w:val="Compact"/>
              <w:jc w:val="left"/>
            </w:pPr>
            <w:r>
              <w:t xml:space="preserve">Cerebrolysin</w:t>
            </w:r>
          </w:p>
        </w:tc>
        <w:tc>
          <w:tcPr/>
          <w:p>
            <w:pPr>
              <w:pStyle w:val="Compact"/>
              <w:jc w:val="left"/>
            </w:pPr>
            <w:r>
              <w:t xml:space="preserve">B</w:t>
            </w:r>
          </w:p>
        </w:tc>
        <w:tc>
          <w:tcPr/>
          <w:p>
            <w:pPr>
              <w:pStyle w:val="Compact"/>
              <w:jc w:val="left"/>
            </w:pPr>
            <w:r>
              <w:t xml:space="preserve">nationale (notamment en Autriche) / non</w:t>
            </w:r>
          </w:p>
        </w:tc>
        <w:tc>
          <w:tcPr/>
          <w:p>
            <w:pPr>
              <w:pStyle w:val="Compact"/>
              <w:jc w:val="left"/>
            </w:pPr>
            <w:r>
              <w:t xml:space="preserve">88 / 43</w:t>
            </w:r>
          </w:p>
        </w:tc>
      </w:tr>
      <w:tr>
        <w:tc>
          <w:tcPr/>
          <w:p>
            <w:pPr>
              <w:pStyle w:val="Compact"/>
              <w:jc w:val="left"/>
            </w:pPr>
            <w:r>
              <w:t xml:space="preserve">Dihexa</w:t>
            </w:r>
          </w:p>
        </w:tc>
        <w:tc>
          <w:tcPr/>
          <w:p>
            <w:pPr>
              <w:pStyle w:val="Compact"/>
              <w:jc w:val="left"/>
            </w:pPr>
            <w:r>
              <w:t xml:space="preserve">D</w:t>
            </w:r>
          </w:p>
        </w:tc>
        <w:tc>
          <w:tcPr/>
          <w:p>
            <w:pPr>
              <w:pStyle w:val="Compact"/>
              <w:jc w:val="left"/>
            </w:pPr>
            <w:r>
              <w:t xml:space="preserve">non / non</w:t>
            </w:r>
          </w:p>
        </w:tc>
        <w:tc>
          <w:tcPr/>
          <w:p>
            <w:pPr>
              <w:pStyle w:val="Compact"/>
              <w:jc w:val="left"/>
            </w:pPr>
            <w:r>
              <w:t xml:space="preserve">0 / 0</w:t>
            </w:r>
          </w:p>
        </w:tc>
      </w:tr>
      <w:tr>
        <w:tc>
          <w:tcPr/>
          <w:p>
            <w:pPr>
              <w:pStyle w:val="Compact"/>
              <w:jc w:val="left"/>
            </w:pPr>
            <w:r>
              <w:t xml:space="preserve">DSIP</w:t>
            </w:r>
          </w:p>
        </w:tc>
        <w:tc>
          <w:tcPr/>
          <w:p>
            <w:pPr>
              <w:pStyle w:val="Compact"/>
              <w:jc w:val="left"/>
            </w:pPr>
            <w:r>
              <w:t xml:space="preserve">C</w:t>
            </w:r>
          </w:p>
        </w:tc>
        <w:tc>
          <w:tcPr/>
          <w:p>
            <w:pPr>
              <w:pStyle w:val="Compact"/>
              <w:jc w:val="left"/>
            </w:pPr>
            <w:r>
              <w:t xml:space="preserve">non / non</w:t>
            </w:r>
          </w:p>
        </w:tc>
        <w:tc>
          <w:tcPr/>
          <w:p>
            <w:pPr>
              <w:pStyle w:val="Compact"/>
              <w:jc w:val="left"/>
            </w:pPr>
            <w:r>
              <w:t xml:space="preserve">18 / 1 (rem.)</w:t>
            </w:r>
          </w:p>
        </w:tc>
      </w:tr>
      <w:tr>
        <w:tc>
          <w:tcPr/>
          <w:p>
            <w:pPr>
              <w:pStyle w:val="Compact"/>
              <w:jc w:val="left"/>
            </w:pPr>
            <w:r>
              <w:t xml:space="preserve">Épitalon</w:t>
            </w:r>
          </w:p>
        </w:tc>
        <w:tc>
          <w:tcPr/>
          <w:p>
            <w:pPr>
              <w:pStyle w:val="Compact"/>
              <w:jc w:val="left"/>
            </w:pPr>
            <w:r>
              <w:t xml:space="preserve">C</w:t>
            </w:r>
          </w:p>
        </w:tc>
        <w:tc>
          <w:tcPr/>
          <w:p>
            <w:pPr>
              <w:pStyle w:val="Compact"/>
              <w:jc w:val="left"/>
            </w:pPr>
            <w:r>
              <w:t xml:space="preserve">non / non</w:t>
            </w:r>
          </w:p>
        </w:tc>
        <w:tc>
          <w:tcPr/>
          <w:p>
            <w:pPr>
              <w:pStyle w:val="Compact"/>
              <w:jc w:val="left"/>
            </w:pPr>
            <w:r>
              <w:t xml:space="preserve">1 / 1 (rem.)</w:t>
            </w:r>
          </w:p>
        </w:tc>
      </w:tr>
      <w:tr>
        <w:tc>
          <w:tcPr/>
          <w:p>
            <w:pPr>
              <w:pStyle w:val="Compact"/>
              <w:jc w:val="left"/>
            </w:pPr>
            <w:r>
              <w:t xml:space="preserve">Pinéalon</w:t>
            </w:r>
          </w:p>
        </w:tc>
        <w:tc>
          <w:tcPr/>
          <w:p>
            <w:pPr>
              <w:pStyle w:val="Compact"/>
              <w:jc w:val="left"/>
            </w:pPr>
            <w:r>
              <w:t xml:space="preserve">C</w:t>
            </w:r>
          </w:p>
        </w:tc>
        <w:tc>
          <w:tcPr/>
          <w:p>
            <w:pPr>
              <w:pStyle w:val="Compact"/>
              <w:jc w:val="left"/>
            </w:pPr>
            <w:r>
              <w:t xml:space="preserve">non / non</w:t>
            </w:r>
          </w:p>
        </w:tc>
        <w:tc>
          <w:tcPr/>
          <w:p>
            <w:pPr>
              <w:pStyle w:val="Compact"/>
              <w:jc w:val="left"/>
            </w:pPr>
            <w:r>
              <w:t xml:space="preserve">1 / 0</w:t>
            </w:r>
          </w:p>
        </w:tc>
      </w:tr>
      <w:tr>
        <w:tc>
          <w:tcPr/>
          <w:p>
            <w:pPr>
              <w:pStyle w:val="Compact"/>
              <w:jc w:val="left"/>
            </w:pPr>
            <w:r>
              <w:t xml:space="preserve">MOTS-c</w:t>
            </w:r>
          </w:p>
        </w:tc>
        <w:tc>
          <w:tcPr/>
          <w:p>
            <w:pPr>
              <w:pStyle w:val="Compact"/>
              <w:jc w:val="left"/>
            </w:pPr>
            <w:r>
              <w:t xml:space="preserve">D</w:t>
            </w:r>
          </w:p>
        </w:tc>
        <w:tc>
          <w:tcPr/>
          <w:p>
            <w:pPr>
              <w:pStyle w:val="Compact"/>
              <w:jc w:val="left"/>
            </w:pPr>
            <w:r>
              <w:t xml:space="preserve">non / non</w:t>
            </w:r>
          </w:p>
        </w:tc>
        <w:tc>
          <w:tcPr/>
          <w:p>
            <w:pPr>
              <w:pStyle w:val="Compact"/>
              <w:jc w:val="left"/>
            </w:pPr>
            <w:r>
              <w:t xml:space="preserve">5 / 4 (rem.)</w:t>
            </w:r>
          </w:p>
        </w:tc>
      </w:tr>
      <w:tr>
        <w:tc>
          <w:tcPr/>
          <w:p>
            <w:pPr>
              <w:pStyle w:val="Compact"/>
              <w:jc w:val="left"/>
            </w:pPr>
            <w:r>
              <w:t xml:space="preserve">Humanine</w:t>
            </w:r>
          </w:p>
        </w:tc>
        <w:tc>
          <w:tcPr/>
          <w:p>
            <w:pPr>
              <w:pStyle w:val="Compact"/>
              <w:jc w:val="left"/>
            </w:pPr>
            <w:r>
              <w:t xml:space="preserve">D</w:t>
            </w:r>
          </w:p>
        </w:tc>
        <w:tc>
          <w:tcPr/>
          <w:p>
            <w:pPr>
              <w:pStyle w:val="Compact"/>
              <w:jc w:val="left"/>
            </w:pPr>
            <w:r>
              <w:t xml:space="preserve">non / non</w:t>
            </w:r>
          </w:p>
        </w:tc>
        <w:tc>
          <w:tcPr/>
          <w:p>
            <w:pPr>
              <w:pStyle w:val="Compact"/>
              <w:jc w:val="left"/>
            </w:pPr>
            <w:r>
              <w:t xml:space="preserve">8 / 3 (rem.)</w:t>
            </w:r>
          </w:p>
        </w:tc>
      </w:tr>
      <w:tr>
        <w:tc>
          <w:tcPr/>
          <w:p>
            <w:pPr>
              <w:pStyle w:val="Compact"/>
              <w:jc w:val="left"/>
            </w:pPr>
            <w:r>
              <w:t xml:space="preserve">SS-31 (élamiprétide)</w:t>
            </w:r>
          </w:p>
        </w:tc>
        <w:tc>
          <w:tcPr/>
          <w:p>
            <w:pPr>
              <w:pStyle w:val="Compact"/>
              <w:jc w:val="left"/>
            </w:pPr>
            <w:r>
              <w:t xml:space="preserve">B</w:t>
            </w:r>
          </w:p>
        </w:tc>
        <w:tc>
          <w:tcPr/>
          <w:p>
            <w:pPr>
              <w:pStyle w:val="Compact"/>
              <w:jc w:val="left"/>
            </w:pPr>
            <w:r>
              <w:t xml:space="preserve">non / oui, accélérée (syndrome de Barth uniquement)</w:t>
            </w:r>
          </w:p>
        </w:tc>
        <w:tc>
          <w:tcPr/>
          <w:p>
            <w:pPr>
              <w:pStyle w:val="Compact"/>
              <w:jc w:val="left"/>
            </w:pPr>
            <w:r>
              <w:t xml:space="preserve">19 / 21</w:t>
            </w:r>
          </w:p>
        </w:tc>
      </w:tr>
      <w:tr>
        <w:tc>
          <w:tcPr/>
          <w:p>
            <w:pPr>
              <w:pStyle w:val="Compact"/>
              <w:jc w:val="left"/>
            </w:pPr>
            <w:r>
              <w:t xml:space="preserve">FOXO4-DRI</w:t>
            </w:r>
          </w:p>
        </w:tc>
        <w:tc>
          <w:tcPr/>
          <w:p>
            <w:pPr>
              <w:pStyle w:val="Compact"/>
              <w:jc w:val="left"/>
            </w:pPr>
            <w:r>
              <w:t xml:space="preserve">D</w:t>
            </w:r>
          </w:p>
        </w:tc>
        <w:tc>
          <w:tcPr/>
          <w:p>
            <w:pPr>
              <w:pStyle w:val="Compact"/>
              <w:jc w:val="left"/>
            </w:pPr>
            <w:r>
              <w:t xml:space="preserve">non / non</w:t>
            </w:r>
          </w:p>
        </w:tc>
        <w:tc>
          <w:tcPr/>
          <w:p>
            <w:pPr>
              <w:pStyle w:val="Compact"/>
              <w:jc w:val="left"/>
            </w:pPr>
            <w:r>
              <w:t xml:space="preserve">0 / 0</w:t>
            </w:r>
          </w:p>
        </w:tc>
      </w:tr>
      <w:tr>
        <w:tc>
          <w:tcPr/>
          <w:p>
            <w:pPr>
              <w:pStyle w:val="Compact"/>
              <w:jc w:val="left"/>
            </w:pPr>
            <w:r>
              <w:t xml:space="preserve">Glutathion</w:t>
            </w:r>
          </w:p>
        </w:tc>
        <w:tc>
          <w:tcPr/>
          <w:p>
            <w:pPr>
              <w:pStyle w:val="Compact"/>
              <w:jc w:val="left"/>
            </w:pPr>
            <w:r>
              <w:t xml:space="preserve">B</w:t>
            </w:r>
          </w:p>
        </w:tc>
        <w:tc>
          <w:tcPr/>
          <w:p>
            <w:pPr>
              <w:pStyle w:val="Compact"/>
              <w:jc w:val="left"/>
            </w:pPr>
            <w:r>
              <w:t xml:space="preserve">complément alimentaire / complément alimentaire</w:t>
            </w:r>
          </w:p>
        </w:tc>
        <w:tc>
          <w:tcPr/>
          <w:p>
            <w:pPr>
              <w:pStyle w:val="Compact"/>
              <w:jc w:val="left"/>
            </w:pPr>
            <w:r>
              <w:t xml:space="preserve">161 / 273 (rem.)</w:t>
            </w:r>
          </w:p>
        </w:tc>
      </w:tr>
    </w:tbl>
    <w:p>
      <w:pPr>
        <w:pStyle w:val="BodyText"/>
      </w:pPr>
      <w:r>
        <w:t xml:space="preserve">Remarques sur le tableau : pour le</w:t>
      </w:r>
      <w:r>
        <w:t xml:space="preserve"> </w:t>
      </w:r>
      <w:r>
        <w:rPr>
          <w:bCs/>
          <w:b/>
        </w:rPr>
        <w:t xml:space="preserve">Selank</w:t>
      </w:r>
      <w:r>
        <w:t xml:space="preserve"> </w:t>
      </w:r>
      <w:r>
        <w:t xml:space="preserve">et le</w:t>
      </w:r>
      <w:r>
        <w:t xml:space="preserve"> </w:t>
      </w:r>
      <w:r>
        <w:rPr>
          <w:bCs/>
          <w:b/>
        </w:rPr>
        <w:t xml:space="preserve">DSIP</w:t>
      </w:r>
      <w:r>
        <w:t xml:space="preserve">, les résultats du registre concernent d’autres procédés ou sujets ; il n’existe aucune étude enregistrée avec le peptide. La seule entrée de registre sur l’</w:t>
      </w:r>
      <w:r>
        <w:rPr>
          <w:bCs/>
          <w:b/>
        </w:rPr>
        <w:t xml:space="preserve">épitalon</w:t>
      </w:r>
      <w:r>
        <w:t xml:space="preserve"> </w:t>
      </w:r>
      <w:r>
        <w:t xml:space="preserve">est une étude non contrôlée portant sur un sérum cutané dont l’épitalon est l’un des cinq composants. Pour le</w:t>
      </w:r>
      <w:r>
        <w:t xml:space="preserve"> </w:t>
      </w:r>
      <w:r>
        <w:rPr>
          <w:bCs/>
          <w:b/>
        </w:rPr>
        <w:t xml:space="preserve">MOTS-c</w:t>
      </w:r>
      <w:r>
        <w:t xml:space="preserve"> </w:t>
      </w:r>
      <w:r>
        <w:t xml:space="preserve">et l’</w:t>
      </w:r>
      <w:r>
        <w:rPr>
          <w:bCs/>
          <w:b/>
        </w:rPr>
        <w:t xml:space="preserve">humanine</w:t>
      </w:r>
      <w:r>
        <w:t xml:space="preserve">, le peptide n’a été administré dans aucune des publications ; elles mesurent les taux endogènes. Pour le</w:t>
      </w:r>
      <w:r>
        <w:t xml:space="preserve"> </w:t>
      </w:r>
      <w:r>
        <w:rPr>
          <w:bCs/>
          <w:b/>
        </w:rPr>
        <w:t xml:space="preserve">glutathion</w:t>
      </w:r>
      <w:r>
        <w:t xml:space="preserve">, beaucoup de résultats ne mesurent le glutathion que comme valeur de laboratoire ou concernent l’enzyme glutathion S-transférase ; les études avec administration de glutathion sont une minorité de quelques dizaines.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Peptide</w:t>
            </w:r>
          </w:p>
        </w:tc>
        <w:tc>
          <w:tcPr/>
          <w:p>
            <w:pPr>
              <w:pStyle w:val="Compact"/>
              <w:jc w:val="left"/>
            </w:pPr>
            <w:r>
              <w:t xml:space="preserve">Résultat clé</w:t>
            </w:r>
          </w:p>
        </w:tc>
        <w:tc>
          <w:tcPr/>
          <w:p>
            <w:pPr>
              <w:pStyle w:val="Compact"/>
              <w:jc w:val="left"/>
            </w:pPr>
            <w:r>
              <w:t xml:space="preserve">Risque principal</w:t>
            </w:r>
          </w:p>
        </w:tc>
      </w:tr>
      <w:tr>
        <w:tc>
          <w:tcPr/>
          <w:p>
            <w:pPr>
              <w:pStyle w:val="Compact"/>
              <w:jc w:val="left"/>
            </w:pPr>
            <w:r>
              <w:t xml:space="preserve">Semax</w:t>
            </w:r>
          </w:p>
        </w:tc>
        <w:tc>
          <w:tcPr/>
          <w:p>
            <w:pPr>
              <w:pStyle w:val="Compact"/>
              <w:jc w:val="left"/>
            </w:pPr>
            <w:r>
              <w:t xml:space="preserve">Étude ouverte après AVC : BDNF plus élevé, amélioration plus rapide (PMID 29798983)</w:t>
            </w:r>
          </w:p>
        </w:tc>
        <w:tc>
          <w:tcPr/>
          <w:p>
            <w:pPr>
              <w:pStyle w:val="Compact"/>
              <w:jc w:val="left"/>
            </w:pPr>
            <w:r>
              <w:t xml:space="preserve">Aucune donnée de sécurité systématique</w:t>
            </w:r>
          </w:p>
        </w:tc>
      </w:tr>
      <w:tr>
        <w:tc>
          <w:tcPr/>
          <w:p>
            <w:pPr>
              <w:pStyle w:val="Compact"/>
              <w:jc w:val="left"/>
            </w:pPr>
            <w:r>
              <w:t xml:space="preserve">Selank</w:t>
            </w:r>
          </w:p>
        </w:tc>
        <w:tc>
          <w:tcPr/>
          <w:p>
            <w:pPr>
              <w:pStyle w:val="Compact"/>
              <w:jc w:val="left"/>
            </w:pPr>
            <w:r>
              <w:t xml:space="preserve">Effet anxiolytique semblable au médazépam, sans groupe placebo (PMID 18454096)</w:t>
            </w:r>
          </w:p>
        </w:tc>
        <w:tc>
          <w:tcPr/>
          <w:p>
            <w:pPr>
              <w:pStyle w:val="Compact"/>
              <w:jc w:val="left"/>
            </w:pPr>
            <w:r>
              <w:t xml:space="preserve">Aucune donnée à long terme ; marché gris</w:t>
            </w:r>
          </w:p>
        </w:tc>
      </w:tr>
      <w:tr>
        <w:tc>
          <w:tcPr/>
          <w:p>
            <w:pPr>
              <w:pStyle w:val="Compact"/>
              <w:jc w:val="left"/>
            </w:pPr>
            <w:r>
              <w:t xml:space="preserve">Cerebrolysin</w:t>
            </w:r>
          </w:p>
        </w:tc>
        <w:tc>
          <w:tcPr/>
          <w:p>
            <w:pPr>
              <w:pStyle w:val="Compact"/>
              <w:jc w:val="left"/>
            </w:pPr>
            <w:r>
              <w:t xml:space="preserve">CASTA avec 1 070 personnes : critère principal non atteint (PMID 22282884)</w:t>
            </w:r>
          </w:p>
        </w:tc>
        <w:tc>
          <w:tcPr/>
          <w:p>
            <w:pPr>
              <w:pStyle w:val="Compact"/>
              <w:jc w:val="left"/>
            </w:pPr>
            <w:r>
              <w:t xml:space="preserve">Signal possible d’effets indésirables graves (Cochrane)</w:t>
            </w:r>
          </w:p>
        </w:tc>
      </w:tr>
      <w:tr>
        <w:tc>
          <w:tcPr/>
          <w:p>
            <w:pPr>
              <w:pStyle w:val="Compact"/>
              <w:jc w:val="left"/>
            </w:pPr>
            <w:r>
              <w:t xml:space="preserve">Dihexa</w:t>
            </w:r>
          </w:p>
        </w:tc>
        <w:tc>
          <w:tcPr/>
          <w:p>
            <w:pPr>
              <w:pStyle w:val="Compact"/>
              <w:jc w:val="left"/>
            </w:pPr>
            <w:r>
              <w:t xml:space="preserve">Données animales uniquement ; une étude centrale chez le rat a été rétractée en 2025 (PMID 25187433, rétractation PMID 40312093)</w:t>
            </w:r>
          </w:p>
        </w:tc>
        <w:tc>
          <w:tcPr/>
          <w:p>
            <w:pPr>
              <w:pStyle w:val="Compact"/>
              <w:jc w:val="left"/>
            </w:pPr>
            <w:r>
              <w:t xml:space="preserve">Aucune donnée chez l’humain ; risque théorique de cancer</w:t>
            </w:r>
          </w:p>
        </w:tc>
      </w:tr>
      <w:tr>
        <w:tc>
          <w:tcPr/>
          <w:p>
            <w:pPr>
              <w:pStyle w:val="Compact"/>
              <w:jc w:val="left"/>
            </w:pPr>
            <w:r>
              <w:t xml:space="preserve">DSIP</w:t>
            </w:r>
          </w:p>
        </w:tc>
        <w:tc>
          <w:tcPr/>
          <w:p>
            <w:pPr>
              <w:pStyle w:val="Compact"/>
              <w:jc w:val="left"/>
            </w:pPr>
            <w:r>
              <w:t xml:space="preserve">16 personnes souffrant d’insomnie : effets seulement faibles (PMID 1299794)</w:t>
            </w:r>
          </w:p>
        </w:tc>
        <w:tc>
          <w:tcPr/>
          <w:p>
            <w:pPr>
              <w:pStyle w:val="Compact"/>
              <w:jc w:val="left"/>
            </w:pPr>
            <w:r>
              <w:t xml:space="preserve">Aucune donnée de sécurité systématique</w:t>
            </w:r>
          </w:p>
        </w:tc>
      </w:tr>
      <w:tr>
        <w:tc>
          <w:tcPr/>
          <w:p>
            <w:pPr>
              <w:pStyle w:val="Compact"/>
              <w:jc w:val="left"/>
            </w:pPr>
            <w:r>
              <w:t xml:space="preserve">Épitalon</w:t>
            </w:r>
          </w:p>
        </w:tc>
        <w:tc>
          <w:tcPr/>
          <w:p>
            <w:pPr>
              <w:pStyle w:val="Compact"/>
              <w:jc w:val="left"/>
            </w:pPr>
            <w:r>
              <w:t xml:space="preserve">Chez la souris, pas de durée de vie moyenne plus longue (PMID 14501183)</w:t>
            </w:r>
          </w:p>
        </w:tc>
        <w:tc>
          <w:tcPr/>
          <w:p>
            <w:pPr>
              <w:pStyle w:val="Compact"/>
              <w:jc w:val="left"/>
            </w:pPr>
            <w:r>
              <w:t xml:space="preserve">Aucune donnée chez l’humain ; question de la télomérase</w:t>
            </w:r>
          </w:p>
        </w:tc>
      </w:tr>
      <w:tr>
        <w:tc>
          <w:tcPr/>
          <w:p>
            <w:pPr>
              <w:pStyle w:val="Compact"/>
              <w:jc w:val="left"/>
            </w:pPr>
            <w:r>
              <w:t xml:space="preserve">Pinéalon</w:t>
            </w:r>
          </w:p>
        </w:tc>
        <w:tc>
          <w:tcPr/>
          <w:p>
            <w:pPr>
              <w:pStyle w:val="Compact"/>
              <w:jc w:val="left"/>
            </w:pPr>
            <w:r>
              <w:t xml:space="preserve">32 personnes âgées, sans contrôle ; aussi inhibition de l’hématopoïèse (PMID 26390612)</w:t>
            </w:r>
          </w:p>
        </w:tc>
        <w:tc>
          <w:tcPr/>
          <w:p>
            <w:pPr>
              <w:pStyle w:val="Compact"/>
              <w:jc w:val="left"/>
            </w:pPr>
            <w:r>
              <w:t xml:space="preserve">Aucune donnée de sécurité systématique</w:t>
            </w:r>
          </w:p>
        </w:tc>
      </w:tr>
      <w:tr>
        <w:tc>
          <w:tcPr/>
          <w:p>
            <w:pPr>
              <w:pStyle w:val="Compact"/>
              <w:jc w:val="left"/>
            </w:pPr>
            <w:r>
              <w:t xml:space="preserve">MOTS-c</w:t>
            </w:r>
          </w:p>
        </w:tc>
        <w:tc>
          <w:tcPr/>
          <w:p>
            <w:pPr>
              <w:pStyle w:val="Compact"/>
              <w:jc w:val="left"/>
            </w:pPr>
            <w:r>
              <w:t xml:space="preserve">Données animales uniquement sur l’administration : moins de surpoids chez la souris (PMID 25738459)</w:t>
            </w:r>
          </w:p>
        </w:tc>
        <w:tc>
          <w:tcPr/>
          <w:p>
            <w:pPr>
              <w:pStyle w:val="Compact"/>
              <w:jc w:val="left"/>
            </w:pPr>
            <w:r>
              <w:t xml:space="preserve">Aucune donnée sur l’administration chez l’humain</w:t>
            </w:r>
          </w:p>
        </w:tc>
      </w:tr>
      <w:tr>
        <w:tc>
          <w:tcPr/>
          <w:p>
            <w:pPr>
              <w:pStyle w:val="Compact"/>
              <w:jc w:val="left"/>
            </w:pPr>
            <w:r>
              <w:t xml:space="preserve">Humanine</w:t>
            </w:r>
          </w:p>
        </w:tc>
        <w:tc>
          <w:tcPr/>
          <w:p>
            <w:pPr>
              <w:pStyle w:val="Compact"/>
              <w:jc w:val="left"/>
            </w:pPr>
            <w:r>
              <w:t xml:space="preserve">Uniquement des mesures de taux chez l’humain (PMID 32575074)</w:t>
            </w:r>
          </w:p>
        </w:tc>
        <w:tc>
          <w:tcPr/>
          <w:p>
            <w:pPr>
              <w:pStyle w:val="Compact"/>
              <w:jc w:val="left"/>
            </w:pPr>
            <w:r>
              <w:t xml:space="preserve">Chez la souris, croissance accrue du cancer du sein (PMID 32444831)</w:t>
            </w:r>
          </w:p>
        </w:tc>
      </w:tr>
      <w:tr>
        <w:tc>
          <w:tcPr/>
          <w:p>
            <w:pPr>
              <w:pStyle w:val="Compact"/>
              <w:jc w:val="left"/>
            </w:pPr>
            <w:r>
              <w:t xml:space="preserve">SS-31 (élamiprétide)</w:t>
            </w:r>
          </w:p>
        </w:tc>
        <w:tc>
          <w:tcPr/>
          <w:p>
            <w:pPr>
              <w:pStyle w:val="Compact"/>
              <w:jc w:val="left"/>
            </w:pPr>
            <w:r>
              <w:t xml:space="preserve">MMPOWER-3 avec 218 personnes : aucun bénéfice dans la myopathie (PMID 37268435)</w:t>
            </w:r>
          </w:p>
        </w:tc>
        <w:tc>
          <w:tcPr/>
          <w:p>
            <w:pPr>
              <w:pStyle w:val="Compact"/>
              <w:jc w:val="left"/>
            </w:pPr>
            <w:r>
              <w:t xml:space="preserve">Points d’injection ; produits du marché gris non identiques</w:t>
            </w:r>
          </w:p>
        </w:tc>
      </w:tr>
      <w:tr>
        <w:tc>
          <w:tcPr/>
          <w:p>
            <w:pPr>
              <w:pStyle w:val="Compact"/>
              <w:jc w:val="left"/>
            </w:pPr>
            <w:r>
              <w:t xml:space="preserve">FOXO4-DRI</w:t>
            </w:r>
          </w:p>
        </w:tc>
        <w:tc>
          <w:tcPr/>
          <w:p>
            <w:pPr>
              <w:pStyle w:val="Compact"/>
              <w:jc w:val="left"/>
            </w:pPr>
            <w:r>
              <w:t xml:space="preserve">Données animales uniquement : meilleure condition physique chez des souris âgées (PMID 28340339)</w:t>
            </w:r>
          </w:p>
        </w:tc>
        <w:tc>
          <w:tcPr/>
          <w:p>
            <w:pPr>
              <w:pStyle w:val="Compact"/>
              <w:jc w:val="left"/>
            </w:pPr>
            <w:r>
              <w:t xml:space="preserve">Aucune donnée chez l’humain ; intervention sur p53</w:t>
            </w:r>
          </w:p>
        </w:tc>
      </w:tr>
      <w:tr>
        <w:tc>
          <w:tcPr/>
          <w:p>
            <w:pPr>
              <w:pStyle w:val="Compact"/>
              <w:jc w:val="left"/>
            </w:pPr>
            <w:r>
              <w:t xml:space="preserve">Glutathion</w:t>
            </w:r>
          </w:p>
        </w:tc>
        <w:tc>
          <w:tcPr/>
          <w:p>
            <w:pPr>
              <w:pStyle w:val="Compact"/>
              <w:jc w:val="left"/>
            </w:pPr>
            <w:r>
              <w:t xml:space="preserve">Phase 3 avec 185 personnes : aucune protection contre les neuropathies dues à la chimiothérapie (PMID 24619793)</w:t>
            </w:r>
          </w:p>
        </w:tc>
        <w:tc>
          <w:tcPr/>
          <w:p>
            <w:pPr>
              <w:pStyle w:val="Compact"/>
              <w:jc w:val="left"/>
            </w:pPr>
            <w:r>
              <w:t xml:space="preserve">Perfusions pour éclaircir la peau : mises en garde des autorités</w:t>
            </w:r>
          </w:p>
        </w:tc>
      </w:tr>
    </w:tbl>
    <w:bookmarkEnd w:id="2529"/>
    <w:bookmarkStart w:id="2530" w:name="e.-hormones-sexualité-et-pigmentation"/>
    <w:p>
      <w:pPr>
        <w:pStyle w:val="Heading3"/>
      </w:pPr>
      <w:r>
        <w:t xml:space="preserve">E. Hormones, sexualité et pigmentation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Preuve</w:t>
            </w:r>
          </w:p>
        </w:tc>
        <w:tc>
          <w:tcPr/>
          <w:p>
            <w:pPr>
              <w:pStyle w:val="Compact"/>
              <w:jc w:val="left"/>
            </w:pPr>
            <w:r>
              <w:t xml:space="preserve">Autorisation UE / États-Unis</w:t>
            </w:r>
          </w:p>
        </w:tc>
        <w:tc>
          <w:tcPr/>
          <w:p>
            <w:pPr>
              <w:pStyle w:val="Compact"/>
              <w:jc w:val="left"/>
            </w:pPr>
            <w:r>
              <w:t xml:space="preserve">Études chez l’humain / registre</w:t>
            </w:r>
          </w:p>
        </w:tc>
      </w:tr>
      <w:tr>
        <w:tc>
          <w:tcPr/>
          <w:p>
            <w:pPr>
              <w:pStyle w:val="Compact"/>
              <w:jc w:val="left"/>
            </w:pPr>
            <w:r>
              <w:t xml:space="preserve">Brémélanotide (PT-141)</w:t>
            </w:r>
          </w:p>
        </w:tc>
        <w:tc>
          <w:tcPr/>
          <w:p>
            <w:pPr>
              <w:pStyle w:val="Compact"/>
              <w:jc w:val="left"/>
            </w:pPr>
            <w:r>
              <w:t xml:space="preserve">A</w:t>
            </w:r>
          </w:p>
        </w:tc>
        <w:tc>
          <w:tcPr/>
          <w:p>
            <w:pPr>
              <w:pStyle w:val="Compact"/>
              <w:jc w:val="left"/>
            </w:pPr>
            <w:r>
              <w:t xml:space="preserve">non / oui (Vyleesi)</w:t>
            </w:r>
          </w:p>
        </w:tc>
        <w:tc>
          <w:tcPr/>
          <w:p>
            <w:pPr>
              <w:pStyle w:val="Compact"/>
              <w:jc w:val="left"/>
            </w:pPr>
            <w:r>
              <w:t xml:space="preserve">16 / 10</w:t>
            </w:r>
          </w:p>
        </w:tc>
      </w:tr>
      <w:tr>
        <w:tc>
          <w:tcPr/>
          <w:p>
            <w:pPr>
              <w:pStyle w:val="Compact"/>
              <w:jc w:val="left"/>
            </w:pPr>
            <w:r>
              <w:t xml:space="preserve">Melanotan II</w:t>
            </w:r>
          </w:p>
        </w:tc>
        <w:tc>
          <w:tcPr/>
          <w:p>
            <w:pPr>
              <w:pStyle w:val="Compact"/>
              <w:jc w:val="left"/>
            </w:pPr>
            <w:r>
              <w:t xml:space="preserve">C</w:t>
            </w:r>
          </w:p>
        </w:tc>
        <w:tc>
          <w:tcPr/>
          <w:p>
            <w:pPr>
              <w:pStyle w:val="Compact"/>
              <w:jc w:val="left"/>
            </w:pPr>
            <w:r>
              <w:t xml:space="preserve">non / non</w:t>
            </w:r>
          </w:p>
        </w:tc>
        <w:tc>
          <w:tcPr/>
          <w:p>
            <w:pPr>
              <w:pStyle w:val="Compact"/>
              <w:jc w:val="left"/>
            </w:pPr>
            <w:r>
              <w:t xml:space="preserve">8 / 0 (rem.)</w:t>
            </w:r>
          </w:p>
        </w:tc>
      </w:tr>
      <w:tr>
        <w:tc>
          <w:tcPr/>
          <w:p>
            <w:pPr>
              <w:pStyle w:val="Compact"/>
              <w:jc w:val="left"/>
            </w:pPr>
            <w:r>
              <w:t xml:space="preserve">Afamélanotide</w:t>
            </w:r>
          </w:p>
        </w:tc>
        <w:tc>
          <w:tcPr/>
          <w:p>
            <w:pPr>
              <w:pStyle w:val="Compact"/>
              <w:jc w:val="left"/>
            </w:pPr>
            <w:r>
              <w:t xml:space="preserve">A</w:t>
            </w:r>
          </w:p>
        </w:tc>
        <w:tc>
          <w:tcPr/>
          <w:p>
            <w:pPr>
              <w:pStyle w:val="Compact"/>
              <w:jc w:val="left"/>
            </w:pPr>
            <w:r>
              <w:t xml:space="preserve">oui / oui (Scenesse, PPE uniquement)</w:t>
            </w:r>
          </w:p>
        </w:tc>
        <w:tc>
          <w:tcPr/>
          <w:p>
            <w:pPr>
              <w:pStyle w:val="Compact"/>
              <w:jc w:val="left"/>
            </w:pPr>
            <w:r>
              <w:t xml:space="preserve">10 / 23 (rem.)</w:t>
            </w:r>
          </w:p>
        </w:tc>
      </w:tr>
      <w:tr>
        <w:tc>
          <w:tcPr/>
          <w:p>
            <w:pPr>
              <w:pStyle w:val="Compact"/>
              <w:jc w:val="left"/>
            </w:pPr>
            <w:r>
              <w:t xml:space="preserve">Kisspeptine</w:t>
            </w:r>
          </w:p>
        </w:tc>
        <w:tc>
          <w:tcPr/>
          <w:p>
            <w:pPr>
              <w:pStyle w:val="Compact"/>
              <w:jc w:val="left"/>
            </w:pPr>
            <w:r>
              <w:t xml:space="preserve">B</w:t>
            </w:r>
          </w:p>
        </w:tc>
        <w:tc>
          <w:tcPr/>
          <w:p>
            <w:pPr>
              <w:pStyle w:val="Compact"/>
              <w:jc w:val="left"/>
            </w:pPr>
            <w:r>
              <w:t xml:space="preserve">non / non</w:t>
            </w:r>
          </w:p>
        </w:tc>
        <w:tc>
          <w:tcPr/>
          <w:p>
            <w:pPr>
              <w:pStyle w:val="Compact"/>
              <w:jc w:val="left"/>
            </w:pPr>
            <w:r>
              <w:t xml:space="preserve">37 / 36</w:t>
            </w:r>
          </w:p>
        </w:tc>
      </w:tr>
      <w:tr>
        <w:tc>
          <w:tcPr/>
          <w:p>
            <w:pPr>
              <w:pStyle w:val="Compact"/>
              <w:jc w:val="left"/>
            </w:pPr>
            <w:r>
              <w:t xml:space="preserve">Ocytocine (spray nasal)</w:t>
            </w:r>
          </w:p>
        </w:tc>
        <w:tc>
          <w:tcPr/>
          <w:p>
            <w:pPr>
              <w:pStyle w:val="Compact"/>
              <w:jc w:val="left"/>
            </w:pPr>
            <w:r>
              <w:t xml:space="preserve">B</w:t>
            </w:r>
          </w:p>
        </w:tc>
        <w:tc>
          <w:tcPr/>
          <w:p>
            <w:pPr>
              <w:pStyle w:val="Compact"/>
              <w:jc w:val="left"/>
            </w:pPr>
            <w:r>
              <w:t xml:space="preserve">obstétrique uniquement / obstétrique uniquement</w:t>
            </w:r>
          </w:p>
        </w:tc>
        <w:tc>
          <w:tcPr/>
          <w:p>
            <w:pPr>
              <w:pStyle w:val="Compact"/>
              <w:jc w:val="left"/>
            </w:pPr>
            <w:r>
              <w:t xml:space="preserve">349 / 263</w:t>
            </w:r>
          </w:p>
        </w:tc>
      </w:tr>
      <w:tr>
        <w:tc>
          <w:tcPr/>
          <w:p>
            <w:pPr>
              <w:pStyle w:val="Compact"/>
              <w:jc w:val="left"/>
            </w:pPr>
            <w:r>
              <w:t xml:space="preserve">Gonadoréline</w:t>
            </w:r>
          </w:p>
        </w:tc>
        <w:tc>
          <w:tcPr/>
          <w:p>
            <w:pPr>
              <w:pStyle w:val="Compact"/>
              <w:jc w:val="left"/>
            </w:pPr>
            <w:r>
              <w:t xml:space="preserve">B</w:t>
            </w:r>
          </w:p>
        </w:tc>
        <w:tc>
          <w:tcPr/>
          <w:p>
            <w:pPr>
              <w:pStyle w:val="Compact"/>
              <w:jc w:val="left"/>
            </w:pPr>
            <w:r>
              <w:t xml:space="preserve">nationale dans certains États / non</w:t>
            </w:r>
          </w:p>
        </w:tc>
        <w:tc>
          <w:tcPr/>
          <w:p>
            <w:pPr>
              <w:pStyle w:val="Compact"/>
              <w:jc w:val="left"/>
            </w:pPr>
            <w:r>
              <w:t xml:space="preserve">9 / 1 000 (rem.)</w:t>
            </w:r>
          </w:p>
        </w:tc>
      </w:tr>
    </w:tbl>
    <w:p>
      <w:pPr>
        <w:pStyle w:val="BodyText"/>
      </w:pPr>
      <w:r>
        <w:t xml:space="preserve">Remarques sur le tableau : pour le</w:t>
      </w:r>
      <w:r>
        <w:t xml:space="preserve"> </w:t>
      </w:r>
      <w:r>
        <w:rPr>
          <w:bCs/>
          <w:b/>
        </w:rPr>
        <w:t xml:space="preserve">Melanotan II</w:t>
      </w:r>
      <w:r>
        <w:t xml:space="preserve">, quatre des huit résultats PubMed concernent le Melanotan I (le futur afamélanotide) ; la seule entrée de registre s’est révélée peu fiable. Pour l’</w:t>
      </w:r>
      <w:r>
        <w:rPr>
          <w:bCs/>
          <w:b/>
        </w:rPr>
        <w:t xml:space="preserve">afamélanotide</w:t>
      </w:r>
      <w:r>
        <w:t xml:space="preserve">, le décompte omet les études plus anciennes publiées sous les noms Melanotan I ou NDP-MSH. Pour l’</w:t>
      </w:r>
      <w:r>
        <w:rPr>
          <w:bCs/>
          <w:b/>
        </w:rPr>
        <w:t xml:space="preserve">ocytocine</w:t>
      </w:r>
      <w:r>
        <w:t xml:space="preserve">, seule l’utilisation en perfusion ou en injection en obstétrique est autorisée, pas le spray nasal. Les chiffres pour la</w:t>
      </w:r>
      <w:r>
        <w:t xml:space="preserve"> </w:t>
      </w:r>
      <w:r>
        <w:rPr>
          <w:bCs/>
          <w:b/>
        </w:rPr>
        <w:t xml:space="preserve">gonadoréline</w:t>
      </w:r>
      <w:r>
        <w:t xml:space="preserve"> </w:t>
      </w:r>
      <w:r>
        <w:t xml:space="preserve">sont inutilisables : la recherche dans le registre a atteint sa limite de 1 000 résultats, car le registre inclut le terme générique « Gonadotropin-Releasing Hormone » ; presque tous les résultats concernent des analogues de la GnRH, par exemple dans le cancer de la prostate, et seulement une dizaine l’hormone identique à l’hormone naturelle. Le chiffre de PubMed est trop bas, car la plupart des études écrivent « GnRH » ou « LHRH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Peptide</w:t>
            </w:r>
          </w:p>
        </w:tc>
        <w:tc>
          <w:tcPr/>
          <w:p>
            <w:pPr>
              <w:pStyle w:val="Compact"/>
              <w:jc w:val="left"/>
            </w:pPr>
            <w:r>
              <w:t xml:space="preserve">Résultat clé</w:t>
            </w:r>
          </w:p>
        </w:tc>
        <w:tc>
          <w:tcPr/>
          <w:p>
            <w:pPr>
              <w:pStyle w:val="Compact"/>
              <w:jc w:val="left"/>
            </w:pPr>
            <w:r>
              <w:t xml:space="preserve">Risque principal</w:t>
            </w:r>
          </w:p>
        </w:tc>
      </w:tr>
      <w:tr>
        <w:tc>
          <w:tcPr/>
          <w:p>
            <w:pPr>
              <w:pStyle w:val="Compact"/>
              <w:jc w:val="left"/>
            </w:pPr>
            <w:r>
              <w:t xml:space="preserve">Brémélanotide (PT-141)</w:t>
            </w:r>
          </w:p>
        </w:tc>
        <w:tc>
          <w:tcPr/>
          <w:p>
            <w:pPr>
              <w:pStyle w:val="Compact"/>
              <w:jc w:val="left"/>
            </w:pPr>
            <w:r>
              <w:t xml:space="preserve">RECONNECT, 1 267 femmes : avantage seulement faible par rapport au placebo (PMID 31599840)</w:t>
            </w:r>
          </w:p>
        </w:tc>
        <w:tc>
          <w:tcPr/>
          <w:p>
            <w:pPr>
              <w:pStyle w:val="Compact"/>
              <w:jc w:val="left"/>
            </w:pPr>
            <w:r>
              <w:t xml:space="preserve">Nausées chez environ 40 %, brève hausse de la pression artérielle</w:t>
            </w:r>
          </w:p>
        </w:tc>
      </w:tr>
      <w:tr>
        <w:tc>
          <w:tcPr/>
          <w:p>
            <w:pPr>
              <w:pStyle w:val="Compact"/>
              <w:jc w:val="left"/>
            </w:pPr>
            <w:r>
              <w:t xml:space="preserve">Melanotan II</w:t>
            </w:r>
          </w:p>
        </w:tc>
        <w:tc>
          <w:tcPr/>
          <w:p>
            <w:pPr>
              <w:pStyle w:val="Compact"/>
              <w:jc w:val="left"/>
            </w:pPr>
            <w:r>
              <w:t xml:space="preserve">Petites études croisées : érections chez 17 hommes sur 20, nausées fréquentes (PMID 11035391)</w:t>
            </w:r>
          </w:p>
        </w:tc>
        <w:tc>
          <w:tcPr/>
          <w:p>
            <w:pPr>
              <w:pStyle w:val="Compact"/>
              <w:jc w:val="left"/>
            </w:pPr>
            <w:r>
              <w:t xml:space="preserve">Modifications des grains de beauté, cas rapportés de mélanome, priapisme</w:t>
            </w:r>
          </w:p>
        </w:tc>
      </w:tr>
      <w:tr>
        <w:tc>
          <w:tcPr/>
          <w:p>
            <w:pPr>
              <w:pStyle w:val="Compact"/>
              <w:jc w:val="left"/>
            </w:pPr>
            <w:r>
              <w:t xml:space="preserve">Afamélanotide</w:t>
            </w:r>
          </w:p>
        </w:tc>
        <w:tc>
          <w:tcPr/>
          <w:p>
            <w:pPr>
              <w:pStyle w:val="Compact"/>
              <w:jc w:val="left"/>
            </w:pPr>
            <w:r>
              <w:t xml:space="preserve">Deux ECR : temps sans douleur au soleil allongé dans la PPE (PMID 26132941)</w:t>
            </w:r>
          </w:p>
        </w:tc>
        <w:tc>
          <w:tcPr/>
          <w:p>
            <w:pPr>
              <w:pStyle w:val="Compact"/>
              <w:jc w:val="left"/>
            </w:pPr>
            <w:r>
              <w:t xml:space="preserve">Nausées, maux de tête ; contrôles cutanés nécessaires</w:t>
            </w:r>
          </w:p>
        </w:tc>
      </w:tr>
      <w:tr>
        <w:tc>
          <w:tcPr/>
          <w:p>
            <w:pPr>
              <w:pStyle w:val="Compact"/>
              <w:jc w:val="left"/>
            </w:pPr>
            <w:r>
              <w:t xml:space="preserve">Kisspeptine</w:t>
            </w:r>
          </w:p>
        </w:tc>
        <w:tc>
          <w:tcPr/>
          <w:p>
            <w:pPr>
              <w:pStyle w:val="Compact"/>
              <w:jc w:val="left"/>
            </w:pPr>
            <w:r>
              <w:t xml:space="preserve">60 femmes à risque de SHO : maturation ovocytaire chez 95 %, aucun SHO sévère (PMID 26192876)</w:t>
            </w:r>
          </w:p>
        </w:tc>
        <w:tc>
          <w:tcPr/>
          <w:p>
            <w:pPr>
              <w:pStyle w:val="Compact"/>
              <w:jc w:val="left"/>
            </w:pPr>
            <w:r>
              <w:t xml:space="preserve">Accoutumance jusqu’à la suppression de l’axe hormonal</w:t>
            </w:r>
          </w:p>
        </w:tc>
      </w:tr>
      <w:tr>
        <w:tc>
          <w:tcPr/>
          <w:p>
            <w:pPr>
              <w:pStyle w:val="Compact"/>
              <w:jc w:val="left"/>
            </w:pPr>
            <w:r>
              <w:t xml:space="preserve">Ocytocine (spray nasal)</w:t>
            </w:r>
          </w:p>
        </w:tc>
        <w:tc>
          <w:tcPr/>
          <w:p>
            <w:pPr>
              <w:pStyle w:val="Compact"/>
              <w:jc w:val="left"/>
            </w:pPr>
            <w:r>
              <w:t xml:space="preserve">SOARS-B, 290 enfants autistes : aucune différence avec le placebo (PMID 34644471)</w:t>
            </w:r>
          </w:p>
        </w:tc>
        <w:tc>
          <w:tcPr/>
          <w:p>
            <w:pPr>
              <w:pStyle w:val="Compact"/>
              <w:jc w:val="left"/>
            </w:pPr>
            <w:r>
              <w:t xml:space="preserve">Rétention d’eau à fortes doses, déclenchement des contractions</w:t>
            </w:r>
          </w:p>
        </w:tc>
      </w:tr>
      <w:tr>
        <w:tc>
          <w:tcPr/>
          <w:p>
            <w:pPr>
              <w:pStyle w:val="Compact"/>
              <w:jc w:val="left"/>
            </w:pPr>
            <w:r>
              <w:t xml:space="preserve">Gonadoréline</w:t>
            </w:r>
          </w:p>
        </w:tc>
        <w:tc>
          <w:tcPr/>
          <w:p>
            <w:pPr>
              <w:pStyle w:val="Compact"/>
              <w:jc w:val="left"/>
            </w:pPr>
            <w:r>
              <w:t xml:space="preserve">Administration pulsatile : ovulation chez 91 % et 96 % de 109 femmes (PMID 2122733)</w:t>
            </w:r>
          </w:p>
        </w:tc>
        <w:tc>
          <w:tcPr/>
          <w:p>
            <w:pPr>
              <w:pStyle w:val="Compact"/>
              <w:jc w:val="left"/>
            </w:pPr>
            <w:r>
              <w:t xml:space="preserve">En cas de mauvais rythme, suppression de l’axe hormonal</w:t>
            </w:r>
          </w:p>
        </w:tc>
      </w:tr>
    </w:tbl>
    <w:bookmarkEnd w:id="2530"/>
    <w:bookmarkStart w:id="2531" w:name="f.-collagène-alimentation-et-cosmétique"/>
    <w:p>
      <w:pPr>
        <w:pStyle w:val="Heading3"/>
      </w:pPr>
      <w:r>
        <w:t xml:space="preserve">F. Collagène, alimentation et cosmétique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Preuve</w:t>
            </w:r>
          </w:p>
        </w:tc>
        <w:tc>
          <w:tcPr/>
          <w:p>
            <w:pPr>
              <w:pStyle w:val="Compact"/>
              <w:jc w:val="left"/>
            </w:pPr>
            <w:r>
              <w:t xml:space="preserve">Autorisation UE / États-Unis</w:t>
            </w:r>
          </w:p>
        </w:tc>
        <w:tc>
          <w:tcPr/>
          <w:p>
            <w:pPr>
              <w:pStyle w:val="Compact"/>
              <w:jc w:val="left"/>
            </w:pPr>
            <w:r>
              <w:t xml:space="preserve">Études chez l’humain / registre</w:t>
            </w:r>
          </w:p>
        </w:tc>
      </w:tr>
      <w:tr>
        <w:tc>
          <w:tcPr/>
          <w:p>
            <w:pPr>
              <w:pStyle w:val="Compact"/>
              <w:jc w:val="left"/>
            </w:pPr>
            <w:r>
              <w:t xml:space="preserve">Peptides de collagène</w:t>
            </w:r>
          </w:p>
        </w:tc>
        <w:tc>
          <w:tcPr/>
          <w:p>
            <w:pPr>
              <w:pStyle w:val="Compact"/>
              <w:jc w:val="left"/>
            </w:pPr>
            <w:r>
              <w:t xml:space="preserve">B</w:t>
            </w:r>
          </w:p>
        </w:tc>
        <w:tc>
          <w:tcPr/>
          <w:p>
            <w:pPr>
              <w:pStyle w:val="Compact"/>
              <w:jc w:val="left"/>
            </w:pPr>
            <w:r>
              <w:t xml:space="preserve">aliment / complément alimentaire</w:t>
            </w:r>
          </w:p>
        </w:tc>
        <w:tc>
          <w:tcPr/>
          <w:p>
            <w:pPr>
              <w:pStyle w:val="Compact"/>
              <w:jc w:val="left"/>
            </w:pPr>
            <w:r>
              <w:t xml:space="preserve">101 / 237 (rem.)</w:t>
            </w:r>
          </w:p>
        </w:tc>
      </w:tr>
      <w:tr>
        <w:tc>
          <w:tcPr/>
          <w:p>
            <w:pPr>
              <w:pStyle w:val="Compact"/>
              <w:jc w:val="left"/>
            </w:pPr>
            <w:r>
              <w:t xml:space="preserve">Lactotripeptides</w:t>
            </w:r>
          </w:p>
        </w:tc>
        <w:tc>
          <w:tcPr/>
          <w:p>
            <w:pPr>
              <w:pStyle w:val="Compact"/>
              <w:jc w:val="left"/>
            </w:pPr>
            <w:r>
              <w:t xml:space="preserve">B</w:t>
            </w:r>
          </w:p>
        </w:tc>
        <w:tc>
          <w:tcPr/>
          <w:p>
            <w:pPr>
              <w:pStyle w:val="Compact"/>
              <w:jc w:val="left"/>
            </w:pPr>
            <w:r>
              <w:t xml:space="preserve">aliment / complément alimentaire</w:t>
            </w:r>
          </w:p>
        </w:tc>
        <w:tc>
          <w:tcPr/>
          <w:p>
            <w:pPr>
              <w:pStyle w:val="Compact"/>
              <w:jc w:val="left"/>
            </w:pPr>
            <w:r>
              <w:t xml:space="preserve">21 / 0</w:t>
            </w:r>
          </w:p>
        </w:tc>
      </w:tr>
      <w:tr>
        <w:tc>
          <w:tcPr/>
          <w:p>
            <w:pPr>
              <w:pStyle w:val="Compact"/>
              <w:jc w:val="left"/>
            </w:pPr>
            <w:r>
              <w:t xml:space="preserve">Carnosine</w:t>
            </w:r>
          </w:p>
        </w:tc>
        <w:tc>
          <w:tcPr/>
          <w:p>
            <w:pPr>
              <w:pStyle w:val="Compact"/>
              <w:jc w:val="left"/>
            </w:pPr>
            <w:r>
              <w:t xml:space="preserve">B</w:t>
            </w:r>
          </w:p>
        </w:tc>
        <w:tc>
          <w:tcPr/>
          <w:p>
            <w:pPr>
              <w:pStyle w:val="Compact"/>
              <w:jc w:val="left"/>
            </w:pPr>
            <w:r>
              <w:t xml:space="preserve">complément alimentaire / complément alimentaire</w:t>
            </w:r>
          </w:p>
        </w:tc>
        <w:tc>
          <w:tcPr/>
          <w:p>
            <w:pPr>
              <w:pStyle w:val="Compact"/>
              <w:jc w:val="left"/>
            </w:pPr>
            <w:r>
              <w:t xml:space="preserve">57 / 53</w:t>
            </w:r>
          </w:p>
        </w:tc>
      </w:tr>
      <w:tr>
        <w:tc>
          <w:tcPr/>
          <w:p>
            <w:pPr>
              <w:pStyle w:val="Compact"/>
              <w:jc w:val="left"/>
            </w:pPr>
            <w:r>
              <w:t xml:space="preserve">GHK-Cu</w:t>
            </w:r>
          </w:p>
        </w:tc>
        <w:tc>
          <w:tcPr/>
          <w:p>
            <w:pPr>
              <w:pStyle w:val="Compact"/>
              <w:jc w:val="left"/>
            </w:pPr>
            <w:r>
              <w:t xml:space="preserve">C</w:t>
            </w:r>
          </w:p>
        </w:tc>
        <w:tc>
          <w:tcPr/>
          <w:p>
            <w:pPr>
              <w:pStyle w:val="Compact"/>
              <w:jc w:val="left"/>
            </w:pPr>
            <w:r>
              <w:t xml:space="preserve">cosmétique / cosmétique</w:t>
            </w:r>
          </w:p>
        </w:tc>
        <w:tc>
          <w:tcPr/>
          <w:p>
            <w:pPr>
              <w:pStyle w:val="Compact"/>
              <w:jc w:val="left"/>
            </w:pPr>
            <w:r>
              <w:t xml:space="preserve">1 / 24 (rem.)</w:t>
            </w:r>
          </w:p>
        </w:tc>
      </w:tr>
      <w:tr>
        <w:tc>
          <w:tcPr/>
          <w:p>
            <w:pPr>
              <w:pStyle w:val="Compact"/>
              <w:jc w:val="left"/>
            </w:pPr>
            <w:r>
              <w:t xml:space="preserve">Palmitoyl pentapeptide-4</w:t>
            </w:r>
          </w:p>
        </w:tc>
        <w:tc>
          <w:tcPr/>
          <w:p>
            <w:pPr>
              <w:pStyle w:val="Compact"/>
              <w:jc w:val="left"/>
            </w:pPr>
            <w:r>
              <w:t xml:space="preserve">B (faible)</w:t>
            </w:r>
          </w:p>
        </w:tc>
        <w:tc>
          <w:tcPr/>
          <w:p>
            <w:pPr>
              <w:pStyle w:val="Compact"/>
              <w:jc w:val="left"/>
            </w:pPr>
            <w:r>
              <w:t xml:space="preserve">cosmétique / cosmétique</w:t>
            </w:r>
          </w:p>
        </w:tc>
        <w:tc>
          <w:tcPr/>
          <w:p>
            <w:pPr>
              <w:pStyle w:val="Compact"/>
              <w:jc w:val="left"/>
            </w:pPr>
            <w:r>
              <w:t xml:space="preserve">1 / 0</w:t>
            </w:r>
          </w:p>
        </w:tc>
      </w:tr>
      <w:tr>
        <w:tc>
          <w:tcPr/>
          <w:p>
            <w:pPr>
              <w:pStyle w:val="Compact"/>
              <w:jc w:val="left"/>
            </w:pPr>
            <w:r>
              <w:t xml:space="preserve">Acétyl hexapeptide-8</w:t>
            </w:r>
          </w:p>
        </w:tc>
        <w:tc>
          <w:tcPr/>
          <w:p>
            <w:pPr>
              <w:pStyle w:val="Compact"/>
              <w:jc w:val="left"/>
            </w:pPr>
            <w:r>
              <w:t xml:space="preserve">B (faible)</w:t>
            </w:r>
          </w:p>
        </w:tc>
        <w:tc>
          <w:tcPr/>
          <w:p>
            <w:pPr>
              <w:pStyle w:val="Compact"/>
              <w:jc w:val="left"/>
            </w:pPr>
            <w:r>
              <w:t xml:space="preserve">cosmétique / cosmétique</w:t>
            </w:r>
          </w:p>
        </w:tc>
        <w:tc>
          <w:tcPr/>
          <w:p>
            <w:pPr>
              <w:pStyle w:val="Compact"/>
              <w:jc w:val="left"/>
            </w:pPr>
            <w:r>
              <w:t xml:space="preserve">3 / 7</w:t>
            </w:r>
          </w:p>
        </w:tc>
      </w:tr>
    </w:tbl>
    <w:p>
      <w:pPr>
        <w:pStyle w:val="BodyText"/>
      </w:pPr>
      <w:r>
        <w:t xml:space="preserve">Remarques sur le tableau : pour les</w:t>
      </w:r>
      <w:r>
        <w:t xml:space="preserve"> </w:t>
      </w:r>
      <w:r>
        <w:rPr>
          <w:bCs/>
          <w:b/>
        </w:rPr>
        <w:t xml:space="preserve">peptides de collagène</w:t>
      </w:r>
      <w:r>
        <w:t xml:space="preserve">, une part considérable des résultats du registre concerne d’autres sujets, par exemple les implants de collagène en médecine dentaire ou le médicament anticancéreux endostatine. Pour le</w:t>
      </w:r>
      <w:r>
        <w:t xml:space="preserve"> </w:t>
      </w:r>
      <w:r>
        <w:rPr>
          <w:bCs/>
          <w:b/>
        </w:rPr>
        <w:t xml:space="preserve">GHK-Cu</w:t>
      </w:r>
      <w:r>
        <w:t xml:space="preserve">, presque tous les résultats du registre concernent d’autres composés du cuivre, par exemple le cuivre 64 radioactif pour l’imagerie ; une seule entrée crédible étudie réellement le GHK. Pour aucune substance de ce groupe une allégation publicitaire de santé n’est autorisée dans l’UE ; pour les lactotripeptides, l’Autorité européenne de sécurité des aliments (EFSA) a rejeté l’allégation demandée sur la pression artérielle.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Peptide</w:t>
            </w:r>
          </w:p>
        </w:tc>
        <w:tc>
          <w:tcPr/>
          <w:p>
            <w:pPr>
              <w:pStyle w:val="Compact"/>
              <w:jc w:val="left"/>
            </w:pPr>
            <w:r>
              <w:t xml:space="preserve">Résultat clé</w:t>
            </w:r>
          </w:p>
        </w:tc>
        <w:tc>
          <w:tcPr/>
          <w:p>
            <w:pPr>
              <w:pStyle w:val="Compact"/>
              <w:jc w:val="left"/>
            </w:pPr>
            <w:r>
              <w:t xml:space="preserve">Risque principal</w:t>
            </w:r>
          </w:p>
        </w:tc>
      </w:tr>
      <w:tr>
        <w:tc>
          <w:tcPr/>
          <w:p>
            <w:pPr>
              <w:pStyle w:val="Compact"/>
              <w:jc w:val="left"/>
            </w:pPr>
            <w:r>
              <w:t xml:space="preserve">Peptides de collagène</w:t>
            </w:r>
          </w:p>
        </w:tc>
        <w:tc>
          <w:tcPr/>
          <w:p>
            <w:pPr>
              <w:pStyle w:val="Compact"/>
              <w:jc w:val="left"/>
            </w:pPr>
            <w:r>
              <w:t xml:space="preserve">Arthrose : effets faibles à modérés (PMID 38218227) ; bénéfice cutané absent dans les études indépendantes (PMID 40324552)</w:t>
            </w:r>
          </w:p>
        </w:tc>
        <w:tc>
          <w:tcPr/>
          <w:p>
            <w:pPr>
              <w:pStyle w:val="Compact"/>
              <w:jc w:val="left"/>
            </w:pPr>
            <w:r>
              <w:t xml:space="preserve">Remplacement de mesures efficaces ; oxalate en cas de tendance aux calculs rénaux</w:t>
            </w:r>
          </w:p>
        </w:tc>
      </w:tr>
      <w:tr>
        <w:tc>
          <w:tcPr/>
          <w:p>
            <w:pPr>
              <w:pStyle w:val="Compact"/>
              <w:jc w:val="left"/>
            </w:pPr>
            <w:r>
              <w:t xml:space="preserve">Lactotripeptides</w:t>
            </w:r>
          </w:p>
        </w:tc>
        <w:tc>
          <w:tcPr/>
          <w:p>
            <w:pPr>
              <w:pStyle w:val="Compact"/>
              <w:jc w:val="left"/>
            </w:pPr>
            <w:r>
              <w:t xml:space="preserve">Méta-analyse, 30 ECR : systolique −2,95 mmHg, avec biais de publication (PMID 25608938)</w:t>
            </w:r>
          </w:p>
        </w:tc>
        <w:tc>
          <w:tcPr/>
          <w:p>
            <w:pPr>
              <w:pStyle w:val="Compact"/>
              <w:jc w:val="left"/>
            </w:pPr>
            <w:r>
              <w:t xml:space="preserve">Remplacement d’un traitement antihypertenseur efficace</w:t>
            </w:r>
          </w:p>
        </w:tc>
      </w:tr>
      <w:tr>
        <w:tc>
          <w:tcPr/>
          <w:p>
            <w:pPr>
              <w:pStyle w:val="Compact"/>
              <w:jc w:val="left"/>
            </w:pPr>
            <w:r>
              <w:t xml:space="preserve">Carnosine</w:t>
            </w:r>
          </w:p>
        </w:tc>
        <w:tc>
          <w:tcPr/>
          <w:p>
            <w:pPr>
              <w:pStyle w:val="Compact"/>
              <w:jc w:val="left"/>
            </w:pPr>
            <w:r>
              <w:t xml:space="preserve">Méta-analyse, 8 ECR : valeurs de glycémie et d’HbA1c un peu plus basses (PMID 40999397)</w:t>
            </w:r>
          </w:p>
        </w:tc>
        <w:tc>
          <w:tcPr/>
          <w:p>
            <w:pPr>
              <w:pStyle w:val="Compact"/>
              <w:jc w:val="left"/>
            </w:pPr>
            <w:r>
              <w:t xml:space="preserve">Aucun risque significatif ; données à long terme manquantes</w:t>
            </w:r>
          </w:p>
        </w:tc>
      </w:tr>
      <w:tr>
        <w:tc>
          <w:tcPr/>
          <w:p>
            <w:pPr>
              <w:pStyle w:val="Compact"/>
              <w:jc w:val="left"/>
            </w:pPr>
            <w:r>
              <w:t xml:space="preserve">GHK-Cu</w:t>
            </w:r>
          </w:p>
        </w:tc>
        <w:tc>
          <w:tcPr/>
          <w:p>
            <w:pPr>
              <w:pStyle w:val="Compact"/>
              <w:jc w:val="left"/>
            </w:pPr>
            <w:r>
              <w:t xml:space="preserve">Ulcères du pied : surface de la plaie, médiane −98,5 % contre −60,8 % (PMID 17147644)</w:t>
            </w:r>
          </w:p>
        </w:tc>
        <w:tc>
          <w:tcPr/>
          <w:p>
            <w:pPr>
              <w:pStyle w:val="Compact"/>
              <w:jc w:val="left"/>
            </w:pPr>
            <w:r>
              <w:t xml:space="preserve">Injections de produits du marché gris non évaluées</w:t>
            </w:r>
          </w:p>
        </w:tc>
      </w:tr>
      <w:tr>
        <w:tc>
          <w:tcPr/>
          <w:p>
            <w:pPr>
              <w:pStyle w:val="Compact"/>
              <w:jc w:val="left"/>
            </w:pPr>
            <w:r>
              <w:t xml:space="preserve">Palmitoyl pentapeptide-4</w:t>
            </w:r>
          </w:p>
        </w:tc>
        <w:tc>
          <w:tcPr/>
          <w:p>
            <w:pPr>
              <w:pStyle w:val="Compact"/>
              <w:jc w:val="left"/>
            </w:pPr>
            <w:r>
              <w:t xml:space="preserve">93 femmes, étude en hémivisage : moins de rides après 12 semaines (PMID 18492182)</w:t>
            </w:r>
          </w:p>
        </w:tc>
        <w:tc>
          <w:tcPr/>
          <w:p>
            <w:pPr>
              <w:pStyle w:val="Compact"/>
              <w:jc w:val="left"/>
            </w:pPr>
            <w:r>
              <w:t xml:space="preserve">Rarement irritation cutanée</w:t>
            </w:r>
          </w:p>
        </w:tc>
      </w:tr>
      <w:tr>
        <w:tc>
          <w:tcPr/>
          <w:p>
            <w:pPr>
              <w:pStyle w:val="Compact"/>
              <w:jc w:val="left"/>
            </w:pPr>
            <w:r>
              <w:t xml:space="preserve">Acétyl hexapeptide-8</w:t>
            </w:r>
          </w:p>
        </w:tc>
        <w:tc>
          <w:tcPr/>
          <w:p>
            <w:pPr>
              <w:pStyle w:val="Compact"/>
              <w:jc w:val="left"/>
            </w:pPr>
            <w:r>
              <w:t xml:space="preserve">19 femmes, étude en hémivisage : aucune différence après 4 semaines (PMID 38024099)</w:t>
            </w:r>
          </w:p>
        </w:tc>
        <w:tc>
          <w:tcPr/>
          <w:p>
            <w:pPr>
              <w:pStyle w:val="Compact"/>
              <w:jc w:val="left"/>
            </w:pPr>
            <w:r>
              <w:t xml:space="preserve">Injections non autorisées, cas rapporté d’infection</w:t>
            </w:r>
          </w:p>
        </w:tc>
      </w:tr>
    </w:tbl>
    <w:bookmarkEnd w:id="2531"/>
    <w:bookmarkStart w:id="2535" w:name="X24de40cc0222e47cec0ec1c6fc66febf224b687"/>
    <w:p>
      <w:pPr>
        <w:pStyle w:val="Heading3"/>
      </w:pPr>
      <w:r>
        <w:t xml:space="preserve">Analyse : dans quelle mesure les peptides sont-ils étudiés dans leur ensemble ?</w:t>
      </w:r>
    </w:p>
    <w:bookmarkStart w:id="2532" w:name="répartition-des-niveaux-de-preuve"/>
    <w:p>
      <w:pPr>
        <w:pStyle w:val="Heading4"/>
      </w:pPr>
      <w:r>
        <w:t xml:space="preserve">Répartition des niveaux de preuve</w:t>
      </w:r>
    </w:p>
    <w:p>
      <w:pPr>
        <w:pStyle w:val="FirstParagraph"/>
      </w:pPr>
      <w:r>
        <w:t xml:space="preserve">Les 58 entrées de ce livre – 56 peptides et deux substances de comparaison qui ne sont pas des peptides (orforglipron et ibutamorène) – se répartissent comme suit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Niveau de preuve</w:t>
            </w:r>
          </w:p>
        </w:tc>
        <w:tc>
          <w:tcPr/>
          <w:p>
            <w:pPr>
              <w:pStyle w:val="Compact"/>
              <w:jc w:val="left"/>
            </w:pPr>
            <w:r>
              <w:t xml:space="preserve">Nombre</w:t>
            </w:r>
          </w:p>
        </w:tc>
        <w:tc>
          <w:tcPr/>
          <w:p>
            <w:pPr>
              <w:pStyle w:val="Compact"/>
              <w:jc w:val="left"/>
            </w:pPr>
            <w:r>
              <w:t xml:space="preserve">Part</w:t>
            </w:r>
          </w:p>
        </w:tc>
        <w:tc>
          <w:tcPr/>
          <w:p>
            <w:pPr>
              <w:pStyle w:val="Compact"/>
              <w:jc w:val="left"/>
            </w:pPr>
            <w:r>
              <w:t xml:space="preserve">Exemples</w:t>
            </w:r>
          </w:p>
        </w:tc>
      </w:tr>
      <w:tr>
        <w:tc>
          <w:tcPr/>
          <w:p>
            <w:pPr>
              <w:pStyle w:val="Compact"/>
              <w:jc w:val="left"/>
            </w:pPr>
            <w:r>
              <w:t xml:space="preserve">A</w:t>
            </w:r>
          </w:p>
        </w:tc>
        <w:tc>
          <w:tcPr/>
          <w:p>
            <w:pPr>
              <w:pStyle w:val="Compact"/>
              <w:jc w:val="left"/>
            </w:pPr>
            <w:r>
              <w:t xml:space="preserve">14</w:t>
            </w:r>
          </w:p>
        </w:tc>
        <w:tc>
          <w:tcPr/>
          <w:p>
            <w:pPr>
              <w:pStyle w:val="Compact"/>
              <w:jc w:val="left"/>
            </w:pPr>
            <w:r>
              <w:t xml:space="preserve">24 %</w:t>
            </w:r>
          </w:p>
        </w:tc>
        <w:tc>
          <w:tcPr/>
          <w:p>
            <w:pPr>
              <w:pStyle w:val="Compact"/>
              <w:jc w:val="left"/>
            </w:pPr>
            <w:r>
              <w:t xml:space="preserve">Sémaglutide, tirzépatide, tésamoréline, afamélanotide</w:t>
            </w:r>
          </w:p>
        </w:tc>
      </w:tr>
      <w:tr>
        <w:tc>
          <w:tcPr/>
          <w:p>
            <w:pPr>
              <w:pStyle w:val="Compact"/>
              <w:jc w:val="left"/>
            </w:pPr>
            <w:r>
              <w:t xml:space="preserve">B</w:t>
            </w:r>
          </w:p>
        </w:tc>
        <w:tc>
          <w:tcPr/>
          <w:p>
            <w:pPr>
              <w:pStyle w:val="Compact"/>
              <w:jc w:val="left"/>
            </w:pPr>
            <w:r>
              <w:t xml:space="preserve">25</w:t>
            </w:r>
          </w:p>
        </w:tc>
        <w:tc>
          <w:tcPr/>
          <w:p>
            <w:pPr>
              <w:pStyle w:val="Compact"/>
              <w:jc w:val="left"/>
            </w:pPr>
            <w:r>
              <w:t xml:space="preserve">43 %</w:t>
            </w:r>
          </w:p>
        </w:tc>
        <w:tc>
          <w:tcPr/>
          <w:p>
            <w:pPr>
              <w:pStyle w:val="Compact"/>
              <w:jc w:val="left"/>
            </w:pPr>
            <w:r>
              <w:t xml:space="preserve">Rétatrutide, thymosine alpha-1, glutathion, peptides de collagène</w:t>
            </w:r>
          </w:p>
        </w:tc>
      </w:tr>
      <w:tr>
        <w:tc>
          <w:tcPr/>
          <w:p>
            <w:pPr>
              <w:pStyle w:val="Compact"/>
              <w:jc w:val="left"/>
            </w:pPr>
            <w:r>
              <w:t xml:space="preserve">C</w:t>
            </w:r>
          </w:p>
        </w:tc>
        <w:tc>
          <w:tcPr/>
          <w:p>
            <w:pPr>
              <w:pStyle w:val="Compact"/>
              <w:jc w:val="left"/>
            </w:pPr>
            <w:r>
              <w:t xml:space="preserve">12</w:t>
            </w:r>
          </w:p>
        </w:tc>
        <w:tc>
          <w:tcPr/>
          <w:p>
            <w:pPr>
              <w:pStyle w:val="Compact"/>
              <w:jc w:val="left"/>
            </w:pPr>
            <w:r>
              <w:t xml:space="preserve">21 %</w:t>
            </w:r>
          </w:p>
        </w:tc>
        <w:tc>
          <w:tcPr/>
          <w:p>
            <w:pPr>
              <w:pStyle w:val="Compact"/>
              <w:jc w:val="left"/>
            </w:pPr>
            <w:r>
              <w:t xml:space="preserve">BPC-157, CJC-1295, Semax, Melanotan II</w:t>
            </w:r>
          </w:p>
        </w:tc>
      </w:tr>
      <w:tr>
        <w:tc>
          <w:tcPr/>
          <w:p>
            <w:pPr>
              <w:pStyle w:val="Compact"/>
              <w:jc w:val="left"/>
            </w:pPr>
            <w:r>
              <w:t xml:space="preserve">D</w:t>
            </w:r>
          </w:p>
        </w:tc>
        <w:tc>
          <w:tcPr/>
          <w:p>
            <w:pPr>
              <w:pStyle w:val="Compact"/>
              <w:jc w:val="left"/>
            </w:pPr>
            <w:r>
              <w:t xml:space="preserve">7</w:t>
            </w:r>
          </w:p>
        </w:tc>
        <w:tc>
          <w:tcPr/>
          <w:p>
            <w:pPr>
              <w:pStyle w:val="Compact"/>
              <w:jc w:val="left"/>
            </w:pPr>
            <w:r>
              <w:t xml:space="preserve">12 %</w:t>
            </w:r>
          </w:p>
        </w:tc>
        <w:tc>
          <w:tcPr/>
          <w:p>
            <w:pPr>
              <w:pStyle w:val="Compact"/>
              <w:jc w:val="left"/>
            </w:pPr>
            <w:r>
              <w:t xml:space="preserve">AOD-9604, KPV, Dihexa, MOTS-c, IGF-1 LR3</w:t>
            </w:r>
          </w:p>
        </w:tc>
      </w:tr>
    </w:tbl>
    <w:p>
      <w:pPr>
        <w:pStyle w:val="BodyText"/>
      </w:pPr>
      <w:r>
        <w:t xml:space="preserve">Remarque : le TB-500 est compté avec le niveau B de la thymosine bêta-4 ; pour le fragment TB-500 seul, c’est le niveau D qui s’applique.</w:t>
      </w:r>
    </w:p>
    <w:p>
      <w:pPr>
        <w:pStyle w:val="BodyText"/>
      </w:pPr>
      <w:r>
        <w:t xml:space="preserve">Trois schémas :</w:t>
      </w:r>
    </w:p>
    <w:p>
      <w:pPr>
        <w:numPr>
          <w:ilvl w:val="0"/>
          <w:numId w:val="1321"/>
        </w:numPr>
        <w:pStyle w:val="Compact"/>
      </w:pPr>
      <w:r>
        <w:rPr>
          <w:bCs/>
          <w:b/>
        </w:rPr>
        <w:t xml:space="preserve">Le niveau A n’est presque atteint que par des principes actifs qui ont suivi un programme d’autorisation régulier d’un fabricant pharmaceutique.</w:t>
      </w:r>
      <w:r>
        <w:t xml:space="preserve"> </w:t>
      </w:r>
      <w:r>
        <w:t xml:space="preserve">Neuf des 14 entrées de niveau A proviennent du groupe A (métabolisme et poids). Les autres sont la tésamoréline, la macimoréline et la mécasermine pour l’axe de l’hormone de croissance, ainsi que le brémélanotide et l’afamélanotide. Aucune des substances décrites dans le groupe B (cicatrisation) et le groupe D (cerveau et longévité) n’atteint le niveau A.</w:t>
      </w:r>
    </w:p>
    <w:p>
      <w:pPr>
        <w:numPr>
          <w:ilvl w:val="0"/>
          <w:numId w:val="1321"/>
        </w:numPr>
        <w:pStyle w:val="Compact"/>
      </w:pPr>
      <w:r>
        <w:rPr>
          <w:bCs/>
          <w:b/>
        </w:rPr>
        <w:t xml:space="preserve">Le niveau B signifie souvent « évalué et non confirmé ».</w:t>
      </w:r>
      <w:r>
        <w:t xml:space="preserve"> </w:t>
      </w:r>
      <w:r>
        <w:t xml:space="preserve">Pour beaucoup des 25 entrées, la plus grande étude randomisée a manqué son objectif principal : thymosine alpha-1 dans le sepsis, LL-37 dans les ulcères de jambe, ipamoréline après chirurgie intestinale, élamiprétide dans la myopathie, ocytocine dans l’autisme, glutathion contre les neuropathies dues à la chimiothérapie.</w:t>
      </w:r>
    </w:p>
    <w:p>
      <w:pPr>
        <w:numPr>
          <w:ilvl w:val="0"/>
          <w:numId w:val="1321"/>
        </w:numPr>
        <w:pStyle w:val="Compact"/>
      </w:pPr>
      <w:r>
        <w:rPr>
          <w:bCs/>
          <w:b/>
        </w:rPr>
        <w:t xml:space="preserve">Un tiers est au niveau C ou D.</w:t>
      </w:r>
      <w:r>
        <w:t xml:space="preserve"> </w:t>
      </w:r>
      <w:r>
        <w:t xml:space="preserve">19 des 58 entrées reposent sur de petites études chez l’humain non contrôlées ou uniquement sur des expériences animales et de laboratoire – dont beaucoup des substances les plus promues sur Internet.</w:t>
      </w:r>
    </w:p>
    <w:p>
      <w:pPr>
        <w:pStyle w:val="FirstParagraph"/>
      </w:pPr>
      <w:r>
        <w:t xml:space="preserve">Par groupe :</w:t>
      </w:r>
    </w:p>
    <w:p>
      <w:pPr>
        <w:numPr>
          <w:ilvl w:val="0"/>
          <w:numId w:val="1322"/>
        </w:numPr>
        <w:pStyle w:val="Compact"/>
      </w:pPr>
      <w:r>
        <w:t xml:space="preserve">A. Métabolisme et poids (15 entrées) : 9 × A, 5 × B, 1 × D</w:t>
      </w:r>
    </w:p>
    <w:p>
      <w:pPr>
        <w:numPr>
          <w:ilvl w:val="0"/>
          <w:numId w:val="1322"/>
        </w:numPr>
        <w:pStyle w:val="Compact"/>
      </w:pPr>
      <w:r>
        <w:t xml:space="preserve">B. Cicatrisation et système immunitaire (8) : 5 × B, 2 × C, 1 × D</w:t>
      </w:r>
    </w:p>
    <w:p>
      <w:pPr>
        <w:numPr>
          <w:ilvl w:val="0"/>
          <w:numId w:val="1322"/>
        </w:numPr>
        <w:pStyle w:val="Compact"/>
      </w:pPr>
      <w:r>
        <w:t xml:space="preserve">C. Axe de l’hormone de croissance (11) : 3 × A, 4 × B, 3 × C, 1 × D</w:t>
      </w:r>
    </w:p>
    <w:p>
      <w:pPr>
        <w:numPr>
          <w:ilvl w:val="0"/>
          <w:numId w:val="1322"/>
        </w:numPr>
        <w:pStyle w:val="Compact"/>
      </w:pPr>
      <w:r>
        <w:t xml:space="preserve">D. Cerveau et longévité (12) : 3 × B, 5 × C, 4 × D</w:t>
      </w:r>
    </w:p>
    <w:p>
      <w:pPr>
        <w:numPr>
          <w:ilvl w:val="0"/>
          <w:numId w:val="1322"/>
        </w:numPr>
        <w:pStyle w:val="Compact"/>
      </w:pPr>
      <w:r>
        <w:t xml:space="preserve">E. Hormones et pigmentation (6) : 2 × A, 3 × B, 1 × C</w:t>
      </w:r>
    </w:p>
    <w:p>
      <w:pPr>
        <w:numPr>
          <w:ilvl w:val="0"/>
          <w:numId w:val="1322"/>
        </w:numPr>
        <w:pStyle w:val="Compact"/>
      </w:pPr>
      <w:r>
        <w:t xml:space="preserve">F. Collagène et cosmétique (6) : 5 × B, 1 × C</w:t>
      </w:r>
    </w:p>
    <w:p>
      <w:pPr>
        <w:pStyle w:val="FirstParagraph"/>
      </w:pPr>
      <w:r>
        <w:t xml:space="preserve">Le groupe D a les données les plus faibles : quatre de ses douze peptides n’ont jamais été administrés dans une étude publiée chez l’humain, cinq autres seulement dans de petites études, le plus souvent non randomisées.</w:t>
      </w:r>
    </w:p>
    <w:bookmarkEnd w:id="2532"/>
    <w:bookmarkStart w:id="2533" w:name="autorisé-ou-non"/>
    <w:p>
      <w:pPr>
        <w:pStyle w:val="Heading4"/>
      </w:pPr>
      <w:r>
        <w:t xml:space="preserve">Autorisé ou non ?</w:t>
      </w:r>
    </w:p>
    <w:p>
      <w:pPr>
        <w:pStyle w:val="FirstParagraph"/>
      </w:pPr>
      <w:r>
        <w:t xml:space="preserve">Dans ce livre, « autorisé » signifie : une autorité du médicament a évalué l’efficacité, la sécurité et la qualité de fabrication pour un usage déterminé. Les 58 entrées peuvent ainsi être réparties en cinq groupes (état octobre 2026, à vérifier)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Statut</w:t>
            </w:r>
          </w:p>
        </w:tc>
        <w:tc>
          <w:tcPr/>
          <w:p>
            <w:pPr>
              <w:pStyle w:val="Compact"/>
              <w:jc w:val="left"/>
            </w:pPr>
            <w:r>
              <w:t xml:space="preserve">Nombre</w:t>
            </w:r>
          </w:p>
        </w:tc>
        <w:tc>
          <w:tcPr/>
          <w:p>
            <w:pPr>
              <w:pStyle w:val="Compact"/>
              <w:jc w:val="left"/>
            </w:pPr>
            <w:r>
              <w:t xml:space="preserve">Peptides</w:t>
            </w:r>
          </w:p>
        </w:tc>
      </w:tr>
      <w:tr>
        <w:tc>
          <w:tcPr/>
          <w:p>
            <w:pPr>
              <w:pStyle w:val="Compact"/>
              <w:jc w:val="left"/>
            </w:pPr>
            <w:r>
              <w:t xml:space="preserve">Autorisé comme médicament dans l’UE et/ou aux États-Unis</w:t>
            </w:r>
          </w:p>
        </w:tc>
        <w:tc>
          <w:tcPr/>
          <w:p>
            <w:pPr>
              <w:pStyle w:val="Compact"/>
              <w:jc w:val="left"/>
            </w:pPr>
            <w:r>
              <w:t xml:space="preserve">14</w:t>
            </w:r>
          </w:p>
        </w:tc>
        <w:tc>
          <w:tcPr/>
          <w:p>
            <w:pPr>
              <w:pStyle w:val="Compact"/>
              <w:jc w:val="left"/>
            </w:pPr>
            <w:r>
              <w:t xml:space="preserve">Exénatide, liraglutide, dulaglutide, sémaglutide, tirzépatide, setmélanotide, pramlintide, tésamoréline, macimoréline, mécasermine, afamélanotide, brémélanotide, SS-31, ocytocine (obstétrique uniquement)</w:t>
            </w:r>
          </w:p>
        </w:tc>
      </w:tr>
      <w:tr>
        <w:tc>
          <w:tcPr/>
          <w:p>
            <w:pPr>
              <w:pStyle w:val="Compact"/>
              <w:jc w:val="left"/>
            </w:pPr>
            <w:r>
              <w:t xml:space="preserve">Autorisé seulement au niveau national dans certains États de l’UE ou seulement hors UE et États-Unis</w:t>
            </w:r>
          </w:p>
        </w:tc>
        <w:tc>
          <w:tcPr/>
          <w:p>
            <w:pPr>
              <w:pStyle w:val="Compact"/>
              <w:jc w:val="left"/>
            </w:pPr>
            <w:r>
              <w:t xml:space="preserve">8</w:t>
            </w:r>
          </w:p>
        </w:tc>
        <w:tc>
          <w:tcPr/>
          <w:p>
            <w:pPr>
              <w:pStyle w:val="Compact"/>
              <w:jc w:val="left"/>
            </w:pPr>
            <w:r>
              <w:t xml:space="preserve">Cerebrolysin, gonadoréline, mazdutide (Chine), thymosine alpha-1 (notamment Chine), thymaline, Semax, Selank (Russie), GHRP-2 (Japon, produit diagnostique)</w:t>
            </w:r>
          </w:p>
        </w:tc>
      </w:tr>
      <w:tr>
        <w:tc>
          <w:tcPr/>
          <w:p>
            <w:pPr>
              <w:pStyle w:val="Compact"/>
              <w:jc w:val="left"/>
            </w:pPr>
            <w:r>
              <w:t xml:space="preserve">Autrefois autorisé aux États-Unis, plus commercialisé aujourd’hui</w:t>
            </w:r>
          </w:p>
        </w:tc>
        <w:tc>
          <w:tcPr/>
          <w:p>
            <w:pPr>
              <w:pStyle w:val="Compact"/>
              <w:jc w:val="left"/>
            </w:pPr>
            <w:r>
              <w:t xml:space="preserve">1</w:t>
            </w:r>
          </w:p>
        </w:tc>
        <w:tc>
          <w:tcPr/>
          <w:p>
            <w:pPr>
              <w:pStyle w:val="Compact"/>
              <w:jc w:val="left"/>
            </w:pPr>
            <w:r>
              <w:t xml:space="preserve">Sermoréline</w:t>
            </w:r>
          </w:p>
        </w:tc>
      </w:tr>
      <w:tr>
        <w:tc>
          <w:tcPr/>
          <w:p>
            <w:pPr>
              <w:pStyle w:val="Compact"/>
              <w:jc w:val="left"/>
            </w:pPr>
            <w:r>
              <w:t xml:space="preserve">Admis comme aliment, complément alimentaire ou cosmétique, sans autorisation comme médicament</w:t>
            </w:r>
          </w:p>
        </w:tc>
        <w:tc>
          <w:tcPr/>
          <w:p>
            <w:pPr>
              <w:pStyle w:val="Compact"/>
              <w:jc w:val="left"/>
            </w:pPr>
            <w:r>
              <w:t xml:space="preserve">7</w:t>
            </w:r>
          </w:p>
        </w:tc>
        <w:tc>
          <w:tcPr/>
          <w:p>
            <w:pPr>
              <w:pStyle w:val="Compact"/>
              <w:jc w:val="left"/>
            </w:pPr>
            <w:r>
              <w:t xml:space="preserve">Peptides de collagène, lactotripeptides, carnosine, glutathion, GHK-Cu, palmitoyl pentapeptide-4, acétyl hexapeptide-8</w:t>
            </w:r>
          </w:p>
        </w:tc>
      </w:tr>
      <w:tr>
        <w:tc>
          <w:tcPr/>
          <w:p>
            <w:pPr>
              <w:pStyle w:val="Compact"/>
              <w:jc w:val="left"/>
            </w:pPr>
            <w:r>
              <w:t xml:space="preserve">Autorisé nulle part</w:t>
            </w:r>
          </w:p>
        </w:tc>
        <w:tc>
          <w:tcPr/>
          <w:p>
            <w:pPr>
              <w:pStyle w:val="Compact"/>
              <w:jc w:val="left"/>
            </w:pPr>
            <w:r>
              <w:t xml:space="preserve">28</w:t>
            </w:r>
          </w:p>
        </w:tc>
        <w:tc>
          <w:tcPr/>
          <w:p>
            <w:pPr>
              <w:pStyle w:val="Compact"/>
              <w:jc w:val="left"/>
            </w:pPr>
            <w:r>
              <w:t xml:space="preserve">dont rétatrutide, CagriSema, BPC-157, TB-500, CJC-1295, ipamoréline, épitalon, MOTS-c, Melanotan II, IGF-1 LR3, orforglipron (demande déposée) et ibutamorène</w:t>
            </w:r>
          </w:p>
        </w:tc>
      </w:tr>
    </w:tbl>
    <w:p>
      <w:pPr>
        <w:pStyle w:val="BodyText"/>
      </w:pPr>
      <w:r>
        <w:t xml:space="preserve">Seul un quart environ des entrées est autorisé comme médicament dans l’UE ou aux États-Unis – le plus souvent pour des usages étroitement délimités : l’afamélanotide pour une intolérance rare à la lumière (protoporphyrie érythropoïétique, PPE), pas pour bronzer ; l’élamiprétide uniquement pour le syndrome de Barth ; l’ocytocine uniquement en obstétrique, pas en spray nasal ; la tésamoréline uniquement pour un trouble de la répartition des graisses lié au VIH. Face à la mention « autorisé », il vaut donc toujours la peine de se demander : où, pour quoi et sous quelle forme ?</w:t>
      </w:r>
    </w:p>
    <w:p>
      <w:pPr>
        <w:pStyle w:val="BodyText"/>
      </w:pPr>
      <w:r>
        <w:t xml:space="preserve">Les 28 entrées autorisées nulle part se divisent en deux groupes. Le rétatrutide, le survodutide, le CagriSema, l’amycrétine, le maridebart cafraglutide et l’orforglipron suivent un développement régulier avec des études de phase 3 ; une autorisation est probable pour eux, mais pas certaine (appréciation). Des substances comme le BPC-157, le TB-500, le CJC-1295, l’AOD-9604, l’épitalon, le MOTS-c, le Dihexa ou l’IGF-1 LR3 n’ont en revanche aucune voie d’autorisation visible et sont surtout vendues comme « research peptides ». Les offres du marché gris concernant le premier groupe ne doivent pas être assimilées aux médicaments évalués.</w:t>
      </w:r>
    </w:p>
    <w:bookmarkEnd w:id="2533"/>
    <w:bookmarkStart w:id="2534" w:name="statut-antidopage-selon-la-wada"/>
    <w:p>
      <w:pPr>
        <w:pStyle w:val="Heading4"/>
      </w:pPr>
      <w:r>
        <w:t xml:space="preserve">Statut antidopage selon la WADA</w:t>
      </w:r>
    </w:p>
    <w:p>
      <w:pPr>
        <w:pStyle w:val="FirstParagraph"/>
      </w:pPr>
      <w:r>
        <w:t xml:space="preserve">Pour le sport de compétition, c’est la liste des interdictions de l’Agence mondiale antidopage (WADA) qui compte. Les principales classes :</w:t>
      </w:r>
    </w:p>
    <w:p>
      <w:pPr>
        <w:numPr>
          <w:ilvl w:val="0"/>
          <w:numId w:val="1323"/>
        </w:numPr>
        <w:pStyle w:val="Compact"/>
      </w:pPr>
      <w:r>
        <w:rPr>
          <w:bCs/>
          <w:b/>
        </w:rPr>
        <w:t xml:space="preserve">S0</w:t>
      </w:r>
      <w:r>
        <w:t xml:space="preserve"> </w:t>
      </w:r>
      <w:r>
        <w:t xml:space="preserve">– substances non approuvées : toutes les substances sans autorisation de médicament à usage humain, même sans mention nominative.</w:t>
      </w:r>
    </w:p>
    <w:p>
      <w:pPr>
        <w:numPr>
          <w:ilvl w:val="0"/>
          <w:numId w:val="1323"/>
        </w:numPr>
        <w:pStyle w:val="Compact"/>
      </w:pPr>
      <w:r>
        <w:rPr>
          <w:bCs/>
          <w:b/>
        </w:rPr>
        <w:t xml:space="preserve">S2</w:t>
      </w:r>
      <w:r>
        <w:t xml:space="preserve"> </w:t>
      </w:r>
      <w:r>
        <w:t xml:space="preserve">– hormones peptidiques, facteurs de croissance et substances apparentées, dont l’hormone de croissance, ses facteurs de libération et ses fragments, l’IGF-1, la thymosine bêta-4 et, chez les hommes, les facteurs de libération de l’hormone lutéinisante (LH).</w:t>
      </w:r>
    </w:p>
    <w:p>
      <w:pPr>
        <w:numPr>
          <w:ilvl w:val="0"/>
          <w:numId w:val="1323"/>
        </w:numPr>
        <w:pStyle w:val="Compact"/>
      </w:pPr>
      <w:r>
        <w:rPr>
          <w:bCs/>
          <w:b/>
        </w:rPr>
        <w:t xml:space="preserve">S4</w:t>
      </w:r>
      <w:r>
        <w:t xml:space="preserve"> </w:t>
      </w:r>
      <w:r>
        <w:t xml:space="preserve">– modulateurs hormonaux et métaboliques, dont les activateurs de l’enzyme AMPK.</w:t>
      </w:r>
    </w:p>
    <w:p>
      <w:pPr>
        <w:numPr>
          <w:ilvl w:val="0"/>
          <w:numId w:val="1323"/>
        </w:numPr>
        <w:pStyle w:val="Compact"/>
      </w:pPr>
      <w:r>
        <w:rPr>
          <w:bCs/>
          <w:b/>
        </w:rPr>
        <w:t xml:space="preserve">M2</w:t>
      </w:r>
      <w:r>
        <w:t xml:space="preserve"> </w:t>
      </w:r>
      <w:r>
        <w:t xml:space="preserve">– méthodes interdites, dont les perfusions de plus de 100 ml en douze heures.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Peptides</w:t>
            </w:r>
          </w:p>
        </w:tc>
        <w:tc>
          <w:tcPr/>
          <w:p>
            <w:pPr>
              <w:pStyle w:val="Compact"/>
              <w:jc w:val="left"/>
            </w:pPr>
            <w:r>
              <w:t xml:space="preserve">Statut WADA</w:t>
            </w:r>
          </w:p>
        </w:tc>
      </w:tr>
      <w:tr>
        <w:tc>
          <w:tcPr/>
          <w:p>
            <w:pPr>
              <w:pStyle w:val="Compact"/>
              <w:jc w:val="left"/>
            </w:pPr>
            <w:r>
              <w:t xml:space="preserve">AOD-9604, TB-500 / thymosine bêta-4, ARA-290, sermoréline, tésamoréline, CJC-1295, ipamoréline, GHRP-2, GHRP-6, hexaréline, macimoréline, mécasermine, IGF-1 LR3, ibutamorène</w:t>
            </w:r>
          </w:p>
        </w:tc>
        <w:tc>
          <w:tcPr/>
          <w:p>
            <w:pPr>
              <w:pStyle w:val="Compact"/>
              <w:jc w:val="left"/>
            </w:pPr>
            <w:r>
              <w:t xml:space="preserve">interdits, S2</w:t>
            </w:r>
          </w:p>
        </w:tc>
      </w:tr>
      <w:tr>
        <w:tc>
          <w:tcPr/>
          <w:p>
            <w:pPr>
              <w:pStyle w:val="Compact"/>
              <w:jc w:val="left"/>
            </w:pPr>
            <w:r>
              <w:t xml:space="preserve">Gonadoréline ; kisspeptine</w:t>
            </w:r>
          </w:p>
        </w:tc>
        <w:tc>
          <w:tcPr/>
          <w:p>
            <w:pPr>
              <w:pStyle w:val="Compact"/>
              <w:jc w:val="left"/>
            </w:pPr>
            <w:r>
              <w:t xml:space="preserve">interdites pour les hommes, S2 ; la kisspeptine, en tant que principe actif non autorisé, relève en outre de S0</w:t>
            </w:r>
          </w:p>
        </w:tc>
      </w:tr>
      <w:tr>
        <w:tc>
          <w:tcPr/>
          <w:p>
            <w:pPr>
              <w:pStyle w:val="Compact"/>
              <w:jc w:val="left"/>
            </w:pPr>
            <w:r>
              <w:t xml:space="preserve">MOTS-c</w:t>
            </w:r>
          </w:p>
        </w:tc>
        <w:tc>
          <w:tcPr/>
          <w:p>
            <w:pPr>
              <w:pStyle w:val="Compact"/>
              <w:jc w:val="left"/>
            </w:pPr>
            <w:r>
              <w:t xml:space="preserve">interdit, S4 (activateur de l’AMPK)</w:t>
            </w:r>
          </w:p>
        </w:tc>
      </w:tr>
      <w:tr>
        <w:tc>
          <w:tcPr/>
          <w:p>
            <w:pPr>
              <w:pStyle w:val="Compact"/>
              <w:jc w:val="left"/>
            </w:pPr>
            <w:r>
              <w:t xml:space="preserve">Rétatrutide, survodutide, CagriSema, amycrétine, maridebart cafraglutide, BPC-157, Melanotan II</w:t>
            </w:r>
          </w:p>
        </w:tc>
        <w:tc>
          <w:tcPr/>
          <w:p>
            <w:pPr>
              <w:pStyle w:val="Compact"/>
              <w:jc w:val="left"/>
            </w:pPr>
            <w:r>
              <w:t xml:space="preserve">interdits, S0</w:t>
            </w:r>
          </w:p>
        </w:tc>
      </w:tr>
      <w:tr>
        <w:tc>
          <w:tcPr/>
          <w:p>
            <w:pPr>
              <w:pStyle w:val="Compact"/>
              <w:jc w:val="left"/>
            </w:pPr>
            <w:r>
              <w:t xml:space="preserve">KPV, LL-37, Dihexa, épitalon, pinéalon, humanine, FOXO4-DRI, orforglipron (jusqu’à l’autorisation)</w:t>
            </w:r>
          </w:p>
        </w:tc>
        <w:tc>
          <w:tcPr/>
          <w:p>
            <w:pPr>
              <w:pStyle w:val="Compact"/>
              <w:jc w:val="left"/>
            </w:pPr>
            <w:r>
              <w:t xml:space="preserve">pas mentionnés nommément ; en tant que substances non approuvées, probablement S0</w:t>
            </w:r>
          </w:p>
        </w:tc>
      </w:tr>
      <w:tr>
        <w:tc>
          <w:tcPr/>
          <w:p>
            <w:pPr>
              <w:pStyle w:val="Compact"/>
              <w:jc w:val="left"/>
            </w:pPr>
            <w:r>
              <w:t xml:space="preserve">Mazdutide</w:t>
            </w:r>
          </w:p>
        </w:tc>
        <w:tc>
          <w:tcPr/>
          <w:p>
            <w:pPr>
              <w:pStyle w:val="Compact"/>
              <w:jc w:val="left"/>
            </w:pPr>
            <w:r>
              <w:t xml:space="preserve">pas mentionné nommément ; statut S0 incertain en raison de l’autorisation en Chine</w:t>
            </w:r>
          </w:p>
        </w:tc>
      </w:tr>
      <w:tr>
        <w:tc>
          <w:tcPr/>
          <w:p>
            <w:pPr>
              <w:pStyle w:val="Compact"/>
              <w:jc w:val="left"/>
            </w:pPr>
            <w:r>
              <w:t xml:space="preserve">GHK-Cu</w:t>
            </w:r>
          </w:p>
        </w:tc>
        <w:tc>
          <w:tcPr/>
          <w:p>
            <w:pPr>
              <w:pStyle w:val="Compact"/>
              <w:jc w:val="left"/>
            </w:pPr>
            <w:r>
              <w:t xml:space="preserve">non interdit comme cosmétique ; injection éventuellement S0</w:t>
            </w:r>
          </w:p>
        </w:tc>
      </w:tr>
      <w:tr>
        <w:tc>
          <w:tcPr/>
          <w:p>
            <w:pPr>
              <w:pStyle w:val="Compact"/>
              <w:jc w:val="left"/>
            </w:pPr>
            <w:r>
              <w:t xml:space="preserve">Glutathion</w:t>
            </w:r>
          </w:p>
        </w:tc>
        <w:tc>
          <w:tcPr/>
          <w:p>
            <w:pPr>
              <w:pStyle w:val="Compact"/>
              <w:jc w:val="left"/>
            </w:pPr>
            <w:r>
              <w:t xml:space="preserve">substance non interdite ; perfusions de plus de 100 ml en douze heures interdites (M2)</w:t>
            </w:r>
          </w:p>
        </w:tc>
      </w:tr>
      <w:tr>
        <w:tc>
          <w:tcPr/>
          <w:p>
            <w:pPr>
              <w:pStyle w:val="Compact"/>
              <w:jc w:val="left"/>
            </w:pPr>
            <w:r>
              <w:t xml:space="preserve">Semax, Selank, DSIP, SS-31, brémélanotide</w:t>
            </w:r>
          </w:p>
        </w:tc>
        <w:tc>
          <w:tcPr/>
          <w:p>
            <w:pPr>
              <w:pStyle w:val="Compact"/>
              <w:jc w:val="left"/>
            </w:pPr>
            <w:r>
              <w:t xml:space="preserve">pas mentionnés nommément ; classement incertain</w:t>
            </w:r>
          </w:p>
        </w:tc>
      </w:tr>
      <w:tr>
        <w:tc>
          <w:tcPr/>
          <w:p>
            <w:pPr>
              <w:pStyle w:val="Compact"/>
              <w:jc w:val="left"/>
            </w:pPr>
            <w:r>
              <w:t xml:space="preserve">Exénatide, liraglutide, dulaglutide, sémaglutide, tirzépatide, pramlintide, setmélanotide, thymosine alpha-1, larazotide, thymaline, Cerebrolysin, afamélanotide, ocytocine, peptides de collagène, lactotripeptides, carnosine, palmitoyl pentapeptide-4, acétyl hexapeptide-8</w:t>
            </w:r>
          </w:p>
        </w:tc>
        <w:tc>
          <w:tcPr/>
          <w:p>
            <w:pPr>
              <w:pStyle w:val="Compact"/>
              <w:jc w:val="left"/>
            </w:pPr>
            <w:r>
              <w:t xml:space="preserve">pas listés</w:t>
            </w:r>
          </w:p>
        </w:tc>
      </w:tr>
    </w:tbl>
    <w:p>
      <w:pPr>
        <w:pStyle w:val="BodyText"/>
      </w:pPr>
      <w:r>
        <w:t xml:space="preserve">La liste n’est pas exhaustive : S0 couvre toute substance sans autorisation, S2 aussi les « substances apparentées » à effet similaire. Ne pas être mentionné nommément ne signifie donc pas être autorisé. Ce sont justement les substances de l’axe de l’hormone de croissance, populaires dans les sports de force, ainsi que le BPC-157 et le TB-500 qui sont expressément interdites. En cas de doute, les agences nationales antidopage fournissent des renseignements.</w:t>
      </w:r>
    </w:p>
    <w:bookmarkEnd w:id="2534"/>
    <w:bookmarkEnd w:id="2535"/>
    <w:bookmarkStart w:id="2536" w:name="ce-que-montre-cette-vue-densemble"/>
    <w:p>
      <w:pPr>
        <w:pStyle w:val="Heading3"/>
      </w:pPr>
      <w:r>
        <w:t xml:space="preserve">Ce que montre cette vue d’ensemble</w:t>
      </w:r>
    </w:p>
    <w:p>
      <w:pPr>
        <w:pStyle w:val="FirstParagraph"/>
      </w:pPr>
      <w:r>
        <w:t xml:space="preserve">Les peptides bien étudiés sont presque exclusivement des médicaments autorisés, issus de grandes études enregistrées à l’avance. La plupart des peptides populaires sur Internet ont un niveau de preuve C ou D, ne sont autorisés nulle part et sont souvent interdits dans le sport. Entre les deux se trouvent des substances qui ont été sérieusement étudiées chez l’humain, mais dont les études n’ont pas confirmé le bénéfice espéré. Les deux chapitres suivants approfondissent ce point pour les médicaments GLP-1 et pour les peptides d’Internet les plus populaires.</w:t>
      </w:r>
    </w:p>
    <w:bookmarkEnd w:id="2536"/>
    <w:bookmarkEnd w:id="2537"/>
    <w:bookmarkStart w:id="2579" w:name="glp-1-cie-comparaison-directe"/>
    <w:p>
      <w:pPr>
        <w:pStyle w:val="Heading2"/>
      </w:pPr>
      <w:r>
        <w:t xml:space="preserve">GLP-1 &amp; Cie : comparaison directe</w:t>
      </w:r>
    </w:p>
    <w:p>
      <w:pPr>
        <w:pStyle w:val="FirstParagraph"/>
      </w:pPr>
      <w:r>
        <w:t xml:space="preserve">Aucun autre groupe de ce livre n’est aussi bien étudié que les médicaments incrétiniques : les agonistes du récepteur du GLP-1 comme le liraglutide et le sémaglutide, le double agoniste tirzépatide et toute une série de successeurs qui agissent en plus sur le récepteur du glucagon ou de l’amyline. Pour eux, on dispose de programmes d’autorisation comptant des dizaines de milliers de participants, de grandes études cardiovasculaires et, de plus en plus, d’études de comparaison directe. Ce chapitre met côte à côte les principaux résultats. Tous les chiffres proviennent des chapitres de la partie II, groupe A, et des études qui y sont citées ; vous y trouverez aussi les limites de chaque étude.</w:t>
      </w:r>
    </w:p>
    <w:p>
      <w:pPr>
        <w:pStyle w:val="BodyText"/>
      </w:pPr>
      <w:r>
        <w:t xml:space="preserve">Ce chapitre n’est pas une aide à la décision thérapeutique. Le choix du médicament qui convient dans un cas particulier dépend des maladies associées, de la tolérance, de l’autorisation, de la prise en charge des coûts et de la disponibilité, et relève du médecin. Ce qui fait foi, ce sont le résumé des caractéristiques du produit (RCP) et l’accompagnement médical.</w:t>
      </w:r>
    </w:p>
    <w:bookmarkStart w:id="2538" w:name="Xd6a2d8b384244393a225cc9284fd0d26561c6c0"/>
    <w:p>
      <w:pPr>
        <w:pStyle w:val="Heading3"/>
      </w:pPr>
      <w:r>
        <w:t xml:space="preserve">En préambule : pourquoi on ne peut pas simplement juxtaposer des études</w:t>
      </w:r>
    </w:p>
    <w:p>
      <w:pPr>
        <w:pStyle w:val="FirstParagraph"/>
      </w:pPr>
      <w:r>
        <w:t xml:space="preserve">Les tableaux de ce chapitre incitent à comparer des chiffres issus d’études différentes – par exemple 20,9 % de perte de poids sous tirzépatide contre 14,9 % sous sémaglutide. De telles comparaisons croisées (« cross-trial comparisons ») ne sont admissibles que dans une mesure limitée. Les raisons :</w:t>
      </w:r>
    </w:p>
    <w:p>
      <w:pPr>
        <w:numPr>
          <w:ilvl w:val="0"/>
          <w:numId w:val="1324"/>
        </w:numPr>
        <w:pStyle w:val="Compact"/>
      </w:pPr>
      <w:r>
        <w:rPr>
          <w:bCs/>
          <w:b/>
        </w:rPr>
        <w:t xml:space="preserve">Participants différents :</w:t>
      </w:r>
      <w:r>
        <w:t xml:space="preserve"> </w:t>
      </w:r>
      <w:r>
        <w:t xml:space="preserve">les personnes atteintes de diabète de type 2 perdent nettement moins de poids sous tous les médicaments incrétiniques que les personnes sans diabète. Les études menées en Chine ou au Japon incluent des personnes de poids initial plus faible que les études menées en Amérique du Nord et en Europe.</w:t>
      </w:r>
    </w:p>
    <w:p>
      <w:pPr>
        <w:numPr>
          <w:ilvl w:val="0"/>
          <w:numId w:val="1324"/>
        </w:numPr>
        <w:pStyle w:val="Compact"/>
      </w:pPr>
      <w:r>
        <w:rPr>
          <w:bCs/>
          <w:b/>
        </w:rPr>
        <w:t xml:space="preserve">Durée différente :</w:t>
      </w:r>
      <w:r>
        <w:t xml:space="preserve"> </w:t>
      </w:r>
      <w:r>
        <w:t xml:space="preserve">une perte de poids après 48 semaines n’est pas la même chose qu’après 80 semaines ; de nombreuses courbes ne s’aplatissent que tardivement.</w:t>
      </w:r>
    </w:p>
    <w:p>
      <w:pPr>
        <w:numPr>
          <w:ilvl w:val="0"/>
          <w:numId w:val="1324"/>
        </w:numPr>
        <w:pStyle w:val="Compact"/>
      </w:pPr>
      <w:r>
        <w:rPr>
          <w:bCs/>
          <w:b/>
        </w:rPr>
        <w:t xml:space="preserve">Analyse différente :</w:t>
      </w:r>
      <w:r>
        <w:t xml:space="preserve"> </w:t>
      </w:r>
      <w:r>
        <w:t xml:space="preserve">certaines études analysent tous les participants, même ceux qui ont arrêté le traitement (l’estimateur dit de stratégie thérapeutique ou « treatment policy »). D’autres calculent comme si tous avaient pris le médicament comme prévu. La seconde variante fournit des chiffres plus favorables.</w:t>
      </w:r>
    </w:p>
    <w:p>
      <w:pPr>
        <w:numPr>
          <w:ilvl w:val="0"/>
          <w:numId w:val="1324"/>
        </w:numPr>
        <w:pStyle w:val="Compact"/>
      </w:pPr>
      <w:r>
        <w:rPr>
          <w:bCs/>
          <w:b/>
        </w:rPr>
        <w:t xml:space="preserve">Groupes placebo différents :</w:t>
      </w:r>
      <w:r>
        <w:t xml:space="preserve"> </w:t>
      </w:r>
      <w:r>
        <w:t xml:space="preserve">sous placebo, les participants ont perdu selon l’étude entre rien et plus de 5 % de leur poids, selon l’intensité des conseils nutritionnels et d’activité physique qui accompagnaient le traitement.</w:t>
      </w:r>
    </w:p>
    <w:p>
      <w:pPr>
        <w:numPr>
          <w:ilvl w:val="0"/>
          <w:numId w:val="1324"/>
        </w:numPr>
        <w:pStyle w:val="Compact"/>
      </w:pPr>
      <w:r>
        <w:rPr>
          <w:bCs/>
          <w:b/>
        </w:rPr>
        <w:t xml:space="preserve">Phases différentes :</w:t>
      </w:r>
      <w:r>
        <w:t xml:space="preserve"> </w:t>
      </w:r>
      <w:r>
        <w:t xml:space="preserve">les résultats des petites études de phase 2 sont souvent plus favorables que ceux des grandes études de phase 3 ultérieures.</w:t>
      </w:r>
    </w:p>
    <w:p>
      <w:pPr>
        <w:pStyle w:val="FirstParagraph"/>
      </w:pPr>
      <w:r>
        <w:t xml:space="preserve">Une comparaison n’est solide que si deux substances actives ont été attribuées par tirage au sort dans</w:t>
      </w:r>
      <w:r>
        <w:t xml:space="preserve"> </w:t>
      </w:r>
      <w:r>
        <w:rPr>
          <w:iCs/>
          <w:i/>
        </w:rPr>
        <w:t xml:space="preserve">la même</w:t>
      </w:r>
      <w:r>
        <w:t xml:space="preserve"> </w:t>
      </w:r>
      <w:r>
        <w:t xml:space="preserve">étude. Ces comparaisons directes sont rassemblées à la fin de ce chapitre. Les autres tableaux montrent des ordres de grandeur, pas un classement.</w:t>
      </w:r>
    </w:p>
    <w:bookmarkEnd w:id="2538"/>
    <w:bookmarkStart w:id="2545" w:name="X20fffd2e23abd1ff8bd1fe230df1e9a965a0d86"/>
    <w:p>
      <w:pPr>
        <w:pStyle w:val="Heading3"/>
      </w:pPr>
      <w:r>
        <w:t xml:space="preserve">Perte de poids dans les études d’autorisation</w:t>
      </w:r>
    </w:p>
    <w:p>
      <w:pPr>
        <w:pStyle w:val="FirstParagraph"/>
      </w:pPr>
      <w:r>
        <w:t xml:space="preserve">Le tableau suivant présente, pour chaque substance, la principale étude contrôlée contre placebo chez des adultes en surpoids ou obèses</w:t>
      </w:r>
      <w:r>
        <w:t xml:space="preserve"> </w:t>
      </w:r>
      <w:r>
        <w:rPr>
          <w:iCs/>
          <w:i/>
        </w:rPr>
        <w:t xml:space="preserve">sans</w:t>
      </w:r>
      <w:r>
        <w:t xml:space="preserve"> </w:t>
      </w:r>
      <w:r>
        <w:t xml:space="preserve">diabète. Il indique la variation moyenne du poids corporel à la dose la plus élevée testée par rapport au placebo. L’exénatide, le dulaglutide et le pramlintide ne sont pas autorisés pour la réduction du poids et ne figurent donc pas dans le tableau.</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Substance</w:t>
            </w:r>
          </w:p>
        </w:tc>
        <w:tc>
          <w:tcPr/>
          <w:p>
            <w:pPr>
              <w:pStyle w:val="Compact"/>
              <w:jc w:val="left"/>
            </w:pPr>
            <w:r>
              <w:t xml:space="preserve">Étude</w:t>
            </w:r>
          </w:p>
        </w:tc>
        <w:tc>
          <w:tcPr/>
          <w:p>
            <w:pPr>
              <w:pStyle w:val="Compact"/>
              <w:jc w:val="left"/>
            </w:pPr>
            <w:r>
              <w:t xml:space="preserve">Durée</w:t>
            </w:r>
          </w:p>
        </w:tc>
        <w:tc>
          <w:tcPr/>
          <w:p>
            <w:pPr>
              <w:pStyle w:val="Compact"/>
              <w:jc w:val="left"/>
            </w:pPr>
            <w:r>
              <w:t xml:space="preserve">Perte de poids vs placebo</w:t>
            </w:r>
          </w:p>
        </w:tc>
      </w:tr>
      <w:tr>
        <w:tc>
          <w:tcPr/>
          <w:p>
            <w:pPr>
              <w:pStyle w:val="Compact"/>
              <w:jc w:val="left"/>
            </w:pPr>
            <w:r>
              <w:t xml:space="preserve">Liraglutide 3,0 mg</w:t>
            </w:r>
          </w:p>
        </w:tc>
        <w:tc>
          <w:tcPr/>
          <w:p>
            <w:pPr>
              <w:pStyle w:val="Compact"/>
              <w:jc w:val="left"/>
            </w:pPr>
            <w:r>
              <w:t xml:space="preserve">SCALE (Pi-Sunyer 2015), PMID 26132939</w:t>
            </w:r>
          </w:p>
        </w:tc>
        <w:tc>
          <w:tcPr/>
          <w:p>
            <w:pPr>
              <w:pStyle w:val="Compact"/>
              <w:jc w:val="left"/>
            </w:pPr>
            <w:r>
              <w:t xml:space="preserve">56 semaines</w:t>
            </w:r>
          </w:p>
        </w:tc>
        <w:tc>
          <w:tcPr/>
          <w:p>
            <w:pPr>
              <w:pStyle w:val="Compact"/>
              <w:jc w:val="left"/>
            </w:pPr>
            <w:r>
              <w:t xml:space="preserve">−8,4 kg vs −2,8 kg</w:t>
            </w:r>
          </w:p>
        </w:tc>
      </w:tr>
      <w:tr>
        <w:tc>
          <w:tcPr/>
          <w:p>
            <w:pPr>
              <w:pStyle w:val="Compact"/>
              <w:jc w:val="left"/>
            </w:pPr>
            <w:r>
              <w:t xml:space="preserve">Sémaglutide 2,4 mg</w:t>
            </w:r>
          </w:p>
        </w:tc>
        <w:tc>
          <w:tcPr/>
          <w:p>
            <w:pPr>
              <w:pStyle w:val="Compact"/>
              <w:jc w:val="left"/>
            </w:pPr>
            <w:r>
              <w:t xml:space="preserve">STEP 1 (Wilding 2021), PMID 33567185</w:t>
            </w:r>
          </w:p>
        </w:tc>
        <w:tc>
          <w:tcPr/>
          <w:p>
            <w:pPr>
              <w:pStyle w:val="Compact"/>
              <w:jc w:val="left"/>
            </w:pPr>
            <w:r>
              <w:t xml:space="preserve">68 semaines</w:t>
            </w:r>
          </w:p>
        </w:tc>
        <w:tc>
          <w:tcPr/>
          <w:p>
            <w:pPr>
              <w:pStyle w:val="Compact"/>
              <w:jc w:val="left"/>
            </w:pPr>
            <w:r>
              <w:t xml:space="preserve">−14,9 % vs −2,4 %</w:t>
            </w:r>
          </w:p>
        </w:tc>
      </w:tr>
      <w:tr>
        <w:tc>
          <w:tcPr/>
          <w:p>
            <w:pPr>
              <w:pStyle w:val="Compact"/>
              <w:jc w:val="left"/>
            </w:pPr>
            <w:r>
              <w:t xml:space="preserve">Sémaglutide 7,2 mg</w:t>
            </w:r>
          </w:p>
        </w:tc>
        <w:tc>
          <w:tcPr/>
          <w:p>
            <w:pPr>
              <w:pStyle w:val="Compact"/>
              <w:jc w:val="left"/>
            </w:pPr>
            <w:r>
              <w:t xml:space="preserve">STEP UP (Wharton 2025), PMID 40961952</w:t>
            </w:r>
          </w:p>
        </w:tc>
        <w:tc>
          <w:tcPr/>
          <w:p>
            <w:pPr>
              <w:pStyle w:val="Compact"/>
              <w:jc w:val="left"/>
            </w:pPr>
            <w:r>
              <w:t xml:space="preserve">72 semaines</w:t>
            </w:r>
          </w:p>
        </w:tc>
        <w:tc>
          <w:tcPr/>
          <w:p>
            <w:pPr>
              <w:pStyle w:val="Compact"/>
              <w:jc w:val="left"/>
            </w:pPr>
            <w:r>
              <w:t xml:space="preserve">−18,7 % vs −3,9 %</w:t>
            </w:r>
          </w:p>
        </w:tc>
      </w:tr>
      <w:tr>
        <w:tc>
          <w:tcPr/>
          <w:p>
            <w:pPr>
              <w:pStyle w:val="Compact"/>
              <w:jc w:val="left"/>
            </w:pPr>
            <w:r>
              <w:t xml:space="preserve">Sémaglutide en comprimé 50 mg</w:t>
            </w:r>
          </w:p>
        </w:tc>
        <w:tc>
          <w:tcPr/>
          <w:p>
            <w:pPr>
              <w:pStyle w:val="Compact"/>
              <w:jc w:val="left"/>
            </w:pPr>
            <w:r>
              <w:t xml:space="preserve">OASIS 1 (Knop 2023), PMID 37385278</w:t>
            </w:r>
          </w:p>
        </w:tc>
        <w:tc>
          <w:tcPr/>
          <w:p>
            <w:pPr>
              <w:pStyle w:val="Compact"/>
              <w:jc w:val="left"/>
            </w:pPr>
            <w:r>
              <w:t xml:space="preserve">68 semaines</w:t>
            </w:r>
          </w:p>
        </w:tc>
        <w:tc>
          <w:tcPr/>
          <w:p>
            <w:pPr>
              <w:pStyle w:val="Compact"/>
              <w:jc w:val="left"/>
            </w:pPr>
            <w:r>
              <w:t xml:space="preserve">−15,1 % vs −2,4 %</w:t>
            </w:r>
          </w:p>
        </w:tc>
      </w:tr>
      <w:tr>
        <w:tc>
          <w:tcPr/>
          <w:p>
            <w:pPr>
              <w:pStyle w:val="Compact"/>
              <w:jc w:val="left"/>
            </w:pPr>
            <w:r>
              <w:t xml:space="preserve">Tirzépatide 15 mg</w:t>
            </w:r>
          </w:p>
        </w:tc>
        <w:tc>
          <w:tcPr/>
          <w:p>
            <w:pPr>
              <w:pStyle w:val="Compact"/>
              <w:jc w:val="left"/>
            </w:pPr>
            <w:r>
              <w:t xml:space="preserve">SURMOUNT-1 (Jastreboff 2022), PMID 35658024</w:t>
            </w:r>
          </w:p>
        </w:tc>
        <w:tc>
          <w:tcPr/>
          <w:p>
            <w:pPr>
              <w:pStyle w:val="Compact"/>
              <w:jc w:val="left"/>
            </w:pPr>
            <w:r>
              <w:t xml:space="preserve">72 semaines</w:t>
            </w:r>
          </w:p>
        </w:tc>
        <w:tc>
          <w:tcPr/>
          <w:p>
            <w:pPr>
              <w:pStyle w:val="Compact"/>
              <w:jc w:val="left"/>
            </w:pPr>
            <w:r>
              <w:t xml:space="preserve">−20,9 % vs −3,1 %</w:t>
            </w:r>
          </w:p>
        </w:tc>
      </w:tr>
      <w:tr>
        <w:tc>
          <w:tcPr/>
          <w:p>
            <w:pPr>
              <w:pStyle w:val="Compact"/>
              <w:jc w:val="left"/>
            </w:pPr>
            <w:r>
              <w:t xml:space="preserve">CagriSema</w:t>
            </w:r>
          </w:p>
        </w:tc>
        <w:tc>
          <w:tcPr/>
          <w:p>
            <w:pPr>
              <w:pStyle w:val="Compact"/>
              <w:jc w:val="left"/>
            </w:pPr>
            <w:r>
              <w:t xml:space="preserve">REDEFINE 1 (Garvey 2025), PMID 40544433</w:t>
            </w:r>
          </w:p>
        </w:tc>
        <w:tc>
          <w:tcPr/>
          <w:p>
            <w:pPr>
              <w:pStyle w:val="Compact"/>
              <w:jc w:val="left"/>
            </w:pPr>
            <w:r>
              <w:t xml:space="preserve">68 semaines</w:t>
            </w:r>
          </w:p>
        </w:tc>
        <w:tc>
          <w:tcPr/>
          <w:p>
            <w:pPr>
              <w:pStyle w:val="Compact"/>
              <w:jc w:val="left"/>
            </w:pPr>
            <w:r>
              <w:t xml:space="preserve">−20,4 % vs −3,0 %</w:t>
            </w:r>
          </w:p>
        </w:tc>
      </w:tr>
      <w:tr>
        <w:tc>
          <w:tcPr/>
          <w:p>
            <w:pPr>
              <w:pStyle w:val="Compact"/>
              <w:jc w:val="left"/>
            </w:pPr>
            <w:r>
              <w:t xml:space="preserve">Rétatrutide 12 mg</w:t>
            </w:r>
          </w:p>
        </w:tc>
        <w:tc>
          <w:tcPr/>
          <w:p>
            <w:pPr>
              <w:pStyle w:val="Compact"/>
              <w:jc w:val="left"/>
            </w:pPr>
            <w:r>
              <w:t xml:space="preserve">TRIUMPH-1 (Jastreboff 2026), PMID 42814954</w:t>
            </w:r>
          </w:p>
        </w:tc>
        <w:tc>
          <w:tcPr/>
          <w:p>
            <w:pPr>
              <w:pStyle w:val="Compact"/>
              <w:jc w:val="left"/>
            </w:pPr>
            <w:r>
              <w:t xml:space="preserve">80 semaines</w:t>
            </w:r>
          </w:p>
        </w:tc>
        <w:tc>
          <w:tcPr/>
          <w:p>
            <w:pPr>
              <w:pStyle w:val="Compact"/>
              <w:jc w:val="left"/>
            </w:pPr>
            <w:r>
              <w:t xml:space="preserve">−25,0 % vs −3,9 %</w:t>
            </w:r>
          </w:p>
        </w:tc>
      </w:tr>
      <w:tr>
        <w:tc>
          <w:tcPr/>
          <w:p>
            <w:pPr>
              <w:pStyle w:val="Compact"/>
              <w:jc w:val="left"/>
            </w:pPr>
            <w:r>
              <w:t xml:space="preserve">Survodutide 6,0 mg</w:t>
            </w:r>
          </w:p>
        </w:tc>
        <w:tc>
          <w:tcPr/>
          <w:p>
            <w:pPr>
              <w:pStyle w:val="Compact"/>
              <w:jc w:val="left"/>
            </w:pPr>
            <w:r>
              <w:t xml:space="preserve">SYNCHRONIZE-1 (le Roux 2026), PMID 42253238</w:t>
            </w:r>
          </w:p>
        </w:tc>
        <w:tc>
          <w:tcPr/>
          <w:p>
            <w:pPr>
              <w:pStyle w:val="Compact"/>
              <w:jc w:val="left"/>
            </w:pPr>
            <w:r>
              <w:t xml:space="preserve">76 semaines</w:t>
            </w:r>
          </w:p>
        </w:tc>
        <w:tc>
          <w:tcPr/>
          <w:p>
            <w:pPr>
              <w:pStyle w:val="Compact"/>
              <w:jc w:val="left"/>
            </w:pPr>
            <w:r>
              <w:t xml:space="preserve">−13,0 % vs −5,4 %</w:t>
            </w:r>
          </w:p>
        </w:tc>
      </w:tr>
      <w:tr>
        <w:tc>
          <w:tcPr/>
          <w:p>
            <w:pPr>
              <w:pStyle w:val="Compact"/>
              <w:jc w:val="left"/>
            </w:pPr>
            <w:r>
              <w:t xml:space="preserve">Mazdutide 6 mg</w:t>
            </w:r>
          </w:p>
        </w:tc>
        <w:tc>
          <w:tcPr/>
          <w:p>
            <w:pPr>
              <w:pStyle w:val="Compact"/>
              <w:jc w:val="left"/>
            </w:pPr>
            <w:r>
              <w:t xml:space="preserve">GLORY-1 (Ji 2025), PMID 40421736</w:t>
            </w:r>
          </w:p>
        </w:tc>
        <w:tc>
          <w:tcPr/>
          <w:p>
            <w:pPr>
              <w:pStyle w:val="Compact"/>
              <w:jc w:val="left"/>
            </w:pPr>
            <w:r>
              <w:t xml:space="preserve">48 semaines</w:t>
            </w:r>
          </w:p>
        </w:tc>
        <w:tc>
          <w:tcPr/>
          <w:p>
            <w:pPr>
              <w:pStyle w:val="Compact"/>
              <w:jc w:val="left"/>
            </w:pPr>
            <w:r>
              <w:t xml:space="preserve">−14,0 % vs +0,3 %</w:t>
            </w:r>
          </w:p>
        </w:tc>
      </w:tr>
      <w:tr>
        <w:tc>
          <w:tcPr/>
          <w:p>
            <w:pPr>
              <w:pStyle w:val="Compact"/>
              <w:jc w:val="left"/>
            </w:pPr>
            <w:r>
              <w:t xml:space="preserve">Maridebart cafraglutide</w:t>
            </w:r>
          </w:p>
        </w:tc>
        <w:tc>
          <w:tcPr/>
          <w:p>
            <w:pPr>
              <w:pStyle w:val="Compact"/>
              <w:jc w:val="left"/>
            </w:pPr>
            <w:r>
              <w:t xml:space="preserve">Phase 2 (Jastreboff 2025), PMID 40549887</w:t>
            </w:r>
          </w:p>
        </w:tc>
        <w:tc>
          <w:tcPr/>
          <w:p>
            <w:pPr>
              <w:pStyle w:val="Compact"/>
              <w:jc w:val="left"/>
            </w:pPr>
            <w:r>
              <w:t xml:space="preserve">52 semaines</w:t>
            </w:r>
          </w:p>
        </w:tc>
        <w:tc>
          <w:tcPr/>
          <w:p>
            <w:pPr>
              <w:pStyle w:val="Compact"/>
              <w:jc w:val="left"/>
            </w:pPr>
            <w:r>
              <w:t xml:space="preserve">−12,3 à −16,2 % vs −2,5 %</w:t>
            </w:r>
          </w:p>
        </w:tc>
      </w:tr>
      <w:tr>
        <w:tc>
          <w:tcPr/>
          <w:p>
            <w:pPr>
              <w:pStyle w:val="Compact"/>
              <w:jc w:val="left"/>
            </w:pPr>
            <w:r>
              <w:t xml:space="preserve">Amycrétine (injection)</w:t>
            </w:r>
          </w:p>
        </w:tc>
        <w:tc>
          <w:tcPr/>
          <w:p>
            <w:pPr>
              <w:pStyle w:val="Compact"/>
              <w:jc w:val="left"/>
            </w:pPr>
            <w:r>
              <w:t xml:space="preserve">Phase 1b/2a (Dahl 2025), PMID 40550231</w:t>
            </w:r>
          </w:p>
        </w:tc>
        <w:tc>
          <w:tcPr/>
          <w:p>
            <w:pPr>
              <w:pStyle w:val="Compact"/>
              <w:jc w:val="left"/>
            </w:pPr>
            <w:r>
              <w:t xml:space="preserve">36 semaines</w:t>
            </w:r>
          </w:p>
        </w:tc>
        <w:tc>
          <w:tcPr/>
          <w:p>
            <w:pPr>
              <w:pStyle w:val="Compact"/>
              <w:jc w:val="left"/>
            </w:pPr>
            <w:r>
              <w:t xml:space="preserve">jusqu’à −24,3 % vs −1,1 %</w:t>
            </w:r>
          </w:p>
        </w:tc>
      </w:tr>
      <w:tr>
        <w:tc>
          <w:tcPr/>
          <w:p>
            <w:pPr>
              <w:pStyle w:val="Compact"/>
              <w:jc w:val="left"/>
            </w:pPr>
            <w:r>
              <w:t xml:space="preserve">Orforglipron 36 mg (comprimé, pas un peptide)</w:t>
            </w:r>
          </w:p>
        </w:tc>
        <w:tc>
          <w:tcPr/>
          <w:p>
            <w:pPr>
              <w:pStyle w:val="Compact"/>
              <w:jc w:val="left"/>
            </w:pPr>
            <w:r>
              <w:t xml:space="preserve">ATTAIN-1 (Wharton 2025), PMID 40960239</w:t>
            </w:r>
          </w:p>
        </w:tc>
        <w:tc>
          <w:tcPr/>
          <w:p>
            <w:pPr>
              <w:pStyle w:val="Compact"/>
              <w:jc w:val="left"/>
            </w:pPr>
            <w:r>
              <w:t xml:space="preserve">72 semaines</w:t>
            </w:r>
          </w:p>
        </w:tc>
        <w:tc>
          <w:tcPr/>
          <w:p>
            <w:pPr>
              <w:pStyle w:val="Compact"/>
              <w:jc w:val="left"/>
            </w:pPr>
            <w:r>
              <w:t xml:space="preserve">−11,2 % vs −2,1 %</w:t>
            </w:r>
          </w:p>
        </w:tc>
      </w:tr>
    </w:tbl>
    <w:p>
      <w:pPr>
        <w:pStyle w:val="BodyText"/>
      </w:pPr>
      <w:r>
        <w:t xml:space="preserve">Pour situer les différentes lignes :</w:t>
      </w:r>
    </w:p>
    <w:p>
      <w:pPr>
        <w:numPr>
          <w:ilvl w:val="0"/>
          <w:numId w:val="1325"/>
        </w:numPr>
        <w:pStyle w:val="Compact"/>
      </w:pPr>
      <w:r>
        <w:rPr>
          <w:bCs/>
          <w:b/>
        </w:rPr>
        <w:t xml:space="preserve">Le liraglutide</w:t>
      </w:r>
      <w:r>
        <w:t xml:space="preserve"> </w:t>
      </w:r>
      <w:r>
        <w:t xml:space="preserve">est la seule substance pour laquelle l’étude d’autorisation indique la perte en kilogrammes comme résultat principal ; pour un poids initial de 106,2 kg, cela correspond grossièrement à 8 %. Dans l’étude de comparaison directe STEP 8, elle était de −6,4 % (voir plus bas).</w:t>
      </w:r>
    </w:p>
    <w:p>
      <w:pPr>
        <w:numPr>
          <w:ilvl w:val="0"/>
          <w:numId w:val="1325"/>
        </w:numPr>
        <w:pStyle w:val="Compact"/>
      </w:pPr>
      <w:r>
        <w:rPr>
          <w:bCs/>
          <w:b/>
        </w:rPr>
        <w:t xml:space="preserve">Le rétatrutide, CagriSema, le survodutide, le maridebart cafraglutide et l’amycrétine</w:t>
      </w:r>
      <w:r>
        <w:t xml:space="preserve"> </w:t>
      </w:r>
      <w:r>
        <w:t xml:space="preserve">ne sont pas autorisés (état octobre 2026). Pour le maridebart cafraglutide et l’amycrétine, on ne dispose que de données de phase 2 ; l’étude sur l’amycrétine portait sur 125 personnes, et la valeur concerne la dose la plus élevée d’une étude de recherche de dose.</w:t>
      </w:r>
    </w:p>
    <w:p>
      <w:pPr>
        <w:numPr>
          <w:ilvl w:val="0"/>
          <w:numId w:val="1325"/>
        </w:numPr>
        <w:pStyle w:val="Compact"/>
      </w:pPr>
      <w:r>
        <w:rPr>
          <w:bCs/>
          <w:b/>
        </w:rPr>
        <w:t xml:space="preserve">Le mazdutide</w:t>
      </w:r>
      <w:r>
        <w:t xml:space="preserve"> </w:t>
      </w:r>
      <w:r>
        <w:t xml:space="preserve">n’est autorisé qu’en Chine. GLORY-1 incluait, selon les critères chinois, des personnes à partir d’un IMC de 28 (ou de 24 avec une maladie associée) ; le poids initial moyen était de 87,2 kg. Dans GLORY-2, avec une dose plus élevée, la perte était de −16,65 % contre −1,50 % après 60 semaines</w:t>
      </w:r>
      <w:r>
        <w:rPr>
          <w:rStyle w:val="FootnoteReference"/>
        </w:rPr>
        <w:footnoteReference w:id="2539"/>
      </w:r>
      <w:r>
        <w:t xml:space="preserve">.</w:t>
      </w:r>
    </w:p>
    <w:p>
      <w:pPr>
        <w:numPr>
          <w:ilvl w:val="0"/>
          <w:numId w:val="1325"/>
        </w:numPr>
        <w:pStyle w:val="Compact"/>
      </w:pPr>
      <w:r>
        <w:rPr>
          <w:bCs/>
          <w:b/>
        </w:rPr>
        <w:t xml:space="preserve">Le survodutide</w:t>
      </w:r>
      <w:r>
        <w:t xml:space="preserve"> </w:t>
      </w:r>
      <w:r>
        <w:t xml:space="preserve">se distingue par une forte perte de poids sous placebo de 5,4 % ; l’analyse principale prenait expressément en compte les arrêts et les titrations prolongées.</w:t>
      </w:r>
    </w:p>
    <w:p>
      <w:pPr>
        <w:pStyle w:val="FirstParagraph"/>
      </w:pPr>
      <w:r>
        <w:t xml:space="preserve">On remarque une gradation : les agonistes purs du GLP-1 atteignent en moyenne environ 8 à 15 %, la dose plus élevée de sémaglutide près de 19 %, les associations avec le GIP ou l’amyline environ 20 %, le triple agoniste rétatrutide 25 %. Cet ordre est étayé par les comparaisons directes SURMOUNT-5, STEP 8 et REDEFINE 5 ; pour le rétatrutide, la comparaison directe avec le tirzépatide est encore attendue</w:t>
      </w:r>
      <w:r>
        <w:rPr>
          <w:rStyle w:val="FootnoteReference"/>
        </w:rPr>
        <w:footnoteReference w:id="2540"/>
      </w:r>
      <w:r>
        <w:t xml:space="preserve">.</w:t>
      </w:r>
    </w:p>
    <w:bookmarkStart w:id="2541" w:name="Xf80d181d4c1424ae59c0bd563c4a860fda4aacb"/>
    <w:p>
      <w:pPr>
        <w:pStyle w:val="Heading4"/>
      </w:pPr>
      <w:r>
        <w:t xml:space="preserve">Avec un diabète de type 2, la perte de poids est moindre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Substance</w:t>
            </w:r>
          </w:p>
        </w:tc>
        <w:tc>
          <w:tcPr/>
          <w:p>
            <w:pPr>
              <w:pStyle w:val="Compact"/>
              <w:jc w:val="left"/>
            </w:pPr>
            <w:r>
              <w:t xml:space="preserve">Étude</w:t>
            </w:r>
          </w:p>
        </w:tc>
        <w:tc>
          <w:tcPr/>
          <w:p>
            <w:pPr>
              <w:pStyle w:val="Compact"/>
              <w:jc w:val="left"/>
            </w:pPr>
            <w:r>
              <w:t xml:space="preserve">Durée</w:t>
            </w:r>
          </w:p>
        </w:tc>
        <w:tc>
          <w:tcPr/>
          <w:p>
            <w:pPr>
              <w:pStyle w:val="Compact"/>
              <w:jc w:val="left"/>
            </w:pPr>
            <w:r>
              <w:t xml:space="preserve">Perte de poids vs placebo</w:t>
            </w:r>
          </w:p>
        </w:tc>
      </w:tr>
      <w:tr>
        <w:tc>
          <w:tcPr/>
          <w:p>
            <w:pPr>
              <w:pStyle w:val="Compact"/>
              <w:jc w:val="left"/>
            </w:pPr>
            <w:r>
              <w:t xml:space="preserve">Liraglutide 3,0 mg</w:t>
            </w:r>
          </w:p>
        </w:tc>
        <w:tc>
          <w:tcPr/>
          <w:p>
            <w:pPr>
              <w:pStyle w:val="Compact"/>
              <w:jc w:val="left"/>
            </w:pPr>
            <w:r>
              <w:t xml:space="preserve">SCALE Diabetes (Davies 2015), PMID 26284720</w:t>
            </w:r>
          </w:p>
        </w:tc>
        <w:tc>
          <w:tcPr/>
          <w:p>
            <w:pPr>
              <w:pStyle w:val="Compact"/>
              <w:jc w:val="left"/>
            </w:pPr>
            <w:r>
              <w:t xml:space="preserve">56 semaines</w:t>
            </w:r>
          </w:p>
        </w:tc>
        <w:tc>
          <w:tcPr/>
          <w:p>
            <w:pPr>
              <w:pStyle w:val="Compact"/>
              <w:jc w:val="left"/>
            </w:pPr>
            <w:r>
              <w:t xml:space="preserve">−6,0 % vs −2,0 %</w:t>
            </w:r>
          </w:p>
        </w:tc>
      </w:tr>
      <w:tr>
        <w:tc>
          <w:tcPr/>
          <w:p>
            <w:pPr>
              <w:pStyle w:val="Compact"/>
              <w:jc w:val="left"/>
            </w:pPr>
            <w:r>
              <w:t xml:space="preserve">Sémaglutide 2,4 mg</w:t>
            </w:r>
          </w:p>
        </w:tc>
        <w:tc>
          <w:tcPr/>
          <w:p>
            <w:pPr>
              <w:pStyle w:val="Compact"/>
              <w:jc w:val="left"/>
            </w:pPr>
            <w:r>
              <w:t xml:space="preserve">STEP 2 (Davies 2021), PMID 33667417</w:t>
            </w:r>
          </w:p>
        </w:tc>
        <w:tc>
          <w:tcPr/>
          <w:p>
            <w:pPr>
              <w:pStyle w:val="Compact"/>
              <w:jc w:val="left"/>
            </w:pPr>
            <w:r>
              <w:t xml:space="preserve">68 semaines</w:t>
            </w:r>
          </w:p>
        </w:tc>
        <w:tc>
          <w:tcPr/>
          <w:p>
            <w:pPr>
              <w:pStyle w:val="Compact"/>
              <w:jc w:val="left"/>
            </w:pPr>
            <w:r>
              <w:t xml:space="preserve">−9,6 % vs −3,4 %</w:t>
            </w:r>
          </w:p>
        </w:tc>
      </w:tr>
      <w:tr>
        <w:tc>
          <w:tcPr/>
          <w:p>
            <w:pPr>
              <w:pStyle w:val="Compact"/>
              <w:jc w:val="left"/>
            </w:pPr>
            <w:r>
              <w:t xml:space="preserve">Tirzépatide 10/15 mg</w:t>
            </w:r>
          </w:p>
        </w:tc>
        <w:tc>
          <w:tcPr/>
          <w:p>
            <w:pPr>
              <w:pStyle w:val="Compact"/>
              <w:jc w:val="left"/>
            </w:pPr>
            <w:r>
              <w:t xml:space="preserve">SURMOUNT-2 (Garvey 2023), PMID 37385275</w:t>
            </w:r>
          </w:p>
        </w:tc>
        <w:tc>
          <w:tcPr/>
          <w:p>
            <w:pPr>
              <w:pStyle w:val="Compact"/>
              <w:jc w:val="left"/>
            </w:pPr>
            <w:r>
              <w:t xml:space="preserve">72 semaines</w:t>
            </w:r>
          </w:p>
        </w:tc>
        <w:tc>
          <w:tcPr/>
          <w:p>
            <w:pPr>
              <w:pStyle w:val="Compact"/>
              <w:jc w:val="left"/>
            </w:pPr>
            <w:r>
              <w:t xml:space="preserve">−12,8 / −14,7 % vs −3,2 %</w:t>
            </w:r>
          </w:p>
        </w:tc>
      </w:tr>
      <w:tr>
        <w:tc>
          <w:tcPr/>
          <w:p>
            <w:pPr>
              <w:pStyle w:val="Compact"/>
              <w:jc w:val="left"/>
            </w:pPr>
            <w:r>
              <w:t xml:space="preserve">CagriSema</w:t>
            </w:r>
          </w:p>
        </w:tc>
        <w:tc>
          <w:tcPr/>
          <w:p>
            <w:pPr>
              <w:pStyle w:val="Compact"/>
              <w:jc w:val="left"/>
            </w:pPr>
            <w:r>
              <w:t xml:space="preserve">REDEFINE 2 (Davies 2025), PMID 40544432</w:t>
            </w:r>
          </w:p>
        </w:tc>
        <w:tc>
          <w:tcPr/>
          <w:p>
            <w:pPr>
              <w:pStyle w:val="Compact"/>
              <w:jc w:val="left"/>
            </w:pPr>
            <w:r>
              <w:t xml:space="preserve">68 semaines</w:t>
            </w:r>
          </w:p>
        </w:tc>
        <w:tc>
          <w:tcPr/>
          <w:p>
            <w:pPr>
              <w:pStyle w:val="Compact"/>
              <w:jc w:val="left"/>
            </w:pPr>
            <w:r>
              <w:t xml:space="preserve">−13,7 % vs −3,4 %</w:t>
            </w:r>
          </w:p>
        </w:tc>
      </w:tr>
      <w:tr>
        <w:tc>
          <w:tcPr/>
          <w:p>
            <w:pPr>
              <w:pStyle w:val="Compact"/>
              <w:jc w:val="left"/>
            </w:pPr>
            <w:r>
              <w:t xml:space="preserve">Rétatrutide 12 mg</w:t>
            </w:r>
          </w:p>
        </w:tc>
        <w:tc>
          <w:tcPr/>
          <w:p>
            <w:pPr>
              <w:pStyle w:val="Compact"/>
              <w:jc w:val="left"/>
            </w:pPr>
            <w:r>
              <w:t xml:space="preserve">TRIUMPH-2 (Bellido 2026), PMID 42810372</w:t>
            </w:r>
          </w:p>
        </w:tc>
        <w:tc>
          <w:tcPr/>
          <w:p>
            <w:pPr>
              <w:pStyle w:val="Compact"/>
              <w:jc w:val="left"/>
            </w:pPr>
            <w:r>
              <w:t xml:space="preserve">80 semaines</w:t>
            </w:r>
          </w:p>
        </w:tc>
        <w:tc>
          <w:tcPr/>
          <w:p>
            <w:pPr>
              <w:pStyle w:val="Compact"/>
              <w:jc w:val="left"/>
            </w:pPr>
            <w:r>
              <w:t xml:space="preserve">−18,8 % vs −5,1 %</w:t>
            </w:r>
          </w:p>
        </w:tc>
      </w:tr>
      <w:tr>
        <w:tc>
          <w:tcPr/>
          <w:p>
            <w:pPr>
              <w:pStyle w:val="Compact"/>
              <w:jc w:val="left"/>
            </w:pPr>
            <w:r>
              <w:t xml:space="preserve">Survodutide</w:t>
            </w:r>
          </w:p>
        </w:tc>
        <w:tc>
          <w:tcPr/>
          <w:p>
            <w:pPr>
              <w:pStyle w:val="Compact"/>
              <w:jc w:val="left"/>
            </w:pPr>
            <w:r>
              <w:t xml:space="preserve">SYNCHRONIZE-2 (Wharton 2026), PMID 42820639</w:t>
            </w:r>
          </w:p>
        </w:tc>
        <w:tc>
          <w:tcPr/>
          <w:p>
            <w:pPr>
              <w:pStyle w:val="Compact"/>
              <w:jc w:val="left"/>
            </w:pPr>
            <w:r>
              <w:t xml:space="preserve">76 semaines</w:t>
            </w:r>
          </w:p>
        </w:tc>
        <w:tc>
          <w:tcPr/>
          <w:p>
            <w:pPr>
              <w:pStyle w:val="Compact"/>
              <w:jc w:val="left"/>
            </w:pPr>
            <w:r>
              <w:t xml:space="preserve">−8,2 / −9,8 % vs −3,9 %</w:t>
            </w:r>
          </w:p>
        </w:tc>
      </w:tr>
      <w:tr>
        <w:tc>
          <w:tcPr/>
          <w:p>
            <w:pPr>
              <w:pStyle w:val="Compact"/>
              <w:jc w:val="left"/>
            </w:pPr>
            <w:r>
              <w:t xml:space="preserve">Orforglipron</w:t>
            </w:r>
          </w:p>
        </w:tc>
        <w:tc>
          <w:tcPr/>
          <w:p>
            <w:pPr>
              <w:pStyle w:val="Compact"/>
              <w:jc w:val="left"/>
            </w:pPr>
            <w:r>
              <w:t xml:space="preserve">ATTAIN-2 (Horn 2026), PMID 41275875</w:t>
            </w:r>
          </w:p>
        </w:tc>
        <w:tc>
          <w:tcPr/>
          <w:p>
            <w:pPr>
              <w:pStyle w:val="Compact"/>
              <w:jc w:val="left"/>
            </w:pPr>
            <w:r>
              <w:t xml:space="preserve">72 semaines</w:t>
            </w:r>
          </w:p>
        </w:tc>
        <w:tc>
          <w:tcPr/>
          <w:p>
            <w:pPr>
              <w:pStyle w:val="Compact"/>
              <w:jc w:val="left"/>
            </w:pPr>
            <w:r>
              <w:t xml:space="preserve">−5,1 à −9,6 % vs −2,5 %</w:t>
            </w:r>
          </w:p>
        </w:tc>
      </w:tr>
    </w:tbl>
    <w:p>
      <w:pPr>
        <w:pStyle w:val="BodyText"/>
      </w:pPr>
      <w:r>
        <w:t xml:space="preserve">Pour chaque substance, la valeur obtenue avec un diabète est nettement inférieure à celle obtenue sans diabète, généralement d’un quart à un tiers. Ce schéma est si constant que comparer une étude sur le diabète à une étude sur l’obésité sans diabète induit toujours en erreur.</w:t>
      </w:r>
    </w:p>
    <w:bookmarkEnd w:id="2541"/>
    <w:bookmarkStart w:id="2544" w:name="après-larrêt"/>
    <w:p>
      <w:pPr>
        <w:pStyle w:val="Heading4"/>
      </w:pPr>
      <w:r>
        <w:t xml:space="preserve">Après l’arrêt</w:t>
      </w:r>
    </w:p>
    <w:p>
      <w:pPr>
        <w:pStyle w:val="FirstParagraph"/>
      </w:pPr>
      <w:r>
        <w:t xml:space="preserve">Deux études ont examiné de manière ciblée ce qui se passe après l’arrêt. Dans STEP 4, tous les participants ont d’abord reçu du sémaglutide pendant 20 semaines ; ensuite, le groupe passé au placebo a repris 6,9 % de poids en 48 semaines, tandis que le groupe resté sous sémaglutide a perdu 7,9 % supplémentaires</w:t>
      </w:r>
      <w:r>
        <w:rPr>
          <w:rStyle w:val="FootnoteReference"/>
        </w:rPr>
        <w:footnoteReference w:id="2542"/>
      </w:r>
      <w:r>
        <w:t xml:space="preserve">. Dans SURMOUNT-4, après 36 semaines de tirzépatide, le groupe placebo a repris 14,0 % au cours des 52 semaines suivantes</w:t>
      </w:r>
      <w:r>
        <w:rPr>
          <w:rStyle w:val="FootnoteReference"/>
        </w:rPr>
        <w:footnoteReference w:id="2543"/>
      </w:r>
      <w:r>
        <w:t xml:space="preserve">. Pour les deux substances, l’effet ne dure que tant que le traitement est poursuivi. Pour les substances plus récentes, il n’existe pas encore de données publiées à ce sujet.</w:t>
      </w:r>
    </w:p>
    <w:bookmarkEnd w:id="2544"/>
    <w:bookmarkEnd w:id="2545"/>
    <w:bookmarkStart w:id="2547" w:name="glycémie-hba1c"/>
    <w:p>
      <w:pPr>
        <w:pStyle w:val="Heading3"/>
      </w:pPr>
      <w:r>
        <w:t xml:space="preserve">Glycémie : HbA1c</w:t>
      </w:r>
    </w:p>
    <w:p>
      <w:pPr>
        <w:pStyle w:val="FirstParagraph"/>
      </w:pPr>
      <w:r>
        <w:t xml:space="preserve">L’HbA1c (« sucre à long terme ») indique la proportion du pigment rouge du sang chargée de sucre et reflète la glycémie moyenne des deux à trois derniers mois. Une baisse d’un point de pourcentage est considérée comme cliniquement significative. L’ampleur de la baisse dépend fortement de la valeur initiale : qui commence à 9 % peut perdre davantage que qui commence à 7,5 %.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Substance</w:t>
            </w:r>
          </w:p>
        </w:tc>
        <w:tc>
          <w:tcPr/>
          <w:p>
            <w:pPr>
              <w:pStyle w:val="Compact"/>
              <w:jc w:val="left"/>
            </w:pPr>
            <w:r>
              <w:t xml:space="preserve">Étude</w:t>
            </w:r>
          </w:p>
        </w:tc>
        <w:tc>
          <w:tcPr/>
          <w:p>
            <w:pPr>
              <w:pStyle w:val="Compact"/>
              <w:jc w:val="left"/>
            </w:pPr>
            <w:r>
              <w:t xml:space="preserve">Durée</w:t>
            </w:r>
          </w:p>
        </w:tc>
        <w:tc>
          <w:tcPr/>
          <w:p>
            <w:pPr>
              <w:pStyle w:val="Compact"/>
              <w:jc w:val="left"/>
            </w:pPr>
            <w:r>
              <w:t xml:space="preserve">Variation de l’HbA1c (points de pourcentage)</w:t>
            </w:r>
          </w:p>
        </w:tc>
      </w:tr>
      <w:tr>
        <w:tc>
          <w:tcPr/>
          <w:p>
            <w:pPr>
              <w:pStyle w:val="Compact"/>
              <w:jc w:val="left"/>
            </w:pPr>
            <w:r>
              <w:t xml:space="preserve">Exénatide deux fois par jour</w:t>
            </w:r>
          </w:p>
        </w:tc>
        <w:tc>
          <w:tcPr/>
          <w:p>
            <w:pPr>
              <w:pStyle w:val="Compact"/>
              <w:jc w:val="left"/>
            </w:pPr>
            <w:r>
              <w:t xml:space="preserve">DeFronzo 2005, PMID 15855572</w:t>
            </w:r>
          </w:p>
        </w:tc>
        <w:tc>
          <w:tcPr/>
          <w:p>
            <w:pPr>
              <w:pStyle w:val="Compact"/>
              <w:jc w:val="left"/>
            </w:pPr>
            <w:r>
              <w:t xml:space="preserve">30 semaines</w:t>
            </w:r>
          </w:p>
        </w:tc>
        <w:tc>
          <w:tcPr/>
          <w:p>
            <w:pPr>
              <w:pStyle w:val="Compact"/>
              <w:jc w:val="left"/>
            </w:pPr>
            <w:r>
              <w:t xml:space="preserve">−0,78 vs +0,08 (placebo)</w:t>
            </w:r>
          </w:p>
        </w:tc>
      </w:tr>
      <w:tr>
        <w:tc>
          <w:tcPr/>
          <w:p>
            <w:pPr>
              <w:pStyle w:val="Compact"/>
              <w:jc w:val="left"/>
            </w:pPr>
            <w:r>
              <w:t xml:space="preserve">Pramlintide</w:t>
            </w:r>
          </w:p>
        </w:tc>
        <w:tc>
          <w:tcPr/>
          <w:p>
            <w:pPr>
              <w:pStyle w:val="Compact"/>
              <w:jc w:val="left"/>
            </w:pPr>
            <w:r>
              <w:t xml:space="preserve">Hollander 2003, PMID 12610038</w:t>
            </w:r>
          </w:p>
        </w:tc>
        <w:tc>
          <w:tcPr/>
          <w:p>
            <w:pPr>
              <w:pStyle w:val="Compact"/>
              <w:jc w:val="left"/>
            </w:pPr>
            <w:r>
              <w:t xml:space="preserve">52 semaines</w:t>
            </w:r>
          </w:p>
        </w:tc>
        <w:tc>
          <w:tcPr/>
          <w:p>
            <w:pPr>
              <w:pStyle w:val="Compact"/>
              <w:jc w:val="left"/>
            </w:pPr>
            <w:r>
              <w:t xml:space="preserve">−0,62 (en plus de l’insuline)</w:t>
            </w:r>
          </w:p>
        </w:tc>
      </w:tr>
      <w:tr>
        <w:tc>
          <w:tcPr/>
          <w:p>
            <w:pPr>
              <w:pStyle w:val="Compact"/>
              <w:jc w:val="left"/>
            </w:pPr>
            <w:r>
              <w:t xml:space="preserve">Liraglutide 1,8 mg</w:t>
            </w:r>
          </w:p>
        </w:tc>
        <w:tc>
          <w:tcPr/>
          <w:p>
            <w:pPr>
              <w:pStyle w:val="Compact"/>
              <w:jc w:val="left"/>
            </w:pPr>
            <w:r>
              <w:t xml:space="preserve">LEAD-3 (Garber 2009), PMID 18819705</w:t>
            </w:r>
          </w:p>
        </w:tc>
        <w:tc>
          <w:tcPr/>
          <w:p>
            <w:pPr>
              <w:pStyle w:val="Compact"/>
              <w:jc w:val="left"/>
            </w:pPr>
            <w:r>
              <w:t xml:space="preserve">52 semaines</w:t>
            </w:r>
          </w:p>
        </w:tc>
        <w:tc>
          <w:tcPr/>
          <w:p>
            <w:pPr>
              <w:pStyle w:val="Compact"/>
              <w:jc w:val="left"/>
            </w:pPr>
            <w:r>
              <w:t xml:space="preserve">−1,14 vs −0,51 (glimépiride)</w:t>
            </w:r>
          </w:p>
        </w:tc>
      </w:tr>
      <w:tr>
        <w:tc>
          <w:tcPr/>
          <w:p>
            <w:pPr>
              <w:pStyle w:val="Compact"/>
              <w:jc w:val="left"/>
            </w:pPr>
            <w:r>
              <w:t xml:space="preserve">Dulaglutide 4,5 mg</w:t>
            </w:r>
          </w:p>
        </w:tc>
        <w:tc>
          <w:tcPr/>
          <w:p>
            <w:pPr>
              <w:pStyle w:val="Compact"/>
              <w:jc w:val="left"/>
            </w:pPr>
            <w:r>
              <w:t xml:space="preserve">AWARD-11 (Frias 2021), PMID 33397768</w:t>
            </w:r>
          </w:p>
        </w:tc>
        <w:tc>
          <w:tcPr/>
          <w:p>
            <w:pPr>
              <w:pStyle w:val="Compact"/>
              <w:jc w:val="left"/>
            </w:pPr>
            <w:r>
              <w:t xml:space="preserve">36 semaines</w:t>
            </w:r>
          </w:p>
        </w:tc>
        <w:tc>
          <w:tcPr/>
          <w:p>
            <w:pPr>
              <w:pStyle w:val="Compact"/>
              <w:jc w:val="left"/>
            </w:pPr>
            <w:r>
              <w:t xml:space="preserve">−1,77 vs −1,54 (1,5 mg)</w:t>
            </w:r>
          </w:p>
        </w:tc>
      </w:tr>
      <w:tr>
        <w:tc>
          <w:tcPr/>
          <w:p>
            <w:pPr>
              <w:pStyle w:val="Compact"/>
              <w:jc w:val="left"/>
            </w:pPr>
            <w:r>
              <w:t xml:space="preserve">Sémaglutide 1,0 mg</w:t>
            </w:r>
          </w:p>
        </w:tc>
        <w:tc>
          <w:tcPr/>
          <w:p>
            <w:pPr>
              <w:pStyle w:val="Compact"/>
              <w:jc w:val="left"/>
            </w:pPr>
            <w:r>
              <w:t xml:space="preserve">SUSTAIN 1 (Sorli 2017), PMID 28110911</w:t>
            </w:r>
          </w:p>
        </w:tc>
        <w:tc>
          <w:tcPr/>
          <w:p>
            <w:pPr>
              <w:pStyle w:val="Compact"/>
              <w:jc w:val="left"/>
            </w:pPr>
            <w:r>
              <w:t xml:space="preserve">30 semaines</w:t>
            </w:r>
          </w:p>
        </w:tc>
        <w:tc>
          <w:tcPr/>
          <w:p>
            <w:pPr>
              <w:pStyle w:val="Compact"/>
              <w:jc w:val="left"/>
            </w:pPr>
            <w:r>
              <w:t xml:space="preserve">−1,55 vs −0,02 (placebo)</w:t>
            </w:r>
          </w:p>
        </w:tc>
      </w:tr>
      <w:tr>
        <w:tc>
          <w:tcPr/>
          <w:p>
            <w:pPr>
              <w:pStyle w:val="Compact"/>
              <w:jc w:val="left"/>
            </w:pPr>
            <w:r>
              <w:t xml:space="preserve">Sémaglutide 2,0 mg</w:t>
            </w:r>
          </w:p>
        </w:tc>
        <w:tc>
          <w:tcPr/>
          <w:p>
            <w:pPr>
              <w:pStyle w:val="Compact"/>
              <w:jc w:val="left"/>
            </w:pPr>
            <w:r>
              <w:t xml:space="preserve">SUSTAIN FORTE (Frías 2021), PMID 34293304</w:t>
            </w:r>
          </w:p>
        </w:tc>
        <w:tc>
          <w:tcPr/>
          <w:p>
            <w:pPr>
              <w:pStyle w:val="Compact"/>
              <w:jc w:val="left"/>
            </w:pPr>
            <w:r>
              <w:t xml:space="preserve">40 semaines</w:t>
            </w:r>
          </w:p>
        </w:tc>
        <w:tc>
          <w:tcPr/>
          <w:p>
            <w:pPr>
              <w:pStyle w:val="Compact"/>
              <w:jc w:val="left"/>
            </w:pPr>
            <w:r>
              <w:t xml:space="preserve">−2,2 vs −1,9 (1,0 mg)</w:t>
            </w:r>
          </w:p>
        </w:tc>
      </w:tr>
      <w:tr>
        <w:tc>
          <w:tcPr/>
          <w:p>
            <w:pPr>
              <w:pStyle w:val="Compact"/>
              <w:jc w:val="left"/>
            </w:pPr>
            <w:r>
              <w:t xml:space="preserve">Tirzépatide 5–15 mg</w:t>
            </w:r>
          </w:p>
        </w:tc>
        <w:tc>
          <w:tcPr/>
          <w:p>
            <w:pPr>
              <w:pStyle w:val="Compact"/>
              <w:jc w:val="left"/>
            </w:pPr>
            <w:r>
              <w:t xml:space="preserve">SURPASS-1 (Rosenstock 2021), PMID 34186022</w:t>
            </w:r>
          </w:p>
        </w:tc>
        <w:tc>
          <w:tcPr/>
          <w:p>
            <w:pPr>
              <w:pStyle w:val="Compact"/>
              <w:jc w:val="left"/>
            </w:pPr>
            <w:r>
              <w:t xml:space="preserve">40 semaines</w:t>
            </w:r>
          </w:p>
        </w:tc>
        <w:tc>
          <w:tcPr/>
          <w:p>
            <w:pPr>
              <w:pStyle w:val="Compact"/>
              <w:jc w:val="left"/>
            </w:pPr>
            <w:r>
              <w:t xml:space="preserve">−1,87 à −2,07 vs +0,04 (placebo)</w:t>
            </w:r>
          </w:p>
        </w:tc>
      </w:tr>
      <w:tr>
        <w:tc>
          <w:tcPr/>
          <w:p>
            <w:pPr>
              <w:pStyle w:val="Compact"/>
              <w:jc w:val="left"/>
            </w:pPr>
            <w:r>
              <w:t xml:space="preserve">Rétatrutide</w:t>
            </w:r>
          </w:p>
        </w:tc>
        <w:tc>
          <w:tcPr/>
          <w:p>
            <w:pPr>
              <w:pStyle w:val="Compact"/>
              <w:jc w:val="left"/>
            </w:pPr>
            <w:r>
              <w:t xml:space="preserve">TRANSCEND-T2D-1 (Bajaj 2026), PMID 42250575</w:t>
            </w:r>
          </w:p>
        </w:tc>
        <w:tc>
          <w:tcPr/>
          <w:p>
            <w:pPr>
              <w:pStyle w:val="Compact"/>
              <w:jc w:val="left"/>
            </w:pPr>
            <w:r>
              <w:t xml:space="preserve">40 semaines</w:t>
            </w:r>
          </w:p>
        </w:tc>
        <w:tc>
          <w:tcPr/>
          <w:p>
            <w:pPr>
              <w:pStyle w:val="Compact"/>
              <w:jc w:val="left"/>
            </w:pPr>
            <w:r>
              <w:t xml:space="preserve">−1,69 à −1,94 vs −0,81 (placebo)</w:t>
            </w:r>
          </w:p>
        </w:tc>
      </w:tr>
      <w:tr>
        <w:tc>
          <w:tcPr/>
          <w:p>
            <w:pPr>
              <w:pStyle w:val="Compact"/>
              <w:jc w:val="left"/>
            </w:pPr>
            <w:r>
              <w:t xml:space="preserve">Mazdutide</w:t>
            </w:r>
          </w:p>
        </w:tc>
        <w:tc>
          <w:tcPr/>
          <w:p>
            <w:pPr>
              <w:pStyle w:val="Compact"/>
              <w:jc w:val="left"/>
            </w:pPr>
            <w:r>
              <w:t xml:space="preserve">DREAMS-1 (Zhu 2026), PMID 41407859</w:t>
            </w:r>
          </w:p>
        </w:tc>
        <w:tc>
          <w:tcPr/>
          <w:p>
            <w:pPr>
              <w:pStyle w:val="Compact"/>
              <w:jc w:val="left"/>
            </w:pPr>
            <w:r>
              <w:t xml:space="preserve">24 semaines</w:t>
            </w:r>
          </w:p>
        </w:tc>
        <w:tc>
          <w:tcPr/>
          <w:p>
            <w:pPr>
              <w:pStyle w:val="Compact"/>
              <w:jc w:val="left"/>
            </w:pPr>
            <w:r>
              <w:t xml:space="preserve">−1,57 / −2,15 vs −0,14 (placebo)</w:t>
            </w:r>
          </w:p>
        </w:tc>
      </w:tr>
      <w:tr>
        <w:tc>
          <w:tcPr/>
          <w:p>
            <w:pPr>
              <w:pStyle w:val="Compact"/>
              <w:jc w:val="left"/>
            </w:pPr>
            <w:r>
              <w:t xml:space="preserve">CagriSema</w:t>
            </w:r>
          </w:p>
        </w:tc>
        <w:tc>
          <w:tcPr/>
          <w:p>
            <w:pPr>
              <w:pStyle w:val="Compact"/>
              <w:jc w:val="left"/>
            </w:pPr>
            <w:r>
              <w:t xml:space="preserve">REIMAGINE 1 (Aroda 2026), PMID 42251860</w:t>
            </w:r>
          </w:p>
        </w:tc>
        <w:tc>
          <w:tcPr/>
          <w:p>
            <w:pPr>
              <w:pStyle w:val="Compact"/>
              <w:jc w:val="left"/>
            </w:pPr>
            <w:r>
              <w:t xml:space="preserve">40 semaines</w:t>
            </w:r>
          </w:p>
        </w:tc>
        <w:tc>
          <w:tcPr/>
          <w:p>
            <w:pPr>
              <w:pStyle w:val="Compact"/>
              <w:jc w:val="left"/>
            </w:pPr>
            <w:r>
              <w:t xml:space="preserve">−1,8 vs −0,1 (placebo)</w:t>
            </w:r>
          </w:p>
        </w:tc>
      </w:tr>
      <w:tr>
        <w:tc>
          <w:tcPr/>
          <w:p>
            <w:pPr>
              <w:pStyle w:val="Compact"/>
              <w:jc w:val="left"/>
            </w:pPr>
            <w:r>
              <w:t xml:space="preserve">Maridebart cafraglutide</w:t>
            </w:r>
          </w:p>
        </w:tc>
        <w:tc>
          <w:tcPr/>
          <w:p>
            <w:pPr>
              <w:pStyle w:val="Compact"/>
              <w:jc w:val="left"/>
            </w:pPr>
            <w:r>
              <w:t xml:space="preserve">Phase 2 (Jastreboff 2025), PMID 40549887</w:t>
            </w:r>
          </w:p>
        </w:tc>
        <w:tc>
          <w:tcPr/>
          <w:p>
            <w:pPr>
              <w:pStyle w:val="Compact"/>
              <w:jc w:val="left"/>
            </w:pPr>
            <w:r>
              <w:t xml:space="preserve">52 semaines</w:t>
            </w:r>
          </w:p>
        </w:tc>
        <w:tc>
          <w:tcPr/>
          <w:p>
            <w:pPr>
              <w:pStyle w:val="Compact"/>
              <w:jc w:val="left"/>
            </w:pPr>
            <w:r>
              <w:t xml:space="preserve">−1,2 à −1,6 vs +0,1 (placebo)</w:t>
            </w:r>
          </w:p>
        </w:tc>
      </w:tr>
      <w:tr>
        <w:tc>
          <w:tcPr/>
          <w:p>
            <w:pPr>
              <w:pStyle w:val="Compact"/>
              <w:jc w:val="left"/>
            </w:pPr>
            <w:r>
              <w:t xml:space="preserve">Orforglipron</w:t>
            </w:r>
          </w:p>
        </w:tc>
        <w:tc>
          <w:tcPr/>
          <w:p>
            <w:pPr>
              <w:pStyle w:val="Compact"/>
              <w:jc w:val="left"/>
            </w:pPr>
            <w:r>
              <w:t xml:space="preserve">ACHIEVE-1 (Rosenstock 2025), PMID 40544435</w:t>
            </w:r>
          </w:p>
        </w:tc>
        <w:tc>
          <w:tcPr/>
          <w:p>
            <w:pPr>
              <w:pStyle w:val="Compact"/>
              <w:jc w:val="left"/>
            </w:pPr>
            <w:r>
              <w:t xml:space="preserve">40 semaines</w:t>
            </w:r>
          </w:p>
        </w:tc>
        <w:tc>
          <w:tcPr/>
          <w:p>
            <w:pPr>
              <w:pStyle w:val="Compact"/>
              <w:jc w:val="left"/>
            </w:pPr>
            <w:r>
              <w:t xml:space="preserve">−1,24 à −1,48 vs −0,41 (placebo)</w:t>
            </w:r>
          </w:p>
        </w:tc>
      </w:tr>
    </w:tbl>
    <w:p>
      <w:pPr>
        <w:pStyle w:val="BodyText"/>
      </w:pPr>
      <w:r>
        <w:t xml:space="preserve">Les substances plus anciennes, l’exénatide et le pramlintide, abaissent l’HbA1c de moins d’un point de pourcentage, les agonistes hebdomadaires du GLP-1 d’environ 1,5 point, le tirzépatide et les nouveaux agonistes multiples d’environ 2 points. Pour la glycémie, les différences entre les substances récentes sont plus faibles que pour le poids. REIMAGINE 2 le montre particulièrement bien : CagriSema n’y a abaissé l’HbA1c que de 0,16 point de pourcentage de plus que le sémaglutide 2,4 mg seul (−1,91 vs −1,75 ; Buse 2026, PMID 42251859). L’ajout d’amyline agit donc surtout sur le poids.</w:t>
      </w:r>
    </w:p>
    <w:p>
      <w:pPr>
        <w:pStyle w:val="BodyText"/>
      </w:pPr>
      <w:r>
        <w:t xml:space="preserve">Une différence importante concerne l’hypoglycémie. Comme le GLP-1 n’augmente la sécrétion d’insuline qu’en cas de glycémie élevée, les hypoglycémies sont rares sous ces médicaments seuls. Elles deviennent plus fréquentes lorsque de l’insuline ou des sulfamides hypoglycémiants sont pris en même temps. Pour le pramlintide, qui n’est utilisé qu’en complément de l’insuline prandiale, l’hypoglycémie sévère est le principal risque</w:t>
      </w:r>
      <w:r>
        <w:rPr>
          <w:rStyle w:val="FootnoteReference"/>
        </w:rPr>
        <w:footnoteReference w:id="2546"/>
      </w:r>
      <w:r>
        <w:t xml:space="preserve">.</w:t>
      </w:r>
    </w:p>
    <w:bookmarkEnd w:id="2547"/>
    <w:bookmarkStart w:id="2555" w:name="X11b492ac9d396d74d2aeedc1191986a0ad28ffa"/>
    <w:p>
      <w:pPr>
        <w:pStyle w:val="Heading3"/>
      </w:pPr>
      <w:r>
        <w:t xml:space="preserve">Études de morbi-mortalité cardiovasculaire</w:t>
      </w:r>
    </w:p>
    <w:p>
      <w:pPr>
        <w:pStyle w:val="FirstParagraph"/>
      </w:pPr>
      <w:r>
        <w:t xml:space="preserve">Les études de critères cliniques ne mesurent pas des valeurs de laboratoire, mais des événements qui comptent pour les patientes et les patients : décès cardiovasculaire, infarctus du myocarde et accident vasculaire cérébral, regroupés sous le terme « MACE » (major adverse cardiovascular events). Le hazard ratio (HR) indique le niveau du risque par rapport au groupe témoin ; 0,80 signifie un risque relatif inférieur de 20 %.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 (substance)</w:t>
            </w:r>
          </w:p>
        </w:tc>
        <w:tc>
          <w:tcPr/>
          <w:p>
            <w:pPr>
              <w:pStyle w:val="Compact"/>
              <w:jc w:val="left"/>
            </w:pPr>
            <w:r>
              <w:t xml:space="preserve">Participants</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LEADER (liraglutide ; Marso 2016), PMID 27295427</w:t>
            </w:r>
          </w:p>
        </w:tc>
        <w:tc>
          <w:tcPr/>
          <w:p>
            <w:pPr>
              <w:pStyle w:val="Compact"/>
              <w:jc w:val="left"/>
            </w:pPr>
            <w:r>
              <w:t xml:space="preserve">9 340 avec diabète de type 2 et risque élevé</w:t>
            </w:r>
          </w:p>
        </w:tc>
        <w:tc>
          <w:tcPr/>
          <w:p>
            <w:pPr>
              <w:pStyle w:val="Compact"/>
              <w:jc w:val="left"/>
            </w:pPr>
            <w:r>
              <w:t xml:space="preserve">médiane 3,8 ans</w:t>
            </w:r>
          </w:p>
        </w:tc>
        <w:tc>
          <w:tcPr/>
          <w:p>
            <w:pPr>
              <w:pStyle w:val="Compact"/>
              <w:jc w:val="left"/>
            </w:pPr>
            <w:r>
              <w:t xml:space="preserve">13,0 % vs 14,9 % ; HR 0,87</w:t>
            </w:r>
          </w:p>
        </w:tc>
      </w:tr>
      <w:tr>
        <w:tc>
          <w:tcPr/>
          <w:p>
            <w:pPr>
              <w:pStyle w:val="Compact"/>
              <w:jc w:val="left"/>
            </w:pPr>
            <w:r>
              <w:t xml:space="preserve">SUSTAIN 6 (sémaglutide ; Marso 2016), PMID 27633186</w:t>
            </w:r>
          </w:p>
        </w:tc>
        <w:tc>
          <w:tcPr/>
          <w:p>
            <w:pPr>
              <w:pStyle w:val="Compact"/>
              <w:jc w:val="left"/>
            </w:pPr>
            <w:r>
              <w:t xml:space="preserve">3 297 avec diabète de type 2 et risque élevé</w:t>
            </w:r>
          </w:p>
        </w:tc>
        <w:tc>
          <w:tcPr/>
          <w:p>
            <w:pPr>
              <w:pStyle w:val="Compact"/>
              <w:jc w:val="left"/>
            </w:pPr>
            <w:r>
              <w:t xml:space="preserve">104 semaines</w:t>
            </w:r>
          </w:p>
        </w:tc>
        <w:tc>
          <w:tcPr/>
          <w:p>
            <w:pPr>
              <w:pStyle w:val="Compact"/>
              <w:jc w:val="left"/>
            </w:pPr>
            <w:r>
              <w:t xml:space="preserve">6,6 % vs 8,9 % ; HR 0,74</w:t>
            </w:r>
          </w:p>
        </w:tc>
      </w:tr>
      <w:tr>
        <w:tc>
          <w:tcPr/>
          <w:p>
            <w:pPr>
              <w:pStyle w:val="Compact"/>
              <w:jc w:val="left"/>
            </w:pPr>
            <w:r>
              <w:t xml:space="preserve">PIONEER 6 (sémaglutide en comprimé ; Husain 2019), PMID 31185157</w:t>
            </w:r>
          </w:p>
        </w:tc>
        <w:tc>
          <w:tcPr/>
          <w:p>
            <w:pPr>
              <w:pStyle w:val="Compact"/>
              <w:jc w:val="left"/>
            </w:pPr>
            <w:r>
              <w:t xml:space="preserve">3 183 avec diabète de type 2 et risque élevé</w:t>
            </w:r>
          </w:p>
        </w:tc>
        <w:tc>
          <w:tcPr/>
          <w:p>
            <w:pPr>
              <w:pStyle w:val="Compact"/>
              <w:jc w:val="left"/>
            </w:pPr>
            <w:r>
              <w:t xml:space="preserve">médiane 15,9 mois</w:t>
            </w:r>
          </w:p>
        </w:tc>
        <w:tc>
          <w:tcPr/>
          <w:p>
            <w:pPr>
              <w:pStyle w:val="Compact"/>
              <w:jc w:val="left"/>
            </w:pPr>
            <w:r>
              <w:t xml:space="preserve">3,8 % vs 4,8 % ; HR 0,79, seule la non-infériorité a été démontrée</w:t>
            </w:r>
          </w:p>
        </w:tc>
      </w:tr>
      <w:tr>
        <w:tc>
          <w:tcPr/>
          <w:p>
            <w:pPr>
              <w:pStyle w:val="Compact"/>
              <w:jc w:val="left"/>
            </w:pPr>
            <w:r>
              <w:t xml:space="preserve">SOUL (sémaglutide en comprimé ; McGuire 2025), PMID 40162642</w:t>
            </w:r>
          </w:p>
        </w:tc>
        <w:tc>
          <w:tcPr/>
          <w:p>
            <w:pPr>
              <w:pStyle w:val="Compact"/>
              <w:jc w:val="left"/>
            </w:pPr>
            <w:r>
              <w:t xml:space="preserve">9 650 avec diabète de type 2 et maladie vasculaire ou rénale</w:t>
            </w:r>
          </w:p>
        </w:tc>
        <w:tc>
          <w:tcPr/>
          <w:p>
            <w:pPr>
              <w:pStyle w:val="Compact"/>
              <w:jc w:val="left"/>
            </w:pPr>
            <w:r>
              <w:t xml:space="preserve">médiane 49,5 mois</w:t>
            </w:r>
          </w:p>
        </w:tc>
        <w:tc>
          <w:tcPr/>
          <w:p>
            <w:pPr>
              <w:pStyle w:val="Compact"/>
              <w:jc w:val="left"/>
            </w:pPr>
            <w:r>
              <w:t xml:space="preserve">12,0 % vs 13,8 % ; HR 0,86</w:t>
            </w:r>
          </w:p>
        </w:tc>
      </w:tr>
      <w:tr>
        <w:tc>
          <w:tcPr/>
          <w:p>
            <w:pPr>
              <w:pStyle w:val="Compact"/>
              <w:jc w:val="left"/>
            </w:pPr>
            <w:r>
              <w:t xml:space="preserve">SELECT (sémaglutide 2,4 mg ; Lincoff 2023), PMID 37952131</w:t>
            </w:r>
          </w:p>
        </w:tc>
        <w:tc>
          <w:tcPr/>
          <w:p>
            <w:pPr>
              <w:pStyle w:val="Compact"/>
              <w:jc w:val="left"/>
            </w:pPr>
            <w:r>
              <w:t xml:space="preserve">17 604 en surpoids avec maladie cardiovasculaire, sans diabète</w:t>
            </w:r>
          </w:p>
        </w:tc>
        <w:tc>
          <w:tcPr/>
          <w:p>
            <w:pPr>
              <w:pStyle w:val="Compact"/>
              <w:jc w:val="left"/>
            </w:pPr>
            <w:r>
              <w:t xml:space="preserve">en moyenne 39,8 mois</w:t>
            </w:r>
          </w:p>
        </w:tc>
        <w:tc>
          <w:tcPr/>
          <w:p>
            <w:pPr>
              <w:pStyle w:val="Compact"/>
              <w:jc w:val="left"/>
            </w:pPr>
            <w:r>
              <w:t xml:space="preserve">6,5 % vs 8,0 % ; HR 0,80</w:t>
            </w:r>
          </w:p>
        </w:tc>
      </w:tr>
      <w:tr>
        <w:tc>
          <w:tcPr/>
          <w:p>
            <w:pPr>
              <w:pStyle w:val="Compact"/>
              <w:jc w:val="left"/>
            </w:pPr>
            <w:r>
              <w:t xml:space="preserve">REWIND (dulaglutide ; Gerstein 2019), PMID 31189511</w:t>
            </w:r>
          </w:p>
        </w:tc>
        <w:tc>
          <w:tcPr/>
          <w:p>
            <w:pPr>
              <w:pStyle w:val="Compact"/>
              <w:jc w:val="left"/>
            </w:pPr>
            <w:r>
              <w:t xml:space="preserve">9 901 avec diabète de type 2, avec ou sans antécédent cardiovasculaire</w:t>
            </w:r>
          </w:p>
        </w:tc>
        <w:tc>
          <w:tcPr/>
          <w:p>
            <w:pPr>
              <w:pStyle w:val="Compact"/>
              <w:jc w:val="left"/>
            </w:pPr>
            <w:r>
              <w:t xml:space="preserve">médiane 5,4 ans</w:t>
            </w:r>
          </w:p>
        </w:tc>
        <w:tc>
          <w:tcPr/>
          <w:p>
            <w:pPr>
              <w:pStyle w:val="Compact"/>
              <w:jc w:val="left"/>
            </w:pPr>
            <w:r>
              <w:t xml:space="preserve">12,0 % vs 13,4 % ; HR 0,88</w:t>
            </w:r>
          </w:p>
        </w:tc>
      </w:tr>
      <w:tr>
        <w:tc>
          <w:tcPr/>
          <w:p>
            <w:pPr>
              <w:pStyle w:val="Compact"/>
              <w:jc w:val="left"/>
            </w:pPr>
            <w:r>
              <w:t xml:space="preserve">EXSCEL (exénatide hebdomadaire ; Holman 2017), PMID 28910237</w:t>
            </w:r>
          </w:p>
        </w:tc>
        <w:tc>
          <w:tcPr/>
          <w:p>
            <w:pPr>
              <w:pStyle w:val="Compact"/>
              <w:jc w:val="left"/>
            </w:pPr>
            <w:r>
              <w:t xml:space="preserve">14 752 avec diabète de type 2</w:t>
            </w:r>
          </w:p>
        </w:tc>
        <w:tc>
          <w:tcPr/>
          <w:p>
            <w:pPr>
              <w:pStyle w:val="Compact"/>
              <w:jc w:val="left"/>
            </w:pPr>
            <w:r>
              <w:t xml:space="preserve">médiane 3,2 ans</w:t>
            </w:r>
          </w:p>
        </w:tc>
        <w:tc>
          <w:tcPr/>
          <w:p>
            <w:pPr>
              <w:pStyle w:val="Compact"/>
              <w:jc w:val="left"/>
            </w:pPr>
            <w:r>
              <w:t xml:space="preserve">11,4 % vs 12,2 % ; HR 0,91, supériorité manquée de peu</w:t>
            </w:r>
          </w:p>
        </w:tc>
      </w:tr>
      <w:tr>
        <w:tc>
          <w:tcPr/>
          <w:p>
            <w:pPr>
              <w:pStyle w:val="Compact"/>
              <w:jc w:val="left"/>
            </w:pPr>
            <w:r>
              <w:t xml:space="preserve">SURPASS-CVOT (tirzépatide contre dulaglutide ; Nicholls 2025), PMID 41406444</w:t>
            </w:r>
          </w:p>
        </w:tc>
        <w:tc>
          <w:tcPr/>
          <w:p>
            <w:pPr>
              <w:pStyle w:val="Compact"/>
              <w:jc w:val="left"/>
            </w:pPr>
            <w:r>
              <w:t xml:space="preserve">13 165 avec diabète de type 2 et maladie vasculaire</w:t>
            </w:r>
          </w:p>
        </w:tc>
        <w:tc>
          <w:tcPr/>
          <w:p>
            <w:pPr>
              <w:pStyle w:val="Compact"/>
              <w:jc w:val="left"/>
            </w:pPr>
            <w:r>
              <w:t xml:space="preserve">plusieurs années</w:t>
            </w:r>
          </w:p>
        </w:tc>
        <w:tc>
          <w:tcPr/>
          <w:p>
            <w:pPr>
              <w:pStyle w:val="Compact"/>
              <w:jc w:val="left"/>
            </w:pPr>
            <w:r>
              <w:t xml:space="preserve">12,2 % vs 13,1 % ; HR 0,92, non inférieur</w:t>
            </w:r>
          </w:p>
        </w:tc>
      </w:tr>
      <w:tr>
        <w:tc>
          <w:tcPr/>
          <w:p>
            <w:pPr>
              <w:pStyle w:val="Compact"/>
              <w:jc w:val="left"/>
            </w:pPr>
            <w:r>
              <w:t xml:space="preserve">ACHIEVE-4 (orforglipron contre insuline glargine ; Klein 2026), PMID 42815506</w:t>
            </w:r>
          </w:p>
        </w:tc>
        <w:tc>
          <w:tcPr/>
          <w:p>
            <w:pPr>
              <w:pStyle w:val="Compact"/>
              <w:jc w:val="left"/>
            </w:pPr>
            <w:r>
              <w:t xml:space="preserve">2 749 avec diabète de type 2 et risque élevé</w:t>
            </w:r>
          </w:p>
        </w:tc>
        <w:tc>
          <w:tcPr/>
          <w:p>
            <w:pPr>
              <w:pStyle w:val="Compact"/>
              <w:jc w:val="left"/>
            </w:pPr>
            <w:r>
              <w:t xml:space="preserve">médiane 2 ans</w:t>
            </w:r>
          </w:p>
        </w:tc>
        <w:tc>
          <w:tcPr/>
          <w:p>
            <w:pPr>
              <w:pStyle w:val="Compact"/>
              <w:jc w:val="left"/>
            </w:pPr>
            <w:r>
              <w:t xml:space="preserve">4,2 % vs 5,0 % (MACE-4), non inférieur</w:t>
            </w:r>
          </w:p>
        </w:tc>
      </w:tr>
    </w:tbl>
    <w:p>
      <w:pPr>
        <w:pStyle w:val="BodyText"/>
      </w:pPr>
      <w:r>
        <w:t xml:space="preserve">Ce que montre ce tableau :</w:t>
      </w:r>
    </w:p>
    <w:p>
      <w:pPr>
        <w:numPr>
          <w:ilvl w:val="0"/>
          <w:numId w:val="1326"/>
        </w:numPr>
        <w:pStyle w:val="Compact"/>
      </w:pPr>
      <w:r>
        <w:rPr>
          <w:bCs/>
          <w:b/>
        </w:rPr>
        <w:t xml:space="preserve">La classe réduit le risque.</w:t>
      </w:r>
      <w:r>
        <w:t xml:space="preserve"> </w:t>
      </w:r>
      <w:r>
        <w:t xml:space="preserve">Une méta-analyse de sept études de critères cliniques contrôlées contre placebo, totalisant 56 004 participants, a mis en évidence pour les agonistes du récepteur du GLP-1 dans le diabète de type 2 12 % d’événements cardiovasculaires graves en moins (HR 0,88), 12 % de décès toutes causes en moins et 9 % d’hospitalisations pour insuffisance cardiaque en moins, sans différence notable entre les sous-groupes</w:t>
      </w:r>
      <w:r>
        <w:rPr>
          <w:rStyle w:val="FootnoteReference"/>
        </w:rPr>
        <w:footnoteReference w:id="2548"/>
      </w:r>
      <w:r>
        <w:t xml:space="preserve">. Cette méta-analyse incluait aussi deux substances qui ne sont pas traitées dans ce livre.</w:t>
      </w:r>
    </w:p>
    <w:p>
      <w:pPr>
        <w:numPr>
          <w:ilvl w:val="0"/>
          <w:numId w:val="1326"/>
        </w:numPr>
        <w:pStyle w:val="Compact"/>
      </w:pPr>
      <w:r>
        <w:rPr>
          <w:bCs/>
          <w:b/>
        </w:rPr>
        <w:t xml:space="preserve">Les différences entre substances sont incertaines.</w:t>
      </w:r>
      <w:r>
        <w:t xml:space="preserve"> </w:t>
      </w:r>
      <w:r>
        <w:t xml:space="preserve">L’exénatide se situait dans EXSCEL à la limite inférieure ; on évoque la molécule elle-même, le taux d’arrêt élevé et le plan d’étude pragmatique. Un implant à pompe d’exénatide (FREEDOM-CVO) n’a satisfait que le critère de sécurité (HR 1,21 ; Ruff 2022, PMID 34873344).</w:t>
      </w:r>
    </w:p>
    <w:p>
      <w:pPr>
        <w:numPr>
          <w:ilvl w:val="0"/>
          <w:numId w:val="1326"/>
        </w:numPr>
        <w:pStyle w:val="Compact"/>
      </w:pPr>
      <w:r>
        <w:rPr>
          <w:bCs/>
          <w:b/>
        </w:rPr>
        <w:t xml:space="preserve">SELECT est un cas particulier.</w:t>
      </w:r>
      <w:r>
        <w:t xml:space="preserve"> </w:t>
      </w:r>
      <w:r>
        <w:t xml:space="preserve">C’est, dans cette vue d’ensemble, la seule grande étude de critères cliniques menée exclusivement chez des personnes</w:t>
      </w:r>
      <w:r>
        <w:t xml:space="preserve"> </w:t>
      </w:r>
      <w:r>
        <w:rPr>
          <w:iCs/>
          <w:i/>
        </w:rPr>
        <w:t xml:space="preserve">sans</w:t>
      </w:r>
      <w:r>
        <w:t xml:space="preserve"> </w:t>
      </w:r>
      <w:r>
        <w:t xml:space="preserve">diabète. En chiffres absolus, sur un peu plus de trois ans, environ 1,5 personne traitée sur cent a eu un événement grave de moins.</w:t>
      </w:r>
    </w:p>
    <w:p>
      <w:pPr>
        <w:numPr>
          <w:ilvl w:val="0"/>
          <w:numId w:val="1326"/>
        </w:numPr>
        <w:pStyle w:val="Compact"/>
      </w:pPr>
      <w:r>
        <w:rPr>
          <w:bCs/>
          <w:b/>
        </w:rPr>
        <w:t xml:space="preserve">Le tirzépatide a été testé contre un médicament efficace.</w:t>
      </w:r>
      <w:r>
        <w:t xml:space="preserve"> </w:t>
      </w:r>
      <w:r>
        <w:t xml:space="preserve">SURPASS-CVOT n’a pas comparé le tirzépatide à un placebo, mais au dulaglutide, qui avait lui-même réduit le risque dans REWIND. Le tirzépatide n’a pas été inférieur, la supériorité formelle a été manquée de peu. L’ampleur du bénéfice par rapport à l’absence de traitement ne peut en être estimée que par des modélisations.</w:t>
      </w:r>
    </w:p>
    <w:p>
      <w:pPr>
        <w:numPr>
          <w:ilvl w:val="0"/>
          <w:numId w:val="1326"/>
        </w:numPr>
        <w:pStyle w:val="Compact"/>
      </w:pPr>
      <w:r>
        <w:rPr>
          <w:bCs/>
          <w:b/>
        </w:rPr>
        <w:t xml:space="preserve">Insuffisance cardiaque :</w:t>
      </w:r>
      <w:r>
        <w:t xml:space="preserve"> </w:t>
      </w:r>
      <w:r>
        <w:t xml:space="preserve">en cas d’insuffisance cardiaque à fraction d’éjection préservée et d’obésité, le tirzépatide a réduit dans SUMMIT, chez 731 personnes, le critère combiné de décès cardiovasculaire ou d’aggravation de l’insuffisance cardiaque (9,9 % vs 15,3 % ; HR 0,62 ; Packer 2025, PMID 39555826). La différence reposait sur un nombre moindre d’événements d’aggravation ; les décès étaient rares. Dans STEP-HFpEF, le sémaglutide a amélioré les symptômes et la distance de marche</w:t>
      </w:r>
      <w:r>
        <w:rPr>
          <w:rStyle w:val="FootnoteReference"/>
        </w:rPr>
        <w:footnoteReference w:id="2549"/>
      </w:r>
      <w:r>
        <w:t xml:space="preserve">, mais l’étude n’était pas conçue pour des critères cliniques forts.</w:t>
      </w:r>
    </w:p>
    <w:p>
      <w:pPr>
        <w:pStyle w:val="FirstParagraph"/>
      </w:pPr>
      <w:r>
        <w:rPr>
          <w:bCs/>
          <w:b/>
        </w:rPr>
        <w:t xml:space="preserve">Encore attendues (études enregistrées) :</w:t>
      </w:r>
      <w:r>
        <w:t xml:space="preserve"> </w:t>
      </w:r>
      <w:r>
        <w:t xml:space="preserve">les données de critères cliniques manquent pour les substances plus récentes. Les études en cours sont SURMOUNT-MMO sur le tirzépatide dans l’obésité sans diabète</w:t>
      </w:r>
      <w:r>
        <w:rPr>
          <w:rStyle w:val="FootnoteReference"/>
        </w:rPr>
        <w:footnoteReference w:id="2550"/>
      </w:r>
      <w:r>
        <w:t xml:space="preserve">, TRIUMPH-Outcomes sur le rétatrutide</w:t>
      </w:r>
      <w:r>
        <w:rPr>
          <w:rStyle w:val="FootnoteReference"/>
        </w:rPr>
        <w:footnoteReference w:id="2551"/>
      </w:r>
      <w:r>
        <w:t xml:space="preserve">, REDEFINE 3 sur CagriSema</w:t>
      </w:r>
      <w:r>
        <w:rPr>
          <w:rStyle w:val="FootnoteReference"/>
        </w:rPr>
        <w:footnoteReference w:id="2552"/>
      </w:r>
      <w:r>
        <w:t xml:space="preserve">, une étude sur le maridebart cafraglutide</w:t>
      </w:r>
      <w:r>
        <w:rPr>
          <w:rStyle w:val="FootnoteReference"/>
        </w:rPr>
        <w:footnoteReference w:id="2553"/>
      </w:r>
      <w:r>
        <w:t xml:space="preserve"> </w:t>
      </w:r>
      <w:r>
        <w:t xml:space="preserve">et une sur l’orforglipron</w:t>
      </w:r>
      <w:r>
        <w:rPr>
          <w:rStyle w:val="FootnoteReference"/>
        </w:rPr>
        <w:footnoteReference w:id="2554"/>
      </w:r>
      <w:r>
        <w:t xml:space="preserve">. Tant que ces résultats ne sont pas disponibles, la question reste ouverte de savoir si une perte de poids plus importante entraîne aussi moins d’infarctus et d’AVC. C’est une attente plausible, mais pas un résultat.</w:t>
      </w:r>
    </w:p>
    <w:bookmarkEnd w:id="2555"/>
    <w:bookmarkStart w:id="2563" w:name="rein-et-foie"/>
    <w:p>
      <w:pPr>
        <w:pStyle w:val="Heading3"/>
      </w:pPr>
      <w:r>
        <w:t xml:space="preserve">Rein et foie</w:t>
      </w:r>
    </w:p>
    <w:p>
      <w:pPr>
        <w:pStyle w:val="FirstParagraph"/>
      </w:pPr>
      <w:r>
        <w:rPr>
          <w:bCs/>
          <w:b/>
        </w:rPr>
        <w:t xml:space="preserve">Rein :</w:t>
      </w:r>
      <w:r>
        <w:t xml:space="preserve"> </w:t>
      </w:r>
      <w:r>
        <w:t xml:space="preserve">parmi les études abordées dans ce livre, seule FLOW a un événement rénal comme critère principal. Chez 3 533 personnes atteintes de diabète de type 2 et de maladie rénale chronique, le sémaglutide 1,0 mg a réduit de 24 % les événements rénaux graves et les décès de cause rénale ou cardiovasculaire (331 vs 410 événements ; HR 0,76). L’étude a été arrêtée prématurément pour efficacité ; la mortalité totale était inférieure de 20 %</w:t>
      </w:r>
      <w:r>
        <w:rPr>
          <w:rStyle w:val="FootnoteReference"/>
        </w:rPr>
        <w:footnoteReference w:id="2556"/>
      </w:r>
      <w:r>
        <w:t xml:space="preserve">. Dans les études de critères cliniques plus anciennes, en revanche, le bénéfice rénal reposait surtout sur une réduction des protéines dans les urines : dans LEADER HR 0,78</w:t>
      </w:r>
      <w:r>
        <w:rPr>
          <w:rStyle w:val="FootnoteReference"/>
        </w:rPr>
        <w:footnoteReference w:id="2557"/>
      </w:r>
      <w:r>
        <w:t xml:space="preserve">, dans REWIND HR 0,85</w:t>
      </w:r>
      <w:r>
        <w:rPr>
          <w:rStyle w:val="FootnoteReference"/>
        </w:rPr>
        <w:footnoteReference w:id="2558"/>
      </w:r>
      <w:r>
        <w:t xml:space="preserve">, sur l’ensemble des sept études HR 0,83</w:t>
      </w:r>
      <w:r>
        <w:rPr>
          <w:rStyle w:val="FootnoteReference"/>
        </w:rPr>
        <w:footnoteReference w:id="2559"/>
      </w:r>
      <w:r>
        <w:t xml:space="preserve">. Dans SOUL, les critères secondaires de confirmation, dont les événements rénaux, ne différaient pas de manière significative</w:t>
      </w:r>
      <w:r>
        <w:rPr>
          <w:rStyle w:val="FootnoteReference"/>
        </w:rPr>
        <w:footnoteReference w:id="2560"/>
      </w:r>
      <w:r>
        <w:t xml:space="preserve">. En cas de maladie rénale modérée à sévère, la fonction rénale a été mieux préservée sous dulaglutide que sous insuline glargine (AWARD-7, Tuttle 2018, PMID 29910024). Pour le tirzépatide et les substances plus récentes, il n’existe pas encore d’études ayant des événements rénaux comme critère principal.</w:t>
      </w:r>
    </w:p>
    <w:p>
      <w:pPr>
        <w:pStyle w:val="BodyText"/>
      </w:pPr>
      <w:r>
        <w:rPr>
          <w:bCs/>
          <w:b/>
        </w:rPr>
        <w:t xml:space="preserve">Foie :</w:t>
      </w:r>
      <w:r>
        <w:t xml:space="preserve"> </w:t>
      </w:r>
      <w:r>
        <w:t xml:space="preserve">dans la stéatohépatite MASH (anciennement NASH), il existe des études avec biopsies pour trois substances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Substance</w:t>
            </w:r>
          </w:p>
        </w:tc>
        <w:tc>
          <w:tcPr/>
          <w:p>
            <w:pPr>
              <w:pStyle w:val="Compact"/>
              <w:jc w:val="left"/>
            </w:pPr>
            <w:r>
              <w:t xml:space="preserve">Étude</w:t>
            </w:r>
          </w:p>
        </w:tc>
        <w:tc>
          <w:tcPr/>
          <w:p>
            <w:pPr>
              <w:pStyle w:val="Compact"/>
              <w:jc w:val="left"/>
            </w:pPr>
            <w:r>
              <w:t xml:space="preserve">Durée</w:t>
            </w:r>
          </w:p>
        </w:tc>
        <w:tc>
          <w:tcPr/>
          <w:p>
            <w:pPr>
              <w:pStyle w:val="Compact"/>
              <w:jc w:val="left"/>
            </w:pPr>
            <w:r>
              <w:t xml:space="preserve">Résolution de la MASH sans aggravation de la fibrose</w:t>
            </w:r>
          </w:p>
        </w:tc>
      </w:tr>
      <w:tr>
        <w:tc>
          <w:tcPr/>
          <w:p>
            <w:pPr>
              <w:pStyle w:val="Compact"/>
              <w:jc w:val="left"/>
            </w:pPr>
            <w:r>
              <w:t xml:space="preserve">Sémaglutide 2,4 mg</w:t>
            </w:r>
          </w:p>
        </w:tc>
        <w:tc>
          <w:tcPr/>
          <w:p>
            <w:pPr>
              <w:pStyle w:val="Compact"/>
              <w:jc w:val="left"/>
            </w:pPr>
            <w:r>
              <w:t xml:space="preserve">ESSENCE, phase 3 (Sanyal 2025), PMID 40305708</w:t>
            </w:r>
          </w:p>
        </w:tc>
        <w:tc>
          <w:tcPr/>
          <w:p>
            <w:pPr>
              <w:pStyle w:val="Compact"/>
              <w:jc w:val="left"/>
            </w:pPr>
            <w:r>
              <w:t xml:space="preserve">72 semaines (analyse intermédiaire, 800 personnes)</w:t>
            </w:r>
          </w:p>
        </w:tc>
        <w:tc>
          <w:tcPr/>
          <w:p>
            <w:pPr>
              <w:pStyle w:val="Compact"/>
              <w:jc w:val="left"/>
            </w:pPr>
            <w:r>
              <w:t xml:space="preserve">62,9 % vs 34,3 % ; moins de fibrose 36,8 % vs 22,4 %</w:t>
            </w:r>
          </w:p>
        </w:tc>
      </w:tr>
      <w:tr>
        <w:tc>
          <w:tcPr/>
          <w:p>
            <w:pPr>
              <w:pStyle w:val="Compact"/>
              <w:jc w:val="left"/>
            </w:pPr>
            <w:r>
              <w:t xml:space="preserve">Tirzépatide</w:t>
            </w:r>
          </w:p>
        </w:tc>
        <w:tc>
          <w:tcPr/>
          <w:p>
            <w:pPr>
              <w:pStyle w:val="Compact"/>
              <w:jc w:val="left"/>
            </w:pPr>
            <w:r>
              <w:t xml:space="preserve">SYNERGY-NASH, phase 2 (Loomba 2024), PMID 38856224</w:t>
            </w:r>
          </w:p>
        </w:tc>
        <w:tc>
          <w:tcPr/>
          <w:p>
            <w:pPr>
              <w:pStyle w:val="Compact"/>
              <w:jc w:val="left"/>
            </w:pPr>
            <w:r>
              <w:t xml:space="preserve">52 semaines, 190 personnes</w:t>
            </w:r>
          </w:p>
        </w:tc>
        <w:tc>
          <w:tcPr/>
          <w:p>
            <w:pPr>
              <w:pStyle w:val="Compact"/>
              <w:jc w:val="left"/>
            </w:pPr>
            <w:r>
              <w:t xml:space="preserve">44–62 % vs 10 % ; moins de fibrose 51–55 % vs 30 %</w:t>
            </w:r>
          </w:p>
        </w:tc>
      </w:tr>
      <w:tr>
        <w:tc>
          <w:tcPr/>
          <w:p>
            <w:pPr>
              <w:pStyle w:val="Compact"/>
              <w:jc w:val="left"/>
            </w:pPr>
            <w:r>
              <w:t xml:space="preserve">Survodutide</w:t>
            </w:r>
          </w:p>
        </w:tc>
        <w:tc>
          <w:tcPr/>
          <w:p>
            <w:pPr>
              <w:pStyle w:val="Compact"/>
              <w:jc w:val="left"/>
            </w:pPr>
            <w:r>
              <w:t xml:space="preserve">Phase 2 (Sanyal 2024), PMID 38847460</w:t>
            </w:r>
          </w:p>
        </w:tc>
        <w:tc>
          <w:tcPr/>
          <w:p>
            <w:pPr>
              <w:pStyle w:val="Compact"/>
              <w:jc w:val="left"/>
            </w:pPr>
            <w:r>
              <w:t xml:space="preserve">48 semaines, 293 personnes</w:t>
            </w:r>
          </w:p>
        </w:tc>
        <w:tc>
          <w:tcPr/>
          <w:p>
            <w:pPr>
              <w:pStyle w:val="Compact"/>
              <w:jc w:val="left"/>
            </w:pPr>
            <w:r>
              <w:t xml:space="preserve">amélioration de la MASH 43–62 % vs 14 %</w:t>
            </w:r>
          </w:p>
        </w:tc>
      </w:tr>
    </w:tbl>
    <w:p>
      <w:pPr>
        <w:pStyle w:val="BodyText"/>
      </w:pPr>
      <w:r>
        <w:t xml:space="preserve">Seule ESSENCE est une étude de phase 3 ; sa deuxième partie, sur 240 semaines, doit montrer si le traitement prévient aussi la cirrhose, l’insuffisance hépatique et les décès. Pour le survodutide, les études de phase 3 LIVERAGE</w:t>
      </w:r>
      <w:r>
        <w:rPr>
          <w:rStyle w:val="FootnoteReference"/>
        </w:rPr>
        <w:footnoteReference w:id="2561"/>
      </w:r>
      <w:r>
        <w:t xml:space="preserve"> </w:t>
      </w:r>
      <w:r>
        <w:t xml:space="preserve">et LIVERAGE-Cirrhosis</w:t>
      </w:r>
      <w:r>
        <w:rPr>
          <w:rStyle w:val="FootnoteReference"/>
        </w:rPr>
        <w:footnoteReference w:id="2562"/>
      </w:r>
      <w:r>
        <w:t xml:space="preserve"> </w:t>
      </w:r>
      <w:r>
        <w:t xml:space="preserve">sont en cours. Les pourcentages plus élevés des études de phase 2 ne sont pas directement comparables à ESSENCE en raison de la petite taille des groupes et de la durée plus courte.</w:t>
      </w:r>
    </w:p>
    <w:bookmarkEnd w:id="2563"/>
    <w:bookmarkStart w:id="2574" w:name="effets-indésirables-et-taux-darrêt"/>
    <w:p>
      <w:pPr>
        <w:pStyle w:val="Heading3"/>
      </w:pPr>
      <w:r>
        <w:t xml:space="preserve">Effets indésirables et taux d’arrêt</w:t>
      </w:r>
    </w:p>
    <w:p>
      <w:pPr>
        <w:pStyle w:val="FirstParagraph"/>
      </w:pPr>
      <w:r>
        <w:t xml:space="preserve">Le profil d’effets indésirables est similaire dans toute la classe : nausées, diarrhée, vomissements et constipation, surtout pendant l’augmentation progressive de la dose, généralement légers à modérés et transitoires. Ils sont la cause la plus fréquente d’arrêt du traitement. Les taux dépendent fortement de la dose et du rythme de la titration et ne sont que grossièrement comparables d’une étude à l’autre.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Substance</w:t>
            </w:r>
          </w:p>
        </w:tc>
        <w:tc>
          <w:tcPr/>
          <w:p>
            <w:pPr>
              <w:pStyle w:val="Compact"/>
              <w:jc w:val="left"/>
            </w:pPr>
            <w:r>
              <w:t xml:space="preserve">Étude</w:t>
            </w:r>
          </w:p>
        </w:tc>
        <w:tc>
          <w:tcPr/>
          <w:p>
            <w:pPr>
              <w:pStyle w:val="Compact"/>
              <w:jc w:val="left"/>
            </w:pPr>
            <w:r>
              <w:t xml:space="preserve">Troubles gastro-intestinaux</w:t>
            </w:r>
          </w:p>
        </w:tc>
        <w:tc>
          <w:tcPr/>
          <w:p>
            <w:pPr>
              <w:pStyle w:val="Compact"/>
              <w:jc w:val="left"/>
            </w:pPr>
            <w:r>
              <w:t xml:space="preserve">Arrêt pour effets indésirables</w:t>
            </w:r>
          </w:p>
        </w:tc>
      </w:tr>
      <w:tr>
        <w:tc>
          <w:tcPr/>
          <w:p>
            <w:pPr>
              <w:pStyle w:val="Compact"/>
              <w:jc w:val="left"/>
            </w:pPr>
            <w:r>
              <w:t xml:space="preserve">Exénatide deux fois par jour</w:t>
            </w:r>
          </w:p>
        </w:tc>
        <w:tc>
          <w:tcPr/>
          <w:p>
            <w:pPr>
              <w:pStyle w:val="Compact"/>
              <w:jc w:val="left"/>
            </w:pPr>
            <w:r>
              <w:t xml:space="preserve">Heine 2005, PMID 16230722</w:t>
            </w:r>
          </w:p>
        </w:tc>
        <w:tc>
          <w:tcPr/>
          <w:p>
            <w:pPr>
              <w:pStyle w:val="Compact"/>
              <w:jc w:val="left"/>
            </w:pPr>
            <w:r>
              <w:t xml:space="preserve">nausées 57,1 %</w:t>
            </w:r>
          </w:p>
        </w:tc>
        <w:tc>
          <w:tcPr/>
          <w:p>
            <w:pPr>
              <w:pStyle w:val="Compact"/>
              <w:jc w:val="left"/>
            </w:pPr>
            <w:r>
              <w:t xml:space="preserve">non indiqué dans le résumé</w:t>
            </w:r>
          </w:p>
        </w:tc>
      </w:tr>
      <w:tr>
        <w:tc>
          <w:tcPr/>
          <w:p>
            <w:pPr>
              <w:pStyle w:val="Compact"/>
              <w:jc w:val="left"/>
            </w:pPr>
            <w:r>
              <w:t xml:space="preserve">Dulaglutide</w:t>
            </w:r>
          </w:p>
        </w:tc>
        <w:tc>
          <w:tcPr/>
          <w:p>
            <w:pPr>
              <w:pStyle w:val="Compact"/>
              <w:jc w:val="left"/>
            </w:pPr>
            <w:r>
              <w:t xml:space="preserve">REWIND (Gerstein 2019), PMID 31189511</w:t>
            </w:r>
          </w:p>
        </w:tc>
        <w:tc>
          <w:tcPr/>
          <w:p>
            <w:pPr>
              <w:pStyle w:val="Compact"/>
              <w:jc w:val="left"/>
            </w:pPr>
            <w:r>
              <w:t xml:space="preserve">47,4 % vs 34,1 %</w:t>
            </w:r>
          </w:p>
        </w:tc>
        <w:tc>
          <w:tcPr/>
          <w:p>
            <w:pPr>
              <w:pStyle w:val="Compact"/>
              <w:jc w:val="left"/>
            </w:pPr>
            <w:r>
              <w:t xml:space="preserve">non indiqué dans le résumé</w:t>
            </w:r>
          </w:p>
        </w:tc>
      </w:tr>
      <w:tr>
        <w:tc>
          <w:tcPr/>
          <w:p>
            <w:pPr>
              <w:pStyle w:val="Compact"/>
              <w:jc w:val="left"/>
            </w:pPr>
            <w:r>
              <w:t xml:space="preserve">Sémaglutide 2,4 mg</w:t>
            </w:r>
          </w:p>
        </w:tc>
        <w:tc>
          <w:tcPr/>
          <w:p>
            <w:pPr>
              <w:pStyle w:val="Compact"/>
              <w:jc w:val="left"/>
            </w:pPr>
            <w:r>
              <w:t xml:space="preserve">STEP 1 (Wilding 2021), PMID 33567185</w:t>
            </w:r>
          </w:p>
        </w:tc>
        <w:tc>
          <w:tcPr/>
          <w:p>
            <w:pPr>
              <w:pStyle w:val="Compact"/>
              <w:jc w:val="left"/>
            </w:pPr>
            <w:r>
              <w:t xml:space="preserve">surtout nausées et diarrhée</w:t>
            </w:r>
          </w:p>
        </w:tc>
        <w:tc>
          <w:tcPr/>
          <w:p>
            <w:pPr>
              <w:pStyle w:val="Compact"/>
              <w:jc w:val="left"/>
            </w:pPr>
            <w:r>
              <w:t xml:space="preserve">pour troubles gastro-intestinaux 4,5 % vs 0,8 %</w:t>
            </w:r>
          </w:p>
        </w:tc>
      </w:tr>
      <w:tr>
        <w:tc>
          <w:tcPr/>
          <w:p>
            <w:pPr>
              <w:pStyle w:val="Compact"/>
              <w:jc w:val="left"/>
            </w:pPr>
            <w:r>
              <w:t xml:space="preserve">Sémaglutide 2,4 mg</w:t>
            </w:r>
          </w:p>
        </w:tc>
        <w:tc>
          <w:tcPr/>
          <w:p>
            <w:pPr>
              <w:pStyle w:val="Compact"/>
              <w:jc w:val="left"/>
            </w:pPr>
            <w:r>
              <w:t xml:space="preserve">SELECT (Lincoff 2023), PMID 37952131</w:t>
            </w:r>
          </w:p>
        </w:tc>
        <w:tc>
          <w:tcPr/>
          <w:p>
            <w:pPr>
              <w:pStyle w:val="Compact"/>
              <w:jc w:val="left"/>
            </w:pPr>
            <w:r>
              <w:t xml:space="preserve">–</w:t>
            </w:r>
          </w:p>
        </w:tc>
        <w:tc>
          <w:tcPr/>
          <w:p>
            <w:pPr>
              <w:pStyle w:val="Compact"/>
              <w:jc w:val="left"/>
            </w:pPr>
            <w:r>
              <w:t xml:space="preserve">16,6 % vs 8,2 % (sur un peu plus de trois ans)</w:t>
            </w:r>
          </w:p>
        </w:tc>
      </w:tr>
      <w:tr>
        <w:tc>
          <w:tcPr/>
          <w:p>
            <w:pPr>
              <w:pStyle w:val="Compact"/>
              <w:jc w:val="left"/>
            </w:pPr>
            <w:r>
              <w:t xml:space="preserve">Tirzépatide</w:t>
            </w:r>
          </w:p>
        </w:tc>
        <w:tc>
          <w:tcPr/>
          <w:p>
            <w:pPr>
              <w:pStyle w:val="Compact"/>
              <w:jc w:val="left"/>
            </w:pPr>
            <w:r>
              <w:t xml:space="preserve">SURMOUNT-1 (Jastreboff 2022), PMID 35658024</w:t>
            </w:r>
          </w:p>
        </w:tc>
        <w:tc>
          <w:tcPr/>
          <w:p>
            <w:pPr>
              <w:pStyle w:val="Compact"/>
              <w:jc w:val="left"/>
            </w:pPr>
            <w:r>
              <w:t xml:space="preserve">les plus fréquents, surtout pendant la titration</w:t>
            </w:r>
          </w:p>
        </w:tc>
        <w:tc>
          <w:tcPr/>
          <w:p>
            <w:pPr>
              <w:pStyle w:val="Compact"/>
              <w:jc w:val="left"/>
            </w:pPr>
            <w:r>
              <w:t xml:space="preserve">4,3–7,1 % vs 2,6 %</w:t>
            </w:r>
          </w:p>
        </w:tc>
      </w:tr>
      <w:tr>
        <w:tc>
          <w:tcPr/>
          <w:p>
            <w:pPr>
              <w:pStyle w:val="Compact"/>
              <w:jc w:val="left"/>
            </w:pPr>
            <w:r>
              <w:t xml:space="preserve">CagriSema</w:t>
            </w:r>
          </w:p>
        </w:tc>
        <w:tc>
          <w:tcPr/>
          <w:p>
            <w:pPr>
              <w:pStyle w:val="Compact"/>
              <w:jc w:val="left"/>
            </w:pPr>
            <w:r>
              <w:t xml:space="preserve">REDEFINE 1 (Garvey 2025), PMID 40544433</w:t>
            </w:r>
          </w:p>
        </w:tc>
        <w:tc>
          <w:tcPr/>
          <w:p>
            <w:pPr>
              <w:pStyle w:val="Compact"/>
              <w:jc w:val="left"/>
            </w:pPr>
            <w:r>
              <w:t xml:space="preserve">79,6 % vs 39,9 %</w:t>
            </w:r>
          </w:p>
        </w:tc>
        <w:tc>
          <w:tcPr/>
          <w:p>
            <w:pPr>
              <w:pStyle w:val="Compact"/>
              <w:jc w:val="left"/>
            </w:pPr>
            <w:r>
              <w:t xml:space="preserve">non indiqué dans le résumé</w:t>
            </w:r>
          </w:p>
        </w:tc>
      </w:tr>
      <w:tr>
        <w:tc>
          <w:tcPr/>
          <w:p>
            <w:pPr>
              <w:pStyle w:val="Compact"/>
              <w:jc w:val="left"/>
            </w:pPr>
            <w:r>
              <w:t xml:space="preserve">Rétatrutide</w:t>
            </w:r>
          </w:p>
        </w:tc>
        <w:tc>
          <w:tcPr/>
          <w:p>
            <w:pPr>
              <w:pStyle w:val="Compact"/>
              <w:jc w:val="left"/>
            </w:pPr>
            <w:r>
              <w:t xml:space="preserve">TRIUMPH-2 (Bellido 2026), PMID 42810372</w:t>
            </w:r>
          </w:p>
        </w:tc>
        <w:tc>
          <w:tcPr/>
          <w:p>
            <w:pPr>
              <w:pStyle w:val="Compact"/>
              <w:jc w:val="left"/>
            </w:pPr>
            <w:r>
              <w:t xml:space="preserve">diarrhée 27–34 %, nausées 14–28 % (placebo 13 % et 8 %)</w:t>
            </w:r>
          </w:p>
        </w:tc>
        <w:tc>
          <w:tcPr/>
          <w:p>
            <w:pPr>
              <w:pStyle w:val="Compact"/>
              <w:jc w:val="left"/>
            </w:pPr>
            <w:r>
              <w:t xml:space="preserve">4–12 % vs 5 % (décès inclus)</w:t>
            </w:r>
          </w:p>
        </w:tc>
      </w:tr>
      <w:tr>
        <w:tc>
          <w:tcPr/>
          <w:p>
            <w:pPr>
              <w:pStyle w:val="Compact"/>
              <w:jc w:val="left"/>
            </w:pPr>
            <w:r>
              <w:t xml:space="preserve">Survodutide</w:t>
            </w:r>
          </w:p>
        </w:tc>
        <w:tc>
          <w:tcPr/>
          <w:p>
            <w:pPr>
              <w:pStyle w:val="Compact"/>
              <w:jc w:val="left"/>
            </w:pPr>
            <w:r>
              <w:t xml:space="preserve">SYNCHRONIZE-1 (le Roux 2026), PMID 42253238</w:t>
            </w:r>
          </w:p>
        </w:tc>
        <w:tc>
          <w:tcPr/>
          <w:p>
            <w:pPr>
              <w:pStyle w:val="Compact"/>
              <w:jc w:val="left"/>
            </w:pPr>
            <w:r>
              <w:t xml:space="preserve">80,9 / 89,7 % vs 47,9 %</w:t>
            </w:r>
          </w:p>
        </w:tc>
        <w:tc>
          <w:tcPr/>
          <w:p>
            <w:pPr>
              <w:pStyle w:val="Compact"/>
              <w:jc w:val="left"/>
            </w:pPr>
            <w:r>
              <w:t xml:space="preserve">non indiqué dans le résumé</w:t>
            </w:r>
          </w:p>
        </w:tc>
      </w:tr>
      <w:tr>
        <w:tc>
          <w:tcPr/>
          <w:p>
            <w:pPr>
              <w:pStyle w:val="Compact"/>
              <w:jc w:val="left"/>
            </w:pPr>
            <w:r>
              <w:t xml:space="preserve">Mazdutide</w:t>
            </w:r>
          </w:p>
        </w:tc>
        <w:tc>
          <w:tcPr/>
          <w:p>
            <w:pPr>
              <w:pStyle w:val="Compact"/>
              <w:jc w:val="left"/>
            </w:pPr>
            <w:r>
              <w:t xml:space="preserve">GLORY-1 (Ji 2025), PMID 40421736</w:t>
            </w:r>
          </w:p>
        </w:tc>
        <w:tc>
          <w:tcPr/>
          <w:p>
            <w:pPr>
              <w:pStyle w:val="Compact"/>
              <w:jc w:val="left"/>
            </w:pPr>
            <w:r>
              <w:t xml:space="preserve">effet indésirable le plus fréquent</w:t>
            </w:r>
          </w:p>
        </w:tc>
        <w:tc>
          <w:tcPr/>
          <w:p>
            <w:pPr>
              <w:pStyle w:val="Compact"/>
              <w:jc w:val="left"/>
            </w:pPr>
            <w:r>
              <w:t xml:space="preserve">0,5–1,5 % vs 1,0 %</w:t>
            </w:r>
          </w:p>
        </w:tc>
      </w:tr>
      <w:tr>
        <w:tc>
          <w:tcPr/>
          <w:p>
            <w:pPr>
              <w:pStyle w:val="Compact"/>
              <w:jc w:val="left"/>
            </w:pPr>
            <w:r>
              <w:t xml:space="preserve">Orforglipron</w:t>
            </w:r>
          </w:p>
        </w:tc>
        <w:tc>
          <w:tcPr/>
          <w:p>
            <w:pPr>
              <w:pStyle w:val="Compact"/>
              <w:jc w:val="left"/>
            </w:pPr>
            <w:r>
              <w:t xml:space="preserve">ATTAIN-1 (Wharton 2025), PMID 40960239</w:t>
            </w:r>
          </w:p>
        </w:tc>
        <w:tc>
          <w:tcPr/>
          <w:p>
            <w:pPr>
              <w:pStyle w:val="Compact"/>
              <w:jc w:val="left"/>
            </w:pPr>
            <w:r>
              <w:t xml:space="preserve">effet indésirable le plus fréquent</w:t>
            </w:r>
          </w:p>
        </w:tc>
        <w:tc>
          <w:tcPr/>
          <w:p>
            <w:pPr>
              <w:pStyle w:val="Compact"/>
              <w:jc w:val="left"/>
            </w:pPr>
            <w:r>
              <w:t xml:space="preserve">5,3–10,3 % vs 2,7 %</w:t>
            </w:r>
          </w:p>
        </w:tc>
      </w:tr>
    </w:tbl>
    <w:p>
      <w:pPr>
        <w:pStyle w:val="BodyText"/>
      </w:pPr>
      <w:r>
        <w:t xml:space="preserve">Quelques observations :</w:t>
      </w:r>
    </w:p>
    <w:p>
      <w:pPr>
        <w:numPr>
          <w:ilvl w:val="0"/>
          <w:numId w:val="1327"/>
        </w:numPr>
        <w:pStyle w:val="Compact"/>
      </w:pPr>
      <w:r>
        <w:rPr>
          <w:bCs/>
          <w:b/>
        </w:rPr>
        <w:t xml:space="preserve">Les préparations hebdomadaires sont généralement mieux tolérées que les formes plus anciennes.</w:t>
      </w:r>
      <w:r>
        <w:t xml:space="preserve"> </w:t>
      </w:r>
      <w:r>
        <w:t xml:space="preserve">Dans DURATION-6, 9 % des personnes sous exénatide hebdomadaire ont eu des nausées, contre 21 % sous liraglutide quotidien</w:t>
      </w:r>
      <w:r>
        <w:rPr>
          <w:rStyle w:val="FootnoteReference"/>
        </w:rPr>
        <w:footnoteReference w:id="2564"/>
      </w:r>
      <w:r>
        <w:t xml:space="preserve">. Dans STEP 8, 27,6 % ont arrêté prématurément le traitement par liraglutide, quelle qu’en soit la raison, contre 13,5 % sous sémaglutide ; les troubles gastro-intestinaux étaient aussi fréquents dans les deux groupes (82,7 % vs 84,1 %)</w:t>
      </w:r>
      <w:r>
        <w:rPr>
          <w:rStyle w:val="FootnoteReference"/>
        </w:rPr>
        <w:footnoteReference w:id="2565"/>
      </w:r>
      <w:r>
        <w:t xml:space="preserve">.</w:t>
      </w:r>
    </w:p>
    <w:p>
      <w:pPr>
        <w:numPr>
          <w:ilvl w:val="0"/>
          <w:numId w:val="1327"/>
        </w:numPr>
        <w:pStyle w:val="Compact"/>
      </w:pPr>
      <w:r>
        <w:rPr>
          <w:bCs/>
          <w:b/>
        </w:rPr>
        <w:t xml:space="preserve">Une efficacité plus élevée ne s’accompagne pas forcément de davantage de troubles.</w:t>
      </w:r>
      <w:r>
        <w:t xml:space="preserve"> </w:t>
      </w:r>
      <w:r>
        <w:t xml:space="preserve">Dans SURPASS-2, les nausées (17–22 % vs 18 %) et les vomissements (6–10 % vs 8 %) étaient aussi fréquents sous tirzépatide que sous sémaglutide ; des événements indésirables graves sont survenus chez 5–7 % des personnes sous tirzépatide contre 3 %</w:t>
      </w:r>
      <w:r>
        <w:rPr>
          <w:rStyle w:val="FootnoteReference"/>
        </w:rPr>
        <w:footnoteReference w:id="2566"/>
      </w:r>
      <w:r>
        <w:t xml:space="preserve">. Dans REDEFINE 5, 53 % des personnes sous CagriSema et 51 % sous sémaglutide ont eu des troubles gastro-intestinaux</w:t>
      </w:r>
      <w:r>
        <w:rPr>
          <w:rStyle w:val="FootnoteReference"/>
        </w:rPr>
        <w:footnoteReference w:id="2567"/>
      </w:r>
      <w:r>
        <w:t xml:space="preserve">.</w:t>
      </w:r>
    </w:p>
    <w:p>
      <w:pPr>
        <w:numPr>
          <w:ilvl w:val="0"/>
          <w:numId w:val="1327"/>
        </w:numPr>
        <w:pStyle w:val="Compact"/>
      </w:pPr>
      <w:r>
        <w:rPr>
          <w:bCs/>
          <w:b/>
        </w:rPr>
        <w:t xml:space="preserve">Avec les agonistes multiples, les arrêts augmentent aux doses élevées.</w:t>
      </w:r>
      <w:r>
        <w:t xml:space="preserve"> </w:t>
      </w:r>
      <w:r>
        <w:t xml:space="preserve">Sous rétatrutide sont en outre apparues des sensations cutanées anormales (dysesthésie) chez 4–7 % des participants contre 1 % sous placebo – un signal nouveau pour cette classe. Dans une étude américaine de phase 2 sur le mazdutide, 20 % des participants ont arrêté pour effets indésirables à la dose la plus élevée</w:t>
      </w:r>
      <w:r>
        <w:rPr>
          <w:rStyle w:val="FootnoteReference"/>
        </w:rPr>
        <w:footnoteReference w:id="2568"/>
      </w:r>
      <w:r>
        <w:t xml:space="preserve">.</w:t>
      </w:r>
    </w:p>
    <w:p>
      <w:pPr>
        <w:numPr>
          <w:ilvl w:val="0"/>
          <w:numId w:val="1327"/>
        </w:numPr>
        <w:pStyle w:val="Compact"/>
      </w:pPr>
      <w:r>
        <w:rPr>
          <w:bCs/>
          <w:b/>
        </w:rPr>
        <w:t xml:space="preserve">Les études à long terme montrent des taux d’arrêt plus élevés que les études courtes.</w:t>
      </w:r>
      <w:r>
        <w:t xml:space="preserve"> </w:t>
      </w:r>
      <w:r>
        <w:t xml:space="preserve">Les 16,6 % de SELECT sur plus de trois ans sont un repère plus réaliste pour un traitement au long cours que les valeurs des études d’autorisation de 68 ou 72 semaines.</w:t>
      </w:r>
    </w:p>
    <w:p>
      <w:pPr>
        <w:pStyle w:val="FirstParagraph"/>
      </w:pPr>
      <w:r>
        <w:rPr>
          <w:bCs/>
          <w:b/>
        </w:rPr>
        <w:t xml:space="preserve">Risques de classe qui concernent toutes les substances :</w:t>
      </w:r>
    </w:p>
    <w:p>
      <w:pPr>
        <w:numPr>
          <w:ilvl w:val="0"/>
          <w:numId w:val="1328"/>
        </w:numPr>
        <w:pStyle w:val="Compact"/>
      </w:pPr>
      <w:r>
        <w:rPr>
          <w:bCs/>
          <w:b/>
        </w:rPr>
        <w:t xml:space="preserve">Vésicule biliaire :</w:t>
      </w:r>
      <w:r>
        <w:t xml:space="preserve"> </w:t>
      </w:r>
      <w:r>
        <w:t xml:space="preserve">une méta-analyse de 76 études randomisées totalisant 103 371 participants a mis en évidence un risque accru de 37 % de maladies de la vésicule et des voies biliaires, et un risque plus que doublé dans les études sur la perte de poids (risque relatif 2,29 ; He 2022, PMID 35344001).</w:t>
      </w:r>
    </w:p>
    <w:p>
      <w:pPr>
        <w:numPr>
          <w:ilvl w:val="0"/>
          <w:numId w:val="1328"/>
        </w:numPr>
        <w:pStyle w:val="Compact"/>
      </w:pPr>
      <w:r>
        <w:rPr>
          <w:bCs/>
          <w:b/>
        </w:rPr>
        <w:t xml:space="preserve">Pancréas :</w:t>
      </w:r>
      <w:r>
        <w:t xml:space="preserve"> </w:t>
      </w:r>
      <w:r>
        <w:t xml:space="preserve">dans la méta-analyse des études de critères cliniques, pas de risque accru de pancréatite ou de cancer du pancréas</w:t>
      </w:r>
      <w:r>
        <w:rPr>
          <w:rStyle w:val="FootnoteReference"/>
        </w:rPr>
        <w:footnoteReference w:id="2569"/>
      </w:r>
      <w:r>
        <w:t xml:space="preserve"> </w:t>
      </w:r>
      <w:r>
        <w:t xml:space="preserve">; dans des données d’assurance, un signal lors de l’utilisation pour la perte de poids</w:t>
      </w:r>
      <w:r>
        <w:rPr>
          <w:rStyle w:val="FootnoteReference"/>
        </w:rPr>
        <w:footnoteReference w:id="2570"/>
      </w:r>
      <w:r>
        <w:t xml:space="preserve">.</w:t>
      </w:r>
    </w:p>
    <w:p>
      <w:pPr>
        <w:numPr>
          <w:ilvl w:val="0"/>
          <w:numId w:val="1328"/>
        </w:numPr>
        <w:pStyle w:val="Compact"/>
      </w:pPr>
      <w:r>
        <w:rPr>
          <w:bCs/>
          <w:b/>
        </w:rPr>
        <w:t xml:space="preserve">Thyroïde :</w:t>
      </w:r>
      <w:r>
        <w:t xml:space="preserve"> </w:t>
      </w:r>
      <w:r>
        <w:t xml:space="preserve">tumeurs à cellules C chez les rongeurs ; chez l’humain, un signal dans des méta-analyses et des études observationnelles</w:t>
      </w:r>
      <w:r>
        <w:rPr>
          <w:rStyle w:val="FootnoteReference"/>
        </w:rPr>
        <w:footnoteReference w:id="2571"/>
      </w:r>
      <w:r>
        <w:t xml:space="preserve">, dont la portée est controversée.</w:t>
      </w:r>
    </w:p>
    <w:p>
      <w:pPr>
        <w:numPr>
          <w:ilvl w:val="0"/>
          <w:numId w:val="1328"/>
        </w:numPr>
        <w:pStyle w:val="Compact"/>
      </w:pPr>
      <w:r>
        <w:rPr>
          <w:bCs/>
          <w:b/>
        </w:rPr>
        <w:t xml:space="preserve">Yeux :</w:t>
      </w:r>
      <w:r>
        <w:t xml:space="preserve"> </w:t>
      </w:r>
      <w:r>
        <w:t xml:space="preserve">aggravation d’une rétinopathie diabétique préexistante dans SUSTAIN 6 (HR 1,76 ; Marso 2016, PMID 27633186) ; signal rare de trouble circulatoire du nerf optique (NAION) dans des études observationnelles</w:t>
      </w:r>
      <w:r>
        <w:rPr>
          <w:rStyle w:val="FootnoteReference"/>
        </w:rPr>
        <w:footnoteReference w:id="2572"/>
      </w:r>
      <w:r>
        <w:t xml:space="preserve">.</w:t>
      </w:r>
    </w:p>
    <w:p>
      <w:pPr>
        <w:numPr>
          <w:ilvl w:val="0"/>
          <w:numId w:val="1328"/>
        </w:numPr>
        <w:pStyle w:val="Compact"/>
      </w:pPr>
      <w:r>
        <w:rPr>
          <w:bCs/>
          <w:b/>
        </w:rPr>
        <w:t xml:space="preserve">Masse musculaire :</w:t>
      </w:r>
      <w:r>
        <w:t xml:space="preserve"> </w:t>
      </w:r>
      <w:r>
        <w:t xml:space="preserve">environ un quart du poids perdu est de la masse maigre, dans la même proportion que lors d’autres pertes de poids</w:t>
      </w:r>
      <w:r>
        <w:rPr>
          <w:rStyle w:val="FootnoteReference"/>
        </w:rPr>
        <w:footnoteReference w:id="2573"/>
      </w:r>
      <w:r>
        <w:t xml:space="preserve">.</w:t>
      </w:r>
    </w:p>
    <w:bookmarkEnd w:id="2574"/>
    <w:bookmarkStart w:id="2577" w:name="études-de-comparaison-directe"/>
    <w:p>
      <w:pPr>
        <w:pStyle w:val="Heading3"/>
      </w:pPr>
      <w:r>
        <w:t xml:space="preserve">Études de comparaison directe</w:t>
      </w:r>
    </w:p>
    <w:p>
      <w:pPr>
        <w:pStyle w:val="FirstParagraph"/>
      </w:pPr>
      <w:r>
        <w:t xml:space="preserve">Le tableau suivant regroupe des études randomisées dans lesquelles deux substances de la classe ont été directement opposées. Ce n’est qu’ici que les différences entre substances sont établies de manière méthodologiquement rigoureuse. Beaucoup de ces études étaient ouvertes (non en aveugle) et financées par le fabricant de la substance la plus récente, et la dose maximale autorisée du comparateur n’a pas toujours été utilisée.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Comparaison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SURMOUNT-5 (Aronne 2025), PMID 40353578</w:t>
            </w:r>
          </w:p>
        </w:tc>
        <w:tc>
          <w:tcPr/>
          <w:p>
            <w:pPr>
              <w:pStyle w:val="Compact"/>
              <w:jc w:val="left"/>
            </w:pPr>
            <w:r>
              <w:t xml:space="preserve">Tirzépatide vs sémaglutide 2,4 mg, obésité, ouverte</w:t>
            </w:r>
          </w:p>
        </w:tc>
        <w:tc>
          <w:tcPr/>
          <w:p>
            <w:pPr>
              <w:pStyle w:val="Compact"/>
              <w:jc w:val="left"/>
            </w:pPr>
            <w:r>
              <w:t xml:space="preserve">72 semaines</w:t>
            </w:r>
          </w:p>
        </w:tc>
        <w:tc>
          <w:tcPr/>
          <w:p>
            <w:pPr>
              <w:pStyle w:val="Compact"/>
              <w:jc w:val="left"/>
            </w:pPr>
            <w:r>
              <w:t xml:space="preserve">poids −20,2 % vs −13,7 %</w:t>
            </w:r>
          </w:p>
        </w:tc>
      </w:tr>
      <w:tr>
        <w:tc>
          <w:tcPr/>
          <w:p>
            <w:pPr>
              <w:pStyle w:val="Compact"/>
              <w:jc w:val="left"/>
            </w:pPr>
            <w:r>
              <w:t xml:space="preserve">STEP 8 (Rubino 2022), PMID 35015037</w:t>
            </w:r>
          </w:p>
        </w:tc>
        <w:tc>
          <w:tcPr/>
          <w:p>
            <w:pPr>
              <w:pStyle w:val="Compact"/>
              <w:jc w:val="left"/>
            </w:pPr>
            <w:r>
              <w:t xml:space="preserve">Sémaglutide 2,4 mg vs liraglutide 3,0 mg, obésité</w:t>
            </w:r>
          </w:p>
        </w:tc>
        <w:tc>
          <w:tcPr/>
          <w:p>
            <w:pPr>
              <w:pStyle w:val="Compact"/>
              <w:jc w:val="left"/>
            </w:pPr>
            <w:r>
              <w:t xml:space="preserve">68 semaines</w:t>
            </w:r>
          </w:p>
        </w:tc>
        <w:tc>
          <w:tcPr/>
          <w:p>
            <w:pPr>
              <w:pStyle w:val="Compact"/>
              <w:jc w:val="left"/>
            </w:pPr>
            <w:r>
              <w:t xml:space="preserve">poids −15,8 % vs −6,4 %</w:t>
            </w:r>
          </w:p>
        </w:tc>
      </w:tr>
      <w:tr>
        <w:tc>
          <w:tcPr/>
          <w:p>
            <w:pPr>
              <w:pStyle w:val="Compact"/>
              <w:jc w:val="left"/>
            </w:pPr>
            <w:r>
              <w:t xml:space="preserve">REDEFINE 5 (Yamauchi 2026), PMID 42009015</w:t>
            </w:r>
          </w:p>
        </w:tc>
        <w:tc>
          <w:tcPr/>
          <w:p>
            <w:pPr>
              <w:pStyle w:val="Compact"/>
              <w:jc w:val="left"/>
            </w:pPr>
            <w:r>
              <w:t xml:space="preserve">CagriSema vs sémaglutide 2,4 mg, Japon et Taïwan, en aveugle</w:t>
            </w:r>
          </w:p>
        </w:tc>
        <w:tc>
          <w:tcPr/>
          <w:p>
            <w:pPr>
              <w:pStyle w:val="Compact"/>
              <w:jc w:val="left"/>
            </w:pPr>
            <w:r>
              <w:t xml:space="preserve">68 semaines</w:t>
            </w:r>
          </w:p>
        </w:tc>
        <w:tc>
          <w:tcPr/>
          <w:p>
            <w:pPr>
              <w:pStyle w:val="Compact"/>
              <w:jc w:val="left"/>
            </w:pPr>
            <w:r>
              <w:t xml:space="preserve">poids −18,4 % vs −11,9 %</w:t>
            </w:r>
          </w:p>
        </w:tc>
      </w:tr>
      <w:tr>
        <w:tc>
          <w:tcPr/>
          <w:p>
            <w:pPr>
              <w:pStyle w:val="Compact"/>
              <w:jc w:val="left"/>
            </w:pPr>
            <w:r>
              <w:t xml:space="preserve">SURPASS-2 (Frías 2021), PMID 34170647</w:t>
            </w:r>
          </w:p>
        </w:tc>
        <w:tc>
          <w:tcPr/>
          <w:p>
            <w:pPr>
              <w:pStyle w:val="Compact"/>
              <w:jc w:val="left"/>
            </w:pPr>
            <w:r>
              <w:t xml:space="preserve">Tirzépatide vs sémaglutide 1 mg, diabète de type 2, ouverte</w:t>
            </w:r>
          </w:p>
        </w:tc>
        <w:tc>
          <w:tcPr/>
          <w:p>
            <w:pPr>
              <w:pStyle w:val="Compact"/>
              <w:jc w:val="left"/>
            </w:pPr>
            <w:r>
              <w:t xml:space="preserve">40 semaines</w:t>
            </w:r>
          </w:p>
        </w:tc>
        <w:tc>
          <w:tcPr/>
          <w:p>
            <w:pPr>
              <w:pStyle w:val="Compact"/>
              <w:jc w:val="left"/>
            </w:pPr>
            <w:r>
              <w:t xml:space="preserve">HbA1c −2,01 à −2,30 vs −1,86 ; poids −1,9 à −5,5 kg supplémentaires</w:t>
            </w:r>
          </w:p>
        </w:tc>
      </w:tr>
      <w:tr>
        <w:tc>
          <w:tcPr/>
          <w:p>
            <w:pPr>
              <w:pStyle w:val="Compact"/>
              <w:jc w:val="left"/>
            </w:pPr>
            <w:r>
              <w:t xml:space="preserve">REIMAGINE 2 (Buse 2026), PMID 42251859</w:t>
            </w:r>
          </w:p>
        </w:tc>
        <w:tc>
          <w:tcPr/>
          <w:p>
            <w:pPr>
              <w:pStyle w:val="Compact"/>
              <w:jc w:val="left"/>
            </w:pPr>
            <w:r>
              <w:t xml:space="preserve">CagriSema vs sémaglutide 2,4 mg, diabète de type 2</w:t>
            </w:r>
          </w:p>
        </w:tc>
        <w:tc>
          <w:tcPr/>
          <w:p>
            <w:pPr>
              <w:pStyle w:val="Compact"/>
              <w:jc w:val="left"/>
            </w:pPr>
            <w:r>
              <w:t xml:space="preserve">68 semaines</w:t>
            </w:r>
          </w:p>
        </w:tc>
        <w:tc>
          <w:tcPr/>
          <w:p>
            <w:pPr>
              <w:pStyle w:val="Compact"/>
              <w:jc w:val="left"/>
            </w:pPr>
            <w:r>
              <w:t xml:space="preserve">HbA1c −1,91 vs −1,75</w:t>
            </w:r>
          </w:p>
        </w:tc>
      </w:tr>
      <w:tr>
        <w:tc>
          <w:tcPr/>
          <w:p>
            <w:pPr>
              <w:pStyle w:val="Compact"/>
              <w:jc w:val="left"/>
            </w:pPr>
            <w:r>
              <w:t xml:space="preserve">ACHIEVE-3 (Rosenstock 2026), PMID 41765029</w:t>
            </w:r>
          </w:p>
        </w:tc>
        <w:tc>
          <w:tcPr/>
          <w:p>
            <w:pPr>
              <w:pStyle w:val="Compact"/>
              <w:jc w:val="left"/>
            </w:pPr>
            <w:r>
              <w:t xml:space="preserve">Orforglipron vs sémaglutide en comprimé, ouverte</w:t>
            </w:r>
          </w:p>
        </w:tc>
        <w:tc>
          <w:tcPr/>
          <w:p>
            <w:pPr>
              <w:pStyle w:val="Compact"/>
              <w:jc w:val="left"/>
            </w:pPr>
            <w:r>
              <w:t xml:space="preserve">52 semaines</w:t>
            </w:r>
          </w:p>
        </w:tc>
        <w:tc>
          <w:tcPr/>
          <w:p>
            <w:pPr>
              <w:pStyle w:val="Compact"/>
              <w:jc w:val="left"/>
            </w:pPr>
            <w:r>
              <w:t xml:space="preserve">HbA1c −1,91 vs −1,47 (dose la plus élevée dans chaque cas)</w:t>
            </w:r>
          </w:p>
        </w:tc>
      </w:tr>
      <w:tr>
        <w:tc>
          <w:tcPr/>
          <w:p>
            <w:pPr>
              <w:pStyle w:val="Compact"/>
              <w:jc w:val="left"/>
            </w:pPr>
            <w:r>
              <w:t xml:space="preserve">SUSTAIN 7 (Pratley 2018), PMID 29397376</w:t>
            </w:r>
          </w:p>
        </w:tc>
        <w:tc>
          <w:tcPr/>
          <w:p>
            <w:pPr>
              <w:pStyle w:val="Compact"/>
              <w:jc w:val="left"/>
            </w:pPr>
            <w:r>
              <w:t xml:space="preserve">Sémaglutide vs dulaglutide</w:t>
            </w:r>
          </w:p>
        </w:tc>
        <w:tc>
          <w:tcPr/>
          <w:p>
            <w:pPr>
              <w:pStyle w:val="Compact"/>
              <w:jc w:val="left"/>
            </w:pPr>
            <w:r>
              <w:t xml:space="preserve">40 semaines</w:t>
            </w:r>
          </w:p>
        </w:tc>
        <w:tc>
          <w:tcPr/>
          <w:p>
            <w:pPr>
              <w:pStyle w:val="Compact"/>
              <w:jc w:val="left"/>
            </w:pPr>
            <w:r>
              <w:t xml:space="preserve">HbA1c −1,8 vs −1,4 ; poids −6,5 vs −3,0 kg</w:t>
            </w:r>
          </w:p>
        </w:tc>
      </w:tr>
      <w:tr>
        <w:tc>
          <w:tcPr/>
          <w:p>
            <w:pPr>
              <w:pStyle w:val="Compact"/>
              <w:jc w:val="left"/>
            </w:pPr>
            <w:r>
              <w:t xml:space="preserve">SUSTAIN 10 (Capehorn 2020), PMID 31539622</w:t>
            </w:r>
          </w:p>
        </w:tc>
        <w:tc>
          <w:tcPr/>
          <w:p>
            <w:pPr>
              <w:pStyle w:val="Compact"/>
              <w:jc w:val="left"/>
            </w:pPr>
            <w:r>
              <w:t xml:space="preserve">Sémaglutide 1,0 mg vs liraglutide 1,2 mg</w:t>
            </w:r>
          </w:p>
        </w:tc>
        <w:tc>
          <w:tcPr/>
          <w:p>
            <w:pPr>
              <w:pStyle w:val="Compact"/>
              <w:jc w:val="left"/>
            </w:pPr>
            <w:r>
              <w:t xml:space="preserve">30 semaines</w:t>
            </w:r>
          </w:p>
        </w:tc>
        <w:tc>
          <w:tcPr/>
          <w:p>
            <w:pPr>
              <w:pStyle w:val="Compact"/>
              <w:jc w:val="left"/>
            </w:pPr>
            <w:r>
              <w:t xml:space="preserve">HbA1c −1,7 vs −1,0 ; poids −5,8 vs −1,9 kg</w:t>
            </w:r>
          </w:p>
        </w:tc>
      </w:tr>
      <w:tr>
        <w:tc>
          <w:tcPr/>
          <w:p>
            <w:pPr>
              <w:pStyle w:val="Compact"/>
              <w:jc w:val="left"/>
            </w:pPr>
            <w:r>
              <w:t xml:space="preserve">SUSTAIN 3 (Ahmann 2018), PMID 29246950</w:t>
            </w:r>
          </w:p>
        </w:tc>
        <w:tc>
          <w:tcPr/>
          <w:p>
            <w:pPr>
              <w:pStyle w:val="Compact"/>
              <w:jc w:val="left"/>
            </w:pPr>
            <w:r>
              <w:t xml:space="preserve">Sémaglutide vs exénatide hebdomadaire, ouverte</w:t>
            </w:r>
          </w:p>
        </w:tc>
        <w:tc>
          <w:tcPr/>
          <w:p>
            <w:pPr>
              <w:pStyle w:val="Compact"/>
              <w:jc w:val="left"/>
            </w:pPr>
            <w:r>
              <w:t xml:space="preserve">56 semaines</w:t>
            </w:r>
          </w:p>
        </w:tc>
        <w:tc>
          <w:tcPr/>
          <w:p>
            <w:pPr>
              <w:pStyle w:val="Compact"/>
              <w:jc w:val="left"/>
            </w:pPr>
            <w:r>
              <w:t xml:space="preserve">HbA1c −1,5 vs −0,9 ; poids −5,6 vs −1,9 kg</w:t>
            </w:r>
          </w:p>
        </w:tc>
      </w:tr>
      <w:tr>
        <w:tc>
          <w:tcPr/>
          <w:p>
            <w:pPr>
              <w:pStyle w:val="Compact"/>
              <w:jc w:val="left"/>
            </w:pPr>
            <w:r>
              <w:t xml:space="preserve">PIONEER 4 (Pratley 2019), PMID 31186120</w:t>
            </w:r>
          </w:p>
        </w:tc>
        <w:tc>
          <w:tcPr/>
          <w:p>
            <w:pPr>
              <w:pStyle w:val="Compact"/>
              <w:jc w:val="left"/>
            </w:pPr>
            <w:r>
              <w:t xml:space="preserve">Sémaglutide en comprimé vs liraglutide injectable</w:t>
            </w:r>
          </w:p>
        </w:tc>
        <w:tc>
          <w:tcPr/>
          <w:p>
            <w:pPr>
              <w:pStyle w:val="Compact"/>
              <w:jc w:val="left"/>
            </w:pPr>
            <w:r>
              <w:t xml:space="preserve">26 semaines (étude 52)</w:t>
            </w:r>
          </w:p>
        </w:tc>
        <w:tc>
          <w:tcPr/>
          <w:p>
            <w:pPr>
              <w:pStyle w:val="Compact"/>
              <w:jc w:val="left"/>
            </w:pPr>
            <w:r>
              <w:t xml:space="preserve">HbA1c −1,2 vs −1,1 (non inférieur)</w:t>
            </w:r>
          </w:p>
        </w:tc>
      </w:tr>
      <w:tr>
        <w:tc>
          <w:tcPr/>
          <w:p>
            <w:pPr>
              <w:pStyle w:val="Compact"/>
              <w:jc w:val="left"/>
            </w:pPr>
            <w:r>
              <w:t xml:space="preserve">AWARD-6 (Dungan 2014), PMID 25018121</w:t>
            </w:r>
          </w:p>
        </w:tc>
        <w:tc>
          <w:tcPr/>
          <w:p>
            <w:pPr>
              <w:pStyle w:val="Compact"/>
              <w:jc w:val="left"/>
            </w:pPr>
            <w:r>
              <w:t xml:space="preserve">Dulaglutide vs liraglutide 1,8 mg, ouverte</w:t>
            </w:r>
          </w:p>
        </w:tc>
        <w:tc>
          <w:tcPr/>
          <w:p>
            <w:pPr>
              <w:pStyle w:val="Compact"/>
              <w:jc w:val="left"/>
            </w:pPr>
            <w:r>
              <w:t xml:space="preserve">26 semaines</w:t>
            </w:r>
          </w:p>
        </w:tc>
        <w:tc>
          <w:tcPr/>
          <w:p>
            <w:pPr>
              <w:pStyle w:val="Compact"/>
              <w:jc w:val="left"/>
            </w:pPr>
            <w:r>
              <w:t xml:space="preserve">HbA1c −1,42 vs −1,36, équivalent</w:t>
            </w:r>
          </w:p>
        </w:tc>
      </w:tr>
      <w:tr>
        <w:tc>
          <w:tcPr/>
          <w:p>
            <w:pPr>
              <w:pStyle w:val="Compact"/>
              <w:jc w:val="left"/>
            </w:pPr>
            <w:r>
              <w:t xml:space="preserve">DURATION-6 (Buse 2013), PMID 23141817</w:t>
            </w:r>
          </w:p>
        </w:tc>
        <w:tc>
          <w:tcPr/>
          <w:p>
            <w:pPr>
              <w:pStyle w:val="Compact"/>
              <w:jc w:val="left"/>
            </w:pPr>
            <w:r>
              <w:t xml:space="preserve">Exénatide hebdomadaire vs liraglutide, ouverte</w:t>
            </w:r>
          </w:p>
        </w:tc>
        <w:tc>
          <w:tcPr/>
          <w:p>
            <w:pPr>
              <w:pStyle w:val="Compact"/>
              <w:jc w:val="left"/>
            </w:pPr>
            <w:r>
              <w:t xml:space="preserve">26 semaines</w:t>
            </w:r>
          </w:p>
        </w:tc>
        <w:tc>
          <w:tcPr/>
          <w:p>
            <w:pPr>
              <w:pStyle w:val="Compact"/>
              <w:jc w:val="left"/>
            </w:pPr>
            <w:r>
              <w:t xml:space="preserve">HbA1c −1,28 vs −1,48 ; non-infériorité manquée</w:t>
            </w:r>
          </w:p>
        </w:tc>
      </w:tr>
      <w:tr>
        <w:tc>
          <w:tcPr/>
          <w:p>
            <w:pPr>
              <w:pStyle w:val="Compact"/>
              <w:jc w:val="left"/>
            </w:pPr>
            <w:r>
              <w:t xml:space="preserve">DREAMS-2 (Guo 2026), PMID 41407860</w:t>
            </w:r>
          </w:p>
        </w:tc>
        <w:tc>
          <w:tcPr/>
          <w:p>
            <w:pPr>
              <w:pStyle w:val="Compact"/>
              <w:jc w:val="left"/>
            </w:pPr>
            <w:r>
              <w:t xml:space="preserve">Mazdutide vs dulaglutide 1,5 mg, Chine</w:t>
            </w:r>
          </w:p>
        </w:tc>
        <w:tc>
          <w:tcPr/>
          <w:p>
            <w:pPr>
              <w:pStyle w:val="Compact"/>
              <w:jc w:val="left"/>
            </w:pPr>
            <w:r>
              <w:t xml:space="preserve">28 semaines</w:t>
            </w:r>
          </w:p>
        </w:tc>
        <w:tc>
          <w:tcPr/>
          <w:p>
            <w:pPr>
              <w:pStyle w:val="Compact"/>
              <w:jc w:val="left"/>
            </w:pPr>
            <w:r>
              <w:t xml:space="preserve">HbA1c −0,24 / −0,30 supplémentaires</w:t>
            </w:r>
          </w:p>
        </w:tc>
      </w:tr>
      <w:tr>
        <w:tc>
          <w:tcPr/>
          <w:p>
            <w:pPr>
              <w:pStyle w:val="Compact"/>
              <w:jc w:val="left"/>
            </w:pPr>
            <w:r>
              <w:t xml:space="preserve">SURPASS-CVOT (Nicholls 2025), PMID 41406444</w:t>
            </w:r>
          </w:p>
        </w:tc>
        <w:tc>
          <w:tcPr/>
          <w:p>
            <w:pPr>
              <w:pStyle w:val="Compact"/>
              <w:jc w:val="left"/>
            </w:pPr>
            <w:r>
              <w:t xml:space="preserve">Tirzépatide vs dulaglutide, événements cardiovasculaires</w:t>
            </w:r>
          </w:p>
        </w:tc>
        <w:tc>
          <w:tcPr/>
          <w:p>
            <w:pPr>
              <w:pStyle w:val="Compact"/>
              <w:jc w:val="left"/>
            </w:pPr>
            <w:r>
              <w:t xml:space="preserve">plusieurs années</w:t>
            </w:r>
          </w:p>
        </w:tc>
        <w:tc>
          <w:tcPr/>
          <w:p>
            <w:pPr>
              <w:pStyle w:val="Compact"/>
              <w:jc w:val="left"/>
            </w:pPr>
            <w:r>
              <w:t xml:space="preserve">HR 0,92, non inférieur</w:t>
            </w:r>
          </w:p>
        </w:tc>
      </w:tr>
    </w:tbl>
    <w:p>
      <w:pPr>
        <w:pStyle w:val="BodyText"/>
      </w:pPr>
      <w:r>
        <w:rPr>
          <w:bCs/>
          <w:b/>
        </w:rPr>
        <w:t xml:space="preserve">Ce que montrent les comparaisons directes :</w:t>
      </w:r>
    </w:p>
    <w:p>
      <w:pPr>
        <w:numPr>
          <w:ilvl w:val="0"/>
          <w:numId w:val="1329"/>
        </w:numPr>
        <w:pStyle w:val="Compact"/>
      </w:pPr>
      <w:r>
        <w:rPr>
          <w:bCs/>
          <w:b/>
        </w:rPr>
        <w:t xml:space="preserve">Pour le poids, le classement est clair.</w:t>
      </w:r>
      <w:r>
        <w:t xml:space="preserve"> </w:t>
      </w:r>
      <w:r>
        <w:t xml:space="preserve">Le sémaglutide 2,4 mg a dépassé le liraglutide 3,0 mg de 9,4 points de pourcentage (STEP 8), le tirzépatide a dépassé le sémaglutide 2,4 mg de 6,5 points de pourcentage (SURMOUNT-5), CagriSema a dépassé le sémaglutide 2,4 mg en Asie de l’Est également de 6,5 points de pourcentage (REDEFINE 5). Dans SURMOUNT-5, davantage de participants sous tirzépatide ont atteint chacun des seuils de 10, 15, 20 et 25 %, et le tour de taille a diminué de 18,4 cm contre 13,0 cm.</w:t>
      </w:r>
    </w:p>
    <w:p>
      <w:pPr>
        <w:numPr>
          <w:ilvl w:val="0"/>
          <w:numId w:val="1329"/>
        </w:numPr>
        <w:pStyle w:val="Compact"/>
      </w:pPr>
      <w:r>
        <w:rPr>
          <w:bCs/>
          <w:b/>
        </w:rPr>
        <w:t xml:space="preserve">Pour la glycémie, les écarts sont plus faibles.</w:t>
      </w:r>
      <w:r>
        <w:t xml:space="preserve"> </w:t>
      </w:r>
      <w:r>
        <w:t xml:space="preserve">Entre les agonistes hebdomadaires du GLP-1, il n’y a le plus souvent que quelques dixièmes de point ; dans SURPASS-2, le tirzépatide a abaissé l’HbA1c de 0,15 à 0,45 point de pourcentage de plus que le sémaglutide 1 mg.</w:t>
      </w:r>
    </w:p>
    <w:p>
      <w:pPr>
        <w:numPr>
          <w:ilvl w:val="0"/>
          <w:numId w:val="1329"/>
        </w:numPr>
        <w:pStyle w:val="Compact"/>
      </w:pPr>
      <w:r>
        <w:rPr>
          <w:bCs/>
          <w:b/>
        </w:rPr>
        <w:t xml:space="preserve">Pour les critères cliniques forts, il n’existe jusqu’à présent qu’une seule comparaison directe.</w:t>
      </w:r>
      <w:r>
        <w:t xml:space="preserve"> </w:t>
      </w:r>
      <w:r>
        <w:t xml:space="preserve">SURPASS-CVOT a montré que le tirzépatide n’est pas inférieur au dulaglutide ; une supériorité n’a pas été démontrée.</w:t>
      </w:r>
    </w:p>
    <w:p>
      <w:pPr>
        <w:numPr>
          <w:ilvl w:val="0"/>
          <w:numId w:val="1329"/>
        </w:numPr>
        <w:pStyle w:val="Compact"/>
      </w:pPr>
      <w:r>
        <w:rPr>
          <w:bCs/>
          <w:b/>
        </w:rPr>
        <w:t xml:space="preserve">Les limites sont considérables.</w:t>
      </w:r>
      <w:r>
        <w:t xml:space="preserve"> </w:t>
      </w:r>
      <w:r>
        <w:t xml:space="preserve">SURMOUNT-5 et SURPASS-2 étaient ouvertes et financées par le fabricant du tirzépatide ; SURPASS-2 n’utilisait le sémaglutide qu’à la dose de 1 mg. REDEFINE 5 a été menée exclusivement au Japon et à Taïwan. Les différences observées dans SURMOUNT-5 sont toutefois si importantes qu’elles ne peuvent guère s’expliquer par ces seules faiblesses.</w:t>
      </w:r>
    </w:p>
    <w:p>
      <w:pPr>
        <w:pStyle w:val="FirstParagraph"/>
      </w:pPr>
      <w:r>
        <w:rPr>
          <w:bCs/>
          <w:b/>
        </w:rPr>
        <w:t xml:space="preserve">Encore attendues (études enregistrées) :</w:t>
      </w:r>
      <w:r>
        <w:t xml:space="preserve"> </w:t>
      </w:r>
      <w:r>
        <w:t xml:space="preserve">la comparaison directe du rétatrutide avec le tirzépatide chez 800 adultes obèses</w:t>
      </w:r>
      <w:r>
        <w:rPr>
          <w:rStyle w:val="FootnoteReference"/>
        </w:rPr>
        <w:footnoteReference w:id="2575"/>
      </w:r>
      <w:r>
        <w:t xml:space="preserve"> </w:t>
      </w:r>
      <w:r>
        <w:t xml:space="preserve">doit s’achever fin 2026. L’étude comparant CagriSema au tirzépatide dans l’obésité (REDEFINE 4, NCT06131437) est terminée selon le registre, mais aucune publication évaluée par des pairs n’était disponible à la date de clôture de la rédaction. Le mazdutide est testé en Chine contre le sémaglutide</w:t>
      </w:r>
      <w:r>
        <w:rPr>
          <w:rStyle w:val="FootnoteReference"/>
        </w:rPr>
        <w:footnoteReference w:id="2576"/>
      </w:r>
      <w:r>
        <w:t xml:space="preserve">.</w:t>
      </w:r>
    </w:p>
    <w:bookmarkEnd w:id="2577"/>
    <w:bookmarkStart w:id="2578" w:name="conclusion-58"/>
    <w:p>
      <w:pPr>
        <w:pStyle w:val="Heading3"/>
      </w:pPr>
      <w:r>
        <w:t xml:space="preserve">Conclusion</w:t>
      </w:r>
    </w:p>
    <w:p>
      <w:pPr>
        <w:pStyle w:val="FirstParagraph"/>
      </w:pPr>
      <w:r>
        <w:t xml:space="preserve">Les médicaments incrétiniques forment une gradation nette : pour la perte de poids, les moyennes des études d’autorisation vont d’environ 8 % (liraglutide) à près de 15 % (sémaglutide 2,4 mg), environ 20 % (tirzépatide, CagriSema) et jusqu’à 25 % (rétatrutide), les comparaisons directes confirmant cet ordre pour les paires comparées jusqu’ici. Pour le cœur et les reins, le bénéfice n’est établi jusqu’à présent dans des études contrôlées contre placebo que pour les anciens agonistes du GLP-1 et le sémaglutide ; la question de savoir si les successeurs plus puissants font mieux reste ouverte. Les effets indésirables sont similaires dans toute la classe et concernent surtout le tube digestif ; les taux d’arrêt augmentent avec la dose et la durée du traitement. Les comparaisons croisées entre études isolées restent une orientation grossière – pour le choix d’un médicament dans un cas particulier, le RCP et le conseil médical font foi.</w:t>
      </w:r>
    </w:p>
    <w:bookmarkEnd w:id="2578"/>
    <w:bookmarkEnd w:id="2579"/>
    <w:bookmarkStart w:id="2602" w:name="promesses-contre-preuves"/>
    <w:p>
      <w:pPr>
        <w:pStyle w:val="Heading2"/>
      </w:pPr>
      <w:r>
        <w:t xml:space="preserve">Promesses contre preuves</w:t>
      </w:r>
    </w:p>
    <w:p>
      <w:pPr>
        <w:pStyle w:val="FirstParagraph"/>
      </w:pPr>
      <w:r>
        <w:t xml:space="preserve">Quiconque cherche des peptides sur Internet tombe rapidement sur des boutiques, des vidéos et des forums où certaines substances sont décrites en termes grandiloquents : elles répareraient les tendons, freineraient le vieillissement, feraient fondre la graisse ou aiguiseraient la mémoire. Ce chapitre confronte ces promesses publicitaires typiques à ce que les études chez l’humain ont réellement montré.</w:t>
      </w:r>
    </w:p>
    <w:p>
      <w:pPr>
        <w:pStyle w:val="BodyText"/>
      </w:pPr>
      <w:r>
        <w:t xml:space="preserve">Ont été retenus les peptides les plus promus sur l’Internet germanophone et anglophone en 2026. Les promesses sont formulées de manière générale et résument des affirmations récurrentes ; elles ne proviennent pas d’un vendeur particulier. La colonne « Ce que montrent les études chez l’humain » repose sur les chapitres de la partie II, dans lesquels les sources sont discutées en détail. Les expérimentations animales et les résultats de laboratoire sont expressément signalés comme tels.</w:t>
      </w:r>
    </w:p>
    <w:p>
      <w:pPr>
        <w:pStyle w:val="BodyText"/>
      </w:pPr>
      <w:r>
        <w:t xml:space="preserve">Une remarque préalable : qu’un bénéfice ne soit pas démontré ne signifie pas automatiquement qu’une substance est inefficace. Cela signifie que personne ne le sait – pas même les vendeurs qui la commercialisent. De même, l’absence d’effets indésirables publiés ne signifie pas, pour des substances à peine étudiées, qu’elles sont sûres, mais seulement que personne ne les a recherchés de manière systématique.</w:t>
      </w:r>
    </w:p>
    <w:bookmarkStart w:id="2580" w:name="X555298792b4a443f03c1480f1cf25013c330c72"/>
    <w:p>
      <w:pPr>
        <w:pStyle w:val="Heading3"/>
      </w:pPr>
      <w:r>
        <w:t xml:space="preserve">Les peptides les plus populaires passés au crible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Promesse publicitaire typique</w:t>
            </w:r>
          </w:p>
        </w:tc>
        <w:tc>
          <w:tcPr/>
          <w:p>
            <w:pPr>
              <w:pStyle w:val="Compact"/>
              <w:jc w:val="left"/>
            </w:pPr>
            <w:r>
              <w:t xml:space="preserve">Ce que montrent les études chez l’humain</w:t>
            </w:r>
          </w:p>
        </w:tc>
        <w:tc>
          <w:tcPr/>
          <w:p>
            <w:pPr>
              <w:pStyle w:val="Compact"/>
              <w:jc w:val="left"/>
            </w:pPr>
            <w:r>
              <w:t xml:space="preserve">Preuves</w:t>
            </w:r>
          </w:p>
        </w:tc>
      </w:tr>
      <w:tr>
        <w:tc>
          <w:tcPr/>
          <w:p>
            <w:pPr>
              <w:pStyle w:val="Compact"/>
              <w:jc w:val="left"/>
            </w:pPr>
            <w:r>
              <w:t xml:space="preserve">BPC-157</w:t>
            </w:r>
          </w:p>
        </w:tc>
        <w:tc>
          <w:tcPr/>
          <w:p>
            <w:pPr>
              <w:pStyle w:val="Compact"/>
              <w:jc w:val="left"/>
            </w:pPr>
            <w:r>
              <w:t xml:space="preserve">Accélère la guérison des tendons, des ligaments, des muscles et de l’intestin</w:t>
            </w:r>
          </w:p>
        </w:tc>
        <w:tc>
          <w:tcPr/>
          <w:p>
            <w:pPr>
              <w:pStyle w:val="Compact"/>
              <w:jc w:val="left"/>
            </w:pPr>
            <w:r>
              <w:t xml:space="preserve">Trois investigations non contrôlées portant au total sur 30 personnes (genou, vessie, tolérance) ; valeur probante très faible selon une revue systématique (Poolton 2026, PMID 42885452). Les nombreux résultats positifs proviennent d’expérimentations animales, principalement d’un seul groupe de recherche.</w:t>
            </w:r>
          </w:p>
        </w:tc>
        <w:tc>
          <w:tcPr/>
          <w:p>
            <w:pPr>
              <w:pStyle w:val="Compact"/>
              <w:jc w:val="left"/>
            </w:pPr>
            <w:r>
              <w:t xml:space="preserve">C</w:t>
            </w:r>
          </w:p>
        </w:tc>
      </w:tr>
      <w:tr>
        <w:tc>
          <w:tcPr/>
          <w:p>
            <w:pPr>
              <w:pStyle w:val="Compact"/>
              <w:jc w:val="left"/>
            </w:pPr>
            <w:r>
              <w:t xml:space="preserve">TB-500</w:t>
            </w:r>
          </w:p>
        </w:tc>
        <w:tc>
          <w:tcPr/>
          <w:p>
            <w:pPr>
              <w:pStyle w:val="Compact"/>
              <w:jc w:val="left"/>
            </w:pPr>
            <w:r>
              <w:t xml:space="preserve">Répare les tissus, les tendons et les muscles, améliore la mobilité</w:t>
            </w:r>
          </w:p>
        </w:tc>
        <w:tc>
          <w:tcPr/>
          <w:p>
            <w:pPr>
              <w:pStyle w:val="Compact"/>
              <w:jc w:val="left"/>
            </w:pPr>
            <w:r>
              <w:t xml:space="preserve">Le TB-500 n’a jamais été testé dans une étude publiée chez l’humain. La protéine entière, la thymosine bêta 4, n’a pas réduit de manière significative la taille globale de l’infarctus après un infarctus du myocarde (Zhang 2025, PMID 41229390). Les produits du marché gris ne contenaient pas systématiquement ce qui était indiqué (Delcourt 2023, PMID 36482504).</w:t>
            </w:r>
          </w:p>
        </w:tc>
        <w:tc>
          <w:tcPr/>
          <w:p>
            <w:pPr>
              <w:pStyle w:val="Compact"/>
              <w:jc w:val="left"/>
            </w:pPr>
            <w:r>
              <w:t xml:space="preserve">D (TB-500)</w:t>
            </w:r>
          </w:p>
        </w:tc>
      </w:tr>
      <w:tr>
        <w:tc>
          <w:tcPr/>
          <w:p>
            <w:pPr>
              <w:pStyle w:val="Compact"/>
              <w:jc w:val="left"/>
            </w:pPr>
            <w:r>
              <w:t xml:space="preserve">CJC-1295</w:t>
            </w:r>
          </w:p>
        </w:tc>
        <w:tc>
          <w:tcPr/>
          <w:p>
            <w:pPr>
              <w:pStyle w:val="Compact"/>
              <w:jc w:val="left"/>
            </w:pPr>
            <w:r>
              <w:t xml:space="preserve">Augmente l’hormone de croissance pour la prise de muscle, la perte de graisse et le sommeil</w:t>
            </w:r>
          </w:p>
        </w:tc>
        <w:tc>
          <w:tcPr/>
          <w:p>
            <w:pPr>
              <w:pStyle w:val="Compact"/>
              <w:jc w:val="left"/>
            </w:pPr>
            <w:r>
              <w:t xml:space="preserve">Chez des personnes en bonne santé, l’hormone de croissance et l’IGF-1 ont augmenté pendant environ six à onze jours après une injection unique (Teichman 2006, PMID 16352683). Qu’il en résulte un bénéfice n’a jamais été étudié. Pour la variante la plus vendue, sans « DAC », il n’existe aucune étude chez l’humain.</w:t>
            </w:r>
          </w:p>
        </w:tc>
        <w:tc>
          <w:tcPr/>
          <w:p>
            <w:pPr>
              <w:pStyle w:val="Compact"/>
              <w:jc w:val="left"/>
            </w:pPr>
            <w:r>
              <w:t xml:space="preserve">C</w:t>
            </w:r>
          </w:p>
        </w:tc>
      </w:tr>
      <w:tr>
        <w:tc>
          <w:tcPr/>
          <w:p>
            <w:pPr>
              <w:pStyle w:val="Compact"/>
              <w:jc w:val="left"/>
            </w:pPr>
            <w:r>
              <w:t xml:space="preserve">Ipamoréline</w:t>
            </w:r>
          </w:p>
        </w:tc>
        <w:tc>
          <w:tcPr/>
          <w:p>
            <w:pPr>
              <w:pStyle w:val="Compact"/>
              <w:jc w:val="left"/>
            </w:pPr>
            <w:r>
              <w:t xml:space="preserve">Booster doux de l’hormone de croissance sans effets indésirables</w:t>
            </w:r>
          </w:p>
        </w:tc>
        <w:tc>
          <w:tcPr/>
          <w:p>
            <w:pPr>
              <w:pStyle w:val="Compact"/>
              <w:jc w:val="left"/>
            </w:pPr>
            <w:r>
              <w:t xml:space="preserve">Seule étude d’efficacité publiée : 117 personnes après une chirurgie intestinale, aucun bénéfice significatif (Beck 2014, PMID 25331030). Aucune étude chez l’humain sur les muscles, la graisse, le sommeil ou le vieillissement.</w:t>
            </w:r>
          </w:p>
        </w:tc>
        <w:tc>
          <w:tcPr/>
          <w:p>
            <w:pPr>
              <w:pStyle w:val="Compact"/>
              <w:jc w:val="left"/>
            </w:pPr>
            <w:r>
              <w:t xml:space="preserve">B</w:t>
            </w:r>
          </w:p>
        </w:tc>
      </w:tr>
      <w:tr>
        <w:tc>
          <w:tcPr/>
          <w:p>
            <w:pPr>
              <w:pStyle w:val="Compact"/>
              <w:jc w:val="left"/>
            </w:pPr>
            <w:r>
              <w:t xml:space="preserve">Epitalon</w:t>
            </w:r>
          </w:p>
        </w:tc>
        <w:tc>
          <w:tcPr/>
          <w:p>
            <w:pPr>
              <w:pStyle w:val="Compact"/>
              <w:jc w:val="left"/>
            </w:pPr>
            <w:r>
              <w:t xml:space="preserve">Allonge les télomères et remonte l’horloge biologique</w:t>
            </w:r>
          </w:p>
        </w:tc>
        <w:tc>
          <w:tcPr/>
          <w:p>
            <w:pPr>
              <w:pStyle w:val="Compact"/>
              <w:jc w:val="left"/>
            </w:pPr>
            <w:r>
              <w:t xml:space="preserve">Allongement des télomères uniquement en cultures cellulaires (Khavinson 2003, PMID 12937682). Chez la souris, pas d’allongement de la durée de vie moyenne (Anisimov 2003, PMID 14501183). Pas d’étude randomisée suffisamment grande chez l’humain.</w:t>
            </w:r>
          </w:p>
        </w:tc>
        <w:tc>
          <w:tcPr/>
          <w:p>
            <w:pPr>
              <w:pStyle w:val="Compact"/>
              <w:jc w:val="left"/>
            </w:pPr>
            <w:r>
              <w:t xml:space="preserve">C</w:t>
            </w:r>
          </w:p>
        </w:tc>
      </w:tr>
      <w:tr>
        <w:tc>
          <w:tcPr/>
          <w:p>
            <w:pPr>
              <w:pStyle w:val="Compact"/>
              <w:jc w:val="left"/>
            </w:pPr>
            <w:r>
              <w:t xml:space="preserve">MOTS-c</w:t>
            </w:r>
          </w:p>
        </w:tc>
        <w:tc>
          <w:tcPr/>
          <w:p>
            <w:pPr>
              <w:pStyle w:val="Compact"/>
              <w:jc w:val="left"/>
            </w:pPr>
            <w:r>
              <w:t xml:space="preserve">« Le sport en seringue » : plus d’endurance, moins de graisse, meilleure action de l’insuline</w:t>
            </w:r>
          </w:p>
        </w:tc>
        <w:tc>
          <w:tcPr/>
          <w:p>
            <w:pPr>
              <w:pStyle w:val="Compact"/>
              <w:jc w:val="left"/>
            </w:pPr>
            <w:r>
              <w:t xml:space="preserve">Ces effets ont été observés chez la souris (Lee 2015, PMID 25738459). Chez l’humain, il n’existe que des mesures des taux endogènes, aucune étude publiée avec administration de MOTS-c.</w:t>
            </w:r>
          </w:p>
        </w:tc>
        <w:tc>
          <w:tcPr/>
          <w:p>
            <w:pPr>
              <w:pStyle w:val="Compact"/>
              <w:jc w:val="left"/>
            </w:pPr>
            <w:r>
              <w:t xml:space="preserve">D</w:t>
            </w:r>
          </w:p>
        </w:tc>
      </w:tr>
      <w:tr>
        <w:tc>
          <w:tcPr/>
          <w:p>
            <w:pPr>
              <w:pStyle w:val="Compact"/>
              <w:jc w:val="left"/>
            </w:pPr>
            <w:r>
              <w:t xml:space="preserve">Semax</w:t>
            </w:r>
          </w:p>
        </w:tc>
        <w:tc>
          <w:tcPr/>
          <w:p>
            <w:pPr>
              <w:pStyle w:val="Compact"/>
              <w:jc w:val="left"/>
            </w:pPr>
            <w:r>
              <w:t xml:space="preserve">Améliore la concentration, la mémoire et les performances</w:t>
            </w:r>
          </w:p>
        </w:tc>
        <w:tc>
          <w:tcPr/>
          <w:p>
            <w:pPr>
              <w:pStyle w:val="Compact"/>
              <w:jc w:val="left"/>
            </w:pPr>
            <w:r>
              <w:t xml:space="preserve">Petites études russes, majoritairement non randomisées, dans l’AVC, par exemple une étude portant sur 110 personnes (Gusev 2018, PMID 29798983). Aucune donnée probante chez les personnes en bonne santé.</w:t>
            </w:r>
          </w:p>
        </w:tc>
        <w:tc>
          <w:tcPr/>
          <w:p>
            <w:pPr>
              <w:pStyle w:val="Compact"/>
              <w:jc w:val="left"/>
            </w:pPr>
            <w:r>
              <w:t xml:space="preserve">C</w:t>
            </w:r>
          </w:p>
        </w:tc>
      </w:tr>
      <w:tr>
        <w:tc>
          <w:tcPr/>
          <w:p>
            <w:pPr>
              <w:pStyle w:val="Compact"/>
              <w:jc w:val="left"/>
            </w:pPr>
            <w:r>
              <w:t xml:space="preserve">Selank</w:t>
            </w:r>
          </w:p>
        </w:tc>
        <w:tc>
          <w:tcPr/>
          <w:p>
            <w:pPr>
              <w:pStyle w:val="Compact"/>
              <w:jc w:val="left"/>
            </w:pPr>
            <w:r>
              <w:t xml:space="preserve">Soulage l’anxiété sans fatigue ni dépendance</w:t>
            </w:r>
          </w:p>
        </w:tc>
        <w:tc>
          <w:tcPr/>
          <w:p>
            <w:pPr>
              <w:pStyle w:val="Compact"/>
              <w:jc w:val="left"/>
            </w:pPr>
            <w:r>
              <w:t xml:space="preserve">Trois petites études russes sans groupe placebo, dont une portant sur 62 personnes en comparaison avec une benzodiazépine (Zozulia 2008, PMID 18454096). Il n’existe pas d’études sur la concentration chez des personnes en bonne santé.</w:t>
            </w:r>
          </w:p>
        </w:tc>
        <w:tc>
          <w:tcPr/>
          <w:p>
            <w:pPr>
              <w:pStyle w:val="Compact"/>
              <w:jc w:val="left"/>
            </w:pPr>
            <w:r>
              <w:t xml:space="preserve">C</w:t>
            </w:r>
          </w:p>
        </w:tc>
      </w:tr>
      <w:tr>
        <w:tc>
          <w:tcPr/>
          <w:p>
            <w:pPr>
              <w:pStyle w:val="Compact"/>
              <w:jc w:val="left"/>
            </w:pPr>
            <w:r>
              <w:t xml:space="preserve">Melanotan II</w:t>
            </w:r>
          </w:p>
        </w:tc>
        <w:tc>
          <w:tcPr/>
          <w:p>
            <w:pPr>
              <w:pStyle w:val="Compact"/>
              <w:jc w:val="left"/>
            </w:pPr>
            <w:r>
              <w:t xml:space="preserve">Bronzage sans coup de soleil, libido accrue</w:t>
            </w:r>
          </w:p>
        </w:tc>
        <w:tc>
          <w:tcPr/>
          <w:p>
            <w:pPr>
              <w:pStyle w:val="Compact"/>
              <w:jc w:val="left"/>
            </w:pPr>
            <w:r>
              <w:t xml:space="preserve">Petites études pilotes des années 1990 portant sur environ deux douzaines de personnes, nausées fréquentes (Wessells 2000, PMID 11035391). Rapports de cas de nouveaux grains de beauté, de mélanomes et de priapisme. Des flacons achetés en ligne contenaient 4,32 à 8,84 mg au lieu de 10 mg (Breindahl 2015, PMID 24771717).</w:t>
            </w:r>
          </w:p>
        </w:tc>
        <w:tc>
          <w:tcPr/>
          <w:p>
            <w:pPr>
              <w:pStyle w:val="Compact"/>
              <w:jc w:val="left"/>
            </w:pPr>
            <w:r>
              <w:t xml:space="preserve">C</w:t>
            </w:r>
          </w:p>
        </w:tc>
      </w:tr>
      <w:tr>
        <w:tc>
          <w:tcPr/>
          <w:p>
            <w:pPr>
              <w:pStyle w:val="Compact"/>
              <w:jc w:val="left"/>
            </w:pPr>
            <w:r>
              <w:t xml:space="preserve">GHK-Cu</w:t>
            </w:r>
          </w:p>
        </w:tc>
        <w:tc>
          <w:tcPr/>
          <w:p>
            <w:pPr>
              <w:pStyle w:val="Compact"/>
              <w:jc w:val="left"/>
            </w:pPr>
            <w:r>
              <w:t xml:space="preserve">Raffermit la peau, renforce le collagène, favorise la pousse des cheveux</w:t>
            </w:r>
          </w:p>
        </w:tc>
        <w:tc>
          <w:tcPr/>
          <w:p>
            <w:pPr>
              <w:pStyle w:val="Compact"/>
              <w:jc w:val="left"/>
            </w:pPr>
            <w:r>
              <w:t xml:space="preserve">Une étude randomisée ancienne sur les ulcères du pied diabétique avec un résultat positif (Mulder 1994, PMID 17147644). Une petite étude cutanée après traitement au laser n’a trouvé aucune différence mesurable (Miller 2006, PMID 16847171). Aucune donnée sur les injections.</w:t>
            </w:r>
          </w:p>
        </w:tc>
        <w:tc>
          <w:tcPr/>
          <w:p>
            <w:pPr>
              <w:pStyle w:val="Compact"/>
              <w:jc w:val="left"/>
            </w:pPr>
            <w:r>
              <w:t xml:space="preserve">C</w:t>
            </w:r>
          </w:p>
        </w:tc>
      </w:tr>
      <w:tr>
        <w:tc>
          <w:tcPr/>
          <w:p>
            <w:pPr>
              <w:pStyle w:val="Compact"/>
              <w:jc w:val="left"/>
            </w:pPr>
            <w:r>
              <w:t xml:space="preserve">AOD-9604</w:t>
            </w:r>
          </w:p>
        </w:tc>
        <w:tc>
          <w:tcPr/>
          <w:p>
            <w:pPr>
              <w:pStyle w:val="Compact"/>
              <w:jc w:val="left"/>
            </w:pPr>
            <w:r>
              <w:t xml:space="preserve">Fragment de l’hormone de croissance qui brûle les graisses</w:t>
            </w:r>
          </w:p>
        </w:tc>
        <w:tc>
          <w:tcPr/>
          <w:p>
            <w:pPr>
              <w:pStyle w:val="Compact"/>
              <w:jc w:val="left"/>
            </w:pPr>
            <w:r>
              <w:t xml:space="preserve">Chez la souris, moindre prise de poids (Heffernan 2001, PMID 11673763). Des études chez l’humain ont été menées, mais jamais publiées dans des revues à comité de lecture ; le développement a été abandonné.</w:t>
            </w:r>
          </w:p>
        </w:tc>
        <w:tc>
          <w:tcPr/>
          <w:p>
            <w:pPr>
              <w:pStyle w:val="Compact"/>
              <w:jc w:val="left"/>
            </w:pPr>
            <w:r>
              <w:t xml:space="preserve">D</w:t>
            </w:r>
          </w:p>
        </w:tc>
      </w:tr>
      <w:tr>
        <w:tc>
          <w:tcPr/>
          <w:p>
            <w:pPr>
              <w:pStyle w:val="Compact"/>
              <w:jc w:val="left"/>
            </w:pPr>
            <w:r>
              <w:t xml:space="preserve">Peptides de collagène</w:t>
            </w:r>
          </w:p>
        </w:tc>
        <w:tc>
          <w:tcPr/>
          <w:p>
            <w:pPr>
              <w:pStyle w:val="Compact"/>
              <w:jc w:val="left"/>
            </w:pPr>
            <w:r>
              <w:t xml:space="preserve">Peau plus ferme, articulations saines, plus de muscle</w:t>
            </w:r>
          </w:p>
        </w:tc>
        <w:tc>
          <w:tcPr/>
          <w:p>
            <w:pPr>
              <w:pStyle w:val="Compact"/>
              <w:jc w:val="left"/>
            </w:pPr>
            <w:r>
              <w:t xml:space="preserve">Arthrose : effets faibles à modérés dans 35 études randomisées (PMID 38218227). Peau : aucun effet sans financement industriel (Myung 2025, PMID 40324552). Muscle : la protéine de lactosérum a été plus efficace que le collagène (Oikawa 2020, PMID 31919527).</w:t>
            </w:r>
          </w:p>
        </w:tc>
        <w:tc>
          <w:tcPr/>
          <w:p>
            <w:pPr>
              <w:pStyle w:val="Compact"/>
              <w:jc w:val="left"/>
            </w:pPr>
            <w:r>
              <w:t xml:space="preserve">B</w:t>
            </w:r>
          </w:p>
        </w:tc>
      </w:tr>
      <w:tr>
        <w:tc>
          <w:tcPr/>
          <w:p>
            <w:pPr>
              <w:pStyle w:val="Compact"/>
              <w:jc w:val="left"/>
            </w:pPr>
            <w:r>
              <w:t xml:space="preserve">Glutathion</w:t>
            </w:r>
          </w:p>
        </w:tc>
        <w:tc>
          <w:tcPr/>
          <w:p>
            <w:pPr>
              <w:pStyle w:val="Compact"/>
              <w:jc w:val="left"/>
            </w:pPr>
            <w:r>
              <w:t xml:space="preserve">Détoxifie, éclaircit la peau, renforce le système immunitaire</w:t>
            </w:r>
          </w:p>
        </w:tc>
        <w:tc>
          <w:tcPr/>
          <w:p>
            <w:pPr>
              <w:pStyle w:val="Compact"/>
              <w:jc w:val="left"/>
            </w:pPr>
            <w:r>
              <w:t xml:space="preserve">En gélule, il a augmenté les taux sanguins après six mois (Richie 2015, PMID 24791752). En perfusion, il n’a pas protégé 185 patientes et patients atteints de cancer contre les lésions nerveuses (Leal 2014, PMID 24619793). Perfusions pour éclaircir la peau : aucun bénéfice démontré, injustifiables selon une revue (Sarkar 2025, PMID 39444151).</w:t>
            </w:r>
          </w:p>
        </w:tc>
        <w:tc>
          <w:tcPr/>
          <w:p>
            <w:pPr>
              <w:pStyle w:val="Compact"/>
              <w:jc w:val="left"/>
            </w:pPr>
            <w:r>
              <w:t xml:space="preserve">B</w:t>
            </w:r>
          </w:p>
        </w:tc>
      </w:tr>
      <w:tr>
        <w:tc>
          <w:tcPr/>
          <w:p>
            <w:pPr>
              <w:pStyle w:val="Compact"/>
              <w:jc w:val="left"/>
            </w:pPr>
            <w:r>
              <w:t xml:space="preserve">Dihexa</w:t>
            </w:r>
          </w:p>
        </w:tc>
        <w:tc>
          <w:tcPr/>
          <w:p>
            <w:pPr>
              <w:pStyle w:val="Compact"/>
              <w:jc w:val="left"/>
            </w:pPr>
            <w:r>
              <w:t xml:space="preserve">Forme de nouvelles synapses, plus puissant que les facteurs de croissance endogènes</w:t>
            </w:r>
          </w:p>
        </w:tc>
        <w:tc>
          <w:tcPr/>
          <w:p>
            <w:pPr>
              <w:pStyle w:val="Compact"/>
              <w:jc w:val="left"/>
            </w:pPr>
            <w:r>
              <w:t xml:space="preserve">Jamais étudié chez l’humain ; effets uniquement chez le rat et la souris, un article central à ce sujet a été rétracté en 2025 (PMID 25187433). La substance apparentée fosgonimeton a manqué tous les objectifs principaux et secondaires chez 287 personnes atteintes de la maladie d’Alzheimer (Porsteinsson 2025, PMID 41393340).</w:t>
            </w:r>
          </w:p>
        </w:tc>
        <w:tc>
          <w:tcPr/>
          <w:p>
            <w:pPr>
              <w:pStyle w:val="Compact"/>
              <w:jc w:val="left"/>
            </w:pPr>
            <w:r>
              <w:t xml:space="preserve">D</w:t>
            </w:r>
          </w:p>
        </w:tc>
      </w:tr>
      <w:tr>
        <w:tc>
          <w:tcPr/>
          <w:p>
            <w:pPr>
              <w:pStyle w:val="Compact"/>
              <w:jc w:val="left"/>
            </w:pPr>
            <w:r>
              <w:t xml:space="preserve">IGF-1 LR3</w:t>
            </w:r>
          </w:p>
        </w:tc>
        <w:tc>
          <w:tcPr/>
          <w:p>
            <w:pPr>
              <w:pStyle w:val="Compact"/>
              <w:jc w:val="left"/>
            </w:pPr>
            <w:r>
              <w:t xml:space="preserve">IGF-1 plus puissant et à action plus longue pour la croissance musculaire</w:t>
            </w:r>
          </w:p>
        </w:tc>
        <w:tc>
          <w:tcPr/>
          <w:p>
            <w:pPr>
              <w:pStyle w:val="Compact"/>
              <w:jc w:val="left"/>
            </w:pPr>
            <w:r>
              <w:t xml:space="preserve">Pas une seule étude chez l’humain. Un flacon du marché noir contenait une variante de laboratoire qui n’a jamais été destinée à l’injection (PMID 20675162).</w:t>
            </w:r>
          </w:p>
        </w:tc>
        <w:tc>
          <w:tcPr/>
          <w:p>
            <w:pPr>
              <w:pStyle w:val="Compact"/>
              <w:jc w:val="left"/>
            </w:pPr>
            <w:r>
              <w:t xml:space="preserve">D</w:t>
            </w:r>
          </w:p>
        </w:tc>
      </w:tr>
      <w:tr>
        <w:tc>
          <w:tcPr/>
          <w:p>
            <w:pPr>
              <w:pStyle w:val="Compact"/>
              <w:jc w:val="left"/>
            </w:pPr>
            <w:r>
              <w:t xml:space="preserve">Rétatrutide du marché gris</w:t>
            </w:r>
          </w:p>
        </w:tc>
        <w:tc>
          <w:tcPr/>
          <w:p>
            <w:pPr>
              <w:pStyle w:val="Compact"/>
              <w:jc w:val="left"/>
            </w:pPr>
            <w:r>
              <w:t xml:space="preserve">Le plus puissant amaigrissant, déjà disponible aujourd’hui</w:t>
            </w:r>
          </w:p>
        </w:tc>
        <w:tc>
          <w:tcPr/>
          <w:p>
            <w:pPr>
              <w:pStyle w:val="Compact"/>
              <w:jc w:val="left"/>
            </w:pPr>
            <w:r>
              <w:t xml:space="preserve">Le médicament est bien étudié : dans TRIUMPH-1, −25,0 % de poids après 80 semaines à la dose la plus élevée (Jastreboff 2026, PMID 42814954). Cela ne vaut pas pour la marchandise du marché gris : non autorisée, contenu et pureté non contrôlés (Rubin 2026, PMID 42853576).</w:t>
            </w:r>
          </w:p>
        </w:tc>
        <w:tc>
          <w:tcPr/>
          <w:p>
            <w:pPr>
              <w:pStyle w:val="Compact"/>
              <w:jc w:val="left"/>
            </w:pPr>
            <w:r>
              <w:t xml:space="preserve">B (médicament)</w:t>
            </w:r>
          </w:p>
        </w:tc>
      </w:tr>
    </w:tbl>
    <w:p>
      <w:pPr>
        <w:pStyle w:val="BodyText"/>
      </w:pPr>
      <w:r>
        <w:t xml:space="preserve">Remarque sur le tableau : le niveau de preuve se rapporte à l’usage promu ou à la substance telle qu’elle est vendue. Le TB-500 relève du niveau D, la protéine entière thymosine bêta 4 du niveau B. Pour le rétatrutide, le niveau B se rapporte au médicament testé dans les études ; pour les produits du marché gris, dont personne ne connaît le contenu, aucun niveau de preuve ne peut être indiqué.</w:t>
      </w:r>
    </w:p>
    <w:p>
      <w:pPr>
        <w:pStyle w:val="BodyText"/>
      </w:pPr>
      <w:r>
        <w:t xml:space="preserve">Le tableau d’ensemble : sur les 16 substances, aucune n’atteint le niveau de preuve A. Cinq sont au niveau D, c’est-à-dire qu’elles n’ont pas du tout été étudiées chez l’humain. Pour les substances de niveau B – ipamoréline, collagène, glutathion –, les meilleures études n’ont pas confirmé les promesses publicitaires ou n’ont trouvé que de faibles effets. La seule exception est le rétatrutide, dont l’effet puissant est démontré – mais pas pour le produit vendu sur le marché gris.</w:t>
      </w:r>
    </w:p>
    <w:bookmarkEnd w:id="2580"/>
    <w:bookmarkStart w:id="2594" w:name="six-schémas-derrière-les-promesses"/>
    <w:p>
      <w:pPr>
        <w:pStyle w:val="Heading3"/>
      </w:pPr>
      <w:r>
        <w:t xml:space="preserve">Six schémas derrière les promesses</w:t>
      </w:r>
    </w:p>
    <w:p>
      <w:pPr>
        <w:pStyle w:val="FirstParagraph"/>
      </w:pPr>
      <w:r>
        <w:t xml:space="preserve">En lisant le tableau ligne par ligne, on reconnaît des schémas récurrents. Ils aident à évaluer aussi des affirmations sur des peptides qui ne figurent pas dans ce livre.</w:t>
      </w:r>
    </w:p>
    <w:bookmarkStart w:id="2582" w:name="de-lanimal-à-lhumain"/>
    <w:p>
      <w:pPr>
        <w:pStyle w:val="Heading4"/>
      </w:pPr>
      <w:r>
        <w:t xml:space="preserve">1. De l’animal à l’humain</w:t>
      </w:r>
    </w:p>
    <w:p>
      <w:pPr>
        <w:pStyle w:val="FirstParagraph"/>
      </w:pPr>
      <w:r>
        <w:t xml:space="preserve">Presque toutes les promesses concernant le BPC-157, le TB-500, le MOTS-c, le Dihexa, l’AOD-9604 et l’Epitalon reposent sur des expériences chez le rat, la souris ou en cultures cellulaires. De telles études sont importantes pour comprendre les mécanismes d’action. Elles ne prédisent pas si une substance agit de la même façon chez l’humain : une grande partie des substances qui réussissent en expérimentation animale échouent dans les études chez l’humain. Un exemple récent tiré de ce livre est le peptide de la mémoire Dihexa. Chez le rat, il favorisait l’apprentissage et la formation de synapses ; la substance apparentée fosgonimeton, censée agir par le même système de facteurs de croissance, a manqué tous les objectifs principaux et secondaires dans une étude portant sur 287 personnes atteintes de la maladie d’Alzheimer</w:t>
      </w:r>
      <w:r>
        <w:rPr>
          <w:rStyle w:val="FootnoteReference"/>
        </w:rPr>
        <w:footnoteReference w:id="2581"/>
      </w:r>
      <w:r>
        <w:t xml:space="preserve">.</w:t>
      </w:r>
    </w:p>
    <w:p>
      <w:pPr>
        <w:pStyle w:val="BodyText"/>
      </w:pPr>
      <w:r>
        <w:t xml:space="preserve">S’y ajoute pour le BPC-157 un second problème : les études animales positives proviennent principalement d’un seul groupe de recherche et n’ont guère été reproduites de manière indépendante.</w:t>
      </w:r>
    </w:p>
    <w:bookmarkEnd w:id="2582"/>
    <w:bookmarkStart w:id="2584" w:name="Xde59a5aefa7ce7290a3e61482a162e9dfae43e6"/>
    <w:p>
      <w:pPr>
        <w:pStyle w:val="Heading4"/>
      </w:pPr>
      <w:r>
        <w:t xml:space="preserve">2. Une valeur mesurée n’est pas encore un bénéfice</w:t>
      </w:r>
    </w:p>
    <w:p>
      <w:pPr>
        <w:pStyle w:val="FirstParagraph"/>
      </w:pPr>
      <w:r>
        <w:t xml:space="preserve">Le CJC-1295 augmente l’hormone de croissance, l’Epitalon active la télomérase en cultures cellulaires, les gélules de glutathion augmentent le taux de glutathion dans le sang. Ce sont des mesures de substitution (« critères de substitution », voir partie I). Qu’il en découle quelque chose qui compte pour les personnes – plus de force musculaire, une vie plus longue, moins de maladies – est une question distincte qui nécessite ses propres études. Pour l’hormone de croissance, l’exemple de l’ibutamorène montre à quel point l’écart peut être grand : chez 65 personnes âgées en bonne santé, la masse maigre a augmenté de 1,1 kg en un an, mais la force et la fonction physique ne se sont pas améliorées</w:t>
      </w:r>
      <w:r>
        <w:rPr>
          <w:rStyle w:val="FootnoteReference"/>
        </w:rPr>
        <w:footnoteReference w:id="2583"/>
      </w:r>
      <w:r>
        <w:t xml:space="preserve">.</w:t>
      </w:r>
    </w:p>
    <w:bookmarkEnd w:id="2584"/>
    <w:bookmarkStart w:id="2586" w:name="confusion-entre-substances"/>
    <w:p>
      <w:pPr>
        <w:pStyle w:val="Heading4"/>
      </w:pPr>
      <w:r>
        <w:t xml:space="preserve">3. Confusion entre substances</w:t>
      </w:r>
    </w:p>
    <w:p>
      <w:pPr>
        <w:pStyle w:val="FirstParagraph"/>
      </w:pPr>
      <w:r>
        <w:t xml:space="preserve">Plusieurs promesses reposent sur des études menées avec une autre substance que celle qui est vendue :</w:t>
      </w:r>
    </w:p>
    <w:p>
      <w:pPr>
        <w:numPr>
          <w:ilvl w:val="0"/>
          <w:numId w:val="1330"/>
        </w:numPr>
        <w:pStyle w:val="Compact"/>
      </w:pPr>
      <w:r>
        <w:rPr>
          <w:bCs/>
          <w:b/>
        </w:rPr>
        <w:t xml:space="preserve">Le TB-500</w:t>
      </w:r>
      <w:r>
        <w:t xml:space="preserve"> </w:t>
      </w:r>
      <w:r>
        <w:t xml:space="preserve">est un fragment modifié. Les études chez l’humain concernent la protéine entière thymosine bêta 4 – et celles-ci ne portent guère sur les tendons, les ligaments ou les muscles.</w:t>
      </w:r>
    </w:p>
    <w:p>
      <w:pPr>
        <w:numPr>
          <w:ilvl w:val="0"/>
          <w:numId w:val="1330"/>
        </w:numPr>
        <w:pStyle w:val="Compact"/>
      </w:pPr>
      <w:r>
        <w:rPr>
          <w:bCs/>
          <w:b/>
        </w:rPr>
        <w:t xml:space="preserve">L’Epitalon</w:t>
      </w:r>
      <w:r>
        <w:t xml:space="preserve"> </w:t>
      </w:r>
      <w:r>
        <w:t xml:space="preserve">est un tétrapeptide synthétique. L’étude souvent citée sur l’allongement de la vie portait sur l’extrait bovin épithalamine, n’était pas randomisée et n’a jamais été reproduite de manière indépendante.</w:t>
      </w:r>
    </w:p>
    <w:p>
      <w:pPr>
        <w:numPr>
          <w:ilvl w:val="0"/>
          <w:numId w:val="1330"/>
        </w:numPr>
        <w:pStyle w:val="Compact"/>
      </w:pPr>
      <w:r>
        <w:rPr>
          <w:bCs/>
          <w:b/>
        </w:rPr>
        <w:t xml:space="preserve">Le CJC-1295</w:t>
      </w:r>
      <w:r>
        <w:t xml:space="preserve"> </w:t>
      </w:r>
      <w:r>
        <w:t xml:space="preserve">est vendu majoritairement sans le groupement « DAC » utilisé dans les études chez l’humain.</w:t>
      </w:r>
    </w:p>
    <w:p>
      <w:pPr>
        <w:numPr>
          <w:ilvl w:val="0"/>
          <w:numId w:val="1330"/>
        </w:numPr>
        <w:pStyle w:val="Compact"/>
      </w:pPr>
      <w:r>
        <w:rPr>
          <w:bCs/>
          <w:b/>
        </w:rPr>
        <w:t xml:space="preserve">Le rétatrutide</w:t>
      </w:r>
      <w:r>
        <w:t xml:space="preserve"> </w:t>
      </w:r>
      <w:r>
        <w:t xml:space="preserve">du marché gris n’est pas le médicament des études. Les analyses en laboratoire d’autres peptides du marché gris montrent que les flacons contiennent souvent moins, plus ou une autre substance que ce qui est indiqué ; pour l’ipamoréline et le CJC-1295, des laboratoires ont trouvé des molécules modifiées non déclarées</w:t>
      </w:r>
      <w:r>
        <w:rPr>
          <w:rStyle w:val="FootnoteReference"/>
        </w:rPr>
        <w:footnoteReference w:id="2585"/>
      </w:r>
      <w:r>
        <w:t xml:space="preserve">.</w:t>
      </w:r>
    </w:p>
    <w:bookmarkEnd w:id="2586"/>
    <w:bookmarkStart w:id="2590" w:name="Xaab6aed3157dafe606ea645f76ee879f1eb5486"/>
    <w:p>
      <w:pPr>
        <w:pStyle w:val="Heading4"/>
      </w:pPr>
      <w:r>
        <w:t xml:space="preserve">4. Les études négatives ne sont pas mentionnées</w:t>
      </w:r>
    </w:p>
    <w:p>
      <w:pPr>
        <w:pStyle w:val="FirstParagraph"/>
      </w:pPr>
      <w:r>
        <w:t xml:space="preserve">Pour plusieurs peptides, il existe bel et bien des études randomisées – simplement, elles n’ont trouvé aucun bénéfice. Après une chirurgie intestinale, l’ipamoréline n’a pas raccourci de manière significative le délai jusqu’au premier repas</w:t>
      </w:r>
      <w:r>
        <w:rPr>
          <w:rStyle w:val="FootnoteReference"/>
        </w:rPr>
        <w:footnoteReference w:id="2587"/>
      </w:r>
      <w:r>
        <w:t xml:space="preserve">. Les perfusions de glutathion n’ont pas protégé contre les lésions nerveuses dues à la chimiothérapie</w:t>
      </w:r>
      <w:r>
        <w:rPr>
          <w:rStyle w:val="FootnoteReference"/>
        </w:rPr>
        <w:footnoteReference w:id="2588"/>
      </w:r>
      <w:r>
        <w:t xml:space="preserve">. Pour le collagène, le bénéfice cutané a disparu dès que seules les études à financement indépendant ont été prises en compte</w:t>
      </w:r>
      <w:r>
        <w:rPr>
          <w:rStyle w:val="FootnoteReference"/>
        </w:rPr>
        <w:footnoteReference w:id="2589"/>
      </w:r>
      <w:r>
        <w:t xml:space="preserve">. De tels résultats n’apparaissent pratiquement jamais dans les textes publicitaires. Une présentation sérieuse cite les études positives</w:t>
      </w:r>
      <w:r>
        <w:t xml:space="preserve"> </w:t>
      </w:r>
      <w:r>
        <w:rPr>
          <w:iCs/>
          <w:i/>
        </w:rPr>
        <w:t xml:space="preserve">et</w:t>
      </w:r>
      <w:r>
        <w:t xml:space="preserve"> </w:t>
      </w:r>
      <w:r>
        <w:t xml:space="preserve">négatives.</w:t>
      </w:r>
    </w:p>
    <w:bookmarkEnd w:id="2590"/>
    <w:bookmarkStart w:id="2591" w:name="X124a34bbee127990c40b6c6da2cd5e46a327eae"/>
    <w:p>
      <w:pPr>
        <w:pStyle w:val="Heading4"/>
      </w:pPr>
      <w:r>
        <w:t xml:space="preserve">5. Petites études issues d’un cercle restreint</w:t>
      </w:r>
    </w:p>
    <w:p>
      <w:pPr>
        <w:pStyle w:val="FirstParagraph"/>
      </w:pPr>
      <w:r>
        <w:t xml:space="preserve">Le Semax, le Selank, l’Epitalon et le Pinealon ont été étudiés presque exclusivement en Russie, le plus souvent par leurs développeurs eux-mêmes, dans de petits groupes et fréquemment sans comparaison avec un placebo. Cela ne rend pas automatiquement les résultats faux. Mais cela signifie qu’ils n’ont jamais été testés dans les conditions exigées aujourd’hui pour une autorisation : enregistrement préalable, aveugle, taille suffisante et confirmation par des groupes indépendants.</w:t>
      </w:r>
    </w:p>
    <w:bookmarkEnd w:id="2591"/>
    <w:bookmarkStart w:id="2593" w:name="X012f671f87f5028e87f57e78a8545990eecb135"/>
    <w:p>
      <w:pPr>
        <w:pStyle w:val="Heading4"/>
      </w:pPr>
      <w:r>
        <w:t xml:space="preserve">6. « Pas d’effets indésirables » signifie le plus souvent « pas étudié »</w:t>
      </w:r>
    </w:p>
    <w:p>
      <w:pPr>
        <w:pStyle w:val="FirstParagraph"/>
      </w:pPr>
      <w:r>
        <w:t xml:space="preserve">L’affirmation selon laquelle un peptide serait « bien toléré » ou « sans effets indésirables » repose, pour le BPC-157, sur 30 personnes au total. Avec si peu de participants, on ne peut détecter que des problèmes fréquents et immédiats ; un effet indésirable touchant une personne sur mille resterait invisible. Pour les substances qui amplifient les signaux de croissance – sécrétagogues de l’hormone de croissance, IGF-1 LR3, peptides favorisant la formation de nouveaux vaisseaux –, il existe en outre une inquiétude théorique, mais non vérifiée, concernant la croissance tumorale. Pour le Melanotan II, des rapports de cas décrivent des grains de beauté nouveaux ou modifiés et des mélanomes ; un lien de causalité n’est pas démontré, mais pas exclu non plus. S’y ajoutent les risques liés aux produits eux-mêmes : des flacons de Melanotan II du marché gris contenaient moins de substance active qu’indiqué et des impuretés inconnues</w:t>
      </w:r>
      <w:r>
        <w:rPr>
          <w:rStyle w:val="FootnoteReference"/>
        </w:rPr>
        <w:footnoteReference w:id="2592"/>
      </w:r>
      <w:r>
        <w:t xml:space="preserve">. Pour en savoir plus, voir la partie IV.</w:t>
      </w:r>
    </w:p>
    <w:bookmarkEnd w:id="2593"/>
    <w:bookmarkEnd w:id="2594"/>
    <w:bookmarkStart w:id="2600" w:name="Xfa83da9a08d0acded8737ac2a56e36235194667"/>
    <w:p>
      <w:pPr>
        <w:pStyle w:val="Heading3"/>
      </w:pPr>
      <w:r>
        <w:t xml:space="preserve">Comment distinguer les affirmations sérieuses des affirmations douteuses</w:t>
      </w:r>
    </w:p>
    <w:p>
      <w:pPr>
        <w:pStyle w:val="FirstParagraph"/>
      </w:pPr>
      <w:r>
        <w:t xml:space="preserve">La liste de contrôle suivante aide à évaluer les affirmations sur les peptides – dans les boutiques, les vidéos, les forums ou les magazines. Elle ne remplace pas un conseil professionnel, mais aiguise le regard sur ce qui se cache réellement derrière une affirmation.</w:t>
      </w:r>
    </w:p>
    <w:bookmarkStart w:id="2595" w:name="questions-sur-la-source"/>
    <w:p>
      <w:pPr>
        <w:pStyle w:val="Heading4"/>
      </w:pPr>
      <w:r>
        <w:t xml:space="preserve">Questions sur la source</w:t>
      </w:r>
    </w:p>
    <w:p>
      <w:pPr>
        <w:numPr>
          <w:ilvl w:val="0"/>
          <w:numId w:val="1331"/>
        </w:numPr>
        <w:pStyle w:val="Compact"/>
      </w:pPr>
      <w:r>
        <w:rPr>
          <w:bCs/>
          <w:b/>
        </w:rPr>
        <w:t xml:space="preserve">Qui parle ?</w:t>
      </w:r>
      <w:r>
        <w:t xml:space="preserve"> </w:t>
      </w:r>
      <w:r>
        <w:t xml:space="preserve">La personne ou le site vend-il lui-même la substance, propose-t-il des cours, des consultations ou des codes de réduction ? Un intérêt financier ne rend pas une affirmation fausse, mais c’est une raison d’y regarder de plus près.</w:t>
      </w:r>
    </w:p>
    <w:p>
      <w:pPr>
        <w:numPr>
          <w:ilvl w:val="0"/>
          <w:numId w:val="1331"/>
        </w:numPr>
        <w:pStyle w:val="Compact"/>
      </w:pPr>
      <w:r>
        <w:rPr>
          <w:bCs/>
          <w:b/>
        </w:rPr>
        <w:t xml:space="preserve">Des études sont-elles citées – et peut-on les retrouver ?</w:t>
      </w:r>
      <w:r>
        <w:t xml:space="preserve"> </w:t>
      </w:r>
      <w:r>
        <w:t xml:space="preserve">Les affirmations sérieuses indiquent une source vérifiable : un PMID, un DOI ou un numéro de registre (NCT). Vous pouvez saisir gratuitement n’importe quel PMID dans PubMed et lire vous-même le résumé. Des formulations comme « des études montrent » sans référence concrète sont un signal d’alerte.</w:t>
      </w:r>
    </w:p>
    <w:p>
      <w:pPr>
        <w:numPr>
          <w:ilvl w:val="0"/>
          <w:numId w:val="1331"/>
        </w:numPr>
        <w:pStyle w:val="Compact"/>
      </w:pPr>
      <w:r>
        <w:rPr>
          <w:bCs/>
          <w:b/>
        </w:rPr>
        <w:t xml:space="preserve">L’étude citée correspond-elle à l’affirmation ?</w:t>
      </w:r>
      <w:r>
        <w:t xml:space="preserve"> </w:t>
      </w:r>
      <w:r>
        <w:t xml:space="preserve">Vérifiez si l’étude a réellement porté sur la substance vendue, sur l’usage promu et sur des humains – ou s’il s’agissait d’une molécule apparentée, d’une autre maladie ou de rats.</w:t>
      </w:r>
    </w:p>
    <w:bookmarkEnd w:id="2595"/>
    <w:bookmarkStart w:id="2596" w:name="questions-sur-létude"/>
    <w:p>
      <w:pPr>
        <w:pStyle w:val="Heading4"/>
      </w:pPr>
      <w:r>
        <w:t xml:space="preserve">Questions sur l’étude</w:t>
      </w:r>
    </w:p>
    <w:p>
      <w:pPr>
        <w:numPr>
          <w:ilvl w:val="0"/>
          <w:numId w:val="1332"/>
        </w:numPr>
        <w:pStyle w:val="Compact"/>
      </w:pPr>
      <w:r>
        <w:rPr>
          <w:bCs/>
          <w:b/>
        </w:rPr>
        <w:t xml:space="preserve">Humain, animal ou culture cellulaire ?</w:t>
      </w:r>
      <w:r>
        <w:t xml:space="preserve"> </w:t>
      </w:r>
      <w:r>
        <w:t xml:space="preserve">Si le résumé mentionne « rats », « mice », « in vitro » ou « cell culture », il ne dit rien de l’effet chez l’humain.</w:t>
      </w:r>
    </w:p>
    <w:p>
      <w:pPr>
        <w:numPr>
          <w:ilvl w:val="0"/>
          <w:numId w:val="1332"/>
        </w:numPr>
        <w:pStyle w:val="Compact"/>
      </w:pPr>
      <w:r>
        <w:rPr>
          <w:bCs/>
          <w:b/>
        </w:rPr>
        <w:t xml:space="preserve">Y avait-il un groupe de comparaison ?</w:t>
      </w:r>
      <w:r>
        <w:t xml:space="preserve"> </w:t>
      </w:r>
      <w:r>
        <w:t xml:space="preserve">Sans groupe placebo ou témoin, on ne peut pas distinguer si une amélioration est due à la substance, au temps, à d’autres traitements ou à l’attente. L’effet placebo est particulièrement important pour la douleur, l’humeur ou le sommeil.</w:t>
      </w:r>
    </w:p>
    <w:p>
      <w:pPr>
        <w:numPr>
          <w:ilvl w:val="0"/>
          <w:numId w:val="1332"/>
        </w:numPr>
        <w:pStyle w:val="Compact"/>
      </w:pPr>
      <w:r>
        <w:rPr>
          <w:bCs/>
          <w:b/>
        </w:rPr>
        <w:t xml:space="preserve">Combien de participants ?</w:t>
      </w:r>
      <w:r>
        <w:t xml:space="preserve"> </w:t>
      </w:r>
      <w:r>
        <w:t xml:space="preserve">Des études portant sur 10 ou 20 personnes peuvent fournir des indices, mais pas démontrer un bénéfice ni détecter des effets indésirables rares.</w:t>
      </w:r>
    </w:p>
    <w:p>
      <w:pPr>
        <w:numPr>
          <w:ilvl w:val="0"/>
          <w:numId w:val="1332"/>
        </w:numPr>
        <w:pStyle w:val="Compact"/>
      </w:pPr>
      <w:r>
        <w:rPr>
          <w:bCs/>
          <w:b/>
        </w:rPr>
        <w:t xml:space="preserve">Qu’a-t-on mesuré ?</w:t>
      </w:r>
      <w:r>
        <w:t xml:space="preserve"> </w:t>
      </w:r>
      <w:r>
        <w:t xml:space="preserve">Une valeur de laboratoire qui augmente n’est pas un bénéfice tangible. Demandez-vous : a-t-on mesuré ce qui compte pour les personnes concernées – douleur, fonction, événements pathologiques, qualité de vie ?</w:t>
      </w:r>
    </w:p>
    <w:p>
      <w:pPr>
        <w:numPr>
          <w:ilvl w:val="0"/>
          <w:numId w:val="1332"/>
        </w:numPr>
        <w:pStyle w:val="Compact"/>
      </w:pPr>
      <w:r>
        <w:rPr>
          <w:bCs/>
          <w:b/>
        </w:rPr>
        <w:t xml:space="preserve">L’étude a-t-elle été enregistrée au préalable ?</w:t>
      </w:r>
      <w:r>
        <w:t xml:space="preserve"> </w:t>
      </w:r>
      <w:r>
        <w:t xml:space="preserve">Un enregistrement sur ClinicalTrials.gov ou dans le registre de l’UE avant le début de l’étude empêche de choisir après coup des objectifs qui arrangent.</w:t>
      </w:r>
    </w:p>
    <w:p>
      <w:pPr>
        <w:numPr>
          <w:ilvl w:val="0"/>
          <w:numId w:val="1332"/>
        </w:numPr>
        <w:pStyle w:val="Compact"/>
      </w:pPr>
      <w:r>
        <w:rPr>
          <w:bCs/>
          <w:b/>
        </w:rPr>
        <w:t xml:space="preserve">Le résultat a-t-il été reproduit ?</w:t>
      </w:r>
      <w:r>
        <w:t xml:space="preserve"> </w:t>
      </w:r>
      <w:r>
        <w:t xml:space="preserve">Un résultat positif isolé obtenu par un seul groupe de recherche est un début, pas une preuve.</w:t>
      </w:r>
    </w:p>
    <w:bookmarkEnd w:id="2596"/>
    <w:bookmarkStart w:id="2597" w:name="signaux-dalerte-dans-le-langage"/>
    <w:p>
      <w:pPr>
        <w:pStyle w:val="Heading4"/>
      </w:pPr>
      <w:r>
        <w:t xml:space="preserve">Signaux d’alerte dans le langage</w:t>
      </w:r>
    </w:p>
    <w:p>
      <w:pPr>
        <w:numPr>
          <w:ilvl w:val="0"/>
          <w:numId w:val="1333"/>
        </w:numPr>
        <w:pStyle w:val="Compact"/>
      </w:pPr>
      <w:r>
        <w:t xml:space="preserve">Des promesses qui concernent à la fois un très grand nombre de troubles différents (« pour les articulations, l’intestin, la peau, le cerveau et le système immunitaire »).</w:t>
      </w:r>
    </w:p>
    <w:p>
      <w:pPr>
        <w:numPr>
          <w:ilvl w:val="0"/>
          <w:numId w:val="1333"/>
        </w:numPr>
        <w:pStyle w:val="Compact"/>
      </w:pPr>
      <w:r>
        <w:t xml:space="preserve">Des termes comme « remède miracle », « astuce secrète », « ce que les médecins ne vous disent pas » ou « étouffé par l’industrie pharmaceutique ».</w:t>
      </w:r>
    </w:p>
    <w:p>
      <w:pPr>
        <w:numPr>
          <w:ilvl w:val="0"/>
          <w:numId w:val="1333"/>
        </w:numPr>
        <w:pStyle w:val="Compact"/>
      </w:pPr>
      <w:r>
        <w:t xml:space="preserve">L’affirmation « aucun effet indésirable » pour une substance à peine étudiée chez l’humain.</w:t>
      </w:r>
    </w:p>
    <w:p>
      <w:pPr>
        <w:numPr>
          <w:ilvl w:val="0"/>
          <w:numId w:val="1333"/>
        </w:numPr>
        <w:pStyle w:val="Compact"/>
      </w:pPr>
      <w:r>
        <w:t xml:space="preserve">Des témoignages et des photos avant/après au lieu de données d’études.</w:t>
      </w:r>
    </w:p>
    <w:p>
      <w:pPr>
        <w:numPr>
          <w:ilvl w:val="0"/>
          <w:numId w:val="1333"/>
        </w:numPr>
        <w:pStyle w:val="Compact"/>
      </w:pPr>
      <w:r>
        <w:t xml:space="preserve">La mention « uniquement à des fins de recherche » ou « impropre à la consommation humaine » sur un produit qui est en même temps promu pour ses effets chez l’humain. Cette contradiction montre que le vendeur veut contourner la réglementation des médicaments (voir partie I).</w:t>
      </w:r>
    </w:p>
    <w:p>
      <w:pPr>
        <w:numPr>
          <w:ilvl w:val="0"/>
          <w:numId w:val="1333"/>
        </w:numPr>
        <w:pStyle w:val="Compact"/>
      </w:pPr>
      <w:r>
        <w:t xml:space="preserve">Des propositions de dosages, de cures ou de packs combinant plusieurs peptides pour des substances non autorisées. Ces schémas ne reposent sur aucune étude.</w:t>
      </w:r>
    </w:p>
    <w:bookmarkEnd w:id="2597"/>
    <w:bookmarkStart w:id="2598" w:name="signes-dune-présentation-sérieuse"/>
    <w:p>
      <w:pPr>
        <w:pStyle w:val="Heading4"/>
      </w:pPr>
      <w:r>
        <w:t xml:space="preserve">Signes d’une présentation sérieuse</w:t>
      </w:r>
    </w:p>
    <w:p>
      <w:pPr>
        <w:numPr>
          <w:ilvl w:val="0"/>
          <w:numId w:val="1334"/>
        </w:numPr>
        <w:pStyle w:val="Compact"/>
      </w:pPr>
      <w:r>
        <w:t xml:space="preserve">Les résultats animaux et de laboratoire sont expressément désignés comme tels.</w:t>
      </w:r>
    </w:p>
    <w:p>
      <w:pPr>
        <w:numPr>
          <w:ilvl w:val="0"/>
          <w:numId w:val="1334"/>
        </w:numPr>
        <w:pStyle w:val="Compact"/>
      </w:pPr>
      <w:r>
        <w:t xml:space="preserve">Les études négatives et contradictoires sont citées, pas seulement les positives.</w:t>
      </w:r>
    </w:p>
    <w:p>
      <w:pPr>
        <w:numPr>
          <w:ilvl w:val="0"/>
          <w:numId w:val="1334"/>
        </w:numPr>
        <w:pStyle w:val="Compact"/>
      </w:pPr>
      <w:r>
        <w:t xml:space="preserve">L’incertitude est nommée ouvertement (« Les données ne suffisent pas pour évaluer … »).</w:t>
      </w:r>
    </w:p>
    <w:p>
      <w:pPr>
        <w:numPr>
          <w:ilvl w:val="0"/>
          <w:numId w:val="1334"/>
        </w:numPr>
        <w:pStyle w:val="Compact"/>
      </w:pPr>
      <w:r>
        <w:t xml:space="preserve">Le statut juridique et le statut antidopage sont mentionnés.</w:t>
      </w:r>
    </w:p>
    <w:p>
      <w:pPr>
        <w:numPr>
          <w:ilvl w:val="0"/>
          <w:numId w:val="1334"/>
        </w:numPr>
        <w:pStyle w:val="Compact"/>
      </w:pPr>
      <w:r>
        <w:t xml:space="preserve">Il est clairement indiqué que les médicaments relèvent du médecin et que les produits du marché gris ne sont pas contrôlés.</w:t>
      </w:r>
    </w:p>
    <w:bookmarkEnd w:id="2598"/>
    <w:bookmarkStart w:id="2599" w:name="trois-questions-pour-la-vie-quotidienne"/>
    <w:p>
      <w:pPr>
        <w:pStyle w:val="Heading4"/>
      </w:pPr>
      <w:r>
        <w:t xml:space="preserve">Trois questions pour la vie quotidienne</w:t>
      </w:r>
    </w:p>
    <w:p>
      <w:pPr>
        <w:pStyle w:val="FirstParagraph"/>
      </w:pPr>
      <w:r>
        <w:t xml:space="preserve">Si vous avez peu de temps, trois questions suffisent souvent :</w:t>
      </w:r>
    </w:p>
    <w:p>
      <w:pPr>
        <w:numPr>
          <w:ilvl w:val="0"/>
          <w:numId w:val="1335"/>
        </w:numPr>
        <w:pStyle w:val="Compact"/>
      </w:pPr>
      <w:r>
        <w:t xml:space="preserve">La substance est-elle autorisée comme médicament dans l’UE ou aux États-Unis pour exactement cet usage ?</w:t>
      </w:r>
    </w:p>
    <w:p>
      <w:pPr>
        <w:numPr>
          <w:ilvl w:val="0"/>
          <w:numId w:val="1335"/>
        </w:numPr>
        <w:pStyle w:val="Compact"/>
      </w:pPr>
      <w:r>
        <w:t xml:space="preserve">Existe-t-il au moins une étude randomisée, contrôlée contre placebo chez l’humain, qui a montré le bénéfice allégué ?</w:t>
      </w:r>
    </w:p>
    <w:p>
      <w:pPr>
        <w:numPr>
          <w:ilvl w:val="0"/>
          <w:numId w:val="1335"/>
        </w:numPr>
        <w:pStyle w:val="Compact"/>
      </w:pPr>
      <w:r>
        <w:t xml:space="preserve">Le produit provient-il de la pharmacie – ou d’une source dont personne ne contrôle le contenu ?</w:t>
      </w:r>
    </w:p>
    <w:p>
      <w:pPr>
        <w:pStyle w:val="FirstParagraph"/>
      </w:pPr>
      <w:r>
        <w:t xml:space="preserve">Si la réponse aux trois questions est « non », la promesse repose sur l’espoir, pas sur des preuves.</w:t>
      </w:r>
    </w:p>
    <w:bookmarkEnd w:id="2599"/>
    <w:bookmarkEnd w:id="2600"/>
    <w:bookmarkStart w:id="2601" w:name="conclusion-59"/>
    <w:p>
      <w:pPr>
        <w:pStyle w:val="Heading3"/>
      </w:pPr>
      <w:r>
        <w:t xml:space="preserve">Conclusion</w:t>
      </w:r>
    </w:p>
    <w:p>
      <w:pPr>
        <w:pStyle w:val="FirstParagraph"/>
      </w:pPr>
      <w:r>
        <w:t xml:space="preserve">Les peptides les plus populaires sur Internet sont presque tous les moins bien étudiés. Leurs promesses reposent principalement sur des expérimentations animales, sur des mesures de substitution ou sur des études menées avec une autre substance ; là où il existe des études randomisées chez l’humain, elles n’ont le plus souvent pas confirmé le bénéfice promu. Cela ne signifie pas qu’aucune de ces substances ne pourrait jamais avoir de bénéfice – mais pour aucune, les données ne suffisent à le démontrer. Quiconque entend une affirmation sur un peptide devrait demander la source, examiner l’étude et garder à l’esprit la différence entre un médicament contrôlé et un flacon du marché gris.</w:t>
      </w:r>
    </w:p>
    <w:bookmarkEnd w:id="2601"/>
    <w:bookmarkEnd w:id="2602"/>
    <w:bookmarkEnd w:id="2603"/>
    <w:bookmarkStart w:id="2824" w:name="partie-iv-risques"/>
    <w:p>
      <w:pPr>
        <w:pStyle w:val="Heading1"/>
      </w:pPr>
      <w:r>
        <w:t xml:space="preserve">Partie IV – Risques</w:t>
      </w:r>
    </w:p>
    <w:p>
      <w:pPr>
        <w:pStyle w:val="FirstParagraph"/>
      </w:pPr>
      <w:r>
        <w:t xml:space="preserve">Dans la partie II, chaque peptide dispose de sa propre section « Risques et effets indésirables ». Cette partie ne répète pas ces sections. Elle les met côte à côte et pose, de manière transversale à toutes les substances, les questions suivantes : quels organes sont touchés ? Quels signaux d’alerte apparaissent pour plusieurs peptides ? Quelle est la solidité de ce que l’on sait ? Si vous cherchez des détails sur une substance précise, vous trouverez pour chaque point un renvoi vers le chapitre correspondant.</w:t>
      </w:r>
    </w:p>
    <w:p>
      <w:pPr>
        <w:pStyle w:val="BodyText"/>
      </w:pPr>
      <w:r>
        <w:t xml:space="preserve">Avant de commencer, il vaut la peine de s’arrêter brièvement sur la manière d’évaluer les risques. Trois distinctions traversent tous les chapitres qui suivent.</w:t>
      </w:r>
    </w:p>
    <w:p>
      <w:pPr>
        <w:pStyle w:val="BodyText"/>
      </w:pPr>
      <w:r>
        <w:rPr>
          <w:bCs/>
          <w:b/>
        </w:rPr>
        <w:t xml:space="preserve">Démontré, observé ou théorique.</w:t>
      </w:r>
      <w:r>
        <w:t xml:space="preserve"> </w:t>
      </w:r>
      <w:r>
        <w:t xml:space="preserve">Un risque est le mieux démontré lorsqu’il est survenu plus souvent sous la substance que sous placebo dans des études randomisées (ECR, en anglais RCT). Les études observationnelles fondées sur des données d’assurance ou de registres couvrent en revanche un très grand nombre de personnes et des événements rares, mais ne peuvent pas séparer avec certitude la cause et la circonstance concomitante. Les bases de données de pharmacovigilance ne montrent que des signaux : ce qui est connu et très discuté est déclaré plus souvent. Enfin, les risques théoriques découlent du mécanisme d’action, d’expérimentations animales ou de cultures cellulaires. Ils ne prouvent pas un dommage – mais pour des substances qui n’ont jamais été étudiées systématiquement chez l’humain, ils sont souvent la seule information disponible.</w:t>
      </w:r>
    </w:p>
    <w:p>
      <w:pPr>
        <w:pStyle w:val="BodyText"/>
      </w:pPr>
      <w:r>
        <w:rPr>
          <w:bCs/>
          <w:b/>
        </w:rPr>
        <w:t xml:space="preserve">L’absence de données n’est pas une garantie de sécurité.</w:t>
      </w:r>
      <w:r>
        <w:t xml:space="preserve"> </w:t>
      </w:r>
      <w:r>
        <w:t xml:space="preserve">Si, dans trois petites investigations portant au total sur 30 personnes, aucun effet indésirable lié au traitement n’a été remarqué (c’est le cas du BPC-157, Poolton 2026, PMID 42885452), cela signifie seulement qu’aucun problème très fréquent et immédiat n’est survenu. Un effet indésirable touchant une personne sur mille ne peut tout simplement pas être détecté par une étude aussi petite. Pour de nombreux peptides des groupes B, C et D, c’est la situation de départ.</w:t>
      </w:r>
    </w:p>
    <w:p>
      <w:pPr>
        <w:pStyle w:val="BodyText"/>
      </w:pPr>
      <w:r>
        <w:rPr>
          <w:bCs/>
          <w:b/>
        </w:rPr>
        <w:t xml:space="preserve">Risque relatif et risque absolu.</w:t>
      </w:r>
      <w:r>
        <w:t xml:space="preserve"> </w:t>
      </w:r>
      <w:r>
        <w:t xml:space="preserve">Les gros titres citent le plus souvent des chiffres relatifs : « trois fois plus fréquent ». Ce qui est décisif pour votre propre évaluation, c’est pourtant le nombre de personnes réellement touchées. Un exemple tiré de cette partie : dans une étude de registre dano-norvégienne, un certain trouble circulatoire du nerf optique était presque trois fois plus fréquent sous sémaglutide que sous un médicament de comparaison (hazard ratio 2,81). En chiffres absolus, cela représentait environ 1,4 cas supplémentaire pour 10 000 personnes-années</w:t>
      </w:r>
      <w:r>
        <w:rPr>
          <w:rStyle w:val="FootnoteReference"/>
        </w:rPr>
        <w:footnoteReference w:id="2604"/>
      </w:r>
      <w:r>
        <w:t xml:space="preserve">. Les deux sont exacts – et les deux font partie de l’information.</w:t>
      </w:r>
    </w:p>
    <w:p>
      <w:pPr>
        <w:pStyle w:val="BodyText"/>
      </w:pPr>
      <w:r>
        <w:t xml:space="preserve">Enfin, c’est le rapport bénéfice-risque qui compte. Un médicament contre le diabète de type 2 qui réduit les infarctus et les AVC dans de grandes études peut avoir des effets indésirables rares qui seraient inacceptables pour un produit bronzant ou un « peptide de longévité » sans bénéfice démontré. Une personne qui utilise un médicament autorisé avec un accompagnement médical et une indication claire est dans une situation totalement différente de celle de quelqu’un qui s’injecte une poudre non contrôlée achetée sur Internet. La manière de lire les études est expliquée dans la partie I, au chapitre « Bien lire les études ».</w:t>
      </w:r>
    </w:p>
    <w:p>
      <w:pPr>
        <w:pStyle w:val="BodyText"/>
      </w:pPr>
      <w:r>
        <w:t xml:space="preserve">La partie IV est organisée ainsi : ce chapitre classe les effets indésirables par système d’organes. Suivent des chapitres sur le risque de cancer et les signaux de croissance, sur les réactions immunitaires, sur les analyses de laboratoire de produits du marché gris et sur les interactions et les groupes de personnes particulièrement exposés.</w:t>
      </w:r>
    </w:p>
    <w:bookmarkStart w:id="2662" w:name="effets-indésirables-par-système-dorganes"/>
    <w:p>
      <w:pPr>
        <w:pStyle w:val="Heading2"/>
      </w:pPr>
      <w:r>
        <w:t xml:space="preserve">Effets indésirables par système d’organes</w:t>
      </w:r>
    </w:p>
    <w:p>
      <w:pPr>
        <w:pStyle w:val="FirstParagraph"/>
      </w:pPr>
      <w:r>
        <w:t xml:space="preserve">L’aperçu suivant résume quels systèmes d’organes sont le plus souvent touchés et par quels peptides. La colonne « Fréquence/preuves » indique un ordre de grandeur typique tiré d’une des études discutées dans ce chapitre ou dans le chapitre consacré au peptide concerné. Les chiffres proviennent d’études et de populations différentes et ne sont donc que grossièrement comparables.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Système d’organes</w:t>
            </w:r>
          </w:p>
        </w:tc>
        <w:tc>
          <w:tcPr/>
          <w:p>
            <w:pPr>
              <w:pStyle w:val="Compact"/>
              <w:jc w:val="left"/>
            </w:pPr>
            <w:r>
              <w:t xml:space="preserve">Peptides concernés</w:t>
            </w:r>
          </w:p>
        </w:tc>
        <w:tc>
          <w:tcPr/>
          <w:p>
            <w:pPr>
              <w:pStyle w:val="Compact"/>
              <w:jc w:val="left"/>
            </w:pPr>
            <w:r>
              <w:t xml:space="preserve">Fréquence/preuves</w:t>
            </w:r>
          </w:p>
        </w:tc>
        <w:tc>
          <w:tcPr/>
          <w:p>
            <w:pPr>
              <w:pStyle w:val="Compact"/>
              <w:jc w:val="left"/>
            </w:pPr>
            <w:r>
              <w:t xml:space="preserve">Chapitre</w:t>
            </w:r>
          </w:p>
        </w:tc>
      </w:tr>
      <w:tr>
        <w:tc>
          <w:tcPr/>
          <w:p>
            <w:pPr>
              <w:pStyle w:val="Compact"/>
              <w:jc w:val="left"/>
            </w:pPr>
            <w:r>
              <w:t xml:space="preserve">Tube digestif</w:t>
            </w:r>
          </w:p>
        </w:tc>
        <w:tc>
          <w:tcPr/>
          <w:p>
            <w:pPr>
              <w:pStyle w:val="Compact"/>
              <w:jc w:val="left"/>
            </w:pPr>
            <w:r>
              <w:t xml:space="preserve">tous les médicaments GLP-1, pramlintide, brémélanotide, setmélanotide</w:t>
            </w:r>
          </w:p>
        </w:tc>
        <w:tc>
          <w:tcPr/>
          <w:p>
            <w:pPr>
              <w:pStyle w:val="Compact"/>
              <w:jc w:val="left"/>
            </w:pPr>
            <w:r>
              <w:t xml:space="preserve">très fréquent ; CagriSema 79,6 % vs 39,9 % sous placebo (Garvey 2025, PMID 40544433)</w:t>
            </w:r>
          </w:p>
        </w:tc>
        <w:tc>
          <w:tcPr/>
          <w:p>
            <w:pPr>
              <w:pStyle w:val="Compact"/>
              <w:jc w:val="left"/>
            </w:pPr>
            <w:r>
              <w:t xml:space="preserve">Sémaglutide, Survodutide, Cagrilintide</w:t>
            </w:r>
          </w:p>
        </w:tc>
      </w:tr>
      <w:tr>
        <w:tc>
          <w:tcPr/>
          <w:p>
            <w:pPr>
              <w:pStyle w:val="Compact"/>
              <w:jc w:val="left"/>
            </w:pPr>
            <w:r>
              <w:t xml:space="preserve">Vésicule biliaire</w:t>
            </w:r>
          </w:p>
        </w:tc>
        <w:tc>
          <w:tcPr/>
          <w:p>
            <w:pPr>
              <w:pStyle w:val="Compact"/>
              <w:jc w:val="left"/>
            </w:pPr>
            <w:r>
              <w:t xml:space="preserve">classe GLP-1, surtout en cas de perte de poids</w:t>
            </w:r>
          </w:p>
        </w:tc>
        <w:tc>
          <w:tcPr/>
          <w:p>
            <w:pPr>
              <w:pStyle w:val="Compact"/>
              <w:jc w:val="left"/>
            </w:pPr>
            <w:r>
              <w:t xml:space="preserve">risque relatif 1,37 (toutes études), 2,29 (études sur la perte de poids)</w:t>
            </w:r>
          </w:p>
        </w:tc>
        <w:tc>
          <w:tcPr/>
          <w:p>
            <w:pPr>
              <w:pStyle w:val="Compact"/>
              <w:jc w:val="left"/>
            </w:pPr>
            <w:r>
              <w:t xml:space="preserve">Liraglutide, Tirzépatide</w:t>
            </w:r>
          </w:p>
        </w:tc>
      </w:tr>
      <w:tr>
        <w:tc>
          <w:tcPr/>
          <w:p>
            <w:pPr>
              <w:pStyle w:val="Compact"/>
              <w:jc w:val="left"/>
            </w:pPr>
            <w:r>
              <w:t xml:space="preserve">Pancréas</w:t>
            </w:r>
          </w:p>
        </w:tc>
        <w:tc>
          <w:tcPr/>
          <w:p>
            <w:pPr>
              <w:pStyle w:val="Compact"/>
              <w:jc w:val="left"/>
            </w:pPr>
            <w:r>
              <w:t xml:space="preserve">classe GLP-1</w:t>
            </w:r>
          </w:p>
        </w:tc>
        <w:tc>
          <w:tcPr/>
          <w:p>
            <w:pPr>
              <w:pStyle w:val="Compact"/>
              <w:jc w:val="left"/>
            </w:pPr>
            <w:r>
              <w:t xml:space="preserve">signal dans des méta-analyses, rare en absolu</w:t>
            </w:r>
          </w:p>
        </w:tc>
        <w:tc>
          <w:tcPr/>
          <w:p>
            <w:pPr>
              <w:pStyle w:val="Compact"/>
              <w:jc w:val="left"/>
            </w:pPr>
            <w:r>
              <w:t xml:space="preserve">Exénatide, Sémaglutide</w:t>
            </w:r>
          </w:p>
        </w:tc>
      </w:tr>
      <w:tr>
        <w:tc>
          <w:tcPr/>
          <w:p>
            <w:pPr>
              <w:pStyle w:val="Compact"/>
              <w:jc w:val="left"/>
            </w:pPr>
            <w:r>
              <w:t xml:space="preserve">Thyroïde</w:t>
            </w:r>
          </w:p>
        </w:tc>
        <w:tc>
          <w:tcPr/>
          <w:p>
            <w:pPr>
              <w:pStyle w:val="Compact"/>
              <w:jc w:val="left"/>
            </w:pPr>
            <w:r>
              <w:t xml:space="preserve">classe GLP-1</w:t>
            </w:r>
          </w:p>
        </w:tc>
        <w:tc>
          <w:tcPr/>
          <w:p>
            <w:pPr>
              <w:pStyle w:val="Compact"/>
              <w:jc w:val="left"/>
            </w:pPr>
            <w:r>
              <w:t xml:space="preserve">observation animale établie, chez l’humain données hétérogènes</w:t>
            </w:r>
          </w:p>
        </w:tc>
        <w:tc>
          <w:tcPr/>
          <w:p>
            <w:pPr>
              <w:pStyle w:val="Compact"/>
              <w:jc w:val="left"/>
            </w:pPr>
            <w:r>
              <w:t xml:space="preserve">Liraglutide, chapitre Risque de cancer</w:t>
            </w:r>
          </w:p>
        </w:tc>
      </w:tr>
      <w:tr>
        <w:tc>
          <w:tcPr/>
          <w:p>
            <w:pPr>
              <w:pStyle w:val="Compact"/>
              <w:jc w:val="left"/>
            </w:pPr>
            <w:r>
              <w:t xml:space="preserve">Yeux</w:t>
            </w:r>
          </w:p>
        </w:tc>
        <w:tc>
          <w:tcPr/>
          <w:p>
            <w:pPr>
              <w:pStyle w:val="Compact"/>
              <w:jc w:val="left"/>
            </w:pPr>
            <w:r>
              <w:t xml:space="preserve">sémaglutide (NAION, rétinopathie)</w:t>
            </w:r>
          </w:p>
        </w:tc>
        <w:tc>
          <w:tcPr/>
          <w:p>
            <w:pPr>
              <w:pStyle w:val="Compact"/>
              <w:jc w:val="left"/>
            </w:pPr>
            <w:r>
              <w:t xml:space="preserve">très rare ; environ 1,4 cas supplémentaire pour 10 000 personnes-années</w:t>
            </w:r>
          </w:p>
        </w:tc>
        <w:tc>
          <w:tcPr/>
          <w:p>
            <w:pPr>
              <w:pStyle w:val="Compact"/>
              <w:jc w:val="left"/>
            </w:pPr>
            <w:r>
              <w:t xml:space="preserve">Sémaglutide</w:t>
            </w:r>
          </w:p>
        </w:tc>
      </w:tr>
      <w:tr>
        <w:tc>
          <w:tcPr/>
          <w:p>
            <w:pPr>
              <w:pStyle w:val="Compact"/>
              <w:jc w:val="left"/>
            </w:pPr>
            <w:r>
              <w:t xml:space="preserve">Cardiovasculaire, eau</w:t>
            </w:r>
          </w:p>
        </w:tc>
        <w:tc>
          <w:tcPr/>
          <w:p>
            <w:pPr>
              <w:pStyle w:val="Compact"/>
              <w:jc w:val="left"/>
            </w:pPr>
            <w:r>
              <w:t xml:space="preserve">sécrétagogues de GH, ibutamorène, brémélanotide, macimoréline, ocytocine</w:t>
            </w:r>
          </w:p>
        </w:tc>
        <w:tc>
          <w:tcPr/>
          <w:p>
            <w:pPr>
              <w:pStyle w:val="Compact"/>
              <w:jc w:val="left"/>
            </w:pPr>
            <w:r>
              <w:t xml:space="preserve">signal d’insuffisance cardiaque, pics de pression artérielle, allongement du QT</w:t>
            </w:r>
          </w:p>
        </w:tc>
        <w:tc>
          <w:tcPr/>
          <w:p>
            <w:pPr>
              <w:pStyle w:val="Compact"/>
              <w:jc w:val="left"/>
            </w:pPr>
            <w:r>
              <w:t xml:space="preserve">Ibutamorène, Brémélanotide, Macimoréline</w:t>
            </w:r>
          </w:p>
        </w:tc>
      </w:tr>
      <w:tr>
        <w:tc>
          <w:tcPr/>
          <w:p>
            <w:pPr>
              <w:pStyle w:val="Compact"/>
              <w:jc w:val="left"/>
            </w:pPr>
            <w:r>
              <w:t xml:space="preserve">Psychisme</w:t>
            </w:r>
          </w:p>
        </w:tc>
        <w:tc>
          <w:tcPr/>
          <w:p>
            <w:pPr>
              <w:pStyle w:val="Compact"/>
              <w:jc w:val="left"/>
            </w:pPr>
            <w:r>
              <w:t xml:space="preserve">classe GLP-1 (étudiée), setmélanotide, Semax</w:t>
            </w:r>
          </w:p>
        </w:tc>
        <w:tc>
          <w:tcPr/>
          <w:p>
            <w:pPr>
              <w:pStyle w:val="Compact"/>
              <w:jc w:val="left"/>
            </w:pPr>
            <w:r>
              <w:t xml:space="preserve">pas de risque accru dans 86 ECR</w:t>
            </w:r>
          </w:p>
        </w:tc>
        <w:tc>
          <w:tcPr/>
          <w:p>
            <w:pPr>
              <w:pStyle w:val="Compact"/>
              <w:jc w:val="left"/>
            </w:pPr>
            <w:r>
              <w:t xml:space="preserve">Sémaglutide, Tirzépatide, Setmélanotide</w:t>
            </w:r>
          </w:p>
        </w:tc>
      </w:tr>
      <w:tr>
        <w:tc>
          <w:tcPr/>
          <w:p>
            <w:pPr>
              <w:pStyle w:val="Compact"/>
              <w:jc w:val="left"/>
            </w:pPr>
            <w:r>
              <w:t xml:space="preserve">Peau, pigment</w:t>
            </w:r>
          </w:p>
        </w:tc>
        <w:tc>
          <w:tcPr/>
          <w:p>
            <w:pPr>
              <w:pStyle w:val="Compact"/>
              <w:jc w:val="left"/>
            </w:pPr>
            <w:r>
              <w:t xml:space="preserve">Melanotan II, setmélanotide, afamélanotide, brémélanotide, LL-37</w:t>
            </w:r>
          </w:p>
        </w:tc>
        <w:tc>
          <w:tcPr/>
          <w:p>
            <w:pPr>
              <w:pStyle w:val="Compact"/>
              <w:jc w:val="left"/>
            </w:pPr>
            <w:r>
              <w:t xml:space="preserve">pigmentation sous setmélanotide 62 % ; rapports de cas de mélanome sous Melanotan II</w:t>
            </w:r>
          </w:p>
        </w:tc>
        <w:tc>
          <w:tcPr/>
          <w:p>
            <w:pPr>
              <w:pStyle w:val="Compact"/>
              <w:jc w:val="left"/>
            </w:pPr>
            <w:r>
              <w:t xml:space="preserve">Melanotan II, Setmélanotide</w:t>
            </w:r>
          </w:p>
        </w:tc>
      </w:tr>
      <w:tr>
        <w:tc>
          <w:tcPr/>
          <w:p>
            <w:pPr>
              <w:pStyle w:val="Compact"/>
              <w:jc w:val="left"/>
            </w:pPr>
            <w:r>
              <w:t xml:space="preserve">Système hormonal</w:t>
            </w:r>
          </w:p>
        </w:tc>
        <w:tc>
          <w:tcPr/>
          <w:p>
            <w:pPr>
              <w:pStyle w:val="Compact"/>
              <w:jc w:val="left"/>
            </w:pPr>
            <w:r>
              <w:t xml:space="preserve">GHRP-2, GHRP-6, hexaréline, kisspeptine, gonadoréline</w:t>
            </w:r>
          </w:p>
        </w:tc>
        <w:tc>
          <w:tcPr/>
          <w:p>
            <w:pPr>
              <w:pStyle w:val="Compact"/>
              <w:jc w:val="left"/>
            </w:pPr>
            <w:r>
              <w:t xml:space="preserve">hausse du cortisol et de la prolactine ; suppression de l’axe en administration continue</w:t>
            </w:r>
          </w:p>
        </w:tc>
        <w:tc>
          <w:tcPr/>
          <w:p>
            <w:pPr>
              <w:pStyle w:val="Compact"/>
              <w:jc w:val="left"/>
            </w:pPr>
            <w:r>
              <w:t xml:space="preserve">Groupe C, Kisspeptine</w:t>
            </w:r>
          </w:p>
        </w:tc>
      </w:tr>
      <w:tr>
        <w:tc>
          <w:tcPr/>
          <w:p>
            <w:pPr>
              <w:pStyle w:val="Compact"/>
              <w:jc w:val="left"/>
            </w:pPr>
            <w:r>
              <w:t xml:space="preserve">Glycémie</w:t>
            </w:r>
          </w:p>
        </w:tc>
        <w:tc>
          <w:tcPr/>
          <w:p>
            <w:pPr>
              <w:pStyle w:val="Compact"/>
              <w:jc w:val="left"/>
            </w:pPr>
            <w:r>
              <w:t xml:space="preserve">mécasermine, pramlintide, GLP-1 avec insuline/sulfamide hypoglycémiant ; axe GH</w:t>
            </w:r>
          </w:p>
        </w:tc>
        <w:tc>
          <w:tcPr/>
          <w:p>
            <w:pPr>
              <w:pStyle w:val="Compact"/>
              <w:jc w:val="left"/>
            </w:pPr>
            <w:r>
              <w:t xml:space="preserve">hypoglycémie chez 49 % sous mécasermine ; glycémie plus élevée sous ibutamorène</w:t>
            </w:r>
          </w:p>
        </w:tc>
        <w:tc>
          <w:tcPr/>
          <w:p>
            <w:pPr>
              <w:pStyle w:val="Compact"/>
              <w:jc w:val="left"/>
            </w:pPr>
            <w:r>
              <w:t xml:space="preserve">Mécasermine, Pramlintide, Ibutamorène</w:t>
            </w:r>
          </w:p>
        </w:tc>
      </w:tr>
    </w:tbl>
    <w:bookmarkStart w:id="2614" w:name="tube-digestif"/>
    <w:p>
      <w:pPr>
        <w:pStyle w:val="Heading3"/>
      </w:pPr>
      <w:r>
        <w:t xml:space="preserve">Tube digestif</w:t>
      </w:r>
    </w:p>
    <w:p>
      <w:pPr>
        <w:pStyle w:val="FirstParagraph"/>
      </w:pPr>
      <w:r>
        <w:t xml:space="preserve">Aucun autre système d’organes n’est aussi souvent touché. Nausées, vomissements, diarrhée et constipation sont les effets indésirables typiques de tous les médicaments qui agissent sur le récepteur du GLP-1 – de l’exénatide, plus ancien, au sémaglutide et au tirzépatide, jusqu’aux nouveaux agonistes multiples. Une revue qui a résumé 60 méta-analyses portant au total sur 1 751 études randomisées a trouvé les signaux les plus solides précisément ici : la cote (odds) des nausées était environ deux fois et demie plus élevée sous agonistes du récepteur du GLP-1 que dans les groupes de comparaison (odds ratio 2,47), près de trois fois pour les vomissements (2,78) et environ deux fois pour la diarrhée (1,94)</w:t>
      </w:r>
      <w:r>
        <w:rPr>
          <w:rStyle w:val="FootnoteReference"/>
        </w:rPr>
        <w:footnoteReference w:id="2605"/>
      </w:r>
      <w:r>
        <w:t xml:space="preserve">.</w:t>
      </w:r>
    </w:p>
    <w:p>
      <w:pPr>
        <w:pStyle w:val="BodyText"/>
      </w:pPr>
      <w:r>
        <w:t xml:space="preserve">La fréquence des troubles dépend fortement de la substance, de la dose et du rythme d’augmentation de la dose. Une méta-analyse en réseau de 39 études portant sur 33 354 personnes en surpoids sans diabète a trouvé un risque accru de nausées pour toutes les substances étudiées, le plus marqué pour l’orforglipron, suivi de l’exénatide, du tirzépatide, du sémaglutide et du liraglutide</w:t>
      </w:r>
      <w:r>
        <w:rPr>
          <w:rStyle w:val="FootnoteReference"/>
        </w:rPr>
        <w:footnoteReference w:id="2606"/>
      </w:r>
      <w:r>
        <w:t xml:space="preserve">. Pour les substances comportant en plus une composante glucagon, les taux sont particulièrement élevés : dans l’étude sur la stéatose hépatique avec le survodutide, 66 % des participants ont eu des nausées contre 23 % sous placebo</w:t>
      </w:r>
      <w:r>
        <w:rPr>
          <w:rStyle w:val="FootnoteReference"/>
        </w:rPr>
        <w:footnoteReference w:id="2607"/>
      </w:r>
      <w:r>
        <w:t xml:space="preserve">. Les détails figurent dans les chapitres Survodutide, Mazdutide et Rétatrutide.</w:t>
      </w:r>
    </w:p>
    <w:p>
      <w:pPr>
        <w:pStyle w:val="BodyText"/>
      </w:pPr>
      <w:r>
        <w:t xml:space="preserve">En dehors du groupe GLP-1 aussi, les nausées sont fréquentes. Sous brémélanotide, elles sont survenues dans les études de phase 3 chez 40,0 % des participants contre 1,3 % sous placebo et ont été le motif d’arrêt le plus fréquent</w:t>
      </w:r>
      <w:r>
        <w:rPr>
          <w:rStyle w:val="FootnoteReference"/>
        </w:rPr>
        <w:footnoteReference w:id="2608"/>
      </w:r>
      <w:r>
        <w:t xml:space="preserve">. Sous pramlintide, 63 % ont signalé des nausées, contre 36 % sous placebo</w:t>
      </w:r>
      <w:r>
        <w:rPr>
          <w:rStyle w:val="FootnoteReference"/>
        </w:rPr>
        <w:footnoteReference w:id="2609"/>
      </w:r>
      <w:r>
        <w:t xml:space="preserve">. Sous setmélanotide, elles touchaient 36 % des personnes dans une méta-analyse de sept études</w:t>
      </w:r>
      <w:r>
        <w:rPr>
          <w:rStyle w:val="FootnoteReference"/>
        </w:rPr>
        <w:footnoteReference w:id="2610"/>
      </w:r>
      <w:r>
        <w:t xml:space="preserve">.</w:t>
      </w:r>
    </w:p>
    <w:p>
      <w:pPr>
        <w:pStyle w:val="BodyText"/>
      </w:pPr>
      <w:r>
        <w:t xml:space="preserve">Plus importante que la fréquence des nausées est la question des événements digestifs</w:t>
      </w:r>
      <w:r>
        <w:t xml:space="preserve"> </w:t>
      </w:r>
      <w:r>
        <w:rPr>
          <w:bCs/>
          <w:b/>
        </w:rPr>
        <w:t xml:space="preserve">graves</w:t>
      </w:r>
      <w:r>
        <w:t xml:space="preserve">. Une analyse de base de données de 2023 avait signalé pour les agonistes du récepteur du GLP-1 utilisés pour la perte de poids un risque accru de pancréatite, d’occlusion intestinale et de gastroparésie</w:t>
      </w:r>
      <w:r>
        <w:rPr>
          <w:rStyle w:val="FootnoteReference"/>
        </w:rPr>
        <w:footnoteReference w:id="2611"/>
      </w:r>
      <w:r>
        <w:t xml:space="preserve">. Une méta-analyse de 55 études contrôlées contre placebo totalisant 106 395 participants ne l’a pas confirmé pour la plupart de ces événements. Étaient augmentés les calculs biliaires (risque relatif 1,46 ; deux cas supplémentaires pour 1 000 personnes traitées) et probablement le reflux gastro-œsophagien (risque relatif 2,19 ; quatre cas supplémentaires pour 1 000). Pour l’occlusion intestinale, la gastroparésie, les ulcères ou les saignements, aucune différence nette n’a été trouvée</w:t>
      </w:r>
      <w:r>
        <w:rPr>
          <w:rStyle w:val="FootnoteReference"/>
        </w:rPr>
        <w:footnoteReference w:id="2612"/>
      </w:r>
      <w:r>
        <w:t xml:space="preserve">. Dans une étude de cohorte fondée sur des données de routine, le tirzépatide et le sémaglutide ne différaient guère pour les événements digestifs graves</w:t>
      </w:r>
      <w:r>
        <w:rPr>
          <w:rStyle w:val="FootnoteReference"/>
        </w:rPr>
        <w:footnoteReference w:id="2613"/>
      </w:r>
      <w:r>
        <w:t xml:space="preserve">.</w:t>
      </w:r>
    </w:p>
    <w:p>
      <w:pPr>
        <w:pStyle w:val="BodyText"/>
      </w:pPr>
      <w:r>
        <w:t xml:space="preserve">Sur le plan pratique, il est important de savoir que des vomissements et une diarrhée persistants peuvent entraîner une perte de liquide. Dans les études, les troubles surviennent surtout pendant la phase d’augmentation de la dose ; c’est pourquoi les RCP des médicaments autorisés prévoient une progression par paliers, qui doit être accompagnée par un médecin. Avec des produits du marché gris dont le contenu est inconnu, un tel schéma ne peut pas être respecté de manière fiable (voir le chapitre « Produits du marché gris »).</w:t>
      </w:r>
    </w:p>
    <w:bookmarkEnd w:id="2614"/>
    <w:bookmarkStart w:id="2618" w:name="vésicule-biliaire-et-pancréas"/>
    <w:p>
      <w:pPr>
        <w:pStyle w:val="Heading3"/>
      </w:pPr>
      <w:r>
        <w:t xml:space="preserve">Vésicule biliaire et pancréas</w:t>
      </w:r>
    </w:p>
    <w:p>
      <w:pPr>
        <w:pStyle w:val="FirstParagraph"/>
      </w:pPr>
      <w:r>
        <w:t xml:space="preserve">Pour la vésicule biliaire, le risque est désormais bien établi. Une méta-analyse de 76 études randomisées totalisant 103 371 participants a mis en évidence sous agonistes du récepteur du GLP-1 un risque relatif accru de 37 % de maladies de la vésicule et des voies biliaires. Dans les études sur la perte de poids, le risque relatif, à 2,29, était nettement plus élevé que dans les études sur le diabète</w:t>
      </w:r>
      <w:r>
        <w:rPr>
          <w:rStyle w:val="FootnoteReference"/>
        </w:rPr>
        <w:footnoteReference w:id="2615"/>
      </w:r>
      <w:r>
        <w:t xml:space="preserve">. Une partie de l’effet est probablement due à la perte de poids rapide elle-même, dont on sait qu’elle favorise les calculs biliaires. Dans STEP TEENS, 5 adolescents sur 133 sous sémaglutide ont développé des calculs biliaires, aucun sous placebo</w:t>
      </w:r>
      <w:r>
        <w:rPr>
          <w:rStyle w:val="FootnoteReference"/>
        </w:rPr>
        <w:footnoteReference w:id="2616"/>
      </w:r>
      <w:r>
        <w:t xml:space="preserve">.</w:t>
      </w:r>
    </w:p>
    <w:p>
      <w:pPr>
        <w:pStyle w:val="BodyText"/>
      </w:pPr>
      <w:r>
        <w:t xml:space="preserve">Pour le pancréas, la situation est moins nette. Une méta-analyse de 62 études totalisant 66 232 participants a trouvé dans l’ensemble un risque légèrement accru de pancréatite (risque relatif 1,44). Lorsque les études ont été séparées selon que les participants prenaient ou non d’autres médicaments en plus, la différence n’était plus statistiquement établie dans aucun des deux groupes</w:t>
      </w:r>
      <w:r>
        <w:rPr>
          <w:rStyle w:val="FootnoteReference"/>
        </w:rPr>
        <w:footnoteReference w:id="2617"/>
      </w:r>
      <w:r>
        <w:t xml:space="preserve">. La fréquence absolue est faible ; dans les grandes études de critères cliniques, la pancréatite est rarement survenue. Les RCP la mentionnent comme effet indésirable rare. Des douleurs intenses et persistantes de la partie haute de l’abdomen, irradiant souvent dans le dos, doivent toujours être évaluées par un médecin sous ces médicaments. Pour la question du cancer du pancréas, voir le chapitre suivant.</w:t>
      </w:r>
    </w:p>
    <w:bookmarkEnd w:id="2618"/>
    <w:bookmarkStart w:id="2620" w:name="thyroïde"/>
    <w:p>
      <w:pPr>
        <w:pStyle w:val="Heading3"/>
      </w:pPr>
      <w:r>
        <w:t xml:space="preserve">Thyroïde</w:t>
      </w:r>
    </w:p>
    <w:p>
      <w:pPr>
        <w:pStyle w:val="FirstParagraph"/>
      </w:pPr>
      <w:r>
        <w:t xml:space="preserve">L’inquiétude concernant la thyroïde provient d’expérimentations animales : chez le rat et la souris, les agonistes du récepteur du GLP-1 ont entraîné des hyperplasies et des tumeurs des cellules C, qui produisent l’hormone calcitonine. Chez l’humain, les données sont hétérogènes. Un indice direct d’une stimulation des cellules C serait une hausse de la calcitonine dans le sang. Dans l’étude LEADER portant sur 9 340 participants, les taux de calcitonine ne différaient pas après 36 mois entre le liraglutide et le placebo, et aucun carcinome médullaire de la thyroïde n’est survenu sous liraglutide</w:t>
      </w:r>
      <w:r>
        <w:rPr>
          <w:rStyle w:val="FootnoteReference"/>
        </w:rPr>
        <w:footnoteReference w:id="2619"/>
      </w:r>
      <w:r>
        <w:t xml:space="preserve">. La manière d’évaluer globalement la question du cancer est traitée au chapitre « Risque de cancer et signaux de croissance ». Indépendamment de cela, les RCP prévoient une contre-indication en cas d’antécédent personnel ou familial de carcinome médullaire de la thyroïde et en cas de syndrome NEM 2.</w:t>
      </w:r>
    </w:p>
    <w:bookmarkEnd w:id="2620"/>
    <w:bookmarkStart w:id="2628" w:name="yeux-rétine-et-nerf-optique"/>
    <w:p>
      <w:pPr>
        <w:pStyle w:val="Heading3"/>
      </w:pPr>
      <w:r>
        <w:t xml:space="preserve">Yeux : rétine et nerf optique</w:t>
      </w:r>
    </w:p>
    <w:p>
      <w:pPr>
        <w:pStyle w:val="FirstParagraph"/>
      </w:pPr>
      <w:r>
        <w:t xml:space="preserve">Il y a ici deux questions différentes.</w:t>
      </w:r>
    </w:p>
    <w:p>
      <w:pPr>
        <w:pStyle w:val="BodyText"/>
      </w:pPr>
      <w:r>
        <w:rPr>
          <w:bCs/>
          <w:b/>
        </w:rPr>
        <w:t xml:space="preserve">Rétinopathie diabétique.</w:t>
      </w:r>
      <w:r>
        <w:t xml:space="preserve"> </w:t>
      </w:r>
      <w:r>
        <w:t xml:space="preserve">Dans SUSTAIN 6, une étude cardiovasculaire portant sur 3 297 personnes atteintes de diabète de type 2, les complications d’une rétinopathie diabétique ont été plus fréquentes sous sémaglutide que sous placebo (hazard ratio 1,76)</w:t>
      </w:r>
      <w:r>
        <w:rPr>
          <w:rStyle w:val="FootnoteReference"/>
        </w:rPr>
        <w:footnoteReference w:id="2621"/>
      </w:r>
      <w:r>
        <w:t xml:space="preserve">. On suppose qu’une baisse très rapide de la glycémie aggrave temporairement une rétinopathie préexistante – un phénomène également connu avec l’insuline. Une méta-analyse de 78 études totalisant 73 640 participants n’a globalement trouvé aucun risque accru de rétinopathie diabétique (odds ratio 1,04) ni de maladies oculaires en général</w:t>
      </w:r>
      <w:r>
        <w:rPr>
          <w:rStyle w:val="FootnoteReference"/>
        </w:rPr>
        <w:footnoteReference w:id="2622"/>
      </w:r>
      <w:r>
        <w:t xml:space="preserve">. Pour les personnes ayant une rétinopathie connue, un suivi ophtalmologique reste néanmoins judicieux.</w:t>
      </w:r>
    </w:p>
    <w:p>
      <w:pPr>
        <w:pStyle w:val="BodyText"/>
      </w:pPr>
      <w:r>
        <w:rPr>
          <w:bCs/>
          <w:b/>
        </w:rPr>
        <w:t xml:space="preserve">NAION.</w:t>
      </w:r>
      <w:r>
        <w:t xml:space="preserve"> </w:t>
      </w:r>
      <w:r>
        <w:t xml:space="preserve">La neuropathie optique ischémique antérieure non artéritique est un trouble circulatoire de la tête du nerf optique qui entraîne le plus souvent, sans douleur, une perte soudaine de la vision d’un œil. Depuis une première étude issue d’une clinique de neuro-ophtalmologie</w:t>
      </w:r>
      <w:r>
        <w:rPr>
          <w:rStyle w:val="FootnoteReference"/>
        </w:rPr>
        <w:footnoteReference w:id="2623"/>
      </w:r>
      <w:r>
        <w:t xml:space="preserve">, de nombreuses autres investigations ont été publiées, avec des résultats divergents :</w:t>
      </w:r>
    </w:p>
    <w:p>
      <w:pPr>
        <w:numPr>
          <w:ilvl w:val="0"/>
          <w:numId w:val="1336"/>
        </w:numPr>
        <w:pStyle w:val="Compact"/>
      </w:pPr>
      <w:r>
        <w:t xml:space="preserve">L’étude de registre dano-norvégienne a trouvé un risque relatif accru (hazard ratio 2,81), soit en absolu environ 1,4 cas supplémentaire pour 10 000 personnes-années</w:t>
      </w:r>
      <w:r>
        <w:rPr>
          <w:rStyle w:val="FootnoteReference"/>
        </w:rPr>
        <w:footnoteReference w:id="2624"/>
      </w:r>
      <w:r>
        <w:t xml:space="preserve">.</w:t>
      </w:r>
    </w:p>
    <w:p>
      <w:pPr>
        <w:numPr>
          <w:ilvl w:val="0"/>
          <w:numId w:val="1336"/>
        </w:numPr>
        <w:pStyle w:val="Compact"/>
      </w:pPr>
      <w:r>
        <w:t xml:space="preserve">Dans une cohorte américaine de 159 398 personnes atteintes de diabète de type 2, 0,04 % des personnes sous sémaglutide ou tirzépatide et 0,02 % dans le groupe de comparaison ont été atteintes en deux ans (hazard ratio 1,76)</w:t>
      </w:r>
      <w:r>
        <w:rPr>
          <w:rStyle w:val="FootnoteReference"/>
        </w:rPr>
        <w:footnoteReference w:id="2625"/>
      </w:r>
      <w:r>
        <w:t xml:space="preserve">.</w:t>
      </w:r>
    </w:p>
    <w:p>
      <w:pPr>
        <w:numPr>
          <w:ilvl w:val="0"/>
          <w:numId w:val="1336"/>
        </w:numPr>
        <w:pStyle w:val="Compact"/>
      </w:pPr>
      <w:r>
        <w:t xml:space="preserve">Une étude internationale sur base de données portant sur près de 300 000 personnes n’a trouvé aucun lien établi</w:t>
      </w:r>
      <w:r>
        <w:rPr>
          <w:rStyle w:val="FootnoteReference"/>
        </w:rPr>
        <w:footnoteReference w:id="2626"/>
      </w:r>
      <w:r>
        <w:t xml:space="preserve">.</w:t>
      </w:r>
    </w:p>
    <w:p>
      <w:pPr>
        <w:numPr>
          <w:ilvl w:val="0"/>
          <w:numId w:val="1336"/>
        </w:numPr>
        <w:pStyle w:val="Compact"/>
      </w:pPr>
      <w:r>
        <w:t xml:space="preserve">Une méta-analyse n’a vu le signal que dans les études observationnelles sur le diabète, ni dans les études randomisées ni dans l’obésité</w:t>
      </w:r>
      <w:r>
        <w:rPr>
          <w:rStyle w:val="FootnoteReference"/>
        </w:rPr>
        <w:footnoteReference w:id="2627"/>
      </w:r>
      <w:r>
        <w:t xml:space="preserve">.</w:t>
      </w:r>
    </w:p>
    <w:p>
      <w:pPr>
        <w:pStyle w:val="FirstParagraph"/>
      </w:pPr>
      <w:r>
        <w:t xml:space="preserve">En résumé : un risque légèrement accru est possible, la fréquence absolue est très faible. L’Agence européenne des médicaments a ajouté en 2025 la NAION au RCP du sémaglutide comme effet indésirable très rare. Une perte soudaine de la vision est dans tous les cas une urgence. Détails au chapitre Sémaglutide.</w:t>
      </w:r>
    </w:p>
    <w:bookmarkEnd w:id="2628"/>
    <w:bookmarkStart w:id="2637" w:name="X138290d43e98cdeacb8f0113fc69abcc045ddb8"/>
    <w:p>
      <w:pPr>
        <w:pStyle w:val="Heading3"/>
      </w:pPr>
      <w:r>
        <w:t xml:space="preserve">Système cardiovasculaire et rétention d’eau</w:t>
      </w:r>
    </w:p>
    <w:p>
      <w:pPr>
        <w:pStyle w:val="FirstParagraph"/>
      </w:pPr>
      <w:r>
        <w:t xml:space="preserve">Pour les médicaments GLP-1, le bénéfice pour le cœur et les vaisseaux l’emporte selon les connaissances actuelles : dans SUSTAIN 6, les événements cardiovasculaires graves ont été moins fréquents sous sémaglutide (6,6 % contre 8,9 %)</w:t>
      </w:r>
      <w:r>
        <w:rPr>
          <w:rStyle w:val="FootnoteReference"/>
        </w:rPr>
        <w:footnoteReference w:id="2629"/>
      </w:r>
      <w:r>
        <w:t xml:space="preserve">. Une légère hausse de la fréquence cardiaque au repos est toutefois une propriété de classe, parfois plus marquée avec les nouveaux agonistes multiples. Sous rétatrutide, une hypotension artérielle est en outre survenue dans TRIUMPH-2 chez 1 à 6 % des participants, contre moins de 1 % sous placebo</w:t>
      </w:r>
      <w:r>
        <w:rPr>
          <w:rStyle w:val="FootnoteReference"/>
        </w:rPr>
        <w:footnoteReference w:id="2630"/>
      </w:r>
      <w:r>
        <w:t xml:space="preserve">. Voir les chapitres Rétatrutide et Survodutide.</w:t>
      </w:r>
    </w:p>
    <w:p>
      <w:pPr>
        <w:pStyle w:val="BodyText"/>
      </w:pPr>
      <w:r>
        <w:t xml:space="preserve">L’</w:t>
      </w:r>
      <w:r>
        <w:rPr>
          <w:bCs/>
          <w:b/>
        </w:rPr>
        <w:t xml:space="preserve">axe de l’hormone de croissance</w:t>
      </w:r>
      <w:r>
        <w:t xml:space="preserve"> </w:t>
      </w:r>
      <w:r>
        <w:t xml:space="preserve">présente un schéma tout autre. L’hormone de croissance retient l’eau dans l’organisme. Dans une revue d’études menées chez des personnes âgées en bonne santé, œdèmes, douleurs articulaires, syndrome du canal carpien et gynécomastie chez l’homme sont survenus plus souvent sous hormone de croissance</w:t>
      </w:r>
      <w:r>
        <w:rPr>
          <w:rStyle w:val="FootnoteReference"/>
        </w:rPr>
        <w:footnoteReference w:id="2631"/>
      </w:r>
      <w:r>
        <w:t xml:space="preserve">. Pour les sécrétagogues, qui stimulent la sécrétion endogène, un schéma similaire est attendu. Il a été le plus net avec l’ibutamorène oral : une étude chez des personnes âgées après une fracture de la hanche a été arrêtée prématurément en raison d’un signal d’insuffisance cardiaque</w:t>
      </w:r>
      <w:r>
        <w:rPr>
          <w:rStyle w:val="FootnoteReference"/>
        </w:rPr>
        <w:footnoteReference w:id="2632"/>
      </w:r>
      <w:r>
        <w:t xml:space="preserve">. Un cœur déjà affaibli supporte mal un surplus de liquide.</w:t>
      </w:r>
    </w:p>
    <w:p>
      <w:pPr>
        <w:pStyle w:val="BodyText"/>
      </w:pPr>
      <w:r>
        <w:t xml:space="preserve">Autres observations isolées :</w:t>
      </w:r>
    </w:p>
    <w:p>
      <w:pPr>
        <w:numPr>
          <w:ilvl w:val="0"/>
          <w:numId w:val="1337"/>
        </w:numPr>
        <w:pStyle w:val="Compact"/>
      </w:pPr>
      <w:r>
        <w:rPr>
          <w:bCs/>
          <w:b/>
        </w:rPr>
        <w:t xml:space="preserve">Le brémélanotide</w:t>
      </w:r>
      <w:r>
        <w:t xml:space="preserve"> </w:t>
      </w:r>
      <w:r>
        <w:t xml:space="preserve">a augmenté temporairement la pression artérielle systolique de 2,4 à 3,2 mmHg après l’administration ; les pics duraient le plus souvent moins de 15 minutes, tandis que le pouls baissait</w:t>
      </w:r>
      <w:r>
        <w:rPr>
          <w:rStyle w:val="FootnoteReference"/>
        </w:rPr>
        <w:footnoteReference w:id="2633"/>
      </w:r>
      <w:r>
        <w:t xml:space="preserve">.</w:t>
      </w:r>
    </w:p>
    <w:p>
      <w:pPr>
        <w:numPr>
          <w:ilvl w:val="0"/>
          <w:numId w:val="1337"/>
        </w:numPr>
        <w:pStyle w:val="Compact"/>
      </w:pPr>
      <w:r>
        <w:rPr>
          <w:bCs/>
          <w:b/>
        </w:rPr>
        <w:t xml:space="preserve">La macimoréline</w:t>
      </w:r>
      <w:r>
        <w:t xml:space="preserve">, à une dose unique volontairement excessive, a allongé l’intervalle QT à l’ECG en moyenne de jusqu’à 9,61 millisecondes</w:t>
      </w:r>
      <w:r>
        <w:rPr>
          <w:rStyle w:val="FootnoteReference"/>
        </w:rPr>
        <w:footnoteReference w:id="2634"/>
      </w:r>
      <w:r>
        <w:t xml:space="preserve"> </w:t>
      </w:r>
      <w:r>
        <w:t xml:space="preserve">– un point pertinent pour les personnes qui prennent d’autres médicaments allongeant le QT.</w:t>
      </w:r>
    </w:p>
    <w:p>
      <w:pPr>
        <w:numPr>
          <w:ilvl w:val="0"/>
          <w:numId w:val="1337"/>
        </w:numPr>
        <w:pStyle w:val="Compact"/>
      </w:pPr>
      <w:r>
        <w:rPr>
          <w:bCs/>
          <w:b/>
        </w:rPr>
        <w:t xml:space="preserve">L’ocytocine</w:t>
      </w:r>
      <w:r>
        <w:t xml:space="preserve"> </w:t>
      </w:r>
      <w:r>
        <w:t xml:space="preserve">ressemble chimiquement à la vasopressine, hormone de l’équilibre hydrique. Un cas d’hypertension intracrânienne sous ocytocine en spray nasal, associé à des apports hydriques très élevés, a été décrit</w:t>
      </w:r>
      <w:r>
        <w:rPr>
          <w:rStyle w:val="FootnoteReference"/>
        </w:rPr>
        <w:footnoteReference w:id="2635"/>
      </w:r>
      <w:r>
        <w:t xml:space="preserve">.</w:t>
      </w:r>
    </w:p>
    <w:p>
      <w:pPr>
        <w:numPr>
          <w:ilvl w:val="0"/>
          <w:numId w:val="1337"/>
        </w:numPr>
        <w:pStyle w:val="Compact"/>
      </w:pPr>
      <w:r>
        <w:rPr>
          <w:bCs/>
          <w:b/>
        </w:rPr>
        <w:t xml:space="preserve">Melanotan II :</w:t>
      </w:r>
      <w:r>
        <w:t xml:space="preserve"> </w:t>
      </w:r>
      <w:r>
        <w:t xml:space="preserve">rapports de cas de rhabdomyolyse avec atteinte rénale</w:t>
      </w:r>
      <w:r>
        <w:rPr>
          <w:rStyle w:val="FootnoteReference"/>
        </w:rPr>
        <w:footnoteReference w:id="2636"/>
      </w:r>
      <w:r>
        <w:t xml:space="preserve"> </w:t>
      </w:r>
      <w:r>
        <w:t xml:space="preserve">et d’un infarctus rénal ; voir le chapitre Melanotan II.</w:t>
      </w:r>
    </w:p>
    <w:bookmarkEnd w:id="2637"/>
    <w:bookmarkStart w:id="2642" w:name="psychisme-et-suicidalité"/>
    <w:p>
      <w:pPr>
        <w:pStyle w:val="Heading3"/>
      </w:pPr>
      <w:r>
        <w:t xml:space="preserve">Psychisme et suicidalité</w:t>
      </w:r>
    </w:p>
    <w:p>
      <w:pPr>
        <w:pStyle w:val="FirstParagraph"/>
      </w:pPr>
      <w:r>
        <w:t xml:space="preserve">En 2023, des déclarations isolées d’idées suicidaires sous sémaglutide et liraglutide ont déclenché des évaluations par les autorités en Europe et aux États-Unis. Les données sont désormais nettement meilleures et majoritairement rassurantes. Une méta-analyse de 86 études randomisées totalisant 133 378 participants n’a trouvé sous agonistes du récepteur du GLP-1 aucun risque accru de troubles psychiques dans leur ensemble (risque relatif 0,96), de dépression (0,88), de suicide (0,90) ou de troubles anxieux (0,92)</w:t>
      </w:r>
      <w:r>
        <w:rPr>
          <w:rStyle w:val="FootnoteReference"/>
        </w:rPr>
        <w:footnoteReference w:id="2638"/>
      </w:r>
      <w:r>
        <w:t xml:space="preserve">. Dans une étude de registre scandinave portant sur 124 517 personnes sous agonistes du récepteur du GLP-1, le risque de suicide n’était pas augmenté par rapport à un autre antidiabétique ; la limite supérieure de l’intervalle de confiance correspondait au plus à 0,16 décès supplémentaire pour 1 000 personnes-années</w:t>
      </w:r>
      <w:r>
        <w:rPr>
          <w:rStyle w:val="FootnoteReference"/>
        </w:rPr>
        <w:footnoteReference w:id="2639"/>
      </w:r>
      <w:r>
        <w:t xml:space="preserve">. Dans les études SURMOUNT, 0,6 % des participants sous tirzépatide comme sous placebo ont signalé des idées suicidaires</w:t>
      </w:r>
      <w:r>
        <w:rPr>
          <w:rStyle w:val="FootnoteReference"/>
        </w:rPr>
        <w:footnoteReference w:id="2640"/>
      </w:r>
      <w:r>
        <w:t xml:space="preserve">. Chez les adolescents aussi, une méta-analyse n’a trouvé aucune augmentation des comportements suicidaires ou de la dépression</w:t>
      </w:r>
      <w:r>
        <w:rPr>
          <w:rStyle w:val="FootnoteReference"/>
        </w:rPr>
        <w:footnoteReference w:id="2641"/>
      </w:r>
      <w:r>
        <w:t xml:space="preserve">.</w:t>
      </w:r>
    </w:p>
    <w:p>
      <w:pPr>
        <w:pStyle w:val="BodyText"/>
      </w:pPr>
      <w:r>
        <w:t xml:space="preserve">Une restriction demeure : les personnes atteintes de troubles psychiques graves étaient exclues de nombreuses études. Pour elles et pour les personnes atteintes de troubles du comportement alimentaire, des considérations spécifiques s’appliquent (voir le chapitre « Interactions et groupes à risque particulier »).</w:t>
      </w:r>
    </w:p>
    <w:p>
      <w:pPr>
        <w:pStyle w:val="BodyText"/>
      </w:pPr>
      <w:r>
        <w:t xml:space="preserve">D’autres peptides agissent plus directement sur le cerveau. Le RCP du setmélanotide comporte des mises en garde concernant la dépression et les idées suicidaires (chapitre Setmélanotide). Pour le Semax, une modification de l’EEG de type crise a été décrite chez quelques personnes ayant un cerveau déjà lésé (chapitre Semax). Pour la plupart des « peptides nootropes » du groupe D, il n’existe tout simplement pas de données systématiques sur les effets indésirables psychiques.</w:t>
      </w:r>
    </w:p>
    <w:bookmarkEnd w:id="2642"/>
    <w:bookmarkStart w:id="2650" w:name="peau-et-pigment"/>
    <w:p>
      <w:pPr>
        <w:pStyle w:val="Heading3"/>
      </w:pPr>
      <w:r>
        <w:t xml:space="preserve">Peau et pigment</w:t>
      </w:r>
    </w:p>
    <w:p>
      <w:pPr>
        <w:pStyle w:val="FirstParagraph"/>
      </w:pPr>
      <w:r>
        <w:t xml:space="preserve">Les modifications cutanées les plus visibles sont dues aux peptides qui agissent sur le</w:t>
      </w:r>
      <w:r>
        <w:t xml:space="preserve"> </w:t>
      </w:r>
      <w:r>
        <w:rPr>
          <w:bCs/>
          <w:b/>
        </w:rPr>
        <w:t xml:space="preserve">récepteur de la mélanocortine 1</w:t>
      </w:r>
      <w:r>
        <w:t xml:space="preserve"> </w:t>
      </w:r>
      <w:r>
        <w:t xml:space="preserve">des cellules pigmentaires. Sous setmélanotide, qui est en principe censé agir sur le récepteur de la mélanocortine 4 dans le cerveau, la peau a foncé chez 62 % des personnes traitées dans une méta-analyse</w:t>
      </w:r>
      <w:r>
        <w:rPr>
          <w:rStyle w:val="FootnoteReference"/>
        </w:rPr>
        <w:footnoteReference w:id="2643"/>
      </w:r>
      <w:r>
        <w:t xml:space="preserve">. Dans une observation sur une durée allant jusqu’à 46 mois, les lèvres et les grains de beauté ont également foncé, les cheveux roux sont devenus bruns ; aucune lésion cutanée maligne n’est survenue</w:t>
      </w:r>
      <w:r>
        <w:rPr>
          <w:rStyle w:val="FootnoteReference"/>
        </w:rPr>
        <w:footnoteReference w:id="2644"/>
      </w:r>
      <w:r>
        <w:t xml:space="preserve">. Le brémélanotide, administré jusqu’à 16 jours consécutifs, a provoqué des taches sombres circonscrites chez plus d’un tiers des participants</w:t>
      </w:r>
      <w:r>
        <w:rPr>
          <w:rStyle w:val="FootnoteReference"/>
        </w:rPr>
        <w:footnoteReference w:id="2645"/>
      </w:r>
      <w:r>
        <w:t xml:space="preserve">.</w:t>
      </w:r>
    </w:p>
    <w:p>
      <w:pPr>
        <w:pStyle w:val="BodyText"/>
      </w:pPr>
      <w:r>
        <w:t xml:space="preserve">Avec le Melanotan II, non autorisé, s’y ajoutent des grains de beauté nouveaux, parfois atypiques. Une revue de tous les cas publiés d’apparition soudaine de grains de beauté, portant sur 179 personnes, citait le Melanotan parmi les déclencheurs ; 16 % de tous les cas présentaient au moins un grain de beauté histologiquement atypique (dysplasique)</w:t>
      </w:r>
      <w:r>
        <w:rPr>
          <w:rStyle w:val="FootnoteReference"/>
        </w:rPr>
        <w:footnoteReference w:id="2646"/>
      </w:r>
      <w:r>
        <w:t xml:space="preserve">. La question de savoir s’il en découle un risque accru de mélanome est traitée au chapitre suivant.</w:t>
      </w:r>
    </w:p>
    <w:p>
      <w:pPr>
        <w:pStyle w:val="BodyText"/>
      </w:pPr>
      <w:r>
        <w:t xml:space="preserve">Pour les médicaments GLP-1, d’autres atteintes cutanées sont au premier plan. Une revue systématique cite les réactions au point d’injection le plus souvent sous tirzépatide (2 à 7 %) et les sensations cutanées anormales (dysesthésie) surtout sous sémaglutide : environ 5 % aux doses standard, jusqu’à 20 % aux doses élevées utilisées dans l’obésité</w:t>
      </w:r>
      <w:r>
        <w:rPr>
          <w:rStyle w:val="FootnoteReference"/>
        </w:rPr>
        <w:footnoteReference w:id="2647"/>
      </w:r>
      <w:r>
        <w:t xml:space="preserve">. Sous rétatrutide, la dysesthésie est survenue dans TRIUMPH-2 de manière dose-dépendante chez 4 à 7 % des participants, contre 1 % sous placebo</w:t>
      </w:r>
      <w:r>
        <w:rPr>
          <w:rStyle w:val="FootnoteReference"/>
        </w:rPr>
        <w:footnoteReference w:id="2648"/>
      </w:r>
      <w:r>
        <w:t xml:space="preserve">. Les réactions au point d’injection et les allergies sont résumées au chapitre « Réactions immunitaires et anticorps ».</w:t>
      </w:r>
    </w:p>
    <w:p>
      <w:pPr>
        <w:pStyle w:val="BodyText"/>
      </w:pPr>
      <w:r>
        <w:t xml:space="preserve">Le LL-37 est un cas particulier : après des injections dans des métastases cutanées, une patiente a présenté de nombreuses lésions cutanées verruqueuses, d’abord prises pour un cancer, qui ont régressé après l’arrêt</w:t>
      </w:r>
      <w:r>
        <w:rPr>
          <w:rStyle w:val="FootnoteReference"/>
        </w:rPr>
        <w:footnoteReference w:id="2649"/>
      </w:r>
      <w:r>
        <w:t xml:space="preserve">. Les autorités ont mis en garde à plusieurs reprises contre les injections de glutathion destinées à éclaircir la peau (chapitre Glutathion).</w:t>
      </w:r>
    </w:p>
    <w:bookmarkEnd w:id="2650"/>
    <w:bookmarkStart w:id="2654" w:name="système-hormonal"/>
    <w:p>
      <w:pPr>
        <w:pStyle w:val="Heading3"/>
      </w:pPr>
      <w:r>
        <w:t xml:space="preserve">Système hormonal</w:t>
      </w:r>
    </w:p>
    <w:p>
      <w:pPr>
        <w:pStyle w:val="FirstParagraph"/>
      </w:pPr>
      <w:r>
        <w:t xml:space="preserve">De nombreux peptides sont eux-mêmes des hormones ou imitent des hormones. Il n’est donc pas surprenant qu’ils interviennent dans des boucles de régulation qui dépassent la cible proprement dite.</w:t>
      </w:r>
    </w:p>
    <w:p>
      <w:pPr>
        <w:numPr>
          <w:ilvl w:val="0"/>
          <w:numId w:val="1338"/>
        </w:numPr>
        <w:pStyle w:val="Compact"/>
      </w:pPr>
      <w:r>
        <w:rPr>
          <w:bCs/>
          <w:b/>
        </w:rPr>
        <w:t xml:space="preserve">Hormones du stress et prolactine :</w:t>
      </w:r>
      <w:r>
        <w:t xml:space="preserve"> </w:t>
      </w:r>
      <w:r>
        <w:t xml:space="preserve">les mimétiques de la ghréline GHRP-2, GHRP-6, hexaréline et macimoréline libèrent, en plus de l’hormone de croissance, de l’ACTH et du cortisol, certains également de la prolactine. Avec le GHRP-2, cet effet est si fiable qu’il a été étudié comme test de l’axe surrénalien</w:t>
      </w:r>
      <w:r>
        <w:rPr>
          <w:rStyle w:val="FootnoteReference"/>
        </w:rPr>
        <w:footnoteReference w:id="2651"/>
      </w:r>
      <w:r>
        <w:t xml:space="preserve">. Les effets d’une stimulation répétée pendant des mois n’ont pas été étudiés (chapitres GHRP-2, GHRP-6, Hexaréline).</w:t>
      </w:r>
    </w:p>
    <w:p>
      <w:pPr>
        <w:numPr>
          <w:ilvl w:val="0"/>
          <w:numId w:val="1338"/>
        </w:numPr>
        <w:pStyle w:val="Compact"/>
      </w:pPr>
      <w:r>
        <w:rPr>
          <w:bCs/>
          <w:b/>
        </w:rPr>
        <w:t xml:space="preserve">Suppression au lieu de stimulation :</w:t>
      </w:r>
      <w:r>
        <w:t xml:space="preserve"> </w:t>
      </w:r>
      <w:r>
        <w:t xml:space="preserve">les hormones sécrétées par l’organisme de manière pulsatile ont souvent l’effet inverse en administration continue. Avec l’analogue de la kisspeptine TAK-448, la testostérone d’hommes en bonne santé est tombée jusqu’au niveau de castration sous une perfusion continue de 14 jours</w:t>
      </w:r>
      <w:r>
        <w:rPr>
          <w:rStyle w:val="FootnoteReference"/>
        </w:rPr>
        <w:footnoteReference w:id="2652"/>
      </w:r>
      <w:r>
        <w:t xml:space="preserve">. Le même principe s’applique à la gonadoréline lorsqu’elle n’est pas administrée au bon rythme (chapitres Kisspeptine, Gonadoréline).</w:t>
      </w:r>
    </w:p>
    <w:p>
      <w:pPr>
        <w:numPr>
          <w:ilvl w:val="0"/>
          <w:numId w:val="1338"/>
        </w:numPr>
        <w:pStyle w:val="Compact"/>
      </w:pPr>
      <w:r>
        <w:rPr>
          <w:bCs/>
          <w:b/>
        </w:rPr>
        <w:t xml:space="preserve">La gynécomastie</w:t>
      </w:r>
      <w:r>
        <w:t xml:space="preserve"> </w:t>
      </w:r>
      <w:r>
        <w:t xml:space="preserve">est une conséquence connue d’un effet accru de l’hormone de croissance</w:t>
      </w:r>
      <w:r>
        <w:rPr>
          <w:rStyle w:val="FootnoteReference"/>
        </w:rPr>
        <w:footnoteReference w:id="2653"/>
      </w:r>
      <w:r>
        <w:t xml:space="preserve">.</w:t>
      </w:r>
    </w:p>
    <w:p>
      <w:pPr>
        <w:numPr>
          <w:ilvl w:val="0"/>
          <w:numId w:val="1338"/>
        </w:numPr>
        <w:pStyle w:val="Compact"/>
      </w:pPr>
      <w:r>
        <w:rPr>
          <w:bCs/>
          <w:b/>
        </w:rPr>
        <w:t xml:space="preserve">Fonction sexuelle :</w:t>
      </w:r>
      <w:r>
        <w:t xml:space="preserve"> </w:t>
      </w:r>
      <w:r>
        <w:t xml:space="preserve">les agonistes de la mélanocortine peuvent déclencher des érections spontanées ; pour le Melanotan II, des cas de priapisme, une érection prolongée et douloureuse, ont été décrits (chapitres Melanotan II, Setmélanotide).</w:t>
      </w:r>
    </w:p>
    <w:bookmarkEnd w:id="2654"/>
    <w:bookmarkStart w:id="2660" w:name="glycémie"/>
    <w:p>
      <w:pPr>
        <w:pStyle w:val="Heading3"/>
      </w:pPr>
      <w:r>
        <w:t xml:space="preserve">Glycémie</w:t>
      </w:r>
    </w:p>
    <w:p>
      <w:pPr>
        <w:pStyle w:val="FirstParagraph"/>
      </w:pPr>
      <w:r>
        <w:t xml:space="preserve">Les peptides peuvent modifier la glycémie dans les deux sens – et les deux sens sont pertinents.</w:t>
      </w:r>
    </w:p>
    <w:p>
      <w:pPr>
        <w:pStyle w:val="BodyText"/>
      </w:pPr>
      <w:r>
        <w:rPr>
          <w:bCs/>
          <w:b/>
        </w:rPr>
        <w:t xml:space="preserve">Hypoglycémie.</w:t>
      </w:r>
      <w:r>
        <w:t xml:space="preserve"> </w:t>
      </w:r>
      <w:r>
        <w:t xml:space="preserve">Le risque le plus élevé concerne la mécasermine, c’est-à-dire l’IGF-1 en tant que médicament : dans une étude à long terme portant sur 76 enfants, l’hypoglycémie était, avec 49 %, l’effet indésirable le plus fréquent</w:t>
      </w:r>
      <w:r>
        <w:rPr>
          <w:rStyle w:val="FootnoteReference"/>
        </w:rPr>
        <w:footnoteReference w:id="2655"/>
      </w:r>
      <w:r>
        <w:t xml:space="preserve">. Pour la préparation de laboratoire IGF-1 LR3, un risque similaire ou plus élevé est biologiquement plausible, mais n’a jamais été mesuré (chapitre IGF-1 LR3). Le pramlintide renforce l’effet de l’insuline injectée simultanément ; dans une étude, les hypoglycémies sévères étaient plus fréquentes que sous placebo (0,57 contre 0,30 événement par patient-année)</w:t>
      </w:r>
      <w:r>
        <w:rPr>
          <w:rStyle w:val="FootnoteReference"/>
        </w:rPr>
        <w:footnoteReference w:id="2656"/>
      </w:r>
      <w:r>
        <w:t xml:space="preserve">. Seuls, les médicaments GLP-1 n’abaissent guère la glycémie jusqu’à la zone dangereuse, car leur effet est couplé à la glycémie. En association avec des sulfamides hypoglycémiants ou de l’insuline, le risque augmente toutefois : sous exénatide ajouté à la metformine et à un sulfamide hypoglycémiant, des hypoglycémies légères à modérées sont survenues chez 28 % et 19 % des participants, contre 13 % sous placebo</w:t>
      </w:r>
      <w:r>
        <w:rPr>
          <w:rStyle w:val="FootnoteReference"/>
        </w:rPr>
        <w:footnoteReference w:id="2657"/>
      </w:r>
      <w:r>
        <w:t xml:space="preserve">. Pour en savoir plus, voir le chapitre « Interactions et groupes à risque particulier ».</w:t>
      </w:r>
    </w:p>
    <w:p>
      <w:pPr>
        <w:pStyle w:val="BodyText"/>
      </w:pPr>
      <w:r>
        <w:t xml:space="preserve">Une hypoglycémie sévère après une prétendue « injection amaigrissante » chez une personne non diabétique est un signal d’alerte évoquant une contrefaçon contenant de l’insuline. Ces cas sont décrits dans la partie I, au chapitre « Le marché gris ».</w:t>
      </w:r>
    </w:p>
    <w:p>
      <w:pPr>
        <w:pStyle w:val="BodyText"/>
      </w:pPr>
      <w:r>
        <w:rPr>
          <w:bCs/>
          <w:b/>
        </w:rPr>
        <w:t xml:space="preserve">Glycémie plus élevée.</w:t>
      </w:r>
      <w:r>
        <w:t xml:space="preserve"> </w:t>
      </w:r>
      <w:r>
        <w:t xml:space="preserve">L’hormone de croissance s’oppose à l’insuline. Sous ibutamorène, la glycémie à jeun de personnes âgées en bonne santé a augmenté en moyenne de 0,3 mmol/l, et le poids corporel de 2,7 kg contre 0,8 kg sous placebo</w:t>
      </w:r>
      <w:r>
        <w:rPr>
          <w:rStyle w:val="FootnoteReference"/>
        </w:rPr>
        <w:footnoteReference w:id="2658"/>
      </w:r>
      <w:r>
        <w:t xml:space="preserve">. Dans la revue sur l’hormone de croissance chez les personnes âgées, un nouveau diabète et une hyperglycémie à jeun sont survenus un peu plus souvent</w:t>
      </w:r>
      <w:r>
        <w:rPr>
          <w:rStyle w:val="FootnoteReference"/>
        </w:rPr>
        <w:footnoteReference w:id="2659"/>
      </w:r>
      <w:r>
        <w:t xml:space="preserve">. Sous tésamoréline, la glycémie à jeun a augmenté temporairement au cours des premières semaines (chapitre Tésamoréline). Pour les personnes atteintes de diabète ou de prédiabète, l’axe de l’hormone de croissance est donc particulièrement délicat.</w:t>
      </w:r>
    </w:p>
    <w:bookmarkEnd w:id="2660"/>
    <w:bookmarkStart w:id="2661" w:name="ce-qui-ressort-de-la-comparaison"/>
    <w:p>
      <w:pPr>
        <w:pStyle w:val="Heading3"/>
      </w:pPr>
      <w:r>
        <w:t xml:space="preserve">Ce qui ressort de la comparaison</w:t>
      </w:r>
    </w:p>
    <w:p>
      <w:pPr>
        <w:pStyle w:val="FirstParagraph"/>
      </w:pPr>
      <w:r>
        <w:t xml:space="preserve">Sur l’ensemble des systèmes d’organes, trois schémas se dégagent.</w:t>
      </w:r>
    </w:p>
    <w:p>
      <w:pPr>
        <w:pStyle w:val="BodyText"/>
      </w:pPr>
      <w:r>
        <w:t xml:space="preserve">Premièrement : les peptides les mieux étudiés – les médicaments GLP-1 autorisés – ont les effets indésirables les mieux connus. Ce n’est pas parce qu’ils seraient particulièrement dangereux, mais parce que des centaines de milliers de personnes ont été suivies dans des études et des registres. Les troubles fréquents concernent le tube digestif et sont le plus souvent transitoires ; des risques plus sérieux comme les calculs biliaires sont démontrés, mais rares en chiffres absolus ; des signaux comme la NAION sont très rares et continuent d’être étudiés.</w:t>
      </w:r>
    </w:p>
    <w:p>
      <w:pPr>
        <w:pStyle w:val="BodyText"/>
      </w:pPr>
      <w:r>
        <w:t xml:space="preserve">Deuxièmement : les peptides de l’axe de l’hormone de croissance partagent un profil commun associant rétention d’eau, glycémie plus élevée et hausse des hormones du stress. Pour une utilisation pendant des mois ou des années chez des personnes en bonne santé, il n’existe pratiquement aucune donnée.</w:t>
      </w:r>
    </w:p>
    <w:p>
      <w:pPr>
        <w:pStyle w:val="BodyText"/>
      </w:pPr>
      <w:r>
        <w:t xml:space="preserve">Troisièmement : pour la majorité des peptides des groupes B et D, les risques pour les organes ne peuvent tout simplement pas être décrits, parce que personne ne les a recherchés de manière systématique. Le plus grand risque pratique ne réside pas dans la substance, mais dans le produit – pour en savoir plus, voir le chapitre « Produits du marché gris ».</w:t>
      </w:r>
    </w:p>
    <w:bookmarkEnd w:id="2661"/>
    <w:bookmarkEnd w:id="2662"/>
    <w:bookmarkStart w:id="2703" w:name="X6449d403acb6c65dc82b36c9cd9f7a1623ff79c"/>
    <w:p>
      <w:pPr>
        <w:pStyle w:val="Heading2"/>
      </w:pPr>
      <w:r>
        <w:t xml:space="preserve">Risque de cancer et signaux de croissance</w:t>
      </w:r>
    </w:p>
    <w:p>
      <w:pPr>
        <w:pStyle w:val="FirstParagraph"/>
      </w:pPr>
      <w:r>
        <w:t xml:space="preserve">De nombreux peptides sont promus précisément parce qu’ils sont censés stimuler la croissance : des muscles, des tendons, des vaisseaux sanguins, des cellules nerveuses ou des cheveux. Mais la croissance n’est pas sélective. Les voies de signalisation par lesquelles les tissus guérissent et se renouvellent sont aussi utilisées par les cellules cancéreuses. C’est pourquoi la même question se pose pour presque chaque peptide « de guérison », « anti-âge » ou de l’hormone de croissance : peut-il favoriser un cancer ?</w:t>
      </w:r>
    </w:p>
    <w:p>
      <w:pPr>
        <w:pStyle w:val="BodyText"/>
      </w:pPr>
      <w:r>
        <w:t xml:space="preserve">Ce chapitre résume ce que l’on sait à ce sujet – en distinguant les quatre mécanismes qui reviennent sans cesse dans la partie II : l’axe hormone de croissance-IGF-1, la formation de nouveaux vaisseaux sanguins, la stimulation des cellules pigmentaires et l’effet des médicaments GLP-1 sur la thyroïde et le pancréas. Il se termine par une vue d’ensemble des plus récentes grandes analyses sur les médicaments GLP-1 et le cancer.</w:t>
      </w:r>
    </w:p>
    <w:bookmarkStart w:id="2664" w:name="comment-situer-la-question-du-cancer"/>
    <w:p>
      <w:pPr>
        <w:pStyle w:val="Heading3"/>
      </w:pPr>
      <w:r>
        <w:t xml:space="preserve">Comment situer la question du cancer</w:t>
      </w:r>
    </w:p>
    <w:p>
      <w:pPr>
        <w:pStyle w:val="FirstParagraph"/>
      </w:pPr>
      <w:r>
        <w:t xml:space="preserve">Quatre points aident à lire les données qui suivent.</w:t>
      </w:r>
    </w:p>
    <w:p>
      <w:pPr>
        <w:pStyle w:val="BodyText"/>
      </w:pPr>
      <w:r>
        <w:rPr>
          <w:bCs/>
          <w:b/>
        </w:rPr>
        <w:t xml:space="preserve">Déclencher ou favoriser.</w:t>
      </w:r>
      <w:r>
        <w:t xml:space="preserve"> </w:t>
      </w:r>
      <w:r>
        <w:t xml:space="preserve">Une substance peut déclencher un cancer en endommageant le patrimoine génétique. Pour les peptides, on discute plus souvent d’une autre possibilité : un signal de croissance pourrait faire grandir plus vite une tumeur déjà présente mais encore non détectée – comme un engrais pour une plante déjà en terre. Pour cette seconde possibilité, il suffit que la substance stimule la division cellulaire, la survie cellulaire ou la formation de nouveaux vaisseaux.</w:t>
      </w:r>
    </w:p>
    <w:p>
      <w:pPr>
        <w:pStyle w:val="BodyText"/>
      </w:pPr>
      <w:r>
        <w:rPr>
          <w:bCs/>
          <w:b/>
        </w:rPr>
        <w:t xml:space="preserve">Le temps.</w:t>
      </w:r>
      <w:r>
        <w:t xml:space="preserve"> </w:t>
      </w:r>
      <w:r>
        <w:t xml:space="preserve">Un cancer se développe sur des années, voire des décennies. La plupart des études sur les peptides durent de quelques semaines à quelques années. Même les grandes études d’autorisation peuvent difficilement saisir un risque qui apparaît lentement. Il faut pour cela des registres et des études observationnelles sur de longues périodes – qui sont à leur tour sujets à des biais.</w:t>
      </w:r>
    </w:p>
    <w:p>
      <w:pPr>
        <w:pStyle w:val="BodyText"/>
      </w:pPr>
      <w:r>
        <w:rPr>
          <w:bCs/>
          <w:b/>
        </w:rPr>
        <w:t xml:space="preserve">Biais de diagnostic.</w:t>
      </w:r>
      <w:r>
        <w:t xml:space="preserve"> </w:t>
      </w:r>
      <w:r>
        <w:t xml:space="preserve">Une personne examinée plus souvent à cause d’un médicament se voit aussi diagnostiquer plus souvent des tumeurs. Un exemple : une méta-analyse a trouvé dans des études GLP-1 plus courtes un peu plus de diagnostics de cancer colorectal et a supposé, comme explication, que les troubles digestifs avaient conduit à davantage de coloscopies</w:t>
      </w:r>
      <w:r>
        <w:rPr>
          <w:rStyle w:val="FootnoteReference"/>
        </w:rPr>
        <w:footnoteReference w:id="2663"/>
      </w:r>
      <w:r>
        <w:t xml:space="preserve">.</w:t>
      </w:r>
    </w:p>
    <w:p>
      <w:pPr>
        <w:pStyle w:val="BodyText"/>
      </w:pPr>
      <w:r>
        <w:rPr>
          <w:bCs/>
          <w:b/>
        </w:rPr>
        <w:t xml:space="preserve">Le sens inverse.</w:t>
      </w:r>
      <w:r>
        <w:t xml:space="preserve"> </w:t>
      </w:r>
      <w:r>
        <w:t xml:space="preserve">Le surpoids augmente le risque d’au moins 13 types de cancer. Un médicament qui réduit fortement le poids pourrait donc abaisser le risque de cancer dans son ensemble, même s’il existe un petit signal pour un organe donné. Les deux aspects ne peuvent être examinés que séparément.</w:t>
      </w:r>
    </w:p>
    <w:bookmarkEnd w:id="2664"/>
    <w:bookmarkStart w:id="2674" w:name="hormone-de-croissance-et-igf-1"/>
    <w:p>
      <w:pPr>
        <w:pStyle w:val="Heading3"/>
      </w:pPr>
      <w:r>
        <w:t xml:space="preserve">Hormone de croissance et IGF-1</w:t>
      </w:r>
    </w:p>
    <w:p>
      <w:pPr>
        <w:pStyle w:val="FirstParagraph"/>
      </w:pPr>
      <w:r>
        <w:t xml:space="preserve">L’hormone de croissance agit en grande partie par l’intermédiaire de l’IGF-1, le facteur de croissance analogue à l’insuline 1. L’IGF-1 incite les cellules à se diviser et les protège contre la mort cellulaire programmée. Tous les peptides du groupe C – sermoréline, tésamoréline, CJC-1295, ipamoréline, la famille des GHRP, mécasermine et IGF-1 LR3 – ainsi que l’ibutamorène, présenté à titre de comparaison, augmentent directement ou indirectement l’IGF-1. Les données sur la question du cancer proviennent de cinq sources.</w:t>
      </w:r>
    </w:p>
    <w:p>
      <w:pPr>
        <w:pStyle w:val="BodyText"/>
      </w:pPr>
      <w:r>
        <w:rPr>
          <w:bCs/>
          <w:b/>
        </w:rPr>
        <w:t xml:space="preserve">Taux d’IGF-1 naturellement plus élevés.</w:t>
      </w:r>
      <w:r>
        <w:t xml:space="preserve"> </w:t>
      </w:r>
      <w:r>
        <w:t xml:space="preserve">Une méta-analyse de 21 études a trouvé chez les personnes ayant des taux d’IGF-1 élevés un risque plus élevé de cancer de la prostate (odds ratio 1,49 en comparant une valeur d’IGF-1 au 75e percentile à une valeur au 25e percentile) et de cancer du sein avant la ménopause (1,65) ; les auteurs ont expressément qualifié ces associations de « modestes »</w:t>
      </w:r>
      <w:r>
        <w:rPr>
          <w:rStyle w:val="FootnoteReference"/>
        </w:rPr>
        <w:footnoteReference w:id="2665"/>
      </w:r>
      <w:r>
        <w:t xml:space="preserve">. Dans la UK Biobank, portant sur 206 263 femmes, le risque de cancer du sein augmentait de 11 % pour chaque 5 nmol/l d’IGF-1 supplémentaire</w:t>
      </w:r>
      <w:r>
        <w:rPr>
          <w:rStyle w:val="FootnoteReference"/>
        </w:rPr>
        <w:footnoteReference w:id="2666"/>
      </w:r>
      <w:r>
        <w:t xml:space="preserve"> </w:t>
      </w:r>
      <w:r>
        <w:t xml:space="preserve">; pour le cancer colorectal, le même groupe a trouvé une association similaire chez près de 400 000 participants</w:t>
      </w:r>
      <w:r>
        <w:rPr>
          <w:rStyle w:val="FootnoteReference"/>
        </w:rPr>
        <w:footnoteReference w:id="2667"/>
      </w:r>
      <w:r>
        <w:t xml:space="preserve">.</w:t>
      </w:r>
    </w:p>
    <w:p>
      <w:pPr>
        <w:pStyle w:val="BodyText"/>
      </w:pPr>
      <w:r>
        <w:rPr>
          <w:bCs/>
          <w:b/>
        </w:rPr>
        <w:t xml:space="preserve">Analyses génétiques.</w:t>
      </w:r>
      <w:r>
        <w:t xml:space="preserve"> </w:t>
      </w:r>
      <w:r>
        <w:t xml:space="preserve">La randomisation mendélienne utilise des variants génétiques qui élèvent légèrement le taux d’IGF-1 tout au long de la vie comme expérience naturelle. Là aussi, un IGF-1 génétiquement plus élevé était associé à un peu plus de cancers du sein (odds ratio 1,05 pour 5 nmol/l)</w:t>
      </w:r>
      <w:r>
        <w:rPr>
          <w:rStyle w:val="FootnoteReference"/>
        </w:rPr>
        <w:footnoteReference w:id="2668"/>
      </w:r>
      <w:r>
        <w:t xml:space="preserve">. Cela plaide pour une association qui ne repose pas uniquement sur des facteurs concomitants.</w:t>
      </w:r>
    </w:p>
    <w:p>
      <w:pPr>
        <w:pStyle w:val="BodyText"/>
      </w:pPr>
      <w:r>
        <w:rPr>
          <w:bCs/>
          <w:b/>
        </w:rPr>
        <w:t xml:space="preserve">Excès d’hormone de croissance dû à une maladie.</w:t>
      </w:r>
      <w:r>
        <w:t xml:space="preserve"> </w:t>
      </w:r>
      <w:r>
        <w:t xml:space="preserve">Dans l’acromégalie, une surproduction d’hormone de croissance due à une tumeur de l’hypophyse, une méta-analyse de 23 études a montré un taux de cancer accru d’environ la moitié (ratio standardisé 1,5), avec des valeurs particulièrement élevées pour les cancers colorectal et thyroïdien. Les études plus petites et plus anciennes montraient toutefois des valeurs plus élevées que les grandes, ce qui suggère des biais de sélection</w:t>
      </w:r>
      <w:r>
        <w:rPr>
          <w:rStyle w:val="FootnoteReference"/>
        </w:rPr>
        <w:footnoteReference w:id="2669"/>
      </w:r>
      <w:r>
        <w:t xml:space="preserve">.</w:t>
      </w:r>
    </w:p>
    <w:p>
      <w:pPr>
        <w:pStyle w:val="BodyText"/>
      </w:pPr>
      <w:r>
        <w:rPr>
          <w:bCs/>
          <w:b/>
        </w:rPr>
        <w:t xml:space="preserve">Déficit en IGF-1 dû à une maladie.</w:t>
      </w:r>
      <w:r>
        <w:t xml:space="preserve"> </w:t>
      </w:r>
      <w:r>
        <w:t xml:space="preserve">Chez les personnes atteintes du syndrome de Laron, qui ne produisent presque pas d’IGF-1 en raison d’un défaut génétique, un seul cancer, non mortel, est survenu en Équateur sur 22 ans d’observation ; chez les apparentés non atteints, la proportion était de 17 %</w:t>
      </w:r>
      <w:r>
        <w:rPr>
          <w:rStyle w:val="FootnoteReference"/>
        </w:rPr>
        <w:footnoteReference w:id="2670"/>
      </w:r>
      <w:r>
        <w:t xml:space="preserve">.</w:t>
      </w:r>
    </w:p>
    <w:p>
      <w:pPr>
        <w:pStyle w:val="BodyText"/>
      </w:pPr>
      <w:r>
        <w:rPr>
          <w:bCs/>
          <w:b/>
        </w:rPr>
        <w:t xml:space="preserve">L’hormone de croissance comme médicament.</w:t>
      </w:r>
      <w:r>
        <w:t xml:space="preserve"> </w:t>
      </w:r>
      <w:r>
        <w:t xml:space="preserve">Chez 23 984 enfants traités par hormone de croissance dans huit pays européens, aucun risque de cancer nettement accru n’a été trouvé en l’absence de maladie préexistante grave. On notait certains types de cancer (os, vessie) et une hausse de la mortalité par cancer avec une dose quotidienne plus élevée chez les enfants qui avaient déjà eu un cancer auparavant</w:t>
      </w:r>
      <w:r>
        <w:rPr>
          <w:rStyle w:val="FootnoteReference"/>
        </w:rPr>
        <w:footnoteReference w:id="2671"/>
      </w:r>
      <w:r>
        <w:t xml:space="preserve">. Chez 8 418 adultes traités pour insuffisance hypophysaire, le risque de cancer n’était pas augmenté ; le taux de cancer était même inférieur à la moyenne de la population</w:t>
      </w:r>
      <w:r>
        <w:rPr>
          <w:rStyle w:val="FootnoteReference"/>
        </w:rPr>
        <w:footnoteReference w:id="2672"/>
      </w:r>
      <w:r>
        <w:t xml:space="preserve">.</w:t>
      </w:r>
    </w:p>
    <w:p>
      <w:pPr>
        <w:pStyle w:val="BodyText"/>
      </w:pPr>
      <w:r>
        <w:t xml:space="preserve">Qu’en conclure ? Une personne qui présente un véritable déficit et reçoit en remplacement une hormone manquante ne court pas, selon les connaissances actuelles, de risque de cancer nettement accru. En revanche, une personne qui élève un taux normal pendant des années entre dans la zone où les études observationnelles et génétiques montrent un risque modérément plus élevé. Pour cette situation précise – des adultes en bonne santé qui utilisent des sécrétagogues pour améliorer leurs performances ou « se rajeunir » –, il n’existe pas d’études à long terme. L’ibutamorène, par exemple, a élevé l’IGF-1 de personnes âgées en bonne santé au niveau de jeunes adultes</w:t>
      </w:r>
      <w:r>
        <w:rPr>
          <w:rStyle w:val="FootnoteReference"/>
        </w:rPr>
        <w:footnoteReference w:id="2673"/>
      </w:r>
      <w:r>
        <w:t xml:space="preserve"> </w:t>
      </w:r>
      <w:r>
        <w:t xml:space="preserve">; aucun signal de cancer n’a été rapporté, mais l’étude n’était pour cela ni assez grande ni assez longue.</w:t>
      </w:r>
    </w:p>
    <w:p>
      <w:pPr>
        <w:pStyle w:val="BodyText"/>
      </w:pPr>
      <w:r>
        <w:t xml:space="preserve">Deux cas particuliers méritent d’être mentionnés. Pour la mécasermine autorisée, des tumeurs bénignes et malignes ont été signalées chez des enfants traités après la mise sur le marché ; les RCP comportent des mises en garde correspondantes, et elle ne doit pas être utilisée en cas de cancer actif (état 2026, à vérifier ; chapitre Mécasermine). La préparation de laboratoire IGF-1 LR3 a été modifiée de manière à ne plus se lier aux protéines de liaison sanguines qui tamponnent normalement l’IGF-1. Elle agit ainsi plus fortement et plus longtemps sur le récepteur – théoriquement, exactement dans la direction défavorable. Cela n’a jamais été étudié chez l’humain (chapitre IGF-1 LR3).</w:t>
      </w:r>
    </w:p>
    <w:bookmarkEnd w:id="2674"/>
    <w:bookmarkStart w:id="2684" w:name="X94d792a7d2622fee129bd7802faad61ab575489"/>
    <w:p>
      <w:pPr>
        <w:pStyle w:val="Heading3"/>
      </w:pPr>
      <w:r>
        <w:t xml:space="preserve">Formation de nouveaux vaisseaux et autres signaux de croissance</w:t>
      </w:r>
    </w:p>
    <w:p>
      <w:pPr>
        <w:pStyle w:val="FirstParagraph"/>
      </w:pPr>
      <w:r>
        <w:t xml:space="preserve">Une tumeur qui veut dépasser quelques millimètres a besoin de ses propres vaisseaux sanguins. Ce processus s’appelle l’angiogenèse. Certains médicaments anticancéreux autorisés agissent justement en bloquant la principale voie de signalisation de la formation de nouveaux vaisseaux, le système VEGF. À l’inverse, les substances qui favorisent la formation de nouveaux vaisseaux sont soupçonnées de favoriser les tumeurs.</w:t>
      </w:r>
    </w:p>
    <w:p>
      <w:pPr>
        <w:pStyle w:val="BodyText"/>
      </w:pPr>
      <w:r>
        <w:rPr>
          <w:bCs/>
          <w:b/>
        </w:rPr>
        <w:t xml:space="preserve">BPC-157.</w:t>
      </w:r>
      <w:r>
        <w:t xml:space="preserve"> </w:t>
      </w:r>
      <w:r>
        <w:t xml:space="preserve">Dans des expériences de laboratoire, le BPC-157 a augmenté la densité vasculaire dans des membranes d’œuf de poule, accéléré chez le rat la perfusion d’une patte mal irriguée et accru, dans des cellules vasculaires humaines, la quantité de récepteur 2 du VEGF</w:t>
      </w:r>
      <w:r>
        <w:rPr>
          <w:rStyle w:val="FootnoteReference"/>
        </w:rPr>
        <w:footnoteReference w:id="2675"/>
      </w:r>
      <w:r>
        <w:t xml:space="preserve">. Le groupe de travail de Zagreb, dont proviennent la plupart des études sur le BPC-157, objecte que le BPC-157 régulerait la formation des vaisseaux au lieu de la stimuler aveuglément, et qu’il aurait même montré des effets antitumoraux dans des expériences animales et cellulaires</w:t>
      </w:r>
      <w:r>
        <w:rPr>
          <w:rStyle w:val="FootnoteReference"/>
        </w:rPr>
        <w:footnoteReference w:id="2676"/>
      </w:r>
      <w:r>
        <w:t xml:space="preserve">. Aucune étude à long terme de cancérogénicité, telle qu’elle est exigée pour les médicaments, n’a été publiée pour le BPC-157. La question reste ouverte. Voir le chapitre BPC-157.</w:t>
      </w:r>
    </w:p>
    <w:p>
      <w:pPr>
        <w:pStyle w:val="BodyText"/>
      </w:pPr>
      <w:r>
        <w:rPr>
          <w:bCs/>
          <w:b/>
        </w:rPr>
        <w:t xml:space="preserve">TB-500 et thymosine bêta 4.</w:t>
      </w:r>
      <w:r>
        <w:t xml:space="preserve"> </w:t>
      </w:r>
      <w:r>
        <w:t xml:space="preserve">La thymosine bêta 4 favorise la migration cellulaire et la formation de nouveaux vaisseaux. Dans des échantillons de tissu de 138 personnes atteintes d’un cancer de la vessie, une forte production de thymosine bêta 4 était associée à un stade avancé, à une atteinte ganglionnaire et à une survie plus courte</w:t>
      </w:r>
      <w:r>
        <w:rPr>
          <w:rStyle w:val="FootnoteReference"/>
        </w:rPr>
        <w:footnoteReference w:id="2677"/>
      </w:r>
      <w:r>
        <w:t xml:space="preserve">. Dans des cultures de cellules de cancer du sein, l’ajout de thymosine bêta 4 a augmenté le nombre de cellules</w:t>
      </w:r>
      <w:r>
        <w:rPr>
          <w:rStyle w:val="FootnoteReference"/>
        </w:rPr>
        <w:footnoteReference w:id="2678"/>
      </w:r>
      <w:r>
        <w:t xml:space="preserve">. Cela ne prouve pas que le TB-500 apporté de l’extérieur favorise le cancer, mais c’est une raison d’être prudent chez les personnes atteintes d’un cancer ou présentant un risque élevé de cancer. Voir le chapitre TB-500.</w:t>
      </w:r>
    </w:p>
    <w:p>
      <w:pPr>
        <w:pStyle w:val="BodyText"/>
      </w:pPr>
      <w:r>
        <w:rPr>
          <w:bCs/>
          <w:b/>
        </w:rPr>
        <w:t xml:space="preserve">Autres peptides à signaux de croissance.</w:t>
      </w:r>
      <w:r>
        <w:t xml:space="preserve"> </w:t>
      </w:r>
      <w:r>
        <w:t xml:space="preserve">Pour plusieurs peptides de la partie II, des questions similaires découlent du mécanisme d’action ou de données de laboratoire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Mécanisme</w:t>
            </w:r>
          </w:p>
        </w:tc>
        <w:tc>
          <w:tcPr/>
          <w:p>
            <w:pPr>
              <w:pStyle w:val="Compact"/>
              <w:jc w:val="left"/>
            </w:pPr>
            <w:r>
              <w:t xml:space="preserve">Nature de l’indice</w:t>
            </w:r>
          </w:p>
        </w:tc>
        <w:tc>
          <w:tcPr/>
          <w:p>
            <w:pPr>
              <w:pStyle w:val="Compact"/>
              <w:jc w:val="left"/>
            </w:pPr>
            <w:r>
              <w:t xml:space="preserve">Chapitre</w:t>
            </w:r>
          </w:p>
        </w:tc>
      </w:tr>
      <w:tr>
        <w:tc>
          <w:tcPr/>
          <w:p>
            <w:pPr>
              <w:pStyle w:val="Compact"/>
              <w:jc w:val="left"/>
            </w:pPr>
            <w:r>
              <w:t xml:space="preserve">Dihexa</w:t>
            </w:r>
          </w:p>
        </w:tc>
        <w:tc>
          <w:tcPr/>
          <w:p>
            <w:pPr>
              <w:pStyle w:val="Compact"/>
              <w:jc w:val="left"/>
            </w:pPr>
            <w:r>
              <w:t xml:space="preserve">renforce le signal c-Met, un moteur connu du cancer</w:t>
            </w:r>
          </w:p>
        </w:tc>
        <w:tc>
          <w:tcPr/>
          <w:p>
            <w:pPr>
              <w:pStyle w:val="Compact"/>
              <w:jc w:val="left"/>
            </w:pPr>
            <w:r>
              <w:t xml:space="preserve">uniquement théorique, pas de données humaines</w:t>
            </w:r>
          </w:p>
        </w:tc>
        <w:tc>
          <w:tcPr/>
          <w:p>
            <w:pPr>
              <w:pStyle w:val="Compact"/>
              <w:jc w:val="left"/>
            </w:pPr>
            <w:r>
              <w:t xml:space="preserve">Dihexa</w:t>
            </w:r>
          </w:p>
        </w:tc>
      </w:tr>
      <w:tr>
        <w:tc>
          <w:tcPr/>
          <w:p>
            <w:pPr>
              <w:pStyle w:val="Compact"/>
              <w:jc w:val="left"/>
            </w:pPr>
            <w:r>
              <w:t xml:space="preserve">Epitalon</w:t>
            </w:r>
          </w:p>
        </w:tc>
        <w:tc>
          <w:tcPr/>
          <w:p>
            <w:pPr>
              <w:pStyle w:val="Compact"/>
              <w:jc w:val="left"/>
            </w:pPr>
            <w:r>
              <w:t xml:space="preserve">serait un activateur de la télomérase</w:t>
            </w:r>
          </w:p>
        </w:tc>
        <w:tc>
          <w:tcPr/>
          <w:p>
            <w:pPr>
              <w:pStyle w:val="Compact"/>
              <w:jc w:val="left"/>
            </w:pPr>
            <w:r>
              <w:t xml:space="preserve">culture cellulaire : télomères de cellules de cancer du sein également allongés</w:t>
            </w:r>
          </w:p>
        </w:tc>
        <w:tc>
          <w:tcPr/>
          <w:p>
            <w:pPr>
              <w:pStyle w:val="Compact"/>
              <w:jc w:val="left"/>
            </w:pPr>
            <w:r>
              <w:t xml:space="preserve">Epitalon</w:t>
            </w:r>
          </w:p>
        </w:tc>
      </w:tr>
      <w:tr>
        <w:tc>
          <w:tcPr/>
          <w:p>
            <w:pPr>
              <w:pStyle w:val="Compact"/>
              <w:jc w:val="left"/>
            </w:pPr>
            <w:r>
              <w:t xml:space="preserve">Humanine</w:t>
            </w:r>
          </w:p>
        </w:tc>
        <w:tc>
          <w:tcPr/>
          <w:p>
            <w:pPr>
              <w:pStyle w:val="Compact"/>
              <w:jc w:val="left"/>
            </w:pPr>
            <w:r>
              <w:t xml:space="preserve">protège les cellules contre la mort cellulaire</w:t>
            </w:r>
          </w:p>
        </w:tc>
        <w:tc>
          <w:tcPr/>
          <w:p>
            <w:pPr>
              <w:pStyle w:val="Compact"/>
              <w:jc w:val="left"/>
            </w:pPr>
            <w:r>
              <w:t xml:space="preserve">souris : croissance tumorale plus rapide, davantage de métastases</w:t>
            </w:r>
          </w:p>
        </w:tc>
        <w:tc>
          <w:tcPr/>
          <w:p>
            <w:pPr>
              <w:pStyle w:val="Compact"/>
              <w:jc w:val="left"/>
            </w:pPr>
            <w:r>
              <w:t xml:space="preserve">Humanine</w:t>
            </w:r>
          </w:p>
        </w:tc>
      </w:tr>
      <w:tr>
        <w:tc>
          <w:tcPr/>
          <w:p>
            <w:pPr>
              <w:pStyle w:val="Compact"/>
              <w:jc w:val="left"/>
            </w:pPr>
            <w:r>
              <w:t xml:space="preserve">LL-37</w:t>
            </w:r>
          </w:p>
        </w:tc>
        <w:tc>
          <w:tcPr/>
          <w:p>
            <w:pPr>
              <w:pStyle w:val="Compact"/>
              <w:jc w:val="left"/>
            </w:pPr>
            <w:r>
              <w:t xml:space="preserve">signaux inflammatoires et de croissance</w:t>
            </w:r>
          </w:p>
        </w:tc>
        <w:tc>
          <w:tcPr/>
          <w:p>
            <w:pPr>
              <w:pStyle w:val="Compact"/>
              <w:jc w:val="left"/>
            </w:pPr>
            <w:r>
              <w:t xml:space="preserve">laboratoire : effet favorisant ou inhibiteur selon le type de cancer</w:t>
            </w:r>
          </w:p>
        </w:tc>
        <w:tc>
          <w:tcPr/>
          <w:p>
            <w:pPr>
              <w:pStyle w:val="Compact"/>
              <w:jc w:val="left"/>
            </w:pPr>
            <w:r>
              <w:t xml:space="preserve">LL-37</w:t>
            </w:r>
          </w:p>
        </w:tc>
      </w:tr>
      <w:tr>
        <w:tc>
          <w:tcPr/>
          <w:p>
            <w:pPr>
              <w:pStyle w:val="Compact"/>
              <w:jc w:val="left"/>
            </w:pPr>
            <w:r>
              <w:t xml:space="preserve">GHK-Cu</w:t>
            </w:r>
          </w:p>
        </w:tc>
        <w:tc>
          <w:tcPr/>
          <w:p>
            <w:pPr>
              <w:pStyle w:val="Compact"/>
              <w:jc w:val="left"/>
            </w:pPr>
            <w:r>
              <w:t xml:space="preserve">formation de nouveaux vaisseaux en expérimentation animale</w:t>
            </w:r>
          </w:p>
        </w:tc>
        <w:tc>
          <w:tcPr/>
          <w:p>
            <w:pPr>
              <w:pStyle w:val="Compact"/>
              <w:jc w:val="left"/>
            </w:pPr>
            <w:r>
              <w:t xml:space="preserve">uniquement théorique</w:t>
            </w:r>
          </w:p>
        </w:tc>
        <w:tc>
          <w:tcPr/>
          <w:p>
            <w:pPr>
              <w:pStyle w:val="Compact"/>
              <w:jc w:val="left"/>
            </w:pPr>
            <w:r>
              <w:t xml:space="preserve">GHK-Cu</w:t>
            </w:r>
          </w:p>
        </w:tc>
      </w:tr>
      <w:tr>
        <w:tc>
          <w:tcPr/>
          <w:p>
            <w:pPr>
              <w:pStyle w:val="Compact"/>
              <w:jc w:val="left"/>
            </w:pPr>
            <w:r>
              <w:t xml:space="preserve">ARA-290</w:t>
            </w:r>
          </w:p>
        </w:tc>
        <w:tc>
          <w:tcPr/>
          <w:p>
            <w:pPr>
              <w:pStyle w:val="Compact"/>
              <w:jc w:val="left"/>
            </w:pPr>
            <w:r>
              <w:t xml:space="preserve">agit sur le récepteur de l’EPO</w:t>
            </w:r>
          </w:p>
        </w:tc>
        <w:tc>
          <w:tcPr/>
          <w:p>
            <w:pPr>
              <w:pStyle w:val="Compact"/>
              <w:jc w:val="left"/>
            </w:pPr>
            <w:r>
              <w:t xml:space="preserve">théorique, par analogie avec l’EPO</w:t>
            </w:r>
          </w:p>
        </w:tc>
        <w:tc>
          <w:tcPr/>
          <w:p>
            <w:pPr>
              <w:pStyle w:val="Compact"/>
              <w:jc w:val="left"/>
            </w:pPr>
            <w:r>
              <w:t xml:space="preserve">ARA-290</w:t>
            </w:r>
          </w:p>
        </w:tc>
      </w:tr>
    </w:tbl>
    <w:p>
      <w:pPr>
        <w:pStyle w:val="BodyText"/>
      </w:pPr>
      <w:r>
        <w:t xml:space="preserve">Certains de ces indices sont concrets. Chez des souris atteintes d’un cancer du sein triple négatif, l’humanine administrée a réduit la mort cellulaire dans la tumeur, affaibli la chimiothérapie et accéléré la croissance tumorale et les métastases pulmonaires</w:t>
      </w:r>
      <w:r>
        <w:rPr>
          <w:rStyle w:val="FootnoteReference"/>
        </w:rPr>
        <w:footnoteReference w:id="2679"/>
      </w:r>
      <w:r>
        <w:t xml:space="preserve">. En cultures cellulaires, l’Epitalon a allongé les télomères de cellules saines par l’intermédiaire de l’enzyme télomérase, et ceux de cellules de cancer du sein par une autre voie</w:t>
      </w:r>
      <w:r>
        <w:rPr>
          <w:rStyle w:val="FootnoteReference"/>
        </w:rPr>
        <w:footnoteReference w:id="2680"/>
      </w:r>
      <w:r>
        <w:t xml:space="preserve"> </w:t>
      </w:r>
      <w:r>
        <w:t xml:space="preserve">; dans une étude chez la souris, le nombre de tumeurs spontanées n’a en revanche pas augmenté</w:t>
      </w:r>
      <w:r>
        <w:rPr>
          <w:rStyle w:val="FootnoteReference"/>
        </w:rPr>
        <w:footnoteReference w:id="2681"/>
      </w:r>
      <w:r>
        <w:t xml:space="preserve">. Pour le LL-37, une revue décrit des effets favorisants sur les tumeurs de l’ovaire, du poumon, du sein, de la prostate, du pancréas et de la peau, mais inhibiteurs sur les cancers colorectal et gastrique</w:t>
      </w:r>
      <w:r>
        <w:rPr>
          <w:rStyle w:val="FootnoteReference"/>
        </w:rPr>
        <w:footnoteReference w:id="2682"/>
      </w:r>
      <w:r>
        <w:t xml:space="preserve">. Pour le Dihexa, le lien avec le système c-Met est décrit</w:t>
      </w:r>
      <w:r>
        <w:rPr>
          <w:rStyle w:val="FootnoteReference"/>
        </w:rPr>
        <w:footnoteReference w:id="2683"/>
      </w:r>
      <w:r>
        <w:t xml:space="preserve"> </w:t>
      </w:r>
      <w:r>
        <w:t xml:space="preserve">; il n’existe pas d’études de cancérogénicité.</w:t>
      </w:r>
    </w:p>
    <w:p>
      <w:pPr>
        <w:pStyle w:val="BodyText"/>
      </w:pPr>
      <w:r>
        <w:t xml:space="preserve">Toutes ces observations proviennent d’expérimentations animales, de cultures cellulaires ou du mécanisme d’action. Aucune ne prouve un risque de cancer chez l’humain. Elles montrent cependant que « naturel », « endogène » ou « régénératif » ne signifie pas automatiquement « inoffensif » – et que, pour aucune de ces substances, il n’existe de données à long terme permettant de répondre à la question.</w:t>
      </w:r>
    </w:p>
    <w:bookmarkEnd w:id="2684"/>
    <w:bookmarkStart w:id="2689" w:name="X74c5dced8e383973fc34475980f63287fef2662"/>
    <w:p>
      <w:pPr>
        <w:pStyle w:val="Heading3"/>
      </w:pPr>
      <w:r>
        <w:t xml:space="preserve">Cellules pigmentaires : Melanotan, setmélanotide et afamélanotide</w:t>
      </w:r>
    </w:p>
    <w:p>
      <w:pPr>
        <w:pStyle w:val="FirstParagraph"/>
      </w:pPr>
      <w:r>
        <w:t xml:space="preserve">Les peptides de la mélanocortine stimulent les cellules pigmentaires (mélanocytes) de la peau. C’est l’effet recherché avec l’afamélanotide, un effet indésirable avec le setmélanotide et le brémélanotide, et la véritable raison de la vente du Melanotan II. Comme le mélanome naît des cellules pigmentaires, la question du cancer de la peau s’impose.</w:t>
      </w:r>
    </w:p>
    <w:p>
      <w:pPr>
        <w:pStyle w:val="BodyText"/>
      </w:pPr>
      <w:r>
        <w:t xml:space="preserve">Pour le</w:t>
      </w:r>
      <w:r>
        <w:t xml:space="preserve"> </w:t>
      </w:r>
      <w:r>
        <w:rPr>
          <w:bCs/>
          <w:b/>
        </w:rPr>
        <w:t xml:space="preserve">Melanotan II</w:t>
      </w:r>
      <w:r>
        <w:t xml:space="preserve">, non autorisé, il existe plusieurs rapports de cas de mélanomes découverts pendant ou peu après l’utilisation. Une revue a recensé quatre cas dans lesquels des mélanomes se sont développés à partir de grains de beauté existants, tout en soulignant l’absence de preuve concluante d’un lien</w:t>
      </w:r>
      <w:r>
        <w:rPr>
          <w:rStyle w:val="FootnoteReference"/>
        </w:rPr>
        <w:footnoteReference w:id="2685"/>
      </w:r>
      <w:r>
        <w:t xml:space="preserve">. Parmi 179 cas publiés d’apparition soudaine de grains de beauté, dont une partie a été attribuée au Melanotan, cinq étaient associés à un mélanome</w:t>
      </w:r>
      <w:r>
        <w:rPr>
          <w:rStyle w:val="FootnoteReference"/>
        </w:rPr>
        <w:footnoteReference w:id="2686"/>
      </w:r>
      <w:r>
        <w:t xml:space="preserve">. L’interprétation est difficile : de nombreuses personnes concernées fréquentaient en même temps des cabines de bronzage ou s’exposaient intensément au soleil, ce qui augmente le risque de mélanome indépendamment. Et les rapports de cas ne peuvent pas fournir de fréquence. Voir le chapitre Melanotan II.</w:t>
      </w:r>
    </w:p>
    <w:p>
      <w:pPr>
        <w:pStyle w:val="BodyText"/>
      </w:pPr>
      <w:r>
        <w:t xml:space="preserve">Pour l’</w:t>
      </w:r>
      <w:r>
        <w:rPr>
          <w:bCs/>
          <w:b/>
        </w:rPr>
        <w:t xml:space="preserve">afamélanotide</w:t>
      </w:r>
      <w:r>
        <w:t xml:space="preserve">, autorisé, des données plus systématiques sont disponibles. Dans une étude portant sur 15 personnes traitées et 103 grains de beauté, des modifications transitoires ont été observées en dermoscopie, qui avaient régressé au bout d’un an ; aucun signe de malignité ni de nouveaux grains de beauté n’a été trouvé</w:t>
      </w:r>
      <w:r>
        <w:rPr>
          <w:rStyle w:val="FootnoteReference"/>
        </w:rPr>
        <w:footnoteReference w:id="2687"/>
      </w:r>
      <w:r>
        <w:t xml:space="preserve">. Sous</w:t>
      </w:r>
      <w:r>
        <w:t xml:space="preserve"> </w:t>
      </w:r>
      <w:r>
        <w:rPr>
          <w:bCs/>
          <w:b/>
        </w:rPr>
        <w:t xml:space="preserve">setmélanotide</w:t>
      </w:r>
      <w:r>
        <w:t xml:space="preserve">, aucune lésion cutanée maligne n’est survenue dans une observation sur une durée allant jusqu’à 46 mois</w:t>
      </w:r>
      <w:r>
        <w:rPr>
          <w:rStyle w:val="FootnoteReference"/>
        </w:rPr>
        <w:footnoteReference w:id="2688"/>
      </w:r>
      <w:r>
        <w:t xml:space="preserve">. Ces données sont rassurantes, mais limitées et courtes au regard du temps de développement d’un mélanome. Les RCP prévoient des contrôles cutanés réguliers. Elles ne sont pas transposables au Melanotan II : substance différente, produits non contrôlés, souvent associés à un rayonnement UV.</w:t>
      </w:r>
    </w:p>
    <w:bookmarkEnd w:id="2689"/>
    <w:bookmarkStart w:id="2696" w:name="glp-1-et-les-cellules-c-de-la-thyroïde"/>
    <w:p>
      <w:pPr>
        <w:pStyle w:val="Heading3"/>
      </w:pPr>
      <w:r>
        <w:t xml:space="preserve">GLP-1 et les cellules C de la thyroïde</w:t>
      </w:r>
    </w:p>
    <w:p>
      <w:pPr>
        <w:pStyle w:val="FirstParagraph"/>
      </w:pPr>
      <w:r>
        <w:t xml:space="preserve">Chez le rat et la souris, les agonistes du récepteur du GLP-1 ont entraîné, dans des essais à long terme, des hyperplasies et des tumeurs des cellules C de la thyroïde. Le mécanisme est bien compris : les cellules C des rongeurs portent le récepteur du GLP-1 ; son activation augmente la sécrétion de calcitonine et la division cellulaire. Chez l’humain et le singe, le récepteur est nettement plus rare sur les cellules C. Des singes ayant reçu pendant 20 mois du liraglutide à une concentration plus de 60 fois supérieure à celle observée chez l’humain n’ont pas développé d’hyperplasie des cellules C</w:t>
      </w:r>
      <w:r>
        <w:rPr>
          <w:rStyle w:val="FootnoteReference"/>
        </w:rPr>
        <w:footnoteReference w:id="2690"/>
      </w:r>
      <w:r>
        <w:t xml:space="preserve">.</w:t>
      </w:r>
    </w:p>
    <w:p>
      <w:pPr>
        <w:pStyle w:val="BodyText"/>
      </w:pPr>
      <w:r>
        <w:t xml:space="preserve">Un effet chez l’humain n’est pas pour autant totalement exclu. Dans du tissu thyroïdien humain, une étude a trouvé le récepteur du GLP-1 dans tous les échantillons de carcinomes médullaires de la thyroïde et d’hyperplasies des cellules C, dans 18 % des carcinomes papillaires et dans une partie des cellules C de thyroïdes saines</w:t>
      </w:r>
      <w:r>
        <w:rPr>
          <w:rStyle w:val="FootnoteReference"/>
        </w:rPr>
        <w:footnoteReference w:id="2691"/>
      </w:r>
      <w:r>
        <w:t xml:space="preserve">.</w:t>
      </w:r>
    </w:p>
    <w:p>
      <w:pPr>
        <w:pStyle w:val="BodyText"/>
      </w:pPr>
      <w:r>
        <w:t xml:space="preserve">Les études chez l’humain ne donnent pas une image homogène :</w:t>
      </w:r>
    </w:p>
    <w:p>
      <w:pPr>
        <w:numPr>
          <w:ilvl w:val="0"/>
          <w:numId w:val="1339"/>
        </w:numPr>
        <w:pStyle w:val="Compact"/>
      </w:pPr>
      <w:r>
        <w:t xml:space="preserve">Dans l’étude LEADER, la calcitonine n’a pas augmenté sous liraglutide sur une durée allant jusqu’à cinq ans, et aucun carcinome médullaire n’est survenu</w:t>
      </w:r>
      <w:r>
        <w:rPr>
          <w:rStyle w:val="FootnoteReference"/>
        </w:rPr>
        <w:footnoteReference w:id="2692"/>
      </w:r>
      <w:r>
        <w:t xml:space="preserve">.</w:t>
      </w:r>
    </w:p>
    <w:p>
      <w:pPr>
        <w:numPr>
          <w:ilvl w:val="0"/>
          <w:numId w:val="1339"/>
        </w:numPr>
        <w:pStyle w:val="Compact"/>
      </w:pPr>
      <w:r>
        <w:t xml:space="preserve">Une étude cas-témoins française portant sur 2 562 cas a trouvé, après un à trois ans de traitement, un risque accru de cancer de la thyroïde dans son ensemble (hazard ratio 1,58) et de carcinome médullaire (1,78)</w:t>
      </w:r>
      <w:r>
        <w:rPr>
          <w:rStyle w:val="FootnoteReference"/>
        </w:rPr>
        <w:footnoteReference w:id="2693"/>
      </w:r>
      <w:r>
        <w:t xml:space="preserve">.</w:t>
      </w:r>
    </w:p>
    <w:p>
      <w:pPr>
        <w:numPr>
          <w:ilvl w:val="0"/>
          <w:numId w:val="1339"/>
        </w:numPr>
        <w:pStyle w:val="Compact"/>
      </w:pPr>
      <w:r>
        <w:t xml:space="preserve">Une étude de cohorte scandinave portant sur 145 410 personnes sous agonistes du récepteur du GLP-1 n’a trouvé aucun risque accru (hazard ratio 0,93 ; 1,33 contre 1,46 cas pour 10 000 personnes-années). Pour le carcinome médullaire, rare, l’estimation était très incertaine (hazard ratio 1,19 ; intervalle de confiance 0,37 à 3,86)</w:t>
      </w:r>
      <w:r>
        <w:rPr>
          <w:rStyle w:val="FootnoteReference"/>
        </w:rPr>
        <w:footnoteReference w:id="2694"/>
      </w:r>
      <w:r>
        <w:t xml:space="preserve">.</w:t>
      </w:r>
    </w:p>
    <w:p>
      <w:pPr>
        <w:numPr>
          <w:ilvl w:val="0"/>
          <w:numId w:val="1339"/>
        </w:numPr>
        <w:pStyle w:val="Compact"/>
      </w:pPr>
      <w:r>
        <w:t xml:space="preserve">Une méta-analyse de 50 études randomisées d’une durée d’au moins un an a montré un signal pour le cancer de la thyroïde (odds ratio 1,55), plus net dans les études plus longues</w:t>
      </w:r>
      <w:r>
        <w:rPr>
          <w:rStyle w:val="FootnoteReference"/>
        </w:rPr>
        <w:footnoteReference w:id="2695"/>
      </w:r>
      <w:r>
        <w:t xml:space="preserve">.</w:t>
      </w:r>
    </w:p>
    <w:p>
      <w:pPr>
        <w:pStyle w:val="FirstParagraph"/>
      </w:pPr>
      <w:r>
        <w:t xml:space="preserve">Comment concilier ces résultats ? Une partie du signal pourrait être due à des examens plus fréquents : une personne suivie de près pour un diabète ou une obésité passe plus souvent une échographie, lors de laquelle de petits carcinomes papillaires inoffensifs sont découverts. Un petit risque réel ne peut toutefois pas être exclu. Pour les personnes ayant un antécédent personnel ou familial de carcinome médullaire de la thyroïde ou un syndrome NEM 2, une contre-indication reste donc en vigueur. Voir le chapitre Liraglutide.</w:t>
      </w:r>
    </w:p>
    <w:bookmarkEnd w:id="2696"/>
    <w:bookmarkStart w:id="2700" w:name="pancréas"/>
    <w:p>
      <w:pPr>
        <w:pStyle w:val="Heading3"/>
      </w:pPr>
      <w:r>
        <w:t xml:space="preserve">Pancréas</w:t>
      </w:r>
    </w:p>
    <w:p>
      <w:pPr>
        <w:pStyle w:val="FirstParagraph"/>
      </w:pPr>
      <w:r>
        <w:t xml:space="preserve">Après les premières déclarations de pancréatites sous exénatide et liraglutide, on a aussi craint un risque accru de cancer du pancréas. Les données ne l’ont pas confirmé jusqu’à présent. Une méta-analyse de 62 études randomisées n’a trouvé aucun risque accru établi (risque relatif 1,30 ; intervalle de confiance 0,86 à 1,97) ; dans un sous-groupe d’études avec des médicaments supplémentaires, il était augmenté, sans médicaments supplémentaires, il ne l’était pas</w:t>
      </w:r>
      <w:r>
        <w:rPr>
          <w:rStyle w:val="FootnoteReference"/>
        </w:rPr>
        <w:footnoteReference w:id="2697"/>
      </w:r>
      <w:r>
        <w:t xml:space="preserve">. Les autrices et auteurs soulignent que de nombreuses études sans un seul événement n’ont pas du tout été prises en compte dans le calcul. Dans une grande étude de cohorte américaine, le cancer du pancréas était même plus rare sous agonistes du récepteur du GLP-1 que sous insuline (hazard ratio 0,41)</w:t>
      </w:r>
      <w:r>
        <w:rPr>
          <w:rStyle w:val="FootnoteReference"/>
        </w:rPr>
        <w:footnoteReference w:id="2698"/>
      </w:r>
      <w:r>
        <w:t xml:space="preserve"> </w:t>
      </w:r>
      <w:r>
        <w:t xml:space="preserve">– l’insuline étant toutefois souvent utilisée dans un diabète plus ancien et plus sévère.</w:t>
      </w:r>
    </w:p>
    <w:p>
      <w:pPr>
        <w:pStyle w:val="BodyText"/>
      </w:pPr>
      <w:r>
        <w:t xml:space="preserve">Pour les tumeurs neuroendocrines, un groupe rare de tumeurs qui naissent notamment dans le pancréas et portent parfois le récepteur du GLP-1, une revue conclut que les données disponibles ne montrent pas d’augmentation générale, mais qu’il subsiste des lacunes importantes, par exemple en cas de prédisposition héréditaire</w:t>
      </w:r>
      <w:r>
        <w:rPr>
          <w:rStyle w:val="FootnoteReference"/>
        </w:rPr>
        <w:footnoteReference w:id="2699"/>
      </w:r>
      <w:r>
        <w:t xml:space="preserve">.</w:t>
      </w:r>
    </w:p>
    <w:bookmarkEnd w:id="2700"/>
    <w:bookmarkStart w:id="2701" w:name="X8460b54bf81c6c48982610c99609b328535b653"/>
    <w:p>
      <w:pPr>
        <w:pStyle w:val="Heading3"/>
      </w:pPr>
      <w:r>
        <w:t xml:space="preserve">Ce que montrent les nouvelles méta-analyses et les grandes cohortes sur les GLP-1 et le cancer</w:t>
      </w:r>
    </w:p>
    <w:p>
      <w:pPr>
        <w:pStyle w:val="FirstParagraph"/>
      </w:pPr>
      <w:r>
        <w:t xml:space="preserve">Avec la large diffusion des médicaments GLP-1, plusieurs très grandes analyses sont parues depuis 2024. Elles dressent un tableau majoritairement rassurant, mais flou sur certains points.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Données</w:t>
            </w:r>
          </w:p>
        </w:tc>
        <w:tc>
          <w:tcPr/>
          <w:p>
            <w:pPr>
              <w:pStyle w:val="Compact"/>
              <w:jc w:val="left"/>
            </w:pPr>
            <w:r>
              <w:t xml:space="preserve">Résultat cancer dans son ensemble</w:t>
            </w:r>
          </w:p>
        </w:tc>
        <w:tc>
          <w:tcPr/>
          <w:p>
            <w:pPr>
              <w:pStyle w:val="Compact"/>
              <w:jc w:val="left"/>
            </w:pPr>
            <w:r>
              <w:t xml:space="preserve">Particularités</w:t>
            </w:r>
          </w:p>
        </w:tc>
      </w:tr>
      <w:tr>
        <w:tc>
          <w:tcPr/>
          <w:p>
            <w:pPr>
              <w:pStyle w:val="Compact"/>
              <w:jc w:val="left"/>
            </w:pPr>
            <w:r>
              <w:t xml:space="preserve">Silverii 2025, PMID 40437949</w:t>
            </w:r>
          </w:p>
        </w:tc>
        <w:tc>
          <w:tcPr/>
          <w:p>
            <w:pPr>
              <w:pStyle w:val="Compact"/>
              <w:jc w:val="left"/>
            </w:pPr>
            <w:r>
              <w:t xml:space="preserve">50 ECR, au moins 52 semaines</w:t>
            </w:r>
          </w:p>
        </w:tc>
        <w:tc>
          <w:tcPr/>
          <w:p>
            <w:pPr>
              <w:pStyle w:val="Compact"/>
              <w:jc w:val="left"/>
            </w:pPr>
            <w:r>
              <w:t xml:space="preserve">pas de différence (odds ratio 1,05)</w:t>
            </w:r>
          </w:p>
        </w:tc>
        <w:tc>
          <w:tcPr/>
          <w:p>
            <w:pPr>
              <w:pStyle w:val="Compact"/>
              <w:jc w:val="left"/>
            </w:pPr>
            <w:r>
              <w:t xml:space="preserve">thyroïde 1,55 ; utérus en cas d’obésité 0,24</w:t>
            </w:r>
          </w:p>
        </w:tc>
      </w:tr>
      <w:tr>
        <w:tc>
          <w:tcPr/>
          <w:p>
            <w:pPr>
              <w:pStyle w:val="Compact"/>
              <w:jc w:val="left"/>
            </w:pPr>
            <w:r>
              <w:t xml:space="preserve">Wang 2024, PMID 38967919</w:t>
            </w:r>
          </w:p>
        </w:tc>
        <w:tc>
          <w:tcPr/>
          <w:p>
            <w:pPr>
              <w:pStyle w:val="Compact"/>
              <w:jc w:val="left"/>
            </w:pPr>
            <w:r>
              <w:t xml:space="preserve">1 651 452 personnes atteintes de diabète de type 2</w:t>
            </w:r>
          </w:p>
        </w:tc>
        <w:tc>
          <w:tcPr/>
          <w:p>
            <w:pPr>
              <w:pStyle w:val="Compact"/>
              <w:jc w:val="left"/>
            </w:pPr>
            <w:r>
              <w:t xml:space="preserve">vs insuline, moins pour 10 types de cancer sur 13</w:t>
            </w:r>
          </w:p>
        </w:tc>
        <w:tc>
          <w:tcPr/>
          <w:p>
            <w:pPr>
              <w:pStyle w:val="Compact"/>
              <w:jc w:val="left"/>
            </w:pPr>
            <w:r>
              <w:t xml:space="preserve">vs metformine, plus de cancers du rein (1,54)</w:t>
            </w:r>
          </w:p>
        </w:tc>
      </w:tr>
      <w:tr>
        <w:tc>
          <w:tcPr/>
          <w:p>
            <w:pPr>
              <w:pStyle w:val="Compact"/>
              <w:jc w:val="left"/>
            </w:pPr>
            <w:r>
              <w:t xml:space="preserve">Dai 2025, PMID 40839273</w:t>
            </w:r>
          </w:p>
        </w:tc>
        <w:tc>
          <w:tcPr/>
          <w:p>
            <w:pPr>
              <w:pStyle w:val="Compact"/>
              <w:jc w:val="left"/>
            </w:pPr>
            <w:r>
              <w:t xml:space="preserve">86 632 adultes obèses</w:t>
            </w:r>
          </w:p>
        </w:tc>
        <w:tc>
          <w:tcPr/>
          <w:p>
            <w:pPr>
              <w:pStyle w:val="Compact"/>
              <w:jc w:val="left"/>
            </w:pPr>
            <w:r>
              <w:t xml:space="preserve">moins de cancers (hazard ratio 0,83)</w:t>
            </w:r>
          </w:p>
        </w:tc>
        <w:tc>
          <w:tcPr/>
          <w:p>
            <w:pPr>
              <w:pStyle w:val="Compact"/>
              <w:jc w:val="left"/>
            </w:pPr>
            <w:r>
              <w:t xml:space="preserve">cancer du rein à la limite de l’augmentation (1,38)</w:t>
            </w:r>
          </w:p>
        </w:tc>
      </w:tr>
      <w:tr>
        <w:tc>
          <w:tcPr/>
          <w:p>
            <w:pPr>
              <w:pStyle w:val="Compact"/>
              <w:jc w:val="left"/>
            </w:pPr>
            <w:r>
              <w:t xml:space="preserve">Hsu 2026, PMID 42252247</w:t>
            </w:r>
          </w:p>
        </w:tc>
        <w:tc>
          <w:tcPr/>
          <w:p>
            <w:pPr>
              <w:pStyle w:val="Compact"/>
              <w:jc w:val="left"/>
            </w:pPr>
            <w:r>
              <w:t xml:space="preserve">161 798 adultes obèses sans diabète</w:t>
            </w:r>
          </w:p>
        </w:tc>
        <w:tc>
          <w:tcPr/>
          <w:p>
            <w:pPr>
              <w:pStyle w:val="Compact"/>
              <w:jc w:val="left"/>
            </w:pPr>
            <w:r>
              <w:t xml:space="preserve">moins de cancers liés au surpoids (0,59)</w:t>
            </w:r>
          </w:p>
        </w:tc>
        <w:tc>
          <w:tcPr/>
          <w:p>
            <w:pPr>
              <w:pStyle w:val="Compact"/>
              <w:jc w:val="left"/>
            </w:pPr>
            <w:r>
              <w:t xml:space="preserve">suivi médian de 2 ans</w:t>
            </w:r>
          </w:p>
        </w:tc>
      </w:tr>
    </w:tbl>
    <w:p>
      <w:pPr>
        <w:pStyle w:val="BodyText"/>
      </w:pPr>
      <w:r>
        <w:t xml:space="preserve">Comment lire ces chiffres ?</w:t>
      </w:r>
    </w:p>
    <w:p>
      <w:pPr>
        <w:numPr>
          <w:ilvl w:val="0"/>
          <w:numId w:val="1340"/>
        </w:numPr>
        <w:pStyle w:val="Compact"/>
      </w:pPr>
      <w:r>
        <w:rPr>
          <w:bCs/>
          <w:b/>
        </w:rPr>
        <w:t xml:space="preserve">Les études randomisées</w:t>
      </w:r>
      <w:r>
        <w:t xml:space="preserve"> </w:t>
      </w:r>
      <w:r>
        <w:t xml:space="preserve">ne montrent globalement aucune influence sur le risque de cancer. C’est le résultat le plus fiable, mais les études sont trop courtes pour le cancer.</w:t>
      </w:r>
    </w:p>
    <w:p>
      <w:pPr>
        <w:numPr>
          <w:ilvl w:val="0"/>
          <w:numId w:val="1340"/>
        </w:numPr>
        <w:pStyle w:val="Compact"/>
      </w:pPr>
      <w:r>
        <w:rPr>
          <w:bCs/>
          <w:b/>
        </w:rPr>
        <w:t xml:space="preserve">Les grandes études observationnelles</w:t>
      </w:r>
      <w:r>
        <w:t xml:space="preserve"> </w:t>
      </w:r>
      <w:r>
        <w:t xml:space="preserve">montrent plutôt moins de cancers sous médicaments GLP-1. Cela concorde avec l’idée que la perte de poids réduit les cancers liés au surpoids. Mais cela peut aussi tenir au fait que les personnes qui reçoivent ces médicaments diffèrent à bien des égards des groupes de comparaison. Un suivi de deux ans est très court pour se prononcer sur la prévention du cancer.</w:t>
      </w:r>
    </w:p>
    <w:p>
      <w:pPr>
        <w:numPr>
          <w:ilvl w:val="0"/>
          <w:numId w:val="1340"/>
        </w:numPr>
        <w:pStyle w:val="Compact"/>
      </w:pPr>
      <w:r>
        <w:rPr>
          <w:bCs/>
          <w:b/>
        </w:rPr>
        <w:t xml:space="preserve">Le cancer du rein</w:t>
      </w:r>
      <w:r>
        <w:t xml:space="preserve"> </w:t>
      </w:r>
      <w:r>
        <w:t xml:space="preserve">apparaît dans deux études de cohorte comme signal possible. Reste à voir s’il s’agit d’un effet réel.</w:t>
      </w:r>
    </w:p>
    <w:p>
      <w:pPr>
        <w:numPr>
          <w:ilvl w:val="0"/>
          <w:numId w:val="1340"/>
        </w:numPr>
        <w:pStyle w:val="Compact"/>
      </w:pPr>
      <w:r>
        <w:rPr>
          <w:bCs/>
          <w:b/>
        </w:rPr>
        <w:t xml:space="preserve">Le cancer de la thyroïde</w:t>
      </w:r>
      <w:r>
        <w:t xml:space="preserve"> </w:t>
      </w:r>
      <w:r>
        <w:t xml:space="preserve">reste la question ouverte, comme décrit plus haut.</w:t>
      </w:r>
    </w:p>
    <w:p>
      <w:pPr>
        <w:pStyle w:val="FirstParagraph"/>
      </w:pPr>
      <w:r>
        <w:t xml:space="preserve">Les données disponibles ne permettent pas de dire si les médicaments GLP-1 protègent réellement contre le cancer. Quant à la question de savoir s’ils provoquent des cancers, selon les connaissances actuelles : pour la plupart des types de cancer, non ; pour la thyroïde et le rein, la question n’est pas définitivement tranchée. Pour les nouveaux agonistes multiples comme le rétatrutide, le survodutide ou le mazdutide, il y a encore trop peu d’années de traitement pour se prononcer spécifiquement.</w:t>
      </w:r>
    </w:p>
    <w:bookmarkEnd w:id="2701"/>
    <w:bookmarkStart w:id="2702" w:name="lessentiel-en-bref-5"/>
    <w:p>
      <w:pPr>
        <w:pStyle w:val="Heading3"/>
      </w:pPr>
      <w:r>
        <w:t xml:space="preserve">L’essentiel en bref</w:t>
      </w:r>
    </w:p>
    <w:p>
      <w:pPr>
        <w:numPr>
          <w:ilvl w:val="0"/>
          <w:numId w:val="1341"/>
        </w:numPr>
        <w:pStyle w:val="Compact"/>
      </w:pPr>
      <w:r>
        <w:t xml:space="preserve">Les meilleures données sur le risque de cancer concernent justement les peptides pour lesquels l’inquiétude semble la moins fondée : les médicaments GLP-1 autorisés. Pour la plupart des types de cancer, ils ne montrent pas de risque accru ; le signal thyroïdien n’est pas élucidé.</w:t>
      </w:r>
    </w:p>
    <w:p>
      <w:pPr>
        <w:numPr>
          <w:ilvl w:val="0"/>
          <w:numId w:val="1341"/>
        </w:numPr>
        <w:pStyle w:val="Compact"/>
      </w:pPr>
      <w:r>
        <w:t xml:space="preserve">Pour l’axe hormone de croissance-IGF-1, une association modérée entre des taux d’IGF-1 durablement plus élevés et certains types de cancer est bien établie. Pour les personnes en bonne santé qui élèvent artificiellement leur IGF-1 pendant des années, les études font défaut.</w:t>
      </w:r>
    </w:p>
    <w:p>
      <w:pPr>
        <w:numPr>
          <w:ilvl w:val="0"/>
          <w:numId w:val="1341"/>
        </w:numPr>
        <w:pStyle w:val="Compact"/>
      </w:pPr>
      <w:r>
        <w:t xml:space="preserve">Pour le BPC-157, le TB-500, l’Epitalon, l’humanine, le Dihexa et des substances similaires, il n’existe que des indices théoriques et issus de l’expérimentation animale – dans les deux sens. Il n’existe pas de données à long terme sur la cancérogenèse.</w:t>
      </w:r>
    </w:p>
    <w:p>
      <w:pPr>
        <w:numPr>
          <w:ilvl w:val="0"/>
          <w:numId w:val="1341"/>
        </w:numPr>
        <w:pStyle w:val="Compact"/>
      </w:pPr>
      <w:r>
        <w:t xml:space="preserve">Pour le Melanotan II, il existe des rapports de cas de mélanome, mais pas de données de fréquence. Pour l’afamélanotide autorisé, de petites études n’ont trouvé aucune modification maligne.</w:t>
      </w:r>
    </w:p>
    <w:p>
      <w:pPr>
        <w:numPr>
          <w:ilvl w:val="0"/>
          <w:numId w:val="1341"/>
        </w:numPr>
        <w:pStyle w:val="Compact"/>
      </w:pPr>
      <w:r>
        <w:t xml:space="preserve">Pour les personnes atteintes d’un cancer actif ou ayant eu un cancer, tous les peptides favorisant la croissance sont particulièrement problématiques sans accompagnement médical.</w:t>
      </w:r>
    </w:p>
    <w:bookmarkEnd w:id="2702"/>
    <w:bookmarkEnd w:id="2703"/>
    <w:bookmarkStart w:id="2734" w:name="réactions-immunitaires-et-anticorps"/>
    <w:p>
      <w:pPr>
        <w:pStyle w:val="Heading2"/>
      </w:pPr>
      <w:r>
        <w:t xml:space="preserve">Réactions immunitaires et anticorps</w:t>
      </w:r>
    </w:p>
    <w:p>
      <w:pPr>
        <w:pStyle w:val="FirstParagraph"/>
      </w:pPr>
      <w:r>
        <w:t xml:space="preserve">Le système immunitaire a pour mission de reconnaître ce qui est étranger. Les peptides se situent à cet égard à une frontière : beaucoup sont copiés sur des messagers de l’organisme, mais modifiés chimiquement pour agir plus longtemps. D’autres proviennent d’animaux, de bactéries ou du laboratoire. S’y ajoute le fait que la plupart des peptides sont injectés sous la peau – à un endroit où un nombre particulièrement élevé de cellules de défense guettent les intrus.</w:t>
      </w:r>
    </w:p>
    <w:p>
      <w:pPr>
        <w:pStyle w:val="BodyText"/>
      </w:pPr>
      <w:r>
        <w:t xml:space="preserve">Les réactions immunitaires aux peptides vont de rougeurs inoffensives au point d’injection à des réactions allergiques rares mettant la vie en danger, en passant par des anticorps que l’on ne remarque qu’au laboratoire. Ce chapitre classe ces réactions, compare les peptides et montre le rôle que jouent les impuretés.</w:t>
      </w:r>
    </w:p>
    <w:bookmarkStart w:id="2705" w:name="X66dc69874b5466c66edbc877531bb70368b274d"/>
    <w:p>
      <w:pPr>
        <w:pStyle w:val="Heading3"/>
      </w:pPr>
      <w:r>
        <w:t xml:space="preserve">Pourquoi les peptides peuvent déclencher une réaction immunitaire</w:t>
      </w:r>
    </w:p>
    <w:p>
      <w:pPr>
        <w:pStyle w:val="FirstParagraph"/>
      </w:pPr>
      <w:r>
        <w:t xml:space="preserve">Le fait que le système immunitaire considère un peptide comme étranger dépend de plusieurs facteurs :</w:t>
      </w:r>
    </w:p>
    <w:p>
      <w:pPr>
        <w:numPr>
          <w:ilvl w:val="0"/>
          <w:numId w:val="1342"/>
        </w:numPr>
        <w:pStyle w:val="Compact"/>
      </w:pPr>
      <w:r>
        <w:rPr>
          <w:bCs/>
          <w:b/>
        </w:rPr>
        <w:t xml:space="preserve">Origine et ressemblance avec ce qui est propre à l’organisme.</w:t>
      </w:r>
      <w:r>
        <w:t xml:space="preserve"> </w:t>
      </w:r>
      <w:r>
        <w:t xml:space="preserve">L’exénatide a été développé à partir d’un peptide présent dans la salive d’un lézard et diffère nettement du GLP-1 humain. Le liraglutide et le sémaglutide sont en revanche largement copiés sur l’hormone humaine.</w:t>
      </w:r>
    </w:p>
    <w:p>
      <w:pPr>
        <w:numPr>
          <w:ilvl w:val="0"/>
          <w:numId w:val="1342"/>
        </w:numPr>
        <w:pStyle w:val="Compact"/>
      </w:pPr>
      <w:r>
        <w:rPr>
          <w:bCs/>
          <w:b/>
        </w:rPr>
        <w:t xml:space="preserve">Taille et modifications.</w:t>
      </w:r>
      <w:r>
        <w:t xml:space="preserve"> </w:t>
      </w:r>
      <w:r>
        <w:t xml:space="preserve">Les molécules plus longues, les acides gras greffés, les segments de liaison ou les composants d’anticorps (comme dans le maridebart cafraglutide) offrent davantage de prise.</w:t>
      </w:r>
    </w:p>
    <w:p>
      <w:pPr>
        <w:numPr>
          <w:ilvl w:val="0"/>
          <w:numId w:val="1342"/>
        </w:numPr>
        <w:pStyle w:val="Compact"/>
      </w:pPr>
      <w:r>
        <w:rPr>
          <w:bCs/>
          <w:b/>
        </w:rPr>
        <w:t xml:space="preserve">Agrégation.</w:t>
      </w:r>
      <w:r>
        <w:t xml:space="preserve"> </w:t>
      </w:r>
      <w:r>
        <w:t xml:space="preserve">Les peptides peuvent s’agglomérer en agrégats plus gros, que le système immunitaire reconnaît plus facilement.</w:t>
      </w:r>
    </w:p>
    <w:p>
      <w:pPr>
        <w:numPr>
          <w:ilvl w:val="0"/>
          <w:numId w:val="1342"/>
        </w:numPr>
        <w:pStyle w:val="Compact"/>
      </w:pPr>
      <w:r>
        <w:rPr>
          <w:bCs/>
          <w:b/>
        </w:rPr>
        <w:t xml:space="preserve">Impuretés.</w:t>
      </w:r>
      <w:r>
        <w:t xml:space="preserve"> </w:t>
      </w:r>
      <w:r>
        <w:t xml:space="preserve">Même de petites quantités de fragments peptidiques mal synthétisés ou de composants bactériens peuvent déclencher une réaction de défense (voir plus bas).</w:t>
      </w:r>
    </w:p>
    <w:p>
      <w:pPr>
        <w:numPr>
          <w:ilvl w:val="0"/>
          <w:numId w:val="1342"/>
        </w:numPr>
        <w:pStyle w:val="Compact"/>
      </w:pPr>
      <w:r>
        <w:rPr>
          <w:bCs/>
          <w:b/>
        </w:rPr>
        <w:t xml:space="preserve">Fréquence et durée d’utilisation.</w:t>
      </w:r>
      <w:r>
        <w:t xml:space="preserve"> </w:t>
      </w:r>
      <w:r>
        <w:t xml:space="preserve">Une personne qui s’injecte un peptide de manière répétée pendant des mois donne au système immunitaire de nombreuses occasions d’y réagir.</w:t>
      </w:r>
    </w:p>
    <w:p>
      <w:pPr>
        <w:pStyle w:val="FirstParagraph"/>
      </w:pPr>
      <w:r>
        <w:t xml:space="preserve">Pour l’évaluation des anticorps dirigés contre les médicaments – les spécialistes parlent d’anticorps anti-médicament (ADA) – un langage commun s’est établi</w:t>
      </w:r>
      <w:r>
        <w:rPr>
          <w:rStyle w:val="FootnoteReference"/>
        </w:rPr>
        <w:footnoteReference w:id="2704"/>
      </w:r>
      <w:r>
        <w:t xml:space="preserve">. Quatre questions sont importantes : combien de personnes traitées forment des anticorps ? Quelle est leur quantité (le titre) ? Les anticorps inhibent-ils l’effet (anticorps neutralisants) ? Et réagissent-ils aussi avec l’hormone endogène (réactivité croisée) ? Ce dernier point serait le plus préoccupant : des anticorps qui bloquent non seulement le médicament mais aussi l’hormone propre de l’organisme pourraient laisser un trouble durable.</w:t>
      </w:r>
    </w:p>
    <w:bookmarkEnd w:id="2705"/>
    <w:bookmarkStart w:id="2708" w:name="Xcc36598c66c985bcb1a4fe6e38b364dcc440438"/>
    <w:p>
      <w:pPr>
        <w:pStyle w:val="Heading3"/>
      </w:pPr>
      <w:r>
        <w:t xml:space="preserve">Anticorps anti-médicament : ce que montrent les études</w:t>
      </w:r>
    </w:p>
    <w:p>
      <w:pPr>
        <w:pStyle w:val="FirstParagraph"/>
      </w:pPr>
      <w:r>
        <w:t xml:space="preserve">Pour les médicaments GLP-1 autorisés, des études systématiques sont disponibles. Elles montrent à quel point la fréquence d’apparition des anticorps varie – et qu’une fréquence élevée ne signifie pas automatiquement un problème clinique.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Substance</w:t>
            </w:r>
          </w:p>
        </w:tc>
        <w:tc>
          <w:tcPr/>
          <w:p>
            <w:pPr>
              <w:pStyle w:val="Compact"/>
              <w:jc w:val="left"/>
            </w:pPr>
            <w:r>
              <w:t xml:space="preserve">Anticorps chez</w:t>
            </w:r>
          </w:p>
        </w:tc>
        <w:tc>
          <w:tcPr/>
          <w:p>
            <w:pPr>
              <w:pStyle w:val="Compact"/>
              <w:jc w:val="left"/>
            </w:pPr>
            <w:r>
              <w:t xml:space="preserve">Conséquences</w:t>
            </w:r>
          </w:p>
        </w:tc>
        <w:tc>
          <w:tcPr/>
          <w:p>
            <w:pPr>
              <w:pStyle w:val="Compact"/>
              <w:jc w:val="left"/>
            </w:pPr>
            <w:r>
              <w:t xml:space="preserve">Source</w:t>
            </w:r>
          </w:p>
        </w:tc>
      </w:tr>
      <w:tr>
        <w:tc>
          <w:tcPr/>
          <w:p>
            <w:pPr>
              <w:pStyle w:val="Compact"/>
              <w:jc w:val="left"/>
            </w:pPr>
            <w:r>
              <w:t xml:space="preserve">Exénatide</w:t>
            </w:r>
          </w:p>
        </w:tc>
        <w:tc>
          <w:tcPr/>
          <w:p>
            <w:pPr>
              <w:pStyle w:val="Compact"/>
              <w:jc w:val="left"/>
            </w:pPr>
            <w:r>
              <w:t xml:space="preserve">61 % après 26 semaines (LEAD-6)</w:t>
            </w:r>
          </w:p>
        </w:tc>
        <w:tc>
          <w:tcPr/>
          <w:p>
            <w:pPr>
              <w:pStyle w:val="Compact"/>
              <w:jc w:val="left"/>
            </w:pPr>
            <w:r>
              <w:t xml:space="preserve">titres élevés : baisse moindre de l’HbA1c</w:t>
            </w:r>
          </w:p>
        </w:tc>
        <w:tc>
          <w:tcPr/>
          <w:p>
            <w:pPr>
              <w:pStyle w:val="Compact"/>
              <w:jc w:val="left"/>
            </w:pPr>
            <w:r>
              <w:t xml:space="preserve">Buse 2011, PMID 21450987</w:t>
            </w:r>
          </w:p>
        </w:tc>
      </w:tr>
      <w:tr>
        <w:tc>
          <w:tcPr/>
          <w:p>
            <w:pPr>
              <w:pStyle w:val="Compact"/>
              <w:jc w:val="left"/>
            </w:pPr>
            <w:r>
              <w:t xml:space="preserve">Liraglutide</w:t>
            </w:r>
          </w:p>
        </w:tc>
        <w:tc>
          <w:tcPr/>
          <w:p>
            <w:pPr>
              <w:pStyle w:val="Compact"/>
              <w:jc w:val="left"/>
            </w:pPr>
            <w:r>
              <w:t xml:space="preserve">8,3 à 8,7 %, titres faibles</w:t>
            </w:r>
          </w:p>
        </w:tc>
        <w:tc>
          <w:tcPr/>
          <w:p>
            <w:pPr>
              <w:pStyle w:val="Compact"/>
              <w:jc w:val="left"/>
            </w:pPr>
            <w:r>
              <w:t xml:space="preserve">pas d’atténuation de l’effet</w:t>
            </w:r>
          </w:p>
        </w:tc>
        <w:tc>
          <w:tcPr/>
          <w:p>
            <w:pPr>
              <w:pStyle w:val="Compact"/>
              <w:jc w:val="left"/>
            </w:pPr>
            <w:r>
              <w:t xml:space="preserve">Buse 2011, PMID 21450987</w:t>
            </w:r>
          </w:p>
        </w:tc>
      </w:tr>
      <w:tr>
        <w:tc>
          <w:tcPr/>
          <w:p>
            <w:pPr>
              <w:pStyle w:val="Compact"/>
              <w:jc w:val="left"/>
            </w:pPr>
            <w:r>
              <w:t xml:space="preserve">Dulaglutide</w:t>
            </w:r>
          </w:p>
        </w:tc>
        <w:tc>
          <w:tcPr/>
          <w:p>
            <w:pPr>
              <w:pStyle w:val="Compact"/>
              <w:jc w:val="left"/>
            </w:pPr>
            <w:r>
              <w:t xml:space="preserve">1,6 %, neutralisants 0,9 %</w:t>
            </w:r>
          </w:p>
        </w:tc>
        <w:tc>
          <w:tcPr/>
          <w:p>
            <w:pPr>
              <w:pStyle w:val="Compact"/>
              <w:jc w:val="left"/>
            </w:pPr>
            <w:r>
              <w:t xml:space="preserve">pas d’hypersensibilité chez les personnes positives aux anticorps</w:t>
            </w:r>
          </w:p>
        </w:tc>
        <w:tc>
          <w:tcPr/>
          <w:p>
            <w:pPr>
              <w:pStyle w:val="Compact"/>
              <w:jc w:val="left"/>
            </w:pPr>
            <w:r>
              <w:t xml:space="preserve">Milicevic 2016, PMID 26847401</w:t>
            </w:r>
          </w:p>
        </w:tc>
      </w:tr>
      <w:tr>
        <w:tc>
          <w:tcPr/>
          <w:p>
            <w:pPr>
              <w:pStyle w:val="Compact"/>
              <w:jc w:val="left"/>
            </w:pPr>
            <w:r>
              <w:t xml:space="preserve">Tirzépatide</w:t>
            </w:r>
          </w:p>
        </w:tc>
        <w:tc>
          <w:tcPr/>
          <w:p>
            <w:pPr>
              <w:pStyle w:val="Compact"/>
              <w:jc w:val="left"/>
            </w:pPr>
            <w:r>
              <w:t xml:space="preserve">51,1 %, neutralisants environ 2 %</w:t>
            </w:r>
          </w:p>
        </w:tc>
        <w:tc>
          <w:tcPr/>
          <w:p>
            <w:pPr>
              <w:pStyle w:val="Compact"/>
              <w:jc w:val="left"/>
            </w:pPr>
            <w:r>
              <w:t xml:space="preserve">pas d’atténuation de l’effet ; davantage de réactions cutanées et allergiques</w:t>
            </w:r>
          </w:p>
        </w:tc>
        <w:tc>
          <w:tcPr/>
          <w:p>
            <w:pPr>
              <w:pStyle w:val="Compact"/>
              <w:jc w:val="left"/>
            </w:pPr>
            <w:r>
              <w:t xml:space="preserve">Mullins 2024, PMID 37700637</w:t>
            </w:r>
          </w:p>
        </w:tc>
      </w:tr>
      <w:tr>
        <w:tc>
          <w:tcPr/>
          <w:p>
            <w:pPr>
              <w:pStyle w:val="Compact"/>
              <w:jc w:val="left"/>
            </w:pPr>
            <w:r>
              <w:t xml:space="preserve">Sermoréline</w:t>
            </w:r>
          </w:p>
        </w:tc>
        <w:tc>
          <w:tcPr/>
          <w:p>
            <w:pPr>
              <w:pStyle w:val="Compact"/>
              <w:jc w:val="left"/>
            </w:pPr>
            <w:r>
              <w:t xml:space="preserve">14 enfants sur 18</w:t>
            </w:r>
          </w:p>
        </w:tc>
        <w:tc>
          <w:tcPr/>
          <w:p>
            <w:pPr>
              <w:pStyle w:val="Compact"/>
              <w:jc w:val="left"/>
            </w:pPr>
            <w:r>
              <w:t xml:space="preserve">pas de conséquences visibles</w:t>
            </w:r>
          </w:p>
        </w:tc>
        <w:tc>
          <w:tcPr/>
          <w:p>
            <w:pPr>
              <w:pStyle w:val="Compact"/>
              <w:jc w:val="left"/>
            </w:pPr>
            <w:r>
              <w:t xml:space="preserve">Ross 1987, PMID 2879138</w:t>
            </w:r>
          </w:p>
        </w:tc>
      </w:tr>
      <w:tr>
        <w:tc>
          <w:tcPr/>
          <w:p>
            <w:pPr>
              <w:pStyle w:val="Compact"/>
              <w:jc w:val="left"/>
            </w:pPr>
            <w:r>
              <w:t xml:space="preserve">ARA-290</w:t>
            </w:r>
          </w:p>
        </w:tc>
        <w:tc>
          <w:tcPr/>
          <w:p>
            <w:pPr>
              <w:pStyle w:val="Compact"/>
              <w:jc w:val="left"/>
            </w:pPr>
            <w:r>
              <w:t xml:space="preserve">aucun en 12 semaines</w:t>
            </w:r>
          </w:p>
        </w:tc>
        <w:tc>
          <w:tcPr/>
          <w:p>
            <w:pPr>
              <w:pStyle w:val="Compact"/>
              <w:jc w:val="left"/>
            </w:pPr>
            <w:r>
              <w:t xml:space="preserve">–</w:t>
            </w:r>
          </w:p>
        </w:tc>
        <w:tc>
          <w:tcPr/>
          <w:p>
            <w:pPr>
              <w:pStyle w:val="Compact"/>
              <w:jc w:val="left"/>
            </w:pPr>
            <w:r>
              <w:t xml:space="preserve">Lois 2020, PMID 32674280</w:t>
            </w:r>
          </w:p>
        </w:tc>
      </w:tr>
    </w:tbl>
    <w:p>
      <w:pPr>
        <w:pStyle w:val="BodyText"/>
      </w:pPr>
      <w:r>
        <w:rPr>
          <w:bCs/>
          <w:b/>
        </w:rPr>
        <w:t xml:space="preserve">L’exénatide</w:t>
      </w:r>
      <w:r>
        <w:t xml:space="preserve"> </w:t>
      </w:r>
      <w:r>
        <w:t xml:space="preserve">est l’exemple type d’un peptide qui, en raison de son origine non humaine, suscite fréquemment des anticorps. Dans l’étude LEAD-6, 113 des 185 personnes traitées avaient des anticorps contre l’exénatide après 26 semaines ; des taux d’anticorps élevés s’accompagnaient d’une baisse significativement moindre de l’HbA1c. Après le passage au liraglutide, ces anticorps n’ont pas entravé l’effet ultérieur</w:t>
      </w:r>
      <w:r>
        <w:rPr>
          <w:rStyle w:val="FootnoteReference"/>
        </w:rPr>
        <w:footnoteReference w:id="2706"/>
      </w:r>
      <w:r>
        <w:t xml:space="preserve">.</w:t>
      </w:r>
    </w:p>
    <w:p>
      <w:pPr>
        <w:pStyle w:val="BodyText"/>
      </w:pPr>
      <w:r>
        <w:rPr>
          <w:bCs/>
          <w:b/>
        </w:rPr>
        <w:t xml:space="preserve">Le tirzépatide</w:t>
      </w:r>
      <w:r>
        <w:t xml:space="preserve"> </w:t>
      </w:r>
      <w:r>
        <w:t xml:space="preserve">montre qu’un peptide copié sur l’humain peut lui aussi être fréquemment reconnu. Dans sept études de phase 3 portant sur 5 025 participants évaluables, 51,1 % ont formé des anticorps pendant le traitement. Des anticorps neutralisant l’effet sur le récepteur du GIP ou du GLP-1 ont été trouvés chez 1,9 % et 2,1 % des participants, et des anticorps neutralisant aussi les hormones endogènes chez moins de 1 %. Cela n’a eu aucune influence sur les taux sanguins ni sur l’effet. Les participants positifs aux anticorps ont toutefois présenté plus souvent des réactions d’hypersensibilité et des réactions au point d’injection, le plus souvent légères à modérées</w:t>
      </w:r>
      <w:r>
        <w:rPr>
          <w:rStyle w:val="FootnoteReference"/>
        </w:rPr>
        <w:footnoteReference w:id="2707"/>
      </w:r>
      <w:r>
        <w:t xml:space="preserve">.</w:t>
      </w:r>
    </w:p>
    <w:p>
      <w:pPr>
        <w:pStyle w:val="BodyText"/>
      </w:pPr>
      <w:r>
        <w:t xml:space="preserve">Pour les substances plus récentes – rétatrutide, survodutide, mazdutide, cagrilintide, amycrétine et le maridebart cafraglutide, à base d’anticorps –, des analyses de synthèse comparables n’ont pas encore été publiées. Pour le maridebart cafraglutide, c’est particulièrement pertinent, car les médicaments à base d’anticorps peuvent avoir une immunogénicité propre (chapitre Maridebart cafraglutide).</w:t>
      </w:r>
    </w:p>
    <w:p>
      <w:pPr>
        <w:pStyle w:val="BodyText"/>
      </w:pPr>
      <w:r>
        <w:t xml:space="preserve">Pour la plupart des peptides du marché gris, il n’existe aucune donnée sur les anticorps. C’est le cas du BPC-157, du TB-500, du CJC-1295, de l’ipamoréline, du MOTS-c, de l’humanine, de l’Epitalon et de bien d’autres. Les chapitres consacrés au MOTS-c, à l’humanine et au FOXO4-DRI signalent que des anticorps sont envisageables en cas d’injections répétées, mais n’ont jamais été étudiés. Une personne qui s’injecte de telles substances pendant des mois ne peut donc pas savoir si son organisme forme des anticorps ni ce qu’ils provoquent.</w:t>
      </w:r>
    </w:p>
    <w:bookmarkEnd w:id="2708"/>
    <w:bookmarkStart w:id="2712" w:name="réactions-au-point-dinjection"/>
    <w:p>
      <w:pPr>
        <w:pStyle w:val="Heading3"/>
      </w:pPr>
      <w:r>
        <w:t xml:space="preserve">Réactions au point d’injection</w:t>
      </w:r>
    </w:p>
    <w:p>
      <w:pPr>
        <w:pStyle w:val="FirstParagraph"/>
      </w:pPr>
      <w:r>
        <w:t xml:space="preserve">Rougeur, démangeaisons, gonflement, petits hématomes ou nodules palpables au point d’injection sont les réactions immunitaires et tissulaires les plus fréquentes aux peptides injectés. Une méta-analyse de 14 études randomisées totalisant 4 861 participants a trouvé sous agonistes du récepteur du GLP-1 un risque environ trois fois et demie plus élevé de telles réactions par rapport aux groupes de comparaison (risque relatif 3,55). Dans la base de données américaine de pharmacovigilance, l’exénatide et le dulaglutide se sont particulièrement signalés par des saignements au point d’injection</w:t>
      </w:r>
      <w:r>
        <w:rPr>
          <w:rStyle w:val="FootnoteReference"/>
        </w:rPr>
        <w:footnoteReference w:id="2709"/>
      </w:r>
      <w:r>
        <w:t xml:space="preserve">.</w:t>
      </w:r>
    </w:p>
    <w:p>
      <w:pPr>
        <w:pStyle w:val="BodyText"/>
      </w:pPr>
      <w:r>
        <w:t xml:space="preserve">La fréquence varie considérablement d’un peptide à l’autre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Peptide</w:t>
            </w:r>
          </w:p>
        </w:tc>
        <w:tc>
          <w:tcPr/>
          <w:p>
            <w:pPr>
              <w:pStyle w:val="Compact"/>
              <w:jc w:val="left"/>
            </w:pPr>
            <w:r>
              <w:t xml:space="preserve">Réactions au point d’injection</w:t>
            </w:r>
          </w:p>
        </w:tc>
        <w:tc>
          <w:tcPr/>
          <w:p>
            <w:pPr>
              <w:pStyle w:val="Compact"/>
              <w:jc w:val="left"/>
            </w:pPr>
            <w:r>
              <w:t xml:space="preserve">Source</w:t>
            </w:r>
          </w:p>
        </w:tc>
      </w:tr>
      <w:tr>
        <w:tc>
          <w:tcPr/>
          <w:p>
            <w:pPr>
              <w:pStyle w:val="Compact"/>
              <w:jc w:val="left"/>
            </w:pPr>
            <w:r>
              <w:t xml:space="preserve">Setmélanotide</w:t>
            </w:r>
          </w:p>
        </w:tc>
        <w:tc>
          <w:tcPr/>
          <w:p>
            <w:pPr>
              <w:pStyle w:val="Compact"/>
              <w:jc w:val="left"/>
            </w:pPr>
            <w:r>
              <w:t xml:space="preserve">96 % (méta-analyse, 7 études)</w:t>
            </w:r>
          </w:p>
        </w:tc>
        <w:tc>
          <w:tcPr/>
          <w:p>
            <w:pPr>
              <w:pStyle w:val="Compact"/>
              <w:jc w:val="left"/>
            </w:pPr>
            <w:r>
              <w:t xml:space="preserve">Sridharan 2026, PMID 39924461</w:t>
            </w:r>
          </w:p>
        </w:tc>
      </w:tr>
      <w:tr>
        <w:tc>
          <w:tcPr/>
          <w:p>
            <w:pPr>
              <w:pStyle w:val="Compact"/>
              <w:jc w:val="left"/>
            </w:pPr>
            <w:r>
              <w:t xml:space="preserve">Élamipretide (SS-31)</w:t>
            </w:r>
          </w:p>
        </w:tc>
        <w:tc>
          <w:tcPr/>
          <w:p>
            <w:pPr>
              <w:pStyle w:val="Compact"/>
              <w:jc w:val="left"/>
            </w:pPr>
            <w:r>
              <w:t xml:space="preserve">80 %, le plus souvent légères</w:t>
            </w:r>
          </w:p>
        </w:tc>
        <w:tc>
          <w:tcPr/>
          <w:p>
            <w:pPr>
              <w:pStyle w:val="Compact"/>
              <w:jc w:val="left"/>
            </w:pPr>
            <w:r>
              <w:t xml:space="preserve">Karaa 2020, PMID 32096613</w:t>
            </w:r>
          </w:p>
        </w:tc>
      </w:tr>
      <w:tr>
        <w:tc>
          <w:tcPr/>
          <w:p>
            <w:pPr>
              <w:pStyle w:val="Compact"/>
              <w:jc w:val="left"/>
            </w:pPr>
            <w:r>
              <w:t xml:space="preserve">Mécasermine</w:t>
            </w:r>
          </w:p>
        </w:tc>
        <w:tc>
          <w:tcPr/>
          <w:p>
            <w:pPr>
              <w:pStyle w:val="Compact"/>
              <w:jc w:val="left"/>
            </w:pPr>
            <w:r>
              <w:t xml:space="preserve">modifications du tissu adipeux chez 32 %</w:t>
            </w:r>
          </w:p>
        </w:tc>
        <w:tc>
          <w:tcPr/>
          <w:p>
            <w:pPr>
              <w:pStyle w:val="Compact"/>
              <w:jc w:val="left"/>
            </w:pPr>
            <w:r>
              <w:t xml:space="preserve">Chernausek 2007, PMID 17192294</w:t>
            </w:r>
          </w:p>
        </w:tc>
      </w:tr>
      <w:tr>
        <w:tc>
          <w:tcPr/>
          <w:p>
            <w:pPr>
              <w:pStyle w:val="Compact"/>
              <w:jc w:val="left"/>
            </w:pPr>
            <w:r>
              <w:t xml:space="preserve">Tirzépatide</w:t>
            </w:r>
          </w:p>
        </w:tc>
        <w:tc>
          <w:tcPr/>
          <w:p>
            <w:pPr>
              <w:pStyle w:val="Compact"/>
              <w:jc w:val="left"/>
            </w:pPr>
            <w:r>
              <w:t xml:space="preserve">2 à 7 %</w:t>
            </w:r>
          </w:p>
        </w:tc>
        <w:tc>
          <w:tcPr/>
          <w:p>
            <w:pPr>
              <w:pStyle w:val="Compact"/>
              <w:jc w:val="left"/>
            </w:pPr>
            <w:r>
              <w:t xml:space="preserve">Gupta 2026, PMID 42930571</w:t>
            </w:r>
          </w:p>
        </w:tc>
      </w:tr>
      <w:tr>
        <w:tc>
          <w:tcPr/>
          <w:p>
            <w:pPr>
              <w:pStyle w:val="Compact"/>
              <w:jc w:val="left"/>
            </w:pPr>
            <w:r>
              <w:t xml:space="preserve">Brémélanotide</w:t>
            </w:r>
          </w:p>
        </w:tc>
        <w:tc>
          <w:tcPr/>
          <w:p>
            <w:pPr>
              <w:pStyle w:val="Compact"/>
              <w:jc w:val="left"/>
            </w:pPr>
            <w:r>
              <w:t xml:space="preserve">5,4 % vs 0,5 % sous placebo</w:t>
            </w:r>
          </w:p>
        </w:tc>
        <w:tc>
          <w:tcPr/>
          <w:p>
            <w:pPr>
              <w:pStyle w:val="Compact"/>
              <w:jc w:val="left"/>
            </w:pPr>
            <w:r>
              <w:t xml:space="preserve">Clayton 2022, PMID 35147466</w:t>
            </w:r>
          </w:p>
        </w:tc>
      </w:tr>
    </w:tbl>
    <w:p>
      <w:pPr>
        <w:pStyle w:val="BodyText"/>
      </w:pPr>
      <w:r>
        <w:t xml:space="preserve">Avec la forme hebdomadaire de l’exénatide, de petits nodules se forment fréquemment, car les microsphères qui libèrent lentement la substance active sont dégradées sous la peau. Dans l’analyse à cinq ans de DURATION-1, ces réactions sont devenues plus rares avec le temps</w:t>
      </w:r>
      <w:r>
        <w:rPr>
          <w:rStyle w:val="FootnoteReference"/>
        </w:rPr>
        <w:footnoteReference w:id="2710"/>
      </w:r>
      <w:r>
        <w:t xml:space="preserve">. Avec la mécasermine, il s’agissait d’un épaississement du tissu adipeux au point d’injection (lipohypertrophie).</w:t>
      </w:r>
    </w:p>
    <w:p>
      <w:pPr>
        <w:pStyle w:val="BodyText"/>
      </w:pPr>
      <w:r>
        <w:t xml:space="preserve">Il est important de faire la distinction avec une</w:t>
      </w:r>
      <w:r>
        <w:t xml:space="preserve"> </w:t>
      </w:r>
      <w:r>
        <w:rPr>
          <w:bCs/>
          <w:b/>
        </w:rPr>
        <w:t xml:space="preserve">infection</w:t>
      </w:r>
      <w:r>
        <w:t xml:space="preserve">. Une rougeur qui s’étend sur plusieurs jours, devient chaude, douloureuse, purulente ou s’accompagne de fièvre n’est pas une réaction inoffensive. Après des injections d’Argireline dans le front et les tempes, une femme de 45 ans a développé des nodules et des abcès ; la cause était la bactérie difficile à traiter</w:t>
      </w:r>
      <w:r>
        <w:t xml:space="preserve"> </w:t>
      </w:r>
      <w:r>
        <w:rPr>
          <w:iCs/>
          <w:i/>
        </w:rPr>
        <w:t xml:space="preserve">Mycobacterium abscessus</w:t>
      </w:r>
      <w:r>
        <w:t xml:space="preserve">, et le traitement a duré cinq mois</w:t>
      </w:r>
      <w:r>
        <w:rPr>
          <w:rStyle w:val="FootnoteReference"/>
        </w:rPr>
        <w:footnoteReference w:id="2711"/>
      </w:r>
      <w:r>
        <w:t xml:space="preserve">. De telles infections ne proviennent généralement pas du peptide, mais de produits ou de procédés non stériles – pour en savoir plus, voir le chapitre « Produits du marché gris ».</w:t>
      </w:r>
    </w:p>
    <w:bookmarkEnd w:id="2712"/>
    <w:bookmarkStart w:id="2721" w:name="réactions-allergiques-et-anaphylaxie"/>
    <w:p>
      <w:pPr>
        <w:pStyle w:val="Heading3"/>
      </w:pPr>
      <w:r>
        <w:t xml:space="preserve">Réactions allergiques et anaphylaxie</w:t>
      </w:r>
    </w:p>
    <w:p>
      <w:pPr>
        <w:pStyle w:val="FirstParagraph"/>
      </w:pPr>
      <w:r>
        <w:t xml:space="preserve">Une anaphylaxie est une réaction allergique grave touchant l’ensemble de l’organisme, avec éruption cutanée, gonflements, détresse respiratoire et collapsus circulatoire. Elle est rare avec les médicaments peptidiques, mais elle existe.</w:t>
      </w:r>
    </w:p>
    <w:p>
      <w:pPr>
        <w:pStyle w:val="BodyText"/>
      </w:pPr>
      <w:r>
        <w:t xml:space="preserve">Pour les médicaments GLP-1, il existe à ce sujet de grandes études sur bases de données. Dans trois bases de données d’assurance américaines portant sur 696 089 nouvelles utilisatrices et nouveaux utilisateurs, la fréquence de l’anaphylaxie se situait selon la substance entre 1,0 (lixisénatide) et 6,0 (exénatide) cas pour 10 000 personnes-années ; les autrices et auteurs jugent l’anaphylaxie rare sous médicaments GLP-1</w:t>
      </w:r>
      <w:r>
        <w:rPr>
          <w:rStyle w:val="FootnoteReference"/>
        </w:rPr>
        <w:footnoteReference w:id="2713"/>
      </w:r>
      <w:r>
        <w:t xml:space="preserve">. Une étude menée au Royaume-Uni et aux États-Unis a comparé les agonistes du récepteur du GLP-1 à deux autres groupes d’antidiabétiques. Par rapport aux inhibiteurs de la DPP-4, le risque n’était pas augmenté de manière établie (hazard ratio 1,15) ; par rapport aux inhibiteurs du SGLT2, il l’était de 38 % (40,7 contre 29,4 cas pour 100 000 personnes-années)</w:t>
      </w:r>
      <w:r>
        <w:rPr>
          <w:rStyle w:val="FootnoteReference"/>
        </w:rPr>
        <w:footnoteReference w:id="2714"/>
      </w:r>
      <w:r>
        <w:t xml:space="preserve">. Il s’agit d’une hausse relative pour une réaction très rare en valeur absolue.</w:t>
      </w:r>
    </w:p>
    <w:p>
      <w:pPr>
        <w:pStyle w:val="BodyText"/>
      </w:pPr>
      <w:r>
        <w:t xml:space="preserve">Des cas isolés montrent à quoi ces réactions peuvent ressembler :</w:t>
      </w:r>
    </w:p>
    <w:p>
      <w:pPr>
        <w:numPr>
          <w:ilvl w:val="0"/>
          <w:numId w:val="1343"/>
        </w:numPr>
        <w:pStyle w:val="Compact"/>
      </w:pPr>
      <w:r>
        <w:t xml:space="preserve">Des rapports de cas décrivent une anaphylaxie sous la forme hebdomadaire de l’exénatide</w:t>
      </w:r>
      <w:r>
        <w:rPr>
          <w:rStyle w:val="FootnoteReference"/>
        </w:rPr>
        <w:footnoteReference w:id="2715"/>
      </w:r>
      <w:r>
        <w:t xml:space="preserve"> </w:t>
      </w:r>
      <w:r>
        <w:t xml:space="preserve">et une réaction allergique à l’exénatide et au lixisénatide, mais pas au liraglutide</w:t>
      </w:r>
      <w:r>
        <w:rPr>
          <w:rStyle w:val="FootnoteReference"/>
        </w:rPr>
        <w:footnoteReference w:id="2716"/>
      </w:r>
      <w:r>
        <w:t xml:space="preserve"> </w:t>
      </w:r>
      <w:r>
        <w:t xml:space="preserve">– un indice que les substances dérivées du lézard sont reconnues différemment de celles qui ressemblent à l’hormone humaine.</w:t>
      </w:r>
    </w:p>
    <w:p>
      <w:pPr>
        <w:numPr>
          <w:ilvl w:val="0"/>
          <w:numId w:val="1343"/>
        </w:numPr>
        <w:pStyle w:val="Compact"/>
      </w:pPr>
      <w:r>
        <w:t xml:space="preserve">Sous tirzépatide, une anaphylaxie biphasique a été décrite, dans laquelle les symptômes sont réapparus après une amélioration initiale</w:t>
      </w:r>
      <w:r>
        <w:rPr>
          <w:rStyle w:val="FootnoteReference"/>
        </w:rPr>
        <w:footnoteReference w:id="2717"/>
      </w:r>
      <w:r>
        <w:t xml:space="preserve">.</w:t>
      </w:r>
    </w:p>
    <w:p>
      <w:pPr>
        <w:numPr>
          <w:ilvl w:val="0"/>
          <w:numId w:val="1343"/>
        </w:numPr>
        <w:pStyle w:val="Compact"/>
      </w:pPr>
      <w:r>
        <w:t xml:space="preserve">Une femme de 50 ans a développé, quatre heures après sa première injection de sémaglutide provenant d’une pharmacie de préparations magistrales, un gonflement massif des lèvres, de la langue et de la gorge et a dû être ventilée pendant quatre jours. Ce n’est qu’ensuite qu’il est apparu qu’elle s’était injecté par erreur dix fois la quantité prévue</w:t>
      </w:r>
      <w:r>
        <w:rPr>
          <w:rStyle w:val="FootnoteReference"/>
        </w:rPr>
        <w:footnoteReference w:id="2718"/>
      </w:r>
      <w:r>
        <w:t xml:space="preserve">.</w:t>
      </w:r>
    </w:p>
    <w:p>
      <w:pPr>
        <w:numPr>
          <w:ilvl w:val="0"/>
          <w:numId w:val="1343"/>
        </w:numPr>
        <w:pStyle w:val="Compact"/>
      </w:pPr>
      <w:r>
        <w:t xml:space="preserve">Après une perfusion de Cerebrolysin, un homme de 85 ans a développé une anaphylaxie mettant sa vie en danger, confirmée en laboratoire</w:t>
      </w:r>
      <w:r>
        <w:rPr>
          <w:rStyle w:val="FootnoteReference"/>
        </w:rPr>
        <w:footnoteReference w:id="2719"/>
      </w:r>
      <w:r>
        <w:t xml:space="preserve">. Le Cerebrolysin est un mélange de peptides issus de cerveau de porc ; les extraits animaux comme celui-ci ou la thymaline apportent par principe davantage de protéines étrangères (chapitres Cerebrolysin, Thymaline).</w:t>
      </w:r>
    </w:p>
    <w:p>
      <w:pPr>
        <w:pStyle w:val="FirstParagraph"/>
      </w:pPr>
      <w:r>
        <w:t xml:space="preserve">Les allergies sont aussi possibles avec les peptides cosmétiques, bien que rares. Dans une petite étude avec une crème contenant notamment du palmitoyl pentapeptide-4, une suspicion de réaction allergique est survenue ; le composant responsable n’a pas pu être identifié</w:t>
      </w:r>
      <w:r>
        <w:rPr>
          <w:rStyle w:val="FootnoteReference"/>
        </w:rPr>
        <w:footnoteReference w:id="2720"/>
      </w:r>
      <w:r>
        <w:t xml:space="preserve">.</w:t>
      </w:r>
    </w:p>
    <w:p>
      <w:pPr>
        <w:pStyle w:val="BodyText"/>
      </w:pPr>
      <w:r>
        <w:t xml:space="preserve">Pour les peptides du marché gris, il n’existe pas de données de fréquence. Le risque d’une réaction allergique grave y est toutefois particulièrement présent, car l’utilisation se fait le plus souvent sans surveillance médicale et, en cas d’urgence, personne n’est là avec des médicaments d’urgence. Une détresse respiratoire, des gonflements du visage ou de la gorge et des troubles circulatoires après une injection sont toujours une urgence.</w:t>
      </w:r>
    </w:p>
    <w:bookmarkEnd w:id="2721"/>
    <w:bookmarkStart w:id="2726" w:name="réactions-inflammatoires-et-auto-immunes"/>
    <w:p>
      <w:pPr>
        <w:pStyle w:val="Heading3"/>
      </w:pPr>
      <w:r>
        <w:t xml:space="preserve">Réactions inflammatoires et auto-immunes</w:t>
      </w:r>
    </w:p>
    <w:p>
      <w:pPr>
        <w:pStyle w:val="FirstParagraph"/>
      </w:pPr>
      <w:r>
        <w:t xml:space="preserve">Certains peptides font eux-mêmes partie du système immunitaire. Cela les rend intéressants, mais aussi risqués.</w:t>
      </w:r>
    </w:p>
    <w:p>
      <w:pPr>
        <w:pStyle w:val="BodyText"/>
      </w:pPr>
      <w:r>
        <w:rPr>
          <w:bCs/>
          <w:b/>
        </w:rPr>
        <w:t xml:space="preserve">Le LL-37</w:t>
      </w:r>
      <w:r>
        <w:t xml:space="preserve"> </w:t>
      </w:r>
      <w:r>
        <w:t xml:space="preserve">est un peptide de défense endogène. Dans le psoriasis, il joue un rôle clé : il se lie au matériel génétique de l’organisme et le rend visible pour certaines cellules immunitaires, qui libèrent alors des messagers inflammatoires</w:t>
      </w:r>
      <w:r>
        <w:rPr>
          <w:rStyle w:val="FootnoteReference"/>
        </w:rPr>
        <w:footnoteReference w:id="2722"/>
      </w:r>
      <w:r>
        <w:t xml:space="preserve">. Chez deux tiers des personnes atteintes de psoriasis modéré à sévère, on a trouvé des lymphocytes T qui reconnaissent spécifiquement le LL-37 – il y agit donc comme un auto-antigène</w:t>
      </w:r>
      <w:r>
        <w:rPr>
          <w:rStyle w:val="FootnoteReference"/>
        </w:rPr>
        <w:footnoteReference w:id="2723"/>
      </w:r>
      <w:r>
        <w:t xml:space="preserve">. Après des injections de LL-37 dans des métastases cutanées, une patiente a présenté des lésions cutanées inflammatoires verruqueuses</w:t>
      </w:r>
      <w:r>
        <w:rPr>
          <w:rStyle w:val="FootnoteReference"/>
        </w:rPr>
        <w:footnoteReference w:id="2724"/>
      </w:r>
      <w:r>
        <w:t xml:space="preserve">. Pour les personnes atteintes de psoriasis, de rosacée ou d’autres maladies auto-immunes, c’est un indice à prendre au sérieux (chapitre LL-37).</w:t>
      </w:r>
    </w:p>
    <w:p>
      <w:pPr>
        <w:pStyle w:val="BodyText"/>
      </w:pPr>
      <w:r>
        <w:rPr>
          <w:bCs/>
          <w:b/>
        </w:rPr>
        <w:t xml:space="preserve">Les peptides immunostimulants</w:t>
      </w:r>
      <w:r>
        <w:t xml:space="preserve"> </w:t>
      </w:r>
      <w:r>
        <w:t xml:space="preserve">comme la thymosine alpha 1 et la thymaline sont censés stimuler les défenses. S’ils nuisent en cas de maladie auto-immune ou après une transplantation d’organe n’a pas été étudié (chapitres Thymosine alpha 1, Thymaline).</w:t>
      </w:r>
    </w:p>
    <w:p>
      <w:pPr>
        <w:pStyle w:val="BodyText"/>
      </w:pPr>
      <w:r>
        <w:t xml:space="preserve">Pour les médicaments GLP-1, une revue systématique décrit, outre les réactions cutanées légères fréquentes, des affections à médiation immunitaire rares mais potentiellement graves, dont des angio-œdèmes, des maladies auto-immunes bulleuses, des éruptions médicamenteuses et des vascularites</w:t>
      </w:r>
      <w:r>
        <w:rPr>
          <w:rStyle w:val="FootnoteReference"/>
        </w:rPr>
        <w:footnoteReference w:id="2725"/>
      </w:r>
      <w:r>
        <w:t xml:space="preserve">. Leur fréquence ne peut pas être déduite de rapports de cas.</w:t>
      </w:r>
    </w:p>
    <w:bookmarkEnd w:id="2726"/>
    <w:bookmarkStart w:id="2732" w:name="les-impuretés-comme-déclencheurs"/>
    <w:p>
      <w:pPr>
        <w:pStyle w:val="Heading3"/>
      </w:pPr>
      <w:r>
        <w:t xml:space="preserve">Les impuretés comme déclencheurs</w:t>
      </w:r>
    </w:p>
    <w:p>
      <w:pPr>
        <w:pStyle w:val="FirstParagraph"/>
      </w:pPr>
      <w:r>
        <w:t xml:space="preserve">Une partie des réactions immunitaires n’est pas due au peptide lui-même, mais à ce qui se retrouve en plus dans le flacon lors de sa fabrication.</w:t>
      </w:r>
    </w:p>
    <w:p>
      <w:pPr>
        <w:pStyle w:val="BodyText"/>
      </w:pPr>
      <w:r>
        <w:rPr>
          <w:bCs/>
          <w:b/>
        </w:rPr>
        <w:t xml:space="preserve">Peptides défectueux.</w:t>
      </w:r>
      <w:r>
        <w:t xml:space="preserve"> </w:t>
      </w:r>
      <w:r>
        <w:t xml:space="preserve">Lors de la synthèse chimique se forment des molécules dans lesquelles un acide aminé manque, apparaît en double ou est modifié chimiquement. De telles impuretés peuvent contenir de nouvelles structures reconnues par les lymphocytes T du système immunitaire. C’est pourquoi l’autorité américaine du médicament exige, pour les génériques de peptides synthétiques, des informations sur chaque nouvelle impureté par rapport à la préparation de référence</w:t>
      </w:r>
      <w:r>
        <w:rPr>
          <w:rStyle w:val="FootnoteReference"/>
        </w:rPr>
        <w:footnoteReference w:id="2727"/>
      </w:r>
      <w:r>
        <w:t xml:space="preserve">. Une étude portant sur des génériques du peptide antiostéoporotique tériparatide montre à quoi ressemble un tel contrôle : les impuretés y ont été évaluées par des méthodes informatiques, des tests de liaison et des essais avec des cellules immunitaires humaines</w:t>
      </w:r>
      <w:r>
        <w:rPr>
          <w:rStyle w:val="FootnoteReference"/>
        </w:rPr>
        <w:footnoteReference w:id="2728"/>
      </w:r>
      <w:r>
        <w:t xml:space="preserve">.</w:t>
      </w:r>
    </w:p>
    <w:p>
      <w:pPr>
        <w:pStyle w:val="BodyText"/>
      </w:pPr>
      <w:r>
        <w:rPr>
          <w:bCs/>
          <w:b/>
        </w:rPr>
        <w:t xml:space="preserve">Copies de GLP-1.</w:t>
      </w:r>
      <w:r>
        <w:t xml:space="preserve"> </w:t>
      </w:r>
      <w:r>
        <w:t xml:space="preserve">Une analyse proche d’un fabricant portant sur 16 copies injectables et 8 copies orales du sémaglutide a trouvé de nouvelles impuretés, dont des molécules protéiques plus grosses, ainsi que de nouveaux sites de reconnaissance par le système immunitaire prédits par des méthodes informatiques ; les copies du liraglutide montraient une tendance plus marquée à l’agrégation</w:t>
      </w:r>
      <w:r>
        <w:rPr>
          <w:rStyle w:val="FootnoteReference"/>
        </w:rPr>
        <w:footnoteReference w:id="2729"/>
      </w:r>
      <w:r>
        <w:t xml:space="preserve">. Il n’a pas été mesuré si ces différences provoquent réellement davantage d’anticorps chez l’humain. Une autre étude montre qu’une copie synthétique fabriquée avec soin n’est pas automatiquement plus problématique : un générique synthétique du liraglutide n’a pas stimulé davantage les cellules immunitaires humaines en laboratoire que l’original produit par génie génétique</w:t>
      </w:r>
      <w:r>
        <w:rPr>
          <w:rStyle w:val="FootnoteReference"/>
        </w:rPr>
        <w:footnoteReference w:id="2730"/>
      </w:r>
      <w:r>
        <w:t xml:space="preserve">. Ce qui est décisif n’est donc pas le mode de fabrication, mais le contrôle de la qualité.</w:t>
      </w:r>
    </w:p>
    <w:p>
      <w:pPr>
        <w:pStyle w:val="BodyText"/>
      </w:pPr>
      <w:r>
        <w:rPr>
          <w:bCs/>
          <w:b/>
        </w:rPr>
        <w:t xml:space="preserve">Endotoxines et germes.</w:t>
      </w:r>
      <w:r>
        <w:t xml:space="preserve"> </w:t>
      </w:r>
      <w:r>
        <w:t xml:space="preserve">Les endotoxines, composants de la paroi cellulaire des bactéries, activent directement le système immunitaire inné et peuvent déclencher fièvre, frissons et réactions circulatoires. Lors d’achats tests de sémaglutide auprès de pharmacies en ligne illégales, elles étaient détectables dans tous les échantillons (Ashraf 2024, PMID 39509151 ; détails dans la partie I). Un laboratoire de contrôle a détecté dans deux préparations peptidiques illégales pour injection la bactérie</w:t>
      </w:r>
      <w:r>
        <w:t xml:space="preserve"> </w:t>
      </w:r>
      <w:r>
        <w:rPr>
          <w:iCs/>
          <w:i/>
        </w:rPr>
        <w:t xml:space="preserve">Bacillus cereus</w:t>
      </w:r>
      <w:r>
        <w:t xml:space="preserve">, qui peut détruire les globules rouges</w:t>
      </w:r>
      <w:r>
        <w:rPr>
          <w:rStyle w:val="FootnoteReference"/>
        </w:rPr>
        <w:footnoteReference w:id="2731"/>
      </w:r>
      <w:r>
        <w:t xml:space="preserve">.</w:t>
      </w:r>
    </w:p>
    <w:p>
      <w:pPr>
        <w:pStyle w:val="BodyText"/>
      </w:pPr>
      <w:r>
        <w:t xml:space="preserve">Pour le marché gris, cela signifie : même si un peptide est en soi peu immunogène, le produit peut l’être. Et comme ni les profils d’impuretés ni les limites en endotoxines ne sont contrôlés pour la marchandise du marché gris, une réaction peut difficilement être attribuée après coup à un composant.</w:t>
      </w:r>
    </w:p>
    <w:bookmarkEnd w:id="2732"/>
    <w:bookmarkStart w:id="2733" w:name="ce-que-cela-signifie-en-pratique"/>
    <w:p>
      <w:pPr>
        <w:pStyle w:val="Heading3"/>
      </w:pPr>
      <w:r>
        <w:t xml:space="preserve">Ce que cela signifie en pratique</w:t>
      </w:r>
    </w:p>
    <w:p>
      <w:pPr>
        <w:numPr>
          <w:ilvl w:val="0"/>
          <w:numId w:val="1344"/>
        </w:numPr>
        <w:pStyle w:val="Compact"/>
      </w:pPr>
      <w:r>
        <w:t xml:space="preserve">Les anticorps dirigés contre les médicaments peptidiques sont fréquents, mais le plus souvent sans conséquence. Avec l’exénatide, des titres élevés peuvent atténuer l’effet ; avec le tirzépatide, ils s’accompagnent d’un peu plus de réactions cutanées et d’hypersensibilité.</w:t>
      </w:r>
    </w:p>
    <w:p>
      <w:pPr>
        <w:numPr>
          <w:ilvl w:val="0"/>
          <w:numId w:val="1344"/>
        </w:numPr>
        <w:pStyle w:val="Compact"/>
      </w:pPr>
      <w:r>
        <w:t xml:space="preserve">Les réactions au point d’injection sont la réaction immunitaire la plus fréquente, presque la règle pour certains peptides. Une rougeur croissante, de la chaleur, du pus ou de la fièvre évoquent en revanche une infection.</w:t>
      </w:r>
    </w:p>
    <w:p>
      <w:pPr>
        <w:numPr>
          <w:ilvl w:val="0"/>
          <w:numId w:val="1344"/>
        </w:numPr>
        <w:pStyle w:val="Compact"/>
      </w:pPr>
      <w:r>
        <w:t xml:space="preserve">L’anaphylaxie est très rare sous médicaments GLP-1 autorisés – de l’ordre de quelques cas pour 10 000 années de traitement. Il existe aussi des rapports de cas pour le tirzépatide, le Cerebrolysin et pour un surdosage accidentel.</w:t>
      </w:r>
    </w:p>
    <w:p>
      <w:pPr>
        <w:numPr>
          <w:ilvl w:val="0"/>
          <w:numId w:val="1344"/>
        </w:numPr>
        <w:pStyle w:val="Compact"/>
      </w:pPr>
      <w:r>
        <w:t xml:space="preserve">Pour la plupart des peptides du marché gris, les données sur les anticorps et les allergies font entièrement défaut. Les impuretés et les endotoxines y constituent un risque supplémentaire et incalculable.</w:t>
      </w:r>
    </w:p>
    <w:p>
      <w:pPr>
        <w:numPr>
          <w:ilvl w:val="0"/>
          <w:numId w:val="1344"/>
        </w:numPr>
        <w:pStyle w:val="Compact"/>
      </w:pPr>
      <w:r>
        <w:t xml:space="preserve">Si vous avez déjà eu une réaction allergique à un peptide, signalez-le lors de chaque traitement médical. Seul un médecin peut déterminer si des substances apparentées sont tolérées.</w:t>
      </w:r>
    </w:p>
    <w:bookmarkEnd w:id="2733"/>
    <w:bookmarkEnd w:id="2734"/>
    <w:bookmarkStart w:id="2778" w:name="Xa4dffeb30b03ab05b98d0000aca438a71984a46"/>
    <w:p>
      <w:pPr>
        <w:pStyle w:val="Heading2"/>
      </w:pPr>
      <w:r>
        <w:t xml:space="preserve">Produits du marché gris : ce que montrent les analyses de laboratoire</w:t>
      </w:r>
    </w:p>
    <w:p>
      <w:pPr>
        <w:pStyle w:val="FirstParagraph"/>
      </w:pPr>
      <w:r>
        <w:t xml:space="preserve">Dans la partie I, le chapitre « Le marché gris » a décrit ce que sont les « research peptides » et présenté quelques découvertes retentissantes : de la poudre de sémaglutide d’une pureté de 7,7 à 14,4 %, des flacons de Melanotan contenant moins de la moitié de la quantité indiquée, de l’Ozempic contrefait contenant de l’insuline. Ce chapitre va plus loin. Il demande qui analyse réellement ces produits, quels types de défauts se répètent d’une étude à l’autre, ce que ces analyses ne peuvent pas montrer – et ce que les données des centres antipoison révèlent sur les conséquences des erreurs de dosage avec les médicaments GLP-1.</w:t>
      </w:r>
    </w:p>
    <w:bookmarkStart w:id="2736" w:name="qui-analyse-les-produits-du-marché-gris"/>
    <w:p>
      <w:pPr>
        <w:pStyle w:val="Heading3"/>
      </w:pPr>
      <w:r>
        <w:t xml:space="preserve">Qui analyse les produits du marché gris</w:t>
      </w:r>
    </w:p>
    <w:p>
      <w:pPr>
        <w:pStyle w:val="FirstParagraph"/>
      </w:pPr>
      <w:r>
        <w:t xml:space="preserve">La plupart des données proviennent de trois sources.</w:t>
      </w:r>
    </w:p>
    <w:p>
      <w:pPr>
        <w:pStyle w:val="BodyText"/>
      </w:pPr>
      <w:r>
        <w:rPr>
          <w:bCs/>
          <w:b/>
        </w:rPr>
        <w:t xml:space="preserve">Les laboratoires officiels de contrôle des médicaments.</w:t>
      </w:r>
      <w:r>
        <w:t xml:space="preserve"> </w:t>
      </w:r>
      <w:r>
        <w:t xml:space="preserve">En Europe, ils collaborent au sein d’un réseau coordonné par la Direction européenne de la qualité du médicament. Ils analysent des échantillons saisis par les douanes, la police ou les autorités sanitaires. Un laboratoire belge a par exemple mis au point une méthode de criblage permettant d’identifier en une seule analyse 25 peptides différents dans des préparations injectables inconnues – y compris des peptides qui n’avaient encore jamais été saisis, mais qui étaient déjà discutés sur des forums Internet</w:t>
      </w:r>
      <w:r>
        <w:rPr>
          <w:rStyle w:val="FootnoteReference"/>
        </w:rPr>
        <w:footnoteReference w:id="2735"/>
      </w:r>
      <w:r>
        <w:t xml:space="preserve">.</w:t>
      </w:r>
    </w:p>
    <w:p>
      <w:pPr>
        <w:pStyle w:val="BodyText"/>
      </w:pPr>
      <w:r>
        <w:rPr>
          <w:bCs/>
          <w:b/>
        </w:rPr>
        <w:t xml:space="preserve">Les laboratoires antidopage et de police scientifique.</w:t>
      </w:r>
      <w:r>
        <w:t xml:space="preserve"> </w:t>
      </w:r>
      <w:r>
        <w:t xml:space="preserve">Ils analysent des marchandises saisies dans le milieu sportif afin de maintenir leurs méthodes de détection à jour. Les observations de Cologne, de Norvège et du Danemark présentées dans la partie I proviennent de cette source.</w:t>
      </w:r>
    </w:p>
    <w:p>
      <w:pPr>
        <w:pStyle w:val="BodyText"/>
      </w:pPr>
      <w:r>
        <w:rPr>
          <w:bCs/>
          <w:b/>
        </w:rPr>
        <w:t xml:space="preserve">Les achats tests réalisés par des groupes de recherche.</w:t>
      </w:r>
      <w:r>
        <w:t xml:space="preserve"> </w:t>
      </w:r>
      <w:r>
        <w:t xml:space="preserve">Ces groupes achètent de manière ciblée des produits auprès de vendeurs en ligne et vérifient ce qui leur parvient. Ces études sont plus rares, mais se rapprochent le plus de la situation des acheteuses et acheteurs.</w:t>
      </w:r>
    </w:p>
    <w:p>
      <w:pPr>
        <w:pStyle w:val="BodyText"/>
      </w:pPr>
      <w:r>
        <w:t xml:space="preserve">Les méthodes utilisées répondent à des questions différentes : la spectrométrie de masse montre</w:t>
      </w:r>
      <w:r>
        <w:t xml:space="preserve"> </w:t>
      </w:r>
      <w:r>
        <w:rPr>
          <w:iCs/>
          <w:i/>
        </w:rPr>
        <w:t xml:space="preserve">quelle</w:t>
      </w:r>
      <w:r>
        <w:t xml:space="preserve"> </w:t>
      </w:r>
      <w:r>
        <w:t xml:space="preserve">substance est présente ; la chromatographie en phase liquide mesure</w:t>
      </w:r>
      <w:r>
        <w:t xml:space="preserve"> </w:t>
      </w:r>
      <w:r>
        <w:rPr>
          <w:iCs/>
          <w:i/>
        </w:rPr>
        <w:t xml:space="preserve">combien</w:t>
      </w:r>
      <w:r>
        <w:t xml:space="preserve"> </w:t>
      </w:r>
      <w:r>
        <w:t xml:space="preserve">et</w:t>
      </w:r>
      <w:r>
        <w:t xml:space="preserve"> </w:t>
      </w:r>
      <w:r>
        <w:rPr>
          <w:iCs/>
          <w:i/>
        </w:rPr>
        <w:t xml:space="preserve">à quel degré de pureté</w:t>
      </w:r>
      <w:r>
        <w:t xml:space="preserve"> </w:t>
      </w:r>
      <w:r>
        <w:t xml:space="preserve">; des méthodes spécifiques détectent les métaux, les résidus de solvants, les bactéries ou les endotoxines. Aucun laboratoire ne contrôle tout en routine. Si un rapport ne détermine que l’identité, il ne dit rien des germes, et inversement.</w:t>
      </w:r>
    </w:p>
    <w:bookmarkEnd w:id="2736"/>
    <w:bookmarkStart w:id="2756" w:name="quatre-types-de-défauts-récurrents"/>
    <w:p>
      <w:pPr>
        <w:pStyle w:val="Heading3"/>
      </w:pPr>
      <w:r>
        <w:t xml:space="preserve">Quatre types de défauts récurrents</w:t>
      </w:r>
    </w:p>
    <w:p>
      <w:pPr>
        <w:pStyle w:val="FirstParagraph"/>
      </w:pPr>
      <w:r>
        <w:t xml:space="preserve">D’une analyse à l’autre, les observations peuvent être classées en quatre groupes.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 de défaut</w:t>
            </w:r>
          </w:p>
        </w:tc>
        <w:tc>
          <w:tcPr/>
          <w:p>
            <w:pPr>
              <w:pStyle w:val="Compact"/>
              <w:jc w:val="left"/>
            </w:pPr>
            <w:r>
              <w:t xml:space="preserve">Exemples tirés des analyses</w:t>
            </w:r>
          </w:p>
        </w:tc>
        <w:tc>
          <w:tcPr/>
          <w:p>
            <w:pPr>
              <w:pStyle w:val="Compact"/>
              <w:jc w:val="left"/>
            </w:pPr>
            <w:r>
              <w:t xml:space="preserve">Source</w:t>
            </w:r>
          </w:p>
        </w:tc>
      </w:tr>
      <w:tr>
        <w:tc>
          <w:tcPr/>
          <w:p>
            <w:pPr>
              <w:pStyle w:val="Compact"/>
              <w:jc w:val="left"/>
            </w:pPr>
            <w:r>
              <w:t xml:space="preserve">Substance erronée ou absente</w:t>
            </w:r>
          </w:p>
        </w:tc>
        <w:tc>
          <w:tcPr/>
          <w:p>
            <w:pPr>
              <w:pStyle w:val="Compact"/>
              <w:jc w:val="left"/>
            </w:pPr>
            <w:r>
              <w:t xml:space="preserve">9 échantillons saisis sur 36 sans peptide ni protéine</w:t>
            </w:r>
          </w:p>
        </w:tc>
        <w:tc>
          <w:tcPr/>
          <w:p>
            <w:pPr>
              <w:pStyle w:val="Compact"/>
              <w:jc w:val="left"/>
            </w:pPr>
            <w:r>
              <w:t xml:space="preserve">Høj 2021, PMID 33686802</w:t>
            </w:r>
          </w:p>
        </w:tc>
      </w:tr>
      <w:tr>
        <w:tc>
          <w:tcPr/>
          <w:p>
            <w:pPr>
              <w:pStyle w:val="Compact"/>
              <w:jc w:val="left"/>
            </w:pPr>
            <w:r>
              <w:t xml:space="preserve">Quantité erronée</w:t>
            </w:r>
          </w:p>
        </w:tc>
        <w:tc>
          <w:tcPr/>
          <w:p>
            <w:pPr>
              <w:pStyle w:val="Compact"/>
              <w:jc w:val="left"/>
            </w:pPr>
            <w:r>
              <w:t xml:space="preserve">seulement 41 % de 44 produits vendus sur Internet avec une quantité correcte de substance active</w:t>
            </w:r>
          </w:p>
        </w:tc>
        <w:tc>
          <w:tcPr/>
          <w:p>
            <w:pPr>
              <w:pStyle w:val="Compact"/>
              <w:jc w:val="left"/>
            </w:pPr>
            <w:r>
              <w:t xml:space="preserve">Van Wagoner 2017, PMID 29183075</w:t>
            </w:r>
          </w:p>
        </w:tc>
      </w:tr>
      <w:tr>
        <w:tc>
          <w:tcPr/>
          <w:p>
            <w:pPr>
              <w:pStyle w:val="Compact"/>
              <w:jc w:val="left"/>
            </w:pPr>
            <w:r>
              <w:t xml:space="preserve">Faible pureté, produits de dégradation</w:t>
            </w:r>
          </w:p>
        </w:tc>
        <w:tc>
          <w:tcPr/>
          <w:p>
            <w:pPr>
              <w:pStyle w:val="Compact"/>
              <w:jc w:val="left"/>
            </w:pPr>
            <w:r>
              <w:t xml:space="preserve">pureté de 5 à 75 % pour certains peptides</w:t>
            </w:r>
          </w:p>
        </w:tc>
        <w:tc>
          <w:tcPr/>
          <w:p>
            <w:pPr>
              <w:pStyle w:val="Compact"/>
              <w:jc w:val="left"/>
            </w:pPr>
            <w:r>
              <w:t xml:space="preserve">Janvier 2018, PMID 30029448</w:t>
            </w:r>
          </w:p>
        </w:tc>
      </w:tr>
      <w:tr>
        <w:tc>
          <w:tcPr/>
          <w:p>
            <w:pPr>
              <w:pStyle w:val="Compact"/>
              <w:jc w:val="left"/>
            </w:pPr>
            <w:r>
              <w:t xml:space="preserve">Substances associées dangereuses</w:t>
            </w:r>
          </w:p>
        </w:tc>
        <w:tc>
          <w:tcPr/>
          <w:p>
            <w:pPr>
              <w:pStyle w:val="Compact"/>
              <w:jc w:val="left"/>
            </w:pPr>
            <w:r>
              <w:t xml:space="preserve">arsenic et plomb, parfois jusqu’à dix fois la valeur limite</w:t>
            </w:r>
          </w:p>
        </w:tc>
        <w:tc>
          <w:tcPr/>
          <w:p>
            <w:pPr>
              <w:pStyle w:val="Compact"/>
              <w:jc w:val="left"/>
            </w:pPr>
            <w:r>
              <w:t xml:space="preserve">Janvier 2018, PMID 30029448</w:t>
            </w:r>
          </w:p>
        </w:tc>
      </w:tr>
    </w:tbl>
    <w:bookmarkStart w:id="2742" w:name="substance-erronée-ou-absente"/>
    <w:p>
      <w:pPr>
        <w:pStyle w:val="Heading4"/>
      </w:pPr>
      <w:r>
        <w:t xml:space="preserve">Substance erronée ou absente</w:t>
      </w:r>
    </w:p>
    <w:p>
      <w:pPr>
        <w:pStyle w:val="FirstParagraph"/>
      </w:pPr>
      <w:r>
        <w:t xml:space="preserve">En 2019, un laboratoire danois de police scientifique a reçu 36 échantillons saisis dans lesquels on soupçonnait la présence de peptides ou de protéines. 15 contenaient un produit dopant interdit, 12 une substance qui ne figurait pas sur la liste danoise des produits dopants et 9 ne contenaient aucun peptide ni protéine</w:t>
      </w:r>
      <w:r>
        <w:rPr>
          <w:rStyle w:val="FootnoteReference"/>
        </w:rPr>
        <w:footnoteReference w:id="2737"/>
      </w:r>
      <w:r>
        <w:t xml:space="preserve">. Lors d’une opération douanière à l’échelle européenne, les laboratoires ont signalé parmi les préparations injectables saisies de l’hormone de croissance, de la sermoréline, du Melanotan II et des préparations sans aucune substance active ; les envois étaient en moyenne trop importants pour un usage personnel et probablement destinés en partie à la revente</w:t>
      </w:r>
      <w:r>
        <w:rPr>
          <w:rStyle w:val="FootnoteReference"/>
        </w:rPr>
        <w:footnoteReference w:id="2738"/>
      </w:r>
      <w:r>
        <w:t xml:space="preserve">. Dans un cas belge, une préparation présumée être de l’IGF-1 contenait à la place un autre facteur de croissance, le facteur de croissance épidermique EGF</w:t>
      </w:r>
      <w:r>
        <w:rPr>
          <w:rStyle w:val="FootnoteReference"/>
        </w:rPr>
        <w:footnoteReference w:id="2739"/>
      </w:r>
      <w:r>
        <w:t xml:space="preserve">.</w:t>
      </w:r>
    </w:p>
    <w:p>
      <w:pPr>
        <w:pStyle w:val="BodyText"/>
      </w:pPr>
      <w:r>
        <w:t xml:space="preserve">Un laboratoire de lutte contre le dopage équin a analysé des produits proposés sur Internet sous les noms « TB500 », « TB1000 » et « SGF1000 ». Le contenu des produits TB ne correspondait pas systématiquement aux descriptions antérieures. Le « SGF1000 » se composait principalement de protéines du tissu conjonctif et du sang de mouton ; les composants prétendument favorables à la croissance étaient extrêmement dilués</w:t>
      </w:r>
      <w:r>
        <w:rPr>
          <w:rStyle w:val="FootnoteReference"/>
        </w:rPr>
        <w:footnoteReference w:id="2740"/>
      </w:r>
      <w:r>
        <w:t xml:space="preserve">.</w:t>
      </w:r>
    </w:p>
    <w:p>
      <w:pPr>
        <w:pStyle w:val="BodyText"/>
      </w:pPr>
      <w:r>
        <w:t xml:space="preserve">Une étude américaine montre à quel point l’étiquette et le contenu divergent souvent ; elle ne portait certes pas sur des peptides, mais sur des produits appelés SARM, qui empruntent le même circuit de distribution : sur 44 produits vendus sur Internet, seuls 52 % contenaient une substance active du groupe annoncé. 39 % contenaient d’autres substances non autorisées, dont le sécrétagogue de l’hormone de croissance ibutamorène, 9 % aucune substance active, et 25 % des substances non déclarées</w:t>
      </w:r>
      <w:r>
        <w:rPr>
          <w:rStyle w:val="FootnoteReference"/>
        </w:rPr>
        <w:footnoteReference w:id="2741"/>
      </w:r>
      <w:r>
        <w:t xml:space="preserve">.</w:t>
      </w:r>
    </w:p>
    <w:bookmarkEnd w:id="2742"/>
    <w:bookmarkStart w:id="2746" w:name="quantité-erronée"/>
    <w:p>
      <w:pPr>
        <w:pStyle w:val="Heading4"/>
      </w:pPr>
      <w:r>
        <w:t xml:space="preserve">Quantité erronée</w:t>
      </w:r>
    </w:p>
    <w:p>
      <w:pPr>
        <w:pStyle w:val="FirstParagraph"/>
      </w:pPr>
      <w:r>
        <w:t xml:space="preserve">Même lorsque la bonne substance se trouve dans le flacon, la quantité est souvent inexacte. Dans l’analyse américaine citée, la quantité de substance active mesurée ne correspondait à l’indication de l’étiquette que pour 18 des 44 produits (41 %)</w:t>
      </w:r>
      <w:r>
        <w:rPr>
          <w:rStyle w:val="FootnoteReference"/>
        </w:rPr>
        <w:footnoteReference w:id="2743"/>
      </w:r>
      <w:r>
        <w:t xml:space="preserve">. Un laboratoire de toxicologie français a analysé 75 médicaments issus du milieu du culturisme saisis sur le marché noir : 33 % étaient de qualité inférieure, c’est-à-dire mal dosés, 32 % falsifiés, c’est-à-dire avec un contenu différent de celui indiqué, et seulement 19 % correspondaient entièrement à l’original</w:t>
      </w:r>
      <w:r>
        <w:rPr>
          <w:rStyle w:val="FootnoteReference"/>
        </w:rPr>
        <w:footnoteReference w:id="2744"/>
      </w:r>
      <w:r>
        <w:t xml:space="preserve">. Une surveillance du marché européen menée pendant cinq ans sur 324 échantillons provenant de 13 pays a conclu, d’après les données quantitatives limitées, que la plupart des échantillons contenaient des quantités actives et que certains étaient même surdosés</w:t>
      </w:r>
      <w:r>
        <w:rPr>
          <w:rStyle w:val="FootnoteReference"/>
        </w:rPr>
        <w:footnoteReference w:id="2745"/>
      </w:r>
      <w:r>
        <w:t xml:space="preserve">.</w:t>
      </w:r>
    </w:p>
    <w:p>
      <w:pPr>
        <w:pStyle w:val="BodyText"/>
      </w:pPr>
      <w:r>
        <w:t xml:space="preserve">Les deux situations sont dangereuses : trop peu de substance active incite à « redoser » ; trop en provoque directement des effets indésirables plus importants. Pour les médicaments GLP-1, dont la tolérance dépend fortement d’une augmentation lente, une quantité inconnue est particulièrement problématique.</w:t>
      </w:r>
    </w:p>
    <w:bookmarkEnd w:id="2746"/>
    <w:bookmarkStart w:id="2751" w:name="Xd457d80b34f2a55cc9a261469e27173dc33f55a"/>
    <w:p>
      <w:pPr>
        <w:pStyle w:val="Heading4"/>
      </w:pPr>
      <w:r>
        <w:t xml:space="preserve">Faible pureté, produits de dégradation et variantes de synthèse</w:t>
      </w:r>
    </w:p>
    <w:p>
      <w:pPr>
        <w:pStyle w:val="FirstParagraph"/>
      </w:pPr>
      <w:r>
        <w:t xml:space="preserve">L’étude systématique la plus complète provient de Belgique. Le laboratoire de contrôle a acheté les dix médicaments peptidiques les plus contrefaits du marché belge auprès de trois pharmacies en ligne présumées illégales et les a analysés à la recherche de la substance active, des impuretés peptidiques, de petites substances organiques étrangères, de métaux et de résidus de solvants. La quantité par flacon variait fortement, et pour les peptides contenant l’acide aminé cystéine, la pureté se situait entre 5 et 75 %</w:t>
      </w:r>
      <w:r>
        <w:rPr>
          <w:rStyle w:val="FootnoteReference"/>
        </w:rPr>
        <w:footnoteReference w:id="2747"/>
      </w:r>
      <w:r>
        <w:t xml:space="preserve">.</w:t>
      </w:r>
    </w:p>
    <w:p>
      <w:pPr>
        <w:pStyle w:val="BodyText"/>
      </w:pPr>
      <w:r>
        <w:t xml:space="preserve">D’autres laboratoires ont trouvé dans des produits du marché noir dérivés de l’IGF-1 de nombreuses formes peptidiques oxydées, c’est-à-dire chimiquement modifiées</w:t>
      </w:r>
      <w:r>
        <w:rPr>
          <w:rStyle w:val="FootnoteReference"/>
        </w:rPr>
        <w:footnoteReference w:id="2748"/>
      </w:r>
      <w:r>
        <w:t xml:space="preserve">, et dans un échantillon saisi de Melanotan II une pureté de 30 %</w:t>
      </w:r>
      <w:r>
        <w:rPr>
          <w:rStyle w:val="FootnoteReference"/>
        </w:rPr>
        <w:footnoteReference w:id="2749"/>
      </w:r>
      <w:r>
        <w:t xml:space="preserve">. Dans des préparations saisies par la douane danoise, on a trouvé des variantes du GHRP-2, du GHRP-6, de l’ipamoréline et d’un fragment de GHRH, auxquelles un acide aminé glycine supplémentaire avait été ajouté en tête</w:t>
      </w:r>
      <w:r>
        <w:rPr>
          <w:rStyle w:val="FootnoteReference"/>
        </w:rPr>
        <w:footnoteReference w:id="2750"/>
      </w:r>
      <w:r>
        <w:t xml:space="preserve">. Ces « variantes de synthèse » visent probablement à contourner les contrôles antidopage. Leur effet et leur sécurité chez l’humain sont totalement inconnus.</w:t>
      </w:r>
    </w:p>
    <w:bookmarkEnd w:id="2751"/>
    <w:bookmarkStart w:id="2755" w:name="substances-associées-dangereuses"/>
    <w:p>
      <w:pPr>
        <w:pStyle w:val="Heading4"/>
      </w:pPr>
      <w:r>
        <w:t xml:space="preserve">Substances associées dangereuses</w:t>
      </w:r>
    </w:p>
    <w:p>
      <w:pPr>
        <w:pStyle w:val="FirstParagraph"/>
      </w:pPr>
      <w:r>
        <w:t xml:space="preserve">L’étude belge a mis en évidence les éléments toxiques arsenic et plomb. Un échantillon était contaminé par du plomb, plusieurs contenaient de l’arsenic à des concentrations allant jusqu’à dix fois la valeur limite internationale pour les médicaments injectables. L’analyse plus poussée a montré que l’arsenic était entièrement présent sous sa forme inorganique, la plus toxique. Les autrices et auteurs soulignent que l’arsenic est cancérogène et que le plomb s’accumule dans l’organisme – en cas d’utilisation répétée pendant des mois, un risque supplémentaire et insidieux</w:t>
      </w:r>
      <w:r>
        <w:rPr>
          <w:rStyle w:val="FootnoteReference"/>
        </w:rPr>
        <w:footnoteReference w:id="2752"/>
      </w:r>
      <w:r>
        <w:t xml:space="preserve">.</w:t>
      </w:r>
    </w:p>
    <w:p>
      <w:pPr>
        <w:pStyle w:val="BodyText"/>
      </w:pPr>
      <w:r>
        <w:t xml:space="preserve">S’y ajoutent des germes et des composants bactériens. Le même laboratoire a détecté dans deux préparations peptidiques illégales pour injection la bactérie</w:t>
      </w:r>
      <w:r>
        <w:t xml:space="preserve"> </w:t>
      </w:r>
      <w:r>
        <w:rPr>
          <w:iCs/>
          <w:i/>
        </w:rPr>
        <w:t xml:space="preserve">Bacillus cereus</w:t>
      </w:r>
      <w:r>
        <w:rPr>
          <w:rStyle w:val="FootnoteReference"/>
        </w:rPr>
        <w:footnoteReference w:id="2753"/>
      </w:r>
      <w:r>
        <w:t xml:space="preserve">. Lors des achats tests de sémaglutide évoqués dans la partie I, des endotoxines étaient détectables dans tous les échantillons</w:t>
      </w:r>
      <w:r>
        <w:rPr>
          <w:rStyle w:val="FootnoteReference"/>
        </w:rPr>
        <w:footnoteReference w:id="2754"/>
      </w:r>
      <w:r>
        <w:t xml:space="preserve">. La raison pour laquelle c’est pertinent pour le système immunitaire est décrite au chapitre « Réactions immunitaires et anticorps ».</w:t>
      </w:r>
    </w:p>
    <w:bookmarkEnd w:id="2755"/>
    <w:bookmarkEnd w:id="2756"/>
    <w:bookmarkStart w:id="2762" w:name="toujours-de-nouvelles-substances"/>
    <w:p>
      <w:pPr>
        <w:pStyle w:val="Heading3"/>
      </w:pPr>
      <w:r>
        <w:t xml:space="preserve">Toujours de nouvelles substances</w:t>
      </w:r>
    </w:p>
    <w:p>
      <w:pPr>
        <w:pStyle w:val="FirstParagraph"/>
      </w:pPr>
      <w:r>
        <w:t xml:space="preserve">Le marché gris réagit rapidement aux tendances. Une surveillance du marché européen portant sur 1 104 cas signalés dans 16 pays entre 2017 et 2019 a montré que 11 % des échantillons contenaient des molécules biologiques, surtout des « research peptides » ; c’était la deuxième catégorie la plus fréquente</w:t>
      </w:r>
      <w:r>
        <w:rPr>
          <w:rStyle w:val="FootnoteReference"/>
        </w:rPr>
        <w:footnoteReference w:id="2757"/>
      </w:r>
      <w:r>
        <w:t xml:space="preserve">. Des laboratoires belges ont identifié dans des préparations saisies le « peptide anti-âge » Epitalon</w:t>
      </w:r>
      <w:r>
        <w:rPr>
          <w:rStyle w:val="FootnoteReference"/>
        </w:rPr>
        <w:footnoteReference w:id="2758"/>
      </w:r>
      <w:r>
        <w:t xml:space="preserve"> </w:t>
      </w:r>
      <w:r>
        <w:t xml:space="preserve">ainsi que les peptides nootropes Selank et Semax ; le laboratoire a ensuite mis au point sa propre méthode de détection pour dix de ces peptides proposés sur Internet</w:t>
      </w:r>
      <w:r>
        <w:rPr>
          <w:rStyle w:val="FootnoteReference"/>
        </w:rPr>
        <w:footnoteReference w:id="2759"/>
      </w:r>
      <w:r>
        <w:t xml:space="preserve">. Entre-temps, des substances encore en cours d’essais cliniques sont également proposées, par exemple le rétatrutide et l’amycrétine (chapitres Rétatrutide, Amycrétine).</w:t>
      </w:r>
    </w:p>
    <w:p>
      <w:pPr>
        <w:pStyle w:val="BodyText"/>
      </w:pPr>
      <w:r>
        <w:t xml:space="preserve">Pour les laboratoires de contrôle, c’est une course contre la montre : une substance pour laquelle il n’existe pas encore de substance de référence ne peut pas être identifiée avec certitude. Pour les acheteuses et acheteurs, cela signifie que c’est sur les produits les plus récents que l’on sait le moins de choses quant au contenu et à la qualité.</w:t>
      </w:r>
    </w:p>
    <w:p>
      <w:pPr>
        <w:pStyle w:val="BodyText"/>
      </w:pPr>
      <w:r>
        <w:t xml:space="preserve">De plus en plus, des produits du marché gris apparaissent aussi sous des formes qui semblent plus anodines qu’une injection. Une étude américaine a recensé 24 patchs et un gel vendus comme compléments alimentaires et présentés comme du « GLP-1 naturel ». Aucun ne fournissait de certificat d’analyse, beaucoup faisaient une publicité trompeuse ; selon le droit américain, la vente de tels patchs comme compléments alimentaires est illicite</w:t>
      </w:r>
      <w:r>
        <w:rPr>
          <w:rStyle w:val="FootnoteReference"/>
        </w:rPr>
        <w:footnoteReference w:id="2760"/>
      </w:r>
      <w:r>
        <w:t xml:space="preserve">. Dans la surveillance du marché européen, 24 % des préparations de musculation étaient présentées comme des compléments alimentaires – les personnes qui les achètent ignorent souvent qu’elles prennent un médicament non autorisé</w:t>
      </w:r>
      <w:r>
        <w:rPr>
          <w:rStyle w:val="FootnoteReference"/>
        </w:rPr>
        <w:footnoteReference w:id="2761"/>
      </w:r>
      <w:r>
        <w:t xml:space="preserve">.</w:t>
      </w:r>
    </w:p>
    <w:bookmarkEnd w:id="2762"/>
    <w:bookmarkStart w:id="2763" w:name="ce-que-les-analyses-ne-montrent-pas"/>
    <w:p>
      <w:pPr>
        <w:pStyle w:val="Heading3"/>
      </w:pPr>
      <w:r>
        <w:t xml:space="preserve">Ce que les analyses ne montrent pas</w:t>
      </w:r>
    </w:p>
    <w:p>
      <w:pPr>
        <w:pStyle w:val="FirstParagraph"/>
      </w:pPr>
      <w:r>
        <w:t xml:space="preserve">Aussi nettes que soient les observations, elles ont leurs limites.</w:t>
      </w:r>
    </w:p>
    <w:p>
      <w:pPr>
        <w:numPr>
          <w:ilvl w:val="0"/>
          <w:numId w:val="1345"/>
        </w:numPr>
        <w:pStyle w:val="Compact"/>
      </w:pPr>
      <w:r>
        <w:rPr>
          <w:bCs/>
          <w:b/>
        </w:rPr>
        <w:t xml:space="preserve">Pas d’échantillon représentatif.</w:t>
      </w:r>
      <w:r>
        <w:t xml:space="preserve"> </w:t>
      </w:r>
      <w:r>
        <w:t xml:space="preserve">La marchandise saisie est une sélection de ce qui attire l’attention des douanes. Les achats tests ne portent le plus souvent que sur quelques vendeurs. On ne peut pas en déduire la part de produits défectueux sur l’ensemble du marché.</w:t>
      </w:r>
    </w:p>
    <w:p>
      <w:pPr>
        <w:numPr>
          <w:ilvl w:val="0"/>
          <w:numId w:val="1345"/>
        </w:numPr>
        <w:pStyle w:val="Compact"/>
      </w:pPr>
      <w:r>
        <w:rPr>
          <w:bCs/>
          <w:b/>
        </w:rPr>
        <w:t xml:space="preserve">Des instantanés.</w:t>
      </w:r>
      <w:r>
        <w:t xml:space="preserve"> </w:t>
      </w:r>
      <w:r>
        <w:t xml:space="preserve">Un vendeur dont la marchandise est correcte aujourd’hui peut livrer demain un autre lot. Les bons résultats d’une analyse ne valent pas pour le flacon suivant.</w:t>
      </w:r>
    </w:p>
    <w:p>
      <w:pPr>
        <w:numPr>
          <w:ilvl w:val="0"/>
          <w:numId w:val="1345"/>
        </w:numPr>
        <w:pStyle w:val="Compact"/>
      </w:pPr>
      <w:r>
        <w:rPr>
          <w:bCs/>
          <w:b/>
        </w:rPr>
        <w:t xml:space="preserve">Tout n’est pas contrôlé.</w:t>
      </w:r>
      <w:r>
        <w:t xml:space="preserve"> </w:t>
      </w:r>
      <w:r>
        <w:t xml:space="preserve">De nombreux rapports ne déterminent que l’identité de la substance active. La question de savoir si un produit au contenu « correct » était stérile et exempt d’endotoxines reste alors ouverte.</w:t>
      </w:r>
    </w:p>
    <w:p>
      <w:pPr>
        <w:numPr>
          <w:ilvl w:val="0"/>
          <w:numId w:val="1345"/>
        </w:numPr>
        <w:pStyle w:val="Compact"/>
      </w:pPr>
      <w:r>
        <w:rPr>
          <w:bCs/>
          <w:b/>
        </w:rPr>
        <w:t xml:space="preserve">Rien sur l’efficacité et la sécurité.</w:t>
      </w:r>
      <w:r>
        <w:t xml:space="preserve"> </w:t>
      </w:r>
      <w:r>
        <w:t xml:space="preserve">Même un produit pur n’est pas plus sûr que la substance active elle-même. Pour la plupart des peptides du marché gris, les études chez l’humain font défaut (voir partie II).</w:t>
      </w:r>
    </w:p>
    <w:bookmarkEnd w:id="2763"/>
    <w:bookmarkStart w:id="2775" w:name="X91922a9797ebcbf020af0eabe9180ac861a21d6"/>
    <w:p>
      <w:pPr>
        <w:pStyle w:val="Heading3"/>
      </w:pPr>
      <w:r>
        <w:t xml:space="preserve">Médicaments GLP-1 : ce que rapportent les centres antipoison</w:t>
      </w:r>
    </w:p>
    <w:p>
      <w:pPr>
        <w:pStyle w:val="FirstParagraph"/>
      </w:pPr>
      <w:r>
        <w:t xml:space="preserve">Pour les médicaments GLP-1, il existe une source de données supplémentaire qui montre ce qui tourne réellement mal lors de l’utilisation : les appels aux centres antipoison. Aux États-Unis, ils sont recueillis dans une base de données nationale. Ces données ne distinguent pas toujours entre l’original, la préparation magistrale et la marchandise du marché gris, mais elles montrent l’ordre de grandeur des problèmes.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Étude</w:t>
            </w:r>
          </w:p>
        </w:tc>
        <w:tc>
          <w:tcPr/>
          <w:p>
            <w:pPr>
              <w:pStyle w:val="Compact"/>
              <w:jc w:val="left"/>
            </w:pPr>
            <w:r>
              <w:t xml:space="preserve">Période et volume</w:t>
            </w:r>
          </w:p>
        </w:tc>
        <w:tc>
          <w:tcPr/>
          <w:p>
            <w:pPr>
              <w:pStyle w:val="Compact"/>
              <w:jc w:val="left"/>
            </w:pPr>
            <w:r>
              <w:t xml:space="preserve">Principales observations</w:t>
            </w:r>
          </w:p>
        </w:tc>
      </w:tr>
      <w:tr>
        <w:tc>
          <w:tcPr/>
          <w:p>
            <w:pPr>
              <w:pStyle w:val="Compact"/>
              <w:jc w:val="left"/>
            </w:pPr>
            <w:r>
              <w:t xml:space="preserve">Gaw 2024, PMID 38421490</w:t>
            </w:r>
          </w:p>
        </w:tc>
        <w:tc>
          <w:tcPr/>
          <w:p>
            <w:pPr>
              <w:pStyle w:val="Compact"/>
              <w:jc w:val="left"/>
            </w:pPr>
            <w:r>
              <w:t xml:space="preserve">États-Unis, 2017–2022, 5 713 cas</w:t>
            </w:r>
          </w:p>
        </w:tc>
        <w:tc>
          <w:tcPr/>
          <w:p>
            <w:pPr>
              <w:pStyle w:val="Compact"/>
              <w:jc w:val="left"/>
            </w:pPr>
            <w:r>
              <w:t xml:space="preserve">79,9 % d’erreurs d’utilisation ; 6,2 % d’évolutions graves, un décès</w:t>
            </w:r>
          </w:p>
        </w:tc>
      </w:tr>
      <w:tr>
        <w:tc>
          <w:tcPr/>
          <w:p>
            <w:pPr>
              <w:pStyle w:val="Compact"/>
              <w:jc w:val="left"/>
            </w:pPr>
            <w:r>
              <w:t xml:space="preserve">Miller 2026, PMID 41634285</w:t>
            </w:r>
          </w:p>
        </w:tc>
        <w:tc>
          <w:tcPr/>
          <w:p>
            <w:pPr>
              <w:pStyle w:val="Compact"/>
              <w:jc w:val="left"/>
            </w:pPr>
            <w:r>
              <w:t xml:space="preserve">États-Unis, 2012–2023, 10 033 cas</w:t>
            </w:r>
          </w:p>
        </w:tc>
        <w:tc>
          <w:tcPr/>
          <w:p>
            <w:pPr>
              <w:pStyle w:val="Compact"/>
              <w:jc w:val="left"/>
            </w:pPr>
            <w:r>
              <w:t xml:space="preserve">davantage de cas après l’autorisation dans l’obésité, part avec contact médical ou hospitalier passant de 23,0 à 33,5 %</w:t>
            </w:r>
          </w:p>
        </w:tc>
      </w:tr>
      <w:tr>
        <w:tc>
          <w:tcPr/>
          <w:p>
            <w:pPr>
              <w:pStyle w:val="Compact"/>
              <w:jc w:val="left"/>
            </w:pPr>
            <w:r>
              <w:t xml:space="preserve">Senthilkumar 2026, PMID 41784916</w:t>
            </w:r>
          </w:p>
        </w:tc>
        <w:tc>
          <w:tcPr/>
          <w:p>
            <w:pPr>
              <w:pStyle w:val="Compact"/>
              <w:jc w:val="left"/>
            </w:pPr>
            <w:r>
              <w:t xml:space="preserve">États-Unis, 2017–2024, 13 924 cas</w:t>
            </w:r>
          </w:p>
        </w:tc>
        <w:tc>
          <w:tcPr/>
          <w:p>
            <w:pPr>
              <w:pStyle w:val="Compact"/>
              <w:jc w:val="left"/>
            </w:pPr>
            <w:r>
              <w:t xml:space="preserve">91,7 % sans conséquence ou avec des conséquences légères ; 42 évolutions graves, deux décès</w:t>
            </w:r>
          </w:p>
        </w:tc>
      </w:tr>
      <w:tr>
        <w:tc>
          <w:tcPr/>
          <w:p>
            <w:pPr>
              <w:pStyle w:val="Compact"/>
              <w:jc w:val="left"/>
            </w:pPr>
            <w:r>
              <w:t xml:space="preserve">Ho 2025, PMID 40371098</w:t>
            </w:r>
          </w:p>
        </w:tc>
        <w:tc>
          <w:tcPr/>
          <w:p>
            <w:pPr>
              <w:pStyle w:val="Compact"/>
              <w:jc w:val="left"/>
            </w:pPr>
            <w:r>
              <w:t xml:space="preserve">Californie, 2017–2023, 1 047 cas</w:t>
            </w:r>
          </w:p>
        </w:tc>
        <w:tc>
          <w:tcPr/>
          <w:p>
            <w:pPr>
              <w:pStyle w:val="Compact"/>
              <w:jc w:val="left"/>
            </w:pPr>
            <w:r>
              <w:t xml:space="preserve">21,0 % aux urgences, 4,4 % hospitalisés ; hypoglycémie chez 3,8 %</w:t>
            </w:r>
          </w:p>
        </w:tc>
      </w:tr>
    </w:tbl>
    <w:p>
      <w:pPr>
        <w:pStyle w:val="BodyText"/>
      </w:pPr>
      <w:r>
        <w:t xml:space="preserve">Plusieurs schémas se dégagent :</w:t>
      </w:r>
    </w:p>
    <w:p>
      <w:pPr>
        <w:pStyle w:val="BodyText"/>
      </w:pPr>
      <w:r>
        <w:rPr>
          <w:bCs/>
          <w:b/>
        </w:rPr>
        <w:t xml:space="preserve">Le nombre de cas a fortement augmenté avec la diffusion.</w:t>
      </w:r>
      <w:r>
        <w:t xml:space="preserve"> </w:t>
      </w:r>
      <w:r>
        <w:t xml:space="preserve">De 2021 à 2022, le taux de cas signalés par million d’habitants a augmenté de 80,9 %</w:t>
      </w:r>
      <w:r>
        <w:rPr>
          <w:rStyle w:val="FootnoteReference"/>
        </w:rPr>
        <w:footnoteReference w:id="2764"/>
      </w:r>
      <w:r>
        <w:t xml:space="preserve">. Entre 2017 et 2024, il a augmenté au total de 1 830,8 %</w:t>
      </w:r>
      <w:r>
        <w:rPr>
          <w:rStyle w:val="FootnoteReference"/>
        </w:rPr>
        <w:footnoteReference w:id="2765"/>
      </w:r>
      <w:r>
        <w:t xml:space="preserve">.</w:t>
      </w:r>
    </w:p>
    <w:p>
      <w:pPr>
        <w:pStyle w:val="BodyText"/>
      </w:pPr>
      <w:r>
        <w:rPr>
          <w:bCs/>
          <w:b/>
        </w:rPr>
        <w:t xml:space="preserve">La plupart des cas sont des erreurs d’utilisation.</w:t>
      </w:r>
      <w:r>
        <w:t xml:space="preserve"> </w:t>
      </w:r>
      <w:r>
        <w:t xml:space="preserve">Dans toutes les analyses, les erreurs involontaires lors de l’utilisation prédominaient, par exemple une dose doublée ou mal mesurée</w:t>
      </w:r>
      <w:r>
        <w:rPr>
          <w:rStyle w:val="FootnoteReference"/>
        </w:rPr>
        <w:footnoteReference w:id="2766"/>
      </w:r>
      <w:r>
        <w:t xml:space="preserve">. Dans l’analyse d’un seul centre, 21 % des cas étaient dus à des erreurs lors de la première utilisation du stylo prérempli</w:t>
      </w:r>
      <w:r>
        <w:rPr>
          <w:rStyle w:val="FootnoteReference"/>
        </w:rPr>
        <w:footnoteReference w:id="2767"/>
      </w:r>
      <w:r>
        <w:t xml:space="preserve">. Des erreurs surviennent donc aussi avec des produits autorisés. Dans l’analyse californienne, 36 cas concernaient des préparations magistrales ; pour celles-ci, des erreurs de mesure ou d’injection étaient en cause dans 91,7 % des cas</w:t>
      </w:r>
      <w:r>
        <w:rPr>
          <w:rStyle w:val="FootnoteReference"/>
        </w:rPr>
        <w:footnoteReference w:id="2768"/>
      </w:r>
      <w:r>
        <w:t xml:space="preserve">. Cela concorde avec les rapports de cas de confusion entre millilitres, « unités » et milligrammes avec des flacons, décrits dans la partie I.</w:t>
      </w:r>
    </w:p>
    <w:p>
      <w:pPr>
        <w:pStyle w:val="BodyText"/>
      </w:pPr>
      <w:r>
        <w:rPr>
          <w:bCs/>
          <w:b/>
        </w:rPr>
        <w:t xml:space="preserve">Les conséquences sont le plus souvent légères, mais pas toujours.</w:t>
      </w:r>
      <w:r>
        <w:t xml:space="preserve"> </w:t>
      </w:r>
      <w:r>
        <w:t xml:space="preserve">Les nausées et les vomissements sont au premier plan. Une minorité non négligeable nécessite toutefois un traitement médical, et il y a eu des décès</w:t>
      </w:r>
      <w:r>
        <w:rPr>
          <w:rStyle w:val="FootnoteReference"/>
        </w:rPr>
        <w:footnoteReference w:id="2769"/>
      </w:r>
      <w:r>
        <w:t xml:space="preserve">. Des hypoglycémies sont survenues dans 3,4 %</w:t>
      </w:r>
      <w:r>
        <w:rPr>
          <w:rStyle w:val="FootnoteReference"/>
        </w:rPr>
        <w:footnoteReference w:id="2770"/>
      </w:r>
      <w:r>
        <w:t xml:space="preserve"> </w:t>
      </w:r>
      <w:r>
        <w:t xml:space="preserve">à 3,8 %</w:t>
      </w:r>
      <w:r>
        <w:rPr>
          <w:rStyle w:val="FootnoteReference"/>
        </w:rPr>
        <w:footnoteReference w:id="2771"/>
      </w:r>
      <w:r>
        <w:t xml:space="preserve"> </w:t>
      </w:r>
      <w:r>
        <w:t xml:space="preserve">des cas ; dans une autre analyse, l’hypoglycémie était rare, mais survenait aussi après l’utilisation d’un médicament GLP-1 seul</w:t>
      </w:r>
      <w:r>
        <w:rPr>
          <w:rStyle w:val="FootnoteReference"/>
        </w:rPr>
        <w:footnoteReference w:id="2772"/>
      </w:r>
      <w:r>
        <w:t xml:space="preserve">. La gravité possible d’un surdosage est illustrée par le cas, décrit au chapitre « Réactions immunitaires », d’une femme qui, après une dose accidentellement décuplée provenant d’une pharmacie de préparations magistrales, a dû être ventilée en raison d’un gonflement massif de la gorge et a en outre développé une hypoglycémie</w:t>
      </w:r>
      <w:r>
        <w:rPr>
          <w:rStyle w:val="FootnoteReference"/>
        </w:rPr>
        <w:footnoteReference w:id="2773"/>
      </w:r>
      <w:r>
        <w:t xml:space="preserve">.</w:t>
      </w:r>
    </w:p>
    <w:p>
      <w:pPr>
        <w:pStyle w:val="BodyText"/>
      </w:pPr>
      <w:r>
        <w:rPr>
          <w:bCs/>
          <w:b/>
        </w:rPr>
        <w:t xml:space="preserve">Les adolescents constituent un groupe à risque à part.</w:t>
      </w:r>
      <w:r>
        <w:t xml:space="preserve"> </w:t>
      </w:r>
      <w:r>
        <w:t xml:space="preserve">Chez les enfants et adolescents de 6 à 17 ans, le taux de cas a augmenté le plus fortement entre 2017 et 2024. Ils ont été plus souvent hospitalisés que les adultes (risque relatif 2,66), et leurs cas résultaient nettement plus souvent d’un mésusage intentionnel (risque relatif 8,12)</w:t>
      </w:r>
      <w:r>
        <w:rPr>
          <w:rStyle w:val="FootnoteReference"/>
        </w:rPr>
        <w:footnoteReference w:id="2774"/>
      </w:r>
      <w:r>
        <w:t xml:space="preserve">. Pour en savoir plus, voir le chapitre suivant.</w:t>
      </w:r>
    </w:p>
    <w:bookmarkEnd w:id="2775"/>
    <w:bookmarkStart w:id="2776" w:name="ce-qui-en-découle"/>
    <w:p>
      <w:pPr>
        <w:pStyle w:val="Heading3"/>
      </w:pPr>
      <w:r>
        <w:t xml:space="preserve">Ce qui en découle</w:t>
      </w:r>
    </w:p>
    <w:p>
      <w:pPr>
        <w:pStyle w:val="FirstParagraph"/>
      </w:pPr>
      <w:r>
        <w:t xml:space="preserve">Les analyses de laboratoire et les données des centres antipoison décrivent les deux faces d’un même problème. Les analyses montrent que les produits du marché gris peuvent s’écarter de l’étiquette à tous les égards imaginables : par la substance, la quantité, la pureté et les substances toxiques associées. Les données des centres antipoison montrent que, même avec des produits contrôlés, les erreurs de mesure sont fréquentes – et que les flacons qu’il faut d’abord reconstituer et pour lesquels il faut convertir les doses sont particulièrement sujets aux erreurs.</w:t>
      </w:r>
    </w:p>
    <w:p>
      <w:pPr>
        <w:pStyle w:val="BodyText"/>
      </w:pPr>
      <w:r>
        <w:t xml:space="preserve">En combinant les deux, on obtient un risque qu’aucune étude sur une substance active ne peut décrire : la personne qui s’injecte un peptide du marché gris ne connaît ni le contenu ni la quantité, et chaque écart est encore amplifié par d’éventuelles erreurs de calcul de sa part. Les données de sécurité des études d’autorisation décrites dans la partie II ne s’appliquent pas à ces produits.</w:t>
      </w:r>
    </w:p>
    <w:bookmarkEnd w:id="2776"/>
    <w:bookmarkStart w:id="2777" w:name="lessentiel-en-bref-6"/>
    <w:p>
      <w:pPr>
        <w:pStyle w:val="Heading3"/>
      </w:pPr>
      <w:r>
        <w:t xml:space="preserve">L’essentiel en bref</w:t>
      </w:r>
    </w:p>
    <w:p>
      <w:pPr>
        <w:numPr>
          <w:ilvl w:val="0"/>
          <w:numId w:val="1346"/>
        </w:numPr>
        <w:pStyle w:val="Compact"/>
      </w:pPr>
      <w:r>
        <w:t xml:space="preserve">Les laboratoires officiels, de police scientifique et antidopage trouvent régulièrement dans les peptides du marché gris des substances erronées, des quantités erronées, une faible pureté et des variantes de synthèse.</w:t>
      </w:r>
    </w:p>
    <w:p>
      <w:pPr>
        <w:numPr>
          <w:ilvl w:val="0"/>
          <w:numId w:val="1346"/>
        </w:numPr>
        <w:pStyle w:val="Compact"/>
      </w:pPr>
      <w:r>
        <w:t xml:space="preserve">Une analyse systématique belge a en outre trouvé de l’arsenic et du plomb, parfois jusqu’à dix fois la valeur limite pour les injectables, ainsi que des bactéries dans des préparations injectables.</w:t>
      </w:r>
    </w:p>
    <w:p>
      <w:pPr>
        <w:numPr>
          <w:ilvl w:val="0"/>
          <w:numId w:val="1346"/>
        </w:numPr>
        <w:pStyle w:val="Compact"/>
      </w:pPr>
      <w:r>
        <w:t xml:space="preserve">De nouveaux « research peptides » apparaissent plus vite que les laboratoires de contrôle ne peuvent mettre au point des méthodes de détection.</w:t>
      </w:r>
    </w:p>
    <w:p>
      <w:pPr>
        <w:numPr>
          <w:ilvl w:val="0"/>
          <w:numId w:val="1346"/>
        </w:numPr>
        <w:pStyle w:val="Compact"/>
      </w:pPr>
      <w:r>
        <w:t xml:space="preserve">Les analyses sont des instantanés ; un bon résultat ne vaut pas pour le lot suivant.</w:t>
      </w:r>
    </w:p>
    <w:p>
      <w:pPr>
        <w:numPr>
          <w:ilvl w:val="0"/>
          <w:numId w:val="1346"/>
        </w:numPr>
        <w:pStyle w:val="Compact"/>
      </w:pPr>
      <w:r>
        <w:t xml:space="preserve">Aux États-Unis, le nombre d’appels aux centres antipoison concernant les médicaments GLP-1 a fortement augmenté. La plupart des cas sont des erreurs d’utilisation aux conséquences légères, une minorité évolue gravement. Pour les préparations magistrales, presque tous les cas étaient dus à des erreurs de mesure.</w:t>
      </w:r>
    </w:p>
    <w:bookmarkEnd w:id="2777"/>
    <w:bookmarkEnd w:id="2778"/>
    <w:bookmarkStart w:id="2823" w:name="X506819627faffd5f7a46946c3f8c75fc2f9abac"/>
    <w:p>
      <w:pPr>
        <w:pStyle w:val="Heading2"/>
      </w:pPr>
      <w:r>
        <w:t xml:space="preserve">Interactions et groupes à risque particulier</w:t>
      </w:r>
    </w:p>
    <w:p>
      <w:pPr>
        <w:pStyle w:val="FirstParagraph"/>
      </w:pPr>
      <w:r>
        <w:t xml:space="preserve">Les études sur lesquelles repose l’autorisation d’un médicament excluent presque toujours certaines personnes : les femmes enceintes, les enfants, les personnes très âgées ou atteintes de plusieurs maladies, les personnes souffrant de troubles du comportement alimentaire ou de troubles psychiques graves. Ce qui vaut pour les participants aux études ne peut donc être transposé à ces groupes que de manière limitée. S’y ajoutent les interactions avec d’autres médicaments et des situations comme une anesthésie, dans lesquelles un effet par ailleurs anodin peut soudain devenir dangereux.</w:t>
      </w:r>
    </w:p>
    <w:p>
      <w:pPr>
        <w:pStyle w:val="BodyText"/>
      </w:pPr>
      <w:r>
        <w:t xml:space="preserve">Ce chapitre rassemble ces questions. Il ne remplace ni un conseil médical ni le RCP. Pour les médicaments autorisés, le RCP régit de manière contraignante les contre-indications et les interactions ; pour les peptides non autorisés, il n’existe en règle générale aucune donnée sur ces groupes.</w:t>
      </w:r>
    </w:p>
    <w:bookmarkStart w:id="2784" w:name="grossesse-et-allaitement"/>
    <w:p>
      <w:pPr>
        <w:pStyle w:val="Heading3"/>
      </w:pPr>
      <w:r>
        <w:t xml:space="preserve">Grossesse et allaitement</w:t>
      </w:r>
    </w:p>
    <w:p>
      <w:pPr>
        <w:pStyle w:val="FirstParagraph"/>
      </w:pPr>
      <w:r>
        <w:t xml:space="preserve">Pour presque tous les peptides de ce livre, la règle est la suivante : ils n’ont pas été étudiés pendant la grossesse ou n’y sont pas indiqués. Les RCP des médicaments GLP-1 prévoient de ne pas les utiliser pendant la grossesse et de les arrêter suffisamment tôt avant une grossesse planifiée (chapitres Sémaglutide, Tirzépatide). Pour le maridebart cafraglutide, c’est particulièrement important, car son effet a persisté dans une étude précoce jusqu’à 150 jours après la dernière dose (chapitre Maridebart cafraglutide).</w:t>
      </w:r>
    </w:p>
    <w:p>
      <w:pPr>
        <w:pStyle w:val="BodyText"/>
      </w:pPr>
      <w:r>
        <w:t xml:space="preserve">Comme les médicaments GLP-1 sont utilisés chez de nombreuses femmes en âge de procréer et qu’une perte de poids peut améliorer la fertilité, des grossesses non planifiées surviennent malgré tout sous traitement. Pour cette situation, on dispose désormais de données, majoritairement rassurantes :</w:t>
      </w:r>
    </w:p>
    <w:p>
      <w:pPr>
        <w:numPr>
          <w:ilvl w:val="0"/>
          <w:numId w:val="1347"/>
        </w:numPr>
        <w:pStyle w:val="Compact"/>
      </w:pPr>
      <w:r>
        <w:t xml:space="preserve">Dans une grande étude menée dans quatre pays nordiques, aux États-Unis et en Israël, le taux de malformations majeures chez les enfants de femmes atteintes de diabète de type 2 ayant reçu des agonistes du récepteur du GLP-1 autour de la conception n’était pas plus élevé que sous insuline (risque relatif ajusté 0,95)</w:t>
      </w:r>
      <w:r>
        <w:rPr>
          <w:rStyle w:val="FootnoteReference"/>
        </w:rPr>
        <w:footnoteReference w:id="2779"/>
      </w:r>
      <w:r>
        <w:t xml:space="preserve">.</w:t>
      </w:r>
    </w:p>
    <w:p>
      <w:pPr>
        <w:numPr>
          <w:ilvl w:val="0"/>
          <w:numId w:val="1347"/>
        </w:numPr>
        <w:pStyle w:val="Compact"/>
      </w:pPr>
      <w:r>
        <w:t xml:space="preserve">Une analyse de six centres d’information sur les médicaments pendant la grossesse a trouvé, pour 168 grossesses avec exposition au GLP-1 au premier trimestre, des malformations majeures dans 2,6 % des cas, contre 2,3 % et 3,9 % dans les groupes de comparaison</w:t>
      </w:r>
      <w:r>
        <w:rPr>
          <w:rStyle w:val="FootnoteReference"/>
        </w:rPr>
        <w:footnoteReference w:id="2780"/>
      </w:r>
      <w:r>
        <w:t xml:space="preserve">.</w:t>
      </w:r>
    </w:p>
    <w:p>
      <w:pPr>
        <w:numPr>
          <w:ilvl w:val="0"/>
          <w:numId w:val="1347"/>
        </w:numPr>
        <w:pStyle w:val="Compact"/>
      </w:pPr>
      <w:r>
        <w:t xml:space="preserve">Une étude américaine portant sur 3 572 grossesses a comparé des femmes qui avaient continué à se procurer le médicament pendant le premier trimestre à des femmes qui l’avaient arrêté. Aucun risque nettement accru de fausse couche ou de mortinaissance, de troubles de la croissance ou de malformations n’a été trouvé ; les estimations concernant les malformations étaient toutefois si imprécises qu’une différence importante ne peut pas non plus être exclue</w:t>
      </w:r>
      <w:r>
        <w:rPr>
          <w:rStyle w:val="FootnoteReference"/>
        </w:rPr>
        <w:footnoteReference w:id="2781"/>
      </w:r>
      <w:r>
        <w:t xml:space="preserve">.</w:t>
      </w:r>
    </w:p>
    <w:p>
      <w:pPr>
        <w:numPr>
          <w:ilvl w:val="0"/>
          <w:numId w:val="1347"/>
        </w:numPr>
        <w:pStyle w:val="Compact"/>
      </w:pPr>
      <w:r>
        <w:t xml:space="preserve">Une méta-analyse de sept études de cohorte portant sur plus de 40 000 grossesses exposées n’a trouvé aucune augmentation statistiquement établie des malformations majeures ; un signal concernant les malformations des voies urinaires ne reposait que sur des données non ajustées. Les autrices et auteurs jugent faible le niveau de certitude des preuves</w:t>
      </w:r>
      <w:r>
        <w:rPr>
          <w:rStyle w:val="FootnoteReference"/>
        </w:rPr>
        <w:footnoteReference w:id="2782"/>
      </w:r>
      <w:r>
        <w:t xml:space="preserve">.</w:t>
      </w:r>
    </w:p>
    <w:p>
      <w:pPr>
        <w:pStyle w:val="FirstParagraph"/>
      </w:pPr>
      <w:r>
        <w:t xml:space="preserve">Ces données aident à évaluer une exposition</w:t>
      </w:r>
      <w:r>
        <w:t xml:space="preserve"> </w:t>
      </w:r>
      <w:r>
        <w:rPr>
          <w:iCs/>
          <w:i/>
        </w:rPr>
        <w:t xml:space="preserve">accidentelle</w:t>
      </w:r>
      <w:r>
        <w:t xml:space="preserve">. Elles ne prouvent pas qu’une utilisation planifiée pendant la grossesse serait sûre. Pour l’allaitement, les données sont encore plus minces ; une petite étude portant sur dix femmes et consacrée au passage du brémélanotide dans le lait maternel a été achevée</w:t>
      </w:r>
      <w:r>
        <w:rPr>
          <w:rStyle w:val="FootnoteReference"/>
        </w:rPr>
        <w:footnoteReference w:id="2783"/>
      </w:r>
      <w:r>
        <w:t xml:space="preserve">.</w:t>
      </w:r>
    </w:p>
    <w:p>
      <w:pPr>
        <w:pStyle w:val="BodyText"/>
      </w:pPr>
      <w:r>
        <w:t xml:space="preserve">Certains peptides sont dangereux pendant la grossesse en raison de leur principe d’action. L’ocytocine déclenche les contractions ; une utilisation en spray nasal en dehors de tout contrôle médical est risquée pendant la grossesse (chapitre Ocytocine). Pour les peptides du marché gris comme le BPC-157, le TB-500, l’Epitalon ou les sécrétagogues de l’hormone de croissance, il n’existe aucune donnée sur la grossesse et l’allaitement.</w:t>
      </w:r>
    </w:p>
    <w:bookmarkEnd w:id="2784"/>
    <w:bookmarkStart w:id="2789" w:name="contraception-orale-et-vidange-gastrique"/>
    <w:p>
      <w:pPr>
        <w:pStyle w:val="Heading3"/>
      </w:pPr>
      <w:r>
        <w:t xml:space="preserve">Contraception orale et vidange gastrique</w:t>
      </w:r>
    </w:p>
    <w:p>
      <w:pPr>
        <w:pStyle w:val="FirstParagraph"/>
      </w:pPr>
      <w:r>
        <w:t xml:space="preserve">Les médicaments GLP-1, les analogues de l’amyline comme le pramlintide et aussi le brémélanotide ralentissent la vidange de l’estomac. De ce fait, des comprimés pris en même temps peuvent passer dans le sang plus tard ou en quantité différente. Cela concerne surtout les médicaments pour lesquels un début d’action rapide ou un taux sanguin régulier est important.</w:t>
      </w:r>
    </w:p>
    <w:p>
      <w:pPr>
        <w:pStyle w:val="BodyText"/>
      </w:pPr>
      <w:r>
        <w:t xml:space="preserve">La pilule contraceptive a été étudiée de manière particulièrement précise. Pour le sémaglutide, une étude portant sur 43 femmes n’a trouvé aucune diminution de l’absorption des deux hormones d’une pilule combinée courante ; le taux du progestatif était même supérieur de 20 % sous sémaglutide</w:t>
      </w:r>
      <w:r>
        <w:rPr>
          <w:rStyle w:val="FootnoteReference"/>
        </w:rPr>
        <w:footnoteReference w:id="2785"/>
      </w:r>
      <w:r>
        <w:t xml:space="preserve">. Pour le tirzépatide, il en va autrement : une revue de six études n’a trouvé une réduction significative de la quantité d’hormones absorbée que pour le tirzépatide, et pas pour les autres agonistes du récepteur du GLP-1. Comme explication, les autrices et auteurs citent le ralentissement plus marqué de la vidange gastrique après la première dose et après les augmentations de dose</w:t>
      </w:r>
      <w:r>
        <w:rPr>
          <w:rStyle w:val="FootnoteReference"/>
        </w:rPr>
        <w:footnoteReference w:id="2786"/>
      </w:r>
      <w:r>
        <w:t xml:space="preserve">. Le RCP du tirzépatide comporte donc une mise en garde spécifique concernant la contraception orale ; les détails y figurent et devraient être discutés avec la ou le médecin.</w:t>
      </w:r>
    </w:p>
    <w:p>
      <w:pPr>
        <w:pStyle w:val="BodyText"/>
      </w:pPr>
      <w:r>
        <w:t xml:space="preserve">Indépendamment de la substance, la règle est la suivante : des vomissements ou une diarrhée importants – fréquents avec les médicaments GLP-1 – peuvent compromettre l’absorption de n’importe quel comprimé, y compris de la pilule.</w:t>
      </w:r>
    </w:p>
    <w:p>
      <w:pPr>
        <w:pStyle w:val="BodyText"/>
      </w:pPr>
      <w:r>
        <w:t xml:space="preserve">Autres interactions connues en un coup d’œil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Interaction</w:t>
            </w:r>
          </w:p>
        </w:tc>
        <w:tc>
          <w:tcPr/>
          <w:p>
            <w:pPr>
              <w:pStyle w:val="Compact"/>
              <w:jc w:val="left"/>
            </w:pPr>
            <w:r>
              <w:t xml:space="preserve">Importance</w:t>
            </w:r>
          </w:p>
        </w:tc>
        <w:tc>
          <w:tcPr/>
          <w:p>
            <w:pPr>
              <w:pStyle w:val="Compact"/>
              <w:jc w:val="left"/>
            </w:pPr>
            <w:r>
              <w:t xml:space="preserve">Chapitre</w:t>
            </w:r>
          </w:p>
        </w:tc>
      </w:tr>
      <w:tr>
        <w:tc>
          <w:tcPr/>
          <w:p>
            <w:pPr>
              <w:pStyle w:val="Compact"/>
              <w:jc w:val="left"/>
            </w:pPr>
            <w:r>
              <w:t xml:space="preserve">Médicaments GLP-1, pramlintide</w:t>
            </w:r>
          </w:p>
        </w:tc>
        <w:tc>
          <w:tcPr/>
          <w:p>
            <w:pPr>
              <w:pStyle w:val="Compact"/>
              <w:jc w:val="left"/>
            </w:pPr>
            <w:r>
              <w:t xml:space="preserve">absorption retardée des comprimés</w:t>
            </w:r>
          </w:p>
        </w:tc>
        <w:tc>
          <w:tcPr/>
          <w:p>
            <w:pPr>
              <w:pStyle w:val="Compact"/>
              <w:jc w:val="left"/>
            </w:pPr>
            <w:r>
              <w:t xml:space="preserve">à prendre en compte pour les médicaments à marge thérapeutique étroite</w:t>
            </w:r>
          </w:p>
        </w:tc>
        <w:tc>
          <w:tcPr/>
          <w:p>
            <w:pPr>
              <w:pStyle w:val="Compact"/>
              <w:jc w:val="left"/>
            </w:pPr>
            <w:r>
              <w:t xml:space="preserve">Sémaglutide, Pramlintide</w:t>
            </w:r>
          </w:p>
        </w:tc>
      </w:tr>
      <w:tr>
        <w:tc>
          <w:tcPr/>
          <w:p>
            <w:pPr>
              <w:pStyle w:val="Compact"/>
              <w:jc w:val="left"/>
            </w:pPr>
            <w:r>
              <w:t xml:space="preserve">Tirzépatide</w:t>
            </w:r>
          </w:p>
        </w:tc>
        <w:tc>
          <w:tcPr/>
          <w:p>
            <w:pPr>
              <w:pStyle w:val="Compact"/>
              <w:jc w:val="left"/>
            </w:pPr>
            <w:r>
              <w:t xml:space="preserve">moins d’hormones absorbées à partir de la pilule</w:t>
            </w:r>
          </w:p>
        </w:tc>
        <w:tc>
          <w:tcPr/>
          <w:p>
            <w:pPr>
              <w:pStyle w:val="Compact"/>
              <w:jc w:val="left"/>
            </w:pPr>
            <w:r>
              <w:t xml:space="preserve">mise en garde dans le RCP</w:t>
            </w:r>
          </w:p>
        </w:tc>
        <w:tc>
          <w:tcPr/>
          <w:p>
            <w:pPr>
              <w:pStyle w:val="Compact"/>
              <w:jc w:val="left"/>
            </w:pPr>
            <w:r>
              <w:t xml:space="preserve">Tirzépatide</w:t>
            </w:r>
          </w:p>
        </w:tc>
      </w:tr>
      <w:tr>
        <w:tc>
          <w:tcPr/>
          <w:p>
            <w:pPr>
              <w:pStyle w:val="Compact"/>
              <w:jc w:val="left"/>
            </w:pPr>
            <w:r>
              <w:t xml:space="preserve">Brémélanotide</w:t>
            </w:r>
          </w:p>
        </w:tc>
        <w:tc>
          <w:tcPr/>
          <w:p>
            <w:pPr>
              <w:pStyle w:val="Compact"/>
              <w:jc w:val="left"/>
            </w:pPr>
            <w:r>
              <w:t xml:space="preserve">taux plus faibles d’indométacine et de naltrexone</w:t>
            </w:r>
          </w:p>
        </w:tc>
        <w:tc>
          <w:tcPr/>
          <w:p>
            <w:pPr>
              <w:pStyle w:val="Compact"/>
              <w:jc w:val="left"/>
            </w:pPr>
            <w:r>
              <w:t xml:space="preserve">l’effet de ces médicaments peut diminuer</w:t>
            </w:r>
          </w:p>
        </w:tc>
        <w:tc>
          <w:tcPr/>
          <w:p>
            <w:pPr>
              <w:pStyle w:val="Compact"/>
              <w:jc w:val="left"/>
            </w:pPr>
            <w:r>
              <w:t xml:space="preserve">Brémélanotide</w:t>
            </w:r>
          </w:p>
        </w:tc>
      </w:tr>
      <w:tr>
        <w:tc>
          <w:tcPr/>
          <w:p>
            <w:pPr>
              <w:pStyle w:val="Compact"/>
              <w:jc w:val="left"/>
            </w:pPr>
            <w:r>
              <w:t xml:space="preserve">Macimoréline</w:t>
            </w:r>
          </w:p>
        </w:tc>
        <w:tc>
          <w:tcPr/>
          <w:p>
            <w:pPr>
              <w:pStyle w:val="Compact"/>
              <w:jc w:val="left"/>
            </w:pPr>
            <w:r>
              <w:t xml:space="preserve">allonge l’intervalle QT</w:t>
            </w:r>
          </w:p>
        </w:tc>
        <w:tc>
          <w:tcPr/>
          <w:p>
            <w:pPr>
              <w:pStyle w:val="Compact"/>
              <w:jc w:val="left"/>
            </w:pPr>
            <w:r>
              <w:t xml:space="preserve">prudence avec d’autres médicaments allongeant le QT</w:t>
            </w:r>
          </w:p>
        </w:tc>
        <w:tc>
          <w:tcPr/>
          <w:p>
            <w:pPr>
              <w:pStyle w:val="Compact"/>
              <w:jc w:val="left"/>
            </w:pPr>
            <w:r>
              <w:t xml:space="preserve">Macimoréline</w:t>
            </w:r>
          </w:p>
        </w:tc>
      </w:tr>
      <w:tr>
        <w:tc>
          <w:tcPr/>
          <w:p>
            <w:pPr>
              <w:pStyle w:val="Compact"/>
              <w:jc w:val="left"/>
            </w:pPr>
            <w:r>
              <w:t xml:space="preserve">Orforglipron</w:t>
            </w:r>
          </w:p>
        </w:tc>
        <w:tc>
          <w:tcPr/>
          <w:p>
            <w:pPr>
              <w:pStyle w:val="Compact"/>
              <w:jc w:val="left"/>
            </w:pPr>
            <w:r>
              <w:t xml:space="preserve">métabolisé par des enzymes hépatiques</w:t>
            </w:r>
          </w:p>
        </w:tc>
        <w:tc>
          <w:tcPr/>
          <w:p>
            <w:pPr>
              <w:pStyle w:val="Compact"/>
              <w:jc w:val="left"/>
            </w:pPr>
            <w:r>
              <w:t xml:space="preserve">interactions possibles avec d’autres médicaments</w:t>
            </w:r>
          </w:p>
        </w:tc>
        <w:tc>
          <w:tcPr/>
          <w:p>
            <w:pPr>
              <w:pStyle w:val="Compact"/>
              <w:jc w:val="left"/>
            </w:pPr>
            <w:r>
              <w:t xml:space="preserve">Orforglipron</w:t>
            </w:r>
          </w:p>
        </w:tc>
      </w:tr>
      <w:tr>
        <w:tc>
          <w:tcPr/>
          <w:p>
            <w:pPr>
              <w:pStyle w:val="Compact"/>
              <w:jc w:val="left"/>
            </w:pPr>
            <w:r>
              <w:t xml:space="preserve">Selank, DSIP</w:t>
            </w:r>
          </w:p>
        </w:tc>
        <w:tc>
          <w:tcPr/>
          <w:p>
            <w:pPr>
              <w:pStyle w:val="Compact"/>
              <w:jc w:val="left"/>
            </w:pPr>
            <w:r>
              <w:t xml:space="preserve">sédatifs et somnifères, alcool</w:t>
            </w:r>
          </w:p>
        </w:tc>
        <w:tc>
          <w:tcPr/>
          <w:p>
            <w:pPr>
              <w:pStyle w:val="Compact"/>
              <w:jc w:val="left"/>
            </w:pPr>
            <w:r>
              <w:t xml:space="preserve">non étudié</w:t>
            </w:r>
          </w:p>
        </w:tc>
        <w:tc>
          <w:tcPr/>
          <w:p>
            <w:pPr>
              <w:pStyle w:val="Compact"/>
              <w:jc w:val="left"/>
            </w:pPr>
            <w:r>
              <w:t xml:space="preserve">Selank, DSIP</w:t>
            </w:r>
          </w:p>
        </w:tc>
      </w:tr>
      <w:tr>
        <w:tc>
          <w:tcPr/>
          <w:p>
            <w:pPr>
              <w:pStyle w:val="Compact"/>
              <w:jc w:val="left"/>
            </w:pPr>
            <w:r>
              <w:t xml:space="preserve">BPC-157</w:t>
            </w:r>
          </w:p>
        </w:tc>
        <w:tc>
          <w:tcPr/>
          <w:p>
            <w:pPr>
              <w:pStyle w:val="Compact"/>
              <w:jc w:val="left"/>
            </w:pPr>
            <w:r>
              <w:t xml:space="preserve">coagulation sanguine (données animales uniquement)</w:t>
            </w:r>
          </w:p>
        </w:tc>
        <w:tc>
          <w:tcPr/>
          <w:p>
            <w:pPr>
              <w:pStyle w:val="Compact"/>
              <w:jc w:val="left"/>
            </w:pPr>
            <w:r>
              <w:t xml:space="preserve">inconnu sous anticoagulants</w:t>
            </w:r>
          </w:p>
        </w:tc>
        <w:tc>
          <w:tcPr/>
          <w:p>
            <w:pPr>
              <w:pStyle w:val="Compact"/>
              <w:jc w:val="left"/>
            </w:pPr>
            <w:r>
              <w:t xml:space="preserve">BPC-157</w:t>
            </w:r>
          </w:p>
        </w:tc>
      </w:tr>
    </w:tbl>
    <w:p>
      <w:pPr>
        <w:pStyle w:val="BodyText"/>
      </w:pPr>
      <w:r>
        <w:t xml:space="preserve">L’interaction du brémélanotide avec l’indométacine et la naltrexone est décrite dans les données d’autorisation</w:t>
      </w:r>
      <w:r>
        <w:rPr>
          <w:rStyle w:val="FootnoteReference"/>
        </w:rPr>
        <w:footnoteReference w:id="2787"/>
      </w:r>
      <w:r>
        <w:t xml:space="preserve">. L’allongement du QT par la macimoréline a été mesuré dans une étude ECG approfondie</w:t>
      </w:r>
      <w:r>
        <w:rPr>
          <w:rStyle w:val="FootnoteReference"/>
        </w:rPr>
        <w:footnoteReference w:id="2788"/>
      </w:r>
      <w:r>
        <w:t xml:space="preserve">.</w:t>
      </w:r>
    </w:p>
    <w:bookmarkEnd w:id="2789"/>
    <w:bookmarkStart w:id="2794" w:name="anesthésie-gastroscopie-et-inhalation"/>
    <w:p>
      <w:pPr>
        <w:pStyle w:val="Heading3"/>
      </w:pPr>
      <w:r>
        <w:t xml:space="preserve">Anesthésie, gastroscopie et inhalation</w:t>
      </w:r>
    </w:p>
    <w:p>
      <w:pPr>
        <w:pStyle w:val="FirstParagraph"/>
      </w:pPr>
      <w:r>
        <w:t xml:space="preserve">Avant une anesthésie, l’estomac doit être vide. La raison : si du contenu gastrique passe dans les voies respiratoires pendant l’anesthésie (inhalation ou aspiration), une pneumonie grave peut s’ensuivre. Comme les médicaments GLP-1 ralentissent la vidange gastrique, l’estomac peut encore contenir des résidus alimentaires malgré un jeûne conforme aux règles.</w:t>
      </w:r>
    </w:p>
    <w:p>
      <w:pPr>
        <w:pStyle w:val="BodyText"/>
      </w:pPr>
      <w:r>
        <w:t xml:space="preserve">Les études à ce sujet dressent un tableau en deux volets :</w:t>
      </w:r>
    </w:p>
    <w:p>
      <w:pPr>
        <w:numPr>
          <w:ilvl w:val="0"/>
          <w:numId w:val="1348"/>
        </w:numPr>
        <w:pStyle w:val="Compact"/>
      </w:pPr>
      <w:r>
        <w:rPr>
          <w:bCs/>
          <w:b/>
        </w:rPr>
        <w:t xml:space="preserve">Davantage de résidus dans l’estomac, c’est bien établi.</w:t>
      </w:r>
      <w:r>
        <w:t xml:space="preserve"> </w:t>
      </w:r>
      <w:r>
        <w:t xml:space="preserve">Une méta-analyse de 23 études observationnelles portant sur 262 018 personnes ayant eu une gastroscopie a trouvé sous agonistes du récepteur du GLP-1 un risque environ quatre fois et demie plus élevé de résidus alimentaires dans l’estomac (odds ratio 4,54) et, de même, davantage d’examens interrompus prématurément. Les pneumopathies d’inhalation n’étaient pas plus fréquentes (odds ratio 0,96)</w:t>
      </w:r>
      <w:r>
        <w:rPr>
          <w:rStyle w:val="FootnoteReference"/>
        </w:rPr>
        <w:footnoteReference w:id="2790"/>
      </w:r>
      <w:r>
        <w:t xml:space="preserve">.</w:t>
      </w:r>
    </w:p>
    <w:p>
      <w:pPr>
        <w:numPr>
          <w:ilvl w:val="0"/>
          <w:numId w:val="1348"/>
        </w:numPr>
        <w:pStyle w:val="Compact"/>
      </w:pPr>
      <w:r>
        <w:t xml:space="preserve">Dans une étude par échographie gastrique avant des interventions programmées, 49 % des personnes sous sémaglutide avaient un « estomac plein », mais seulement 18 % des témoins comparables ; des résidus alimentaires solides ont été trouvés chez 42 % contre 7 %. C’était le cas même lorsqu’une dose avait été sautée avant l’opération</w:t>
      </w:r>
      <w:r>
        <w:rPr>
          <w:rStyle w:val="FootnoteReference"/>
        </w:rPr>
        <w:footnoteReference w:id="2791"/>
      </w:r>
      <w:r>
        <w:t xml:space="preserve">.</w:t>
      </w:r>
    </w:p>
    <w:p>
      <w:pPr>
        <w:numPr>
          <w:ilvl w:val="0"/>
          <w:numId w:val="1348"/>
        </w:numPr>
        <w:pStyle w:val="Compact"/>
      </w:pPr>
      <w:r>
        <w:rPr>
          <w:bCs/>
          <w:b/>
        </w:rPr>
        <w:t xml:space="preserve">Les inhalations réelles sont rares.</w:t>
      </w:r>
      <w:r>
        <w:t xml:space="preserve"> </w:t>
      </w:r>
      <w:r>
        <w:t xml:space="preserve">Dans une grande étude américaine sur base de données portant sur 296 389 paires de personnes atteintes de diabète de type 2, les complications respiratoires après une opération étaient même plus rares sous agonistes du récepteur du GLP-1 (0,09 % contre 0,34 %), les inhalations survenant chez 0,01 % contre 0,03 %. Les autrices et auteurs soulignent qu’on ignore si des mesures de précaution avaient déjà été prises dans ces cas</w:t>
      </w:r>
      <w:r>
        <w:rPr>
          <w:rStyle w:val="FootnoteReference"/>
        </w:rPr>
        <w:footnoteReference w:id="2792"/>
      </w:r>
      <w:r>
        <w:t xml:space="preserve">.</w:t>
      </w:r>
    </w:p>
    <w:p>
      <w:pPr>
        <w:pStyle w:val="FirstParagraph"/>
      </w:pPr>
      <w:r>
        <w:t xml:space="preserve">Les taux d’inhalation sont peut-être faibles parce que les équipes d’anesthésie connaissent le risque et adaptent leur pratique. Une grande étude en Chine doit déterminer si une pause du médicament avant une gastroscopie réduit le problème</w:t>
      </w:r>
      <w:r>
        <w:rPr>
          <w:rStyle w:val="FootnoteReference"/>
        </w:rPr>
        <w:footnoteReference w:id="2793"/>
      </w:r>
      <w:r>
        <w:t xml:space="preserve">. Pour les personnes traitées, cela signifie avant tout : avant toute opération, anesthésie ou gastroscopie, signalez que vous utilisez un médicament GLP-1 – même s’il provient d’une pharmacie de préparations magistrales ou du marché gris. La conduite à tenir avec le médicament avant l’intervention est décidée par l’équipe soignante selon les recommandations en vigueur. Une personne qui ne considère pas un produit du marché gris comme un médicament et ne le mentionne donc pas prive l’équipe d’anesthésie de cette possibilité.</w:t>
      </w:r>
    </w:p>
    <w:bookmarkEnd w:id="2794"/>
    <w:bookmarkStart w:id="2797" w:name="X90e6a040287e7e894686ccf0a92a4f3cb73c3c2"/>
    <w:p>
      <w:pPr>
        <w:pStyle w:val="Heading3"/>
      </w:pPr>
      <w:r>
        <w:t xml:space="preserve">Association avec des antidiabétiques et hypoglycémie</w:t>
      </w:r>
    </w:p>
    <w:p>
      <w:pPr>
        <w:pStyle w:val="FirstParagraph"/>
      </w:pPr>
      <w:r>
        <w:t xml:space="preserve">Comme décrit au chapitre « Effets indésirables par système d’organes », les médicaments GLP-1 seuls ne provoquent guère d’hypoglycémies dangereuses. Cela change en association avec l’insuline ou les sulfamides hypoglycémiants, qui abaissent la glycémie indépendamment de sa valeur du moment. Dans une étude avec l’exénatide ajouté à la metformine et à un sulfamide hypoglycémiant, des hypoglycémies légères à modérées sont survenues chez jusqu’à 28 % des participants, contre 13 % sous placebo ; avec une faible dose de sulfamide hypoglycémiant, elles étaient plus rares</w:t>
      </w:r>
      <w:r>
        <w:rPr>
          <w:rStyle w:val="FootnoteReference"/>
        </w:rPr>
        <w:footnoteReference w:id="2795"/>
      </w:r>
      <w:r>
        <w:t xml:space="preserve">. Avec le pramlintide, utilisé avec l’insuline, les hypoglycémies sévères ont été plus fréquentes que sous placebo</w:t>
      </w:r>
      <w:r>
        <w:rPr>
          <w:rStyle w:val="FootnoteReference"/>
        </w:rPr>
        <w:footnoteReference w:id="2796"/>
      </w:r>
      <w:r>
        <w:t xml:space="preserve">. C’est pourquoi les RCP prévoient de réévaluer la dose des autres antidiabétiques au début du traitement ; la mise en œuvre relève du médecin.</w:t>
      </w:r>
    </w:p>
    <w:p>
      <w:pPr>
        <w:pStyle w:val="BodyText"/>
      </w:pPr>
      <w:r>
        <w:t xml:space="preserve">Pour plusieurs peptides non autorisés, une baisse supplémentaire de la glycémie est théoriquement envisageable, par exemple pour le MOTS-c ou l’IGF-1 LR3 (chapitres MOTS-c, IGF-1 LR3). Cela n’a pas été étudié. À l’inverse, les peptides de l’axe de l’hormone de croissance peuvent augmenter la glycémie et déséquilibrer un traitement antidiabétique en cours (chapitres Ibutamorène, Tésamoréline).</w:t>
      </w:r>
    </w:p>
    <w:bookmarkEnd w:id="2797"/>
    <w:bookmarkStart w:id="2802" w:name="enfants-et-adolescents-3"/>
    <w:p>
      <w:pPr>
        <w:pStyle w:val="Heading3"/>
      </w:pPr>
      <w:r>
        <w:t xml:space="preserve">Enfants et adolescents</w:t>
      </w:r>
    </w:p>
    <w:p>
      <w:pPr>
        <w:pStyle w:val="FirstParagraph"/>
      </w:pPr>
      <w:r>
        <w:t xml:space="preserve">Le sémaglutide et le liraglutide sont également autorisés dans l’UE et aux États-Unis chez les adolescents obèses à partir de douze ans. Les études d’autorisation montrent un profil d’effets indésirables similaire à celui des adultes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w:t>
            </w:r>
          </w:p>
        </w:tc>
        <w:tc>
          <w:tcPr/>
          <w:p>
            <w:pPr>
              <w:pStyle w:val="Compact"/>
              <w:jc w:val="left"/>
            </w:pPr>
            <w:r>
              <w:t xml:space="preserve">Troubles gastro-intestinaux</w:t>
            </w:r>
          </w:p>
        </w:tc>
        <w:tc>
          <w:tcPr/>
          <w:p>
            <w:pPr>
              <w:pStyle w:val="Compact"/>
              <w:jc w:val="left"/>
            </w:pPr>
            <w:r>
              <w:t xml:space="preserve">Autres observations</w:t>
            </w:r>
          </w:p>
        </w:tc>
      </w:tr>
      <w:tr>
        <w:tc>
          <w:tcPr/>
          <w:p>
            <w:pPr>
              <w:pStyle w:val="Compact"/>
              <w:jc w:val="left"/>
            </w:pPr>
            <w:r>
              <w:t xml:space="preserve">STEP TEENS (Weghuber 2022), PMID 36322838</w:t>
            </w:r>
          </w:p>
        </w:tc>
        <w:tc>
          <w:tcPr/>
          <w:p>
            <w:pPr>
              <w:pStyle w:val="Compact"/>
              <w:jc w:val="left"/>
            </w:pPr>
            <w:r>
              <w:t xml:space="preserve">201 adolescents, sémaglutide, 68 semaines</w:t>
            </w:r>
          </w:p>
        </w:tc>
        <w:tc>
          <w:tcPr/>
          <w:p>
            <w:pPr>
              <w:pStyle w:val="Compact"/>
              <w:jc w:val="left"/>
            </w:pPr>
            <w:r>
              <w:t xml:space="preserve">62 % vs 42 %</w:t>
            </w:r>
          </w:p>
        </w:tc>
        <w:tc>
          <w:tcPr/>
          <w:p>
            <w:pPr>
              <w:pStyle w:val="Compact"/>
              <w:jc w:val="left"/>
            </w:pPr>
            <w:r>
              <w:t xml:space="preserve">calculs biliaires chez 4 % ; événements graves 11 % vs 9 %</w:t>
            </w:r>
          </w:p>
        </w:tc>
      </w:tr>
      <w:tr>
        <w:tc>
          <w:tcPr/>
          <w:p>
            <w:pPr>
              <w:pStyle w:val="Compact"/>
              <w:jc w:val="left"/>
            </w:pPr>
            <w:r>
              <w:t xml:space="preserve">SCALE Teens (Kelly 2020), PMID 32233338</w:t>
            </w:r>
          </w:p>
        </w:tc>
        <w:tc>
          <w:tcPr/>
          <w:p>
            <w:pPr>
              <w:pStyle w:val="Compact"/>
              <w:jc w:val="left"/>
            </w:pPr>
            <w:r>
              <w:t xml:space="preserve">251 adolescents, liraglutide, 56 semaines</w:t>
            </w:r>
          </w:p>
        </w:tc>
        <w:tc>
          <w:tcPr/>
          <w:p>
            <w:pPr>
              <w:pStyle w:val="Compact"/>
              <w:jc w:val="left"/>
            </w:pPr>
            <w:r>
              <w:t xml:space="preserve">64,8 % vs 36,5 %</w:t>
            </w:r>
          </w:p>
        </w:tc>
        <w:tc>
          <w:tcPr/>
          <w:p>
            <w:pPr>
              <w:pStyle w:val="Compact"/>
              <w:jc w:val="left"/>
            </w:pPr>
            <w:r>
              <w:t xml:space="preserve">arrêt pour effets indésirables 10,4 % vs 0 %</w:t>
            </w:r>
          </w:p>
        </w:tc>
      </w:tr>
    </w:tbl>
    <w:p>
      <w:pPr>
        <w:pStyle w:val="BodyText"/>
      </w:pPr>
      <w:r>
        <w:t xml:space="preserve">Dans l’étude sur le liraglutide, l’IMC a de nouveau augmenté plus fortement après l’arrêt que sous placebo, et un suicide est survenu dans le groupe liraglutide, que les investigateurs ont jugé probablement non lié au traitement</w:t>
      </w:r>
      <w:r>
        <w:rPr>
          <w:rStyle w:val="FootnoteReference"/>
        </w:rPr>
        <w:footnoteReference w:id="2798"/>
      </w:r>
      <w:r>
        <w:t xml:space="preserve">. Une méta-analyse de neuf études randomisées et de deux études observationnelles chez des adolescents n’a globalement trouvé aucune augmentation des comportements suicidaires ou de la dépression</w:t>
      </w:r>
      <w:r>
        <w:rPr>
          <w:rStyle w:val="FootnoteReference"/>
        </w:rPr>
        <w:footnoteReference w:id="2799"/>
      </w:r>
      <w:r>
        <w:t xml:space="preserve">.</w:t>
      </w:r>
    </w:p>
    <w:p>
      <w:pPr>
        <w:pStyle w:val="BodyText"/>
      </w:pPr>
      <w:r>
        <w:t xml:space="preserve">Les données des centres antipoison américains donnent une autre image. Chez les enfants et adolescents de 6 à 17 ans, les cas signalés impliquant des médicaments GLP-1 ont augmenté le plus fortement entre 2017 et 2024. Ils ont été plus souvent hospitalisés que les adultes (risque relatif 2,66), ont vomi plus souvent, et leurs cas résultaient environ huit fois plus souvent d’un mésusage intentionnel</w:t>
      </w:r>
      <w:r>
        <w:rPr>
          <w:rStyle w:val="FootnoteReference"/>
        </w:rPr>
        <w:footnoteReference w:id="2800"/>
      </w:r>
      <w:r>
        <w:t xml:space="preserve">. Cela suggère que des adolescents utilisent ces médicaments en partie en dehors d’un traitement médical.</w:t>
      </w:r>
    </w:p>
    <w:p>
      <w:pPr>
        <w:pStyle w:val="BodyText"/>
      </w:pPr>
      <w:r>
        <w:t xml:space="preserve">Pour les peptides issus du milieu du fitness et du culturisme, on ignore à quel point ils sont répandus chez les adolescents. Une revue signale la publicité sur les réseaux sociaux et des indices d’une utilisation croissante, y compris par de jeunes sportifs amateurs, mais souligne que les études sur la fréquence font défaut</w:t>
      </w:r>
      <w:r>
        <w:rPr>
          <w:rStyle w:val="FootnoteReference"/>
        </w:rPr>
        <w:footnoteReference w:id="2801"/>
      </w:r>
      <w:r>
        <w:t xml:space="preserve">. Pour les adolescents, dont la croissance et le système hormonal ne sont pas encore achevés, intervenir sur l’axe de l’hormone de croissance ou des hormones sexuelles avec des substances non autorisées est particulièrement risqué. Les peptides autorisés chez l’enfant – par exemple la mécasermine en cas de déficit sévère en IGF-1 – sont utilisés exclusivement sous contrôle d’un médecin spécialiste (chapitre Mécasermine).</w:t>
      </w:r>
    </w:p>
    <w:bookmarkEnd w:id="2802"/>
    <w:bookmarkStart w:id="2805" w:name="personnes-âgées"/>
    <w:p>
      <w:pPr>
        <w:pStyle w:val="Heading3"/>
      </w:pPr>
      <w:r>
        <w:t xml:space="preserve">Personnes âgées</w:t>
      </w:r>
    </w:p>
    <w:p>
      <w:pPr>
        <w:pStyle w:val="FirstParagraph"/>
      </w:pPr>
      <w:r>
        <w:t xml:space="preserve">Avec l’âge, le risque que des effets indésirables évoluent plus gravement augmente. Pour les personnes âgées, quatre points sont surtout importants en ce qui concerne les peptides :</w:t>
      </w:r>
    </w:p>
    <w:p>
      <w:pPr>
        <w:numPr>
          <w:ilvl w:val="0"/>
          <w:numId w:val="1349"/>
        </w:numPr>
        <w:pStyle w:val="Compact"/>
      </w:pPr>
      <w:r>
        <w:rPr>
          <w:bCs/>
          <w:b/>
        </w:rPr>
        <w:t xml:space="preserve">Perte de liquide.</w:t>
      </w:r>
      <w:r>
        <w:t xml:space="preserve"> </w:t>
      </w:r>
      <w:r>
        <w:t xml:space="preserve">Les vomissements et la diarrhée sous médicaments GLP-1 peuvent, chez les personnes âgées, entraîner plus rapidement une déshydratation et des problèmes rénaux.</w:t>
      </w:r>
    </w:p>
    <w:p>
      <w:pPr>
        <w:numPr>
          <w:ilvl w:val="0"/>
          <w:numId w:val="1349"/>
        </w:numPr>
        <w:pStyle w:val="Compact"/>
      </w:pPr>
      <w:r>
        <w:rPr>
          <w:bCs/>
          <w:b/>
        </w:rPr>
        <w:t xml:space="preserve">Masse musculaire.</w:t>
      </w:r>
      <w:r>
        <w:t xml:space="preserve"> </w:t>
      </w:r>
      <w:r>
        <w:t xml:space="preserve">Une personne qui a déjà peu de muscles supporte mal d’en perdre davantage (voir la section suivante).</w:t>
      </w:r>
    </w:p>
    <w:p>
      <w:pPr>
        <w:numPr>
          <w:ilvl w:val="0"/>
          <w:numId w:val="1349"/>
        </w:numPr>
        <w:pStyle w:val="Compact"/>
      </w:pPr>
      <w:r>
        <w:rPr>
          <w:bCs/>
          <w:b/>
        </w:rPr>
        <w:t xml:space="preserve">Rétention d’eau et cœur.</w:t>
      </w:r>
      <w:r>
        <w:t xml:space="preserve"> </w:t>
      </w:r>
      <w:r>
        <w:t xml:space="preserve">Chez des personnes âgées en bonne santé, l’hormone de croissance a plus souvent entraîné des œdèmes, des douleurs articulaires et un syndrome du canal carpien</w:t>
      </w:r>
      <w:r>
        <w:rPr>
          <w:rStyle w:val="FootnoteReference"/>
        </w:rPr>
        <w:footnoteReference w:id="2803"/>
      </w:r>
      <w:r>
        <w:t xml:space="preserve">. Une étude avec l’ibutamorène chez des personnes âgées après une fracture de la hanche a été interrompue en raison d’un signal d’insuffisance cardiaque</w:t>
      </w:r>
      <w:r>
        <w:rPr>
          <w:rStyle w:val="FootnoteReference"/>
        </w:rPr>
        <w:footnoteReference w:id="2804"/>
      </w:r>
      <w:r>
        <w:t xml:space="preserve">. Les peptides promus justement comme produits « anti-âge » sont donc plutôt une charge pour un cœur âgé.</w:t>
      </w:r>
    </w:p>
    <w:p>
      <w:pPr>
        <w:numPr>
          <w:ilvl w:val="0"/>
          <w:numId w:val="1349"/>
        </w:numPr>
        <w:pStyle w:val="Compact"/>
      </w:pPr>
      <w:r>
        <w:rPr>
          <w:bCs/>
          <w:b/>
        </w:rPr>
        <w:t xml:space="preserve">Polymédication.</w:t>
      </w:r>
      <w:r>
        <w:t xml:space="preserve"> </w:t>
      </w:r>
      <w:r>
        <w:t xml:space="preserve">Les personnes âgées prennent souvent de nombreux médicaments en même temps. La vidange gastrique ralentie peut modifier leur absorption, et les associations avec des hypoglycémiants augmentent le risque d’hypoglycémie et de chutes.</w:t>
      </w:r>
    </w:p>
    <w:bookmarkEnd w:id="2805"/>
    <w:bookmarkStart w:id="2810" w:name="X8433223607be483a78a6f61bb672b51a045f99d"/>
    <w:p>
      <w:pPr>
        <w:pStyle w:val="Heading3"/>
      </w:pPr>
      <w:r>
        <w:t xml:space="preserve">Perte musculaire en cas de forte perte de poids</w:t>
      </w:r>
    </w:p>
    <w:p>
      <w:pPr>
        <w:pStyle w:val="FirstParagraph"/>
      </w:pPr>
      <w:r>
        <w:t xml:space="preserve">Lors de toute perte de poids, on perd, outre de la graisse, de la masse maigre, qui comprend les muscles, les organes et l’eau. Pour les médicaments GLP-1 très efficaces, la question est de savoir si cette part est anormalement élevée et si elle est nocive.</w:t>
      </w:r>
    </w:p>
    <w:p>
      <w:pPr>
        <w:numPr>
          <w:ilvl w:val="0"/>
          <w:numId w:val="1350"/>
        </w:numPr>
        <w:pStyle w:val="Compact"/>
      </w:pPr>
      <w:r>
        <w:t xml:space="preserve">Dans une sous-étude de SURMOUNT-1 portant sur 160 participants, le poids perdu sous tirzépatide se composait d’environ 75 % de graisse et de 25 % de masse maigre – dans la même proportion que sous placebo, mais pour une perte totale nettement plus importante. Ces proportions restaient similaires dans la plupart des sous-groupes, y compris par tranche d’âge</w:t>
      </w:r>
      <w:r>
        <w:rPr>
          <w:rStyle w:val="FootnoteReference"/>
        </w:rPr>
        <w:footnoteReference w:id="2806"/>
      </w:r>
      <w:r>
        <w:t xml:space="preserve">.</w:t>
      </w:r>
    </w:p>
    <w:p>
      <w:pPr>
        <w:numPr>
          <w:ilvl w:val="0"/>
          <w:numId w:val="1350"/>
        </w:numPr>
        <w:pStyle w:val="Compact"/>
      </w:pPr>
      <w:r>
        <w:t xml:space="preserve">Une méta-analyse en réseau de 22 études a également trouvé qu’environ 25 % de la perte de poids correspondait à de la masse maigre. Le sémaglutide et le tirzépatide entraînaient la plus forte perte de poids, mais figuraient aussi parmi les substances sous lesquelles la perte de masse maigre était la plus importante</w:t>
      </w:r>
      <w:r>
        <w:rPr>
          <w:rStyle w:val="FootnoteReference"/>
        </w:rPr>
        <w:footnoteReference w:id="2807"/>
      </w:r>
      <w:r>
        <w:t xml:space="preserve">.</w:t>
      </w:r>
    </w:p>
    <w:p>
      <w:pPr>
        <w:numPr>
          <w:ilvl w:val="0"/>
          <w:numId w:val="1350"/>
        </w:numPr>
        <w:pStyle w:val="Compact"/>
      </w:pPr>
      <w:r>
        <w:t xml:space="preserve">Une revue systématique de 35 études a abouti à une part un peu plus élevée : en médiane, 28,3 % de la perte de poids concernait des paramètres liés aux muscles, et dans 65 % des études, la part dépassait une valeur de référence d’environ 25 %. Aucune étude n’avait mesuré objectivement la capacité physique</w:t>
      </w:r>
      <w:r>
        <w:rPr>
          <w:rStyle w:val="FootnoteReference"/>
        </w:rPr>
        <w:footnoteReference w:id="2808"/>
      </w:r>
      <w:r>
        <w:t xml:space="preserve">.</w:t>
      </w:r>
    </w:p>
    <w:p>
      <w:pPr>
        <w:numPr>
          <w:ilvl w:val="0"/>
          <w:numId w:val="1350"/>
        </w:numPr>
        <w:pStyle w:val="Compact"/>
      </w:pPr>
      <w:r>
        <w:t xml:space="preserve">Une autre méta-analyse souligne l’autre aspect : comme la graisse diminue plus fortement que les muscles, la</w:t>
      </w:r>
      <w:r>
        <w:t xml:space="preserve"> </w:t>
      </w:r>
      <w:r>
        <w:rPr>
          <w:iCs/>
          <w:i/>
        </w:rPr>
        <w:t xml:space="preserve">part</w:t>
      </w:r>
      <w:r>
        <w:t xml:space="preserve"> </w:t>
      </w:r>
      <w:r>
        <w:t xml:space="preserve">de masse maigre dans le poids corporel a augmenté de 1,81 point de pourcentage. Les autrices et auteurs recommandent d’accompagner le traitement de programmes nutritionnels et d’activité physique</w:t>
      </w:r>
      <w:r>
        <w:rPr>
          <w:rStyle w:val="FootnoteReference"/>
        </w:rPr>
        <w:footnoteReference w:id="2809"/>
      </w:r>
      <w:r>
        <w:t xml:space="preserve">.</w:t>
      </w:r>
    </w:p>
    <w:p>
      <w:pPr>
        <w:pStyle w:val="FirstParagraph"/>
      </w:pPr>
      <w:r>
        <w:t xml:space="preserve">En résumé : la perte musculaire sous médicaments GLP-1 ne semble pas, rapportée à la perte totale, sensiblement plus importante qu’avec d’autres formes de réduction pondérale – mais en kilogrammes absolus, elle est considérable en raison de l’ampleur de la perte. Ses conséquences sur la force, les chutes ou l’autonomie n’ont pas été étudiées. Pour les personnes âgées, les personnes ayant peu de masse musculaire et les personnes fragiles, c’est une question ouverte. L’influence des associations avec le cagrilintide sur la perte musculaire est en cours d’étude (chapitre Cagrilintide).</w:t>
      </w:r>
    </w:p>
    <w:bookmarkEnd w:id="2810"/>
    <w:bookmarkStart w:id="2815" w:name="troubles-du-comportement-alimentaire"/>
    <w:p>
      <w:pPr>
        <w:pStyle w:val="Heading3"/>
      </w:pPr>
      <w:r>
        <w:t xml:space="preserve">Troubles du comportement alimentaire</w:t>
      </w:r>
    </w:p>
    <w:p>
      <w:pPr>
        <w:pStyle w:val="FirstParagraph"/>
      </w:pPr>
      <w:r>
        <w:t xml:space="preserve">Les médicaments GLP-1 atténuent l’appétit et la sensation de faim. Pour les personnes atteintes d’anorexie mentale ou de boulimie, c’est précisément cet effet qui peut être dangereux : il peut renforcer un comportement alimentaire restrictif et aggraver la maladie. Un rapport de cas décrit un mésusage du sémaglutide dans une anorexie atypique</w:t>
      </w:r>
      <w:r>
        <w:rPr>
          <w:rStyle w:val="FootnoteReference"/>
        </w:rPr>
        <w:footnoteReference w:id="2811"/>
      </w:r>
      <w:r>
        <w:t xml:space="preserve">, et une étude transversale américaine a examiné la fréquence de l’usage et du mésusage des médicaments GLP-1 chez les personnes atteintes de troubles du comportement alimentaire</w:t>
      </w:r>
      <w:r>
        <w:rPr>
          <w:rStyle w:val="FootnoteReference"/>
        </w:rPr>
        <w:footnoteReference w:id="2812"/>
      </w:r>
      <w:r>
        <w:t xml:space="preserve">.</w:t>
      </w:r>
    </w:p>
    <w:p>
      <w:pPr>
        <w:pStyle w:val="BodyText"/>
      </w:pPr>
      <w:r>
        <w:t xml:space="preserve">Un panel de 45 spécialistes et personnes concernées a élaboré des recommandations par consensus en 2026. Selon celles-ci, il faudrait, avant de commencer un traitement par GLP-1, rechercher les troubles du comportement alimentaire actuels et passés à l’aide d’un bref questionnaire validé, surveiller les symptômes au cours du traitement et, en cas d’anorexie, d’anorexie atypique ou de boulimie active avec forte restriction alimentaire, ne pas utiliser ces médicaments en règle générale. La prudence serait également de mise en cas d’antécédents de troubles du comportement alimentaire</w:t>
      </w:r>
      <w:r>
        <w:rPr>
          <w:rStyle w:val="FootnoteReference"/>
        </w:rPr>
        <w:footnoteReference w:id="2813"/>
      </w:r>
      <w:r>
        <w:t xml:space="preserve">.</w:t>
      </w:r>
    </w:p>
    <w:p>
      <w:pPr>
        <w:pStyle w:val="BodyText"/>
      </w:pPr>
      <w:r>
        <w:t xml:space="preserve">Pour l’hyperphagie boulimique (binge eating disorder), dans laquelle des crises de boulimie surviennent sans comportements compensatoires, il existe en revanche de premiers indices que les médicaments GLP-1 pourraient réduire les crises</w:t>
      </w:r>
      <w:r>
        <w:rPr>
          <w:rStyle w:val="FootnoteReference"/>
        </w:rPr>
        <w:footnoteReference w:id="2814"/>
      </w:r>
      <w:r>
        <w:t xml:space="preserve">. Cela montre l’importance d’un diagnostic précis. Avec le marché gris et les fournisseurs en ligne offrant peu d’accompagnement médical, c’est précisément ce questionnement qui disparaît.</w:t>
      </w:r>
    </w:p>
    <w:bookmarkEnd w:id="2815"/>
    <w:bookmarkStart w:id="2821" w:name="X7c9941d6e84219d904cdf8dd315d4df0c170b35"/>
    <w:p>
      <w:pPr>
        <w:pStyle w:val="Heading3"/>
      </w:pPr>
      <w:r>
        <w:t xml:space="preserve">Sport de compétition et contrôles antidopage</w:t>
      </w:r>
    </w:p>
    <w:p>
      <w:pPr>
        <w:pStyle w:val="FirstParagraph"/>
      </w:pPr>
      <w:r>
        <w:t xml:space="preserve">Pour les sportives et sportifs soumis à des contrôles antidopage, la situation est particulièrement délicate en ce qui concerne les peptides. Selon la liste des interdictions de l’Agence mondiale antidopage (WADA), la situation est en gros la suivante :</w:t>
      </w:r>
    </w:p>
    <w:p>
      <w:pPr>
        <w:numPr>
          <w:ilvl w:val="0"/>
          <w:numId w:val="1351"/>
        </w:numPr>
        <w:pStyle w:val="Compact"/>
      </w:pPr>
      <w:r>
        <w:rPr>
          <w:bCs/>
          <w:b/>
        </w:rPr>
        <w:t xml:space="preserve">Interdits (S2, hormones peptidiques et facteurs de croissance) :</w:t>
      </w:r>
      <w:r>
        <w:t xml:space="preserve"> </w:t>
      </w:r>
      <w:r>
        <w:t xml:space="preserve">tous les sécrétagogues de l’hormone de croissance et les dérivés de l’IGF-1, la thymosine bêta 4 et le TB-500, l’ARA-290, chez les hommes la gonadoréline et les libérateurs de LH comme la kisspeptine.</w:t>
      </w:r>
    </w:p>
    <w:p>
      <w:pPr>
        <w:numPr>
          <w:ilvl w:val="0"/>
          <w:numId w:val="1351"/>
        </w:numPr>
        <w:pStyle w:val="Compact"/>
      </w:pPr>
      <w:r>
        <w:rPr>
          <w:bCs/>
          <w:b/>
        </w:rPr>
        <w:t xml:space="preserve">Interdits (S0, substances non approuvées) :</w:t>
      </w:r>
      <w:r>
        <w:t xml:space="preserve"> </w:t>
      </w:r>
      <w:r>
        <w:t xml:space="preserve">les substances sans autorisation comme médicament à usage humain, par exemple le BPC-157, le Melanotan II et les agonistes multiples GLP-1 encore à l’étude comme le rétatrutide.</w:t>
      </w:r>
    </w:p>
    <w:p>
      <w:pPr>
        <w:numPr>
          <w:ilvl w:val="0"/>
          <w:numId w:val="1351"/>
        </w:numPr>
        <w:pStyle w:val="Compact"/>
      </w:pPr>
      <w:r>
        <w:rPr>
          <w:bCs/>
          <w:b/>
        </w:rPr>
        <w:t xml:space="preserve">Interdit (S4) :</w:t>
      </w:r>
      <w:r>
        <w:t xml:space="preserve"> </w:t>
      </w:r>
      <w:r>
        <w:t xml:space="preserve">le MOTS-c en tant qu’activateur de l’enzyme AMPK.</w:t>
      </w:r>
    </w:p>
    <w:p>
      <w:pPr>
        <w:numPr>
          <w:ilvl w:val="0"/>
          <w:numId w:val="1351"/>
        </w:numPr>
        <w:pStyle w:val="Compact"/>
      </w:pPr>
      <w:r>
        <w:rPr>
          <w:bCs/>
          <w:b/>
        </w:rPr>
        <w:t xml:space="preserve">Non interdits :</w:t>
      </w:r>
      <w:r>
        <w:t xml:space="preserve"> </w:t>
      </w:r>
      <w:r>
        <w:t xml:space="preserve">les médicaments GLP-1 autorisés. Le sémaglutide et le tirzépatide ont toutefois été inclus dans le programme de surveillance de la WADA afin de détecter un éventuel usage abusif ; des laboratoires ont déjà mis au point des méthodes de détection dans le sang et les gouttes de sang séché</w:t>
      </w:r>
      <w:r>
        <w:rPr>
          <w:rStyle w:val="FootnoteReference"/>
        </w:rPr>
        <w:footnoteReference w:id="2816"/>
      </w:r>
      <w:r>
        <w:t xml:space="preserve">.</w:t>
      </w:r>
    </w:p>
    <w:p>
      <w:pPr>
        <w:pStyle w:val="FirstParagraph"/>
      </w:pPr>
      <w:r>
        <w:t xml:space="preserve">Les détails figurent dans les chapitres respectifs. Trois points sont importants pour l’ensemble des peptides.</w:t>
      </w:r>
    </w:p>
    <w:p>
      <w:pPr>
        <w:pStyle w:val="BodyText"/>
      </w:pPr>
      <w:r>
        <w:rPr>
          <w:bCs/>
          <w:b/>
        </w:rPr>
        <w:t xml:space="preserve">Produits contaminés.</w:t>
      </w:r>
      <w:r>
        <w:t xml:space="preserve"> </w:t>
      </w:r>
      <w:r>
        <w:t xml:space="preserve">Un sportif est responsable de toute substance interdite présente dans son organisme – même si elle provient d’un produit mal étiqueté. Les analyses de laboratoire du chapitre « Produits du marché gris » montrent que la marchandise du marché gris contient souvent d’autres substances ou des substances supplémentaires, et que des substances interdites apparaissent aussi dans des produits présentés comme compléments alimentaires</w:t>
      </w:r>
      <w:r>
        <w:rPr>
          <w:rStyle w:val="FootnoteReference"/>
        </w:rPr>
        <w:footnoteReference w:id="2817"/>
      </w:r>
      <w:r>
        <w:t xml:space="preserve">.</w:t>
      </w:r>
    </w:p>
    <w:p>
      <w:pPr>
        <w:pStyle w:val="BodyText"/>
      </w:pPr>
      <w:r>
        <w:rPr>
          <w:bCs/>
          <w:b/>
        </w:rPr>
        <w:t xml:space="preserve">Variantes de synthèse.</w:t>
      </w:r>
      <w:r>
        <w:t xml:space="preserve"> </w:t>
      </w:r>
      <w:r>
        <w:t xml:space="preserve">Des peptides modifiés comme le Gly-GHRP-2 ou la Gly-ipamoréline visent probablement à contourner les contrôles</w:t>
      </w:r>
      <w:r>
        <w:rPr>
          <w:rStyle w:val="FootnoteReference"/>
        </w:rPr>
        <w:footnoteReference w:id="2818"/>
      </w:r>
      <w:r>
        <w:t xml:space="preserve">. Leur effet et leur sécurité sont totalement inconnus. L’expérience montre que les laboratoires antidopage adaptent leurs méthodes ; les échantillons sont en outre conservés à long terme et peuvent être réanalysés ultérieurement.</w:t>
      </w:r>
    </w:p>
    <w:p>
      <w:pPr>
        <w:pStyle w:val="BodyText"/>
      </w:pPr>
      <w:r>
        <w:rPr>
          <w:bCs/>
          <w:b/>
        </w:rPr>
        <w:t xml:space="preserve">Bénéfice douteux.</w:t>
      </w:r>
      <w:r>
        <w:t xml:space="preserve"> </w:t>
      </w:r>
      <w:r>
        <w:t xml:space="preserve">Une revue des médicaments incrétiniques dans le sport conclut que les études cliniques ne montrent pas d’amélioration homogène de la performance physique chez l’humain et que 20 à 30 % de la perte de poids correspond à de la masse maigre</w:t>
      </w:r>
      <w:r>
        <w:rPr>
          <w:rStyle w:val="FootnoteReference"/>
        </w:rPr>
        <w:footnoteReference w:id="2819"/>
      </w:r>
      <w:r>
        <w:t xml:space="preserve">. Pour les peptides régénératifs et les sécrétagogues de l’hormone de croissance, une revue de médecine du sport conclut qu’ils restent expérimentaux, avec un profil de sécurité incertain, une qualité de produit douteuse et des interdictions antidopage étendues</w:t>
      </w:r>
      <w:r>
        <w:rPr>
          <w:rStyle w:val="FootnoteReference"/>
        </w:rPr>
        <w:footnoteReference w:id="2820"/>
      </w:r>
      <w:r>
        <w:t xml:space="preserve">.</w:t>
      </w:r>
    </w:p>
    <w:bookmarkEnd w:id="2821"/>
    <w:bookmarkStart w:id="2822" w:name="lessentiel-en-bref-7"/>
    <w:p>
      <w:pPr>
        <w:pStyle w:val="Heading3"/>
      </w:pPr>
      <w:r>
        <w:t xml:space="preserve">L’essentiel en bref</w:t>
      </w:r>
    </w:p>
    <w:p>
      <w:pPr>
        <w:numPr>
          <w:ilvl w:val="0"/>
          <w:numId w:val="1352"/>
        </w:numPr>
        <w:pStyle w:val="Compact"/>
      </w:pPr>
      <w:r>
        <w:t xml:space="preserve">Pendant la grossesse, presque tous les peptides n’ont pas été étudiés ou ne sont pas indiqués. Pour une exposition accidentelle aux médicaments GLP-1, les données sont majoritairement rassurantes, mais incertaines.</w:t>
      </w:r>
    </w:p>
    <w:p>
      <w:pPr>
        <w:numPr>
          <w:ilvl w:val="0"/>
          <w:numId w:val="1352"/>
        </w:numPr>
        <w:pStyle w:val="Compact"/>
      </w:pPr>
      <w:r>
        <w:t xml:space="preserve">Le tirzépatide peut réduire l’absorption de la pilule ; ce n’est pas le cas du sémaglutide. Les vomissements et la diarrhée compromettent la prise de tout comprimé.</w:t>
      </w:r>
    </w:p>
    <w:p>
      <w:pPr>
        <w:numPr>
          <w:ilvl w:val="0"/>
          <w:numId w:val="1352"/>
        </w:numPr>
        <w:pStyle w:val="Compact"/>
      </w:pPr>
      <w:r>
        <w:t xml:space="preserve">Sous médicaments GLP-1, l’estomac reste plus souvent plein. Avant une anesthésie ou une gastroscopie, l’équipe soignante doit en être informée.</w:t>
      </w:r>
    </w:p>
    <w:p>
      <w:pPr>
        <w:numPr>
          <w:ilvl w:val="0"/>
          <w:numId w:val="1352"/>
        </w:numPr>
        <w:pStyle w:val="Compact"/>
      </w:pPr>
      <w:r>
        <w:t xml:space="preserve">En association avec l’insuline ou les sulfamides hypoglycémiants, le risque d’hypoglycémie augmente.</w:t>
      </w:r>
    </w:p>
    <w:p>
      <w:pPr>
        <w:numPr>
          <w:ilvl w:val="0"/>
          <w:numId w:val="1352"/>
        </w:numPr>
        <w:pStyle w:val="Compact"/>
      </w:pPr>
      <w:r>
        <w:t xml:space="preserve">Les adolescents se distinguent dans les données des centres antipoison par un mésusage intentionnel ; en cas de troubles du comportement alimentaire, les médicaments GLP-1 ne devraient en règle générale pas être utilisés.</w:t>
      </w:r>
    </w:p>
    <w:p>
      <w:pPr>
        <w:numPr>
          <w:ilvl w:val="0"/>
          <w:numId w:val="1352"/>
        </w:numPr>
        <w:pStyle w:val="Compact"/>
      </w:pPr>
      <w:r>
        <w:t xml:space="preserve">Environ un quart de la perte de poids sous médicaments GLP-1 correspond à de la masse maigre ; la question de ses conséquences fonctionnelles reste ouverte.</w:t>
      </w:r>
    </w:p>
    <w:p>
      <w:pPr>
        <w:numPr>
          <w:ilvl w:val="0"/>
          <w:numId w:val="1352"/>
        </w:numPr>
        <w:pStyle w:val="Compact"/>
      </w:pPr>
      <w:r>
        <w:t xml:space="preserve">Pour les sportives et sportifs, la plupart des peptides sont interdits, et les produits du marché gris comportent en outre le risque de produits dopants non déclarés.</w:t>
      </w:r>
    </w:p>
    <w:bookmarkEnd w:id="2822"/>
    <w:bookmarkEnd w:id="2823"/>
    <w:bookmarkEnd w:id="2824"/>
    <w:bookmarkStart w:id="2976" w:name="partie-v-avenir"/>
    <w:p>
      <w:pPr>
        <w:pStyle w:val="Heading1"/>
      </w:pPr>
      <w:r>
        <w:t xml:space="preserve">Partie V – Avenir</w:t>
      </w:r>
    </w:p>
    <w:p>
      <w:pPr>
        <w:pStyle w:val="FirstParagraph"/>
      </w:pPr>
      <w:r>
        <w:t xml:space="preserve">Les parties précédentes ont décrit ce que l’on sait aujourd’hui des peptides. Cette dernière partie regarde vers l’avant : quelles substances se trouvent dans les grandes études qui s’achèveront au cours des prochaines années ? Les injections seront-elles remplacées par des comprimés ? Que signifie l’expiration des brevets pour les prix et l’approvisionnement ? Et quelles évolutions peut-on attendre d’ici 2035 ?</w:t>
      </w:r>
    </w:p>
    <w:p>
      <w:pPr>
        <w:pStyle w:val="BodyText"/>
      </w:pPr>
      <w:r>
        <w:t xml:space="preserve">Dans ce livre, les affirmations sur l’avenir sont strictement séparées. Est</w:t>
      </w:r>
      <w:r>
        <w:t xml:space="preserve"> </w:t>
      </w:r>
      <w:r>
        <w:rPr>
          <w:bCs/>
          <w:b/>
        </w:rPr>
        <w:t xml:space="preserve">établi</w:t>
      </w:r>
      <w:r>
        <w:t xml:space="preserve"> </w:t>
      </w:r>
      <w:r>
        <w:t xml:space="preserve">ce qui est inscrit dans un registre d’études, publié dans une étude évaluée par des pairs ou décidé par les autorités. Même cela n’est qu’un instantané : des études sont prolongées, réduites ou interrompues, et les dates de fin prévues se décalent souvent de plusieurs années. Tout le reste est une</w:t>
      </w:r>
      <w:r>
        <w:t xml:space="preserve"> </w:t>
      </w:r>
      <w:r>
        <w:rPr>
          <w:bCs/>
          <w:b/>
        </w:rPr>
        <w:t xml:space="preserve">appréciation de l’auteur</w:t>
      </w:r>
      <w:r>
        <w:t xml:space="preserve"> </w:t>
      </w:r>
      <w:r>
        <w:t xml:space="preserve">et est expressément désigné comme tel. Les recherches reflètent la situation d’octobre 2026.</w:t>
      </w:r>
    </w:p>
    <w:bookmarkStart w:id="2866" w:name="le-pipeline-ce-qui-est-en-phase-2-et-3"/>
    <w:p>
      <w:pPr>
        <w:pStyle w:val="Heading2"/>
      </w:pPr>
      <w:r>
        <w:t xml:space="preserve">Le pipeline : ce qui est en phase 2 et 3</w:t>
      </w:r>
    </w:p>
    <w:p>
      <w:pPr>
        <w:pStyle w:val="FirstParagraph"/>
      </w:pPr>
      <w:r>
        <w:t xml:space="preserve">L’industrie pharmaceutique appelle « pipeline » l’ensemble des substances en cours de développement. Les étapes sont expliquées dans la partie I : en</w:t>
      </w:r>
      <w:r>
        <w:t xml:space="preserve"> </w:t>
      </w:r>
      <w:r>
        <w:rPr>
          <w:bCs/>
          <w:b/>
        </w:rPr>
        <w:t xml:space="preserve">phase 1</w:t>
      </w:r>
      <w:r>
        <w:t xml:space="preserve">, une substance est le plus souvent testée chez quelques personnes en bonne santé pour sa tolérance, en</w:t>
      </w:r>
      <w:r>
        <w:t xml:space="preserve"> </w:t>
      </w:r>
      <w:r>
        <w:rPr>
          <w:bCs/>
          <w:b/>
        </w:rPr>
        <w:t xml:space="preserve">phase 2</w:t>
      </w:r>
      <w:r>
        <w:t xml:space="preserve"> </w:t>
      </w:r>
      <w:r>
        <w:t xml:space="preserve">chez quelques centaines de malades pour son efficacité et la dose appropriée, en</w:t>
      </w:r>
      <w:r>
        <w:t xml:space="preserve"> </w:t>
      </w:r>
      <w:r>
        <w:rPr>
          <w:bCs/>
          <w:b/>
        </w:rPr>
        <w:t xml:space="preserve">phase 3</w:t>
      </w:r>
      <w:r>
        <w:t xml:space="preserve"> </w:t>
      </w:r>
      <w:r>
        <w:t xml:space="preserve">chez des milliers de personnes en vue de l’autorisation. La</w:t>
      </w:r>
      <w:r>
        <w:t xml:space="preserve"> </w:t>
      </w:r>
      <w:r>
        <w:rPr>
          <w:bCs/>
          <w:b/>
        </w:rPr>
        <w:t xml:space="preserve">phase 4</w:t>
      </w:r>
      <w:r>
        <w:t xml:space="preserve"> </w:t>
      </w:r>
      <w:r>
        <w:t xml:space="preserve">désigne les études portant sur des médicaments déjà autorisés. Pour savoir ce qui pourrait arriver sur le marché au cours des cinq prochaines années, il faut surtout regarder la phase 3.</w:t>
      </w:r>
    </w:p>
    <w:bookmarkStart w:id="2827" w:name="comment-lanalyse-a-été-réalisée"/>
    <w:p>
      <w:pPr>
        <w:pStyle w:val="Heading3"/>
      </w:pPr>
      <w:r>
        <w:t xml:space="preserve">Comment l’analyse a été réalisée</w:t>
      </w:r>
    </w:p>
    <w:p>
      <w:pPr>
        <w:pStyle w:val="FirstParagraph"/>
      </w:pPr>
      <w:r>
        <w:t xml:space="preserve">La base est constituée des listes du registre ClinicalTrials.gov, interrogé en octobre 2026 pour les 58 substances de ce livre (voir la méthodologie en annexe). Un petit programme d’analyse en a extrait toutes les inscriptions qui</w:t>
      </w:r>
    </w:p>
    <w:p>
      <w:pPr>
        <w:numPr>
          <w:ilvl w:val="0"/>
          <w:numId w:val="1353"/>
        </w:numPr>
        <w:pStyle w:val="Compact"/>
      </w:pPr>
      <w:r>
        <w:t xml:space="preserve">décrivent une étude</w:t>
      </w:r>
      <w:r>
        <w:t xml:space="preserve"> </w:t>
      </w:r>
      <w:r>
        <w:rPr>
          <w:bCs/>
          <w:b/>
        </w:rPr>
        <w:t xml:space="preserve">interventionnelle</w:t>
      </w:r>
      <w:r>
        <w:t xml:space="preserve">, c’est-à-dire une étude dans laquelle une substance est administrée de manière ciblée (pas une simple observation), et</w:t>
      </w:r>
    </w:p>
    <w:p>
      <w:pPr>
        <w:numPr>
          <w:ilvl w:val="0"/>
          <w:numId w:val="1353"/>
        </w:numPr>
        <w:pStyle w:val="Compact"/>
      </w:pPr>
      <w:r>
        <w:t xml:space="preserve">sont signalées comme</w:t>
      </w:r>
      <w:r>
        <w:t xml:space="preserve"> </w:t>
      </w:r>
      <w:r>
        <w:rPr>
          <w:bCs/>
          <w:b/>
        </w:rPr>
        <w:t xml:space="preserve">en cours</w:t>
      </w:r>
      <w:r>
        <w:t xml:space="preserve"> </w:t>
      </w:r>
      <w:r>
        <w:t xml:space="preserve">: en recrutement, active sans recrutement supplémentaire, pas encore en recrutement ou participation uniquement sur invitation.</w:t>
      </w:r>
    </w:p>
    <w:p>
      <w:pPr>
        <w:pStyle w:val="FirstParagraph"/>
      </w:pPr>
      <w:r>
        <w:t xml:space="preserve">Les études qui apparaissent sous plusieurs substances – par exemple une comparaison du rétatrutide avec le tirzépatide – n’ont été comptées qu’une seule fois.</w:t>
      </w:r>
    </w:p>
    <w:p>
      <w:pPr>
        <w:pStyle w:val="BodyText"/>
      </w:pPr>
      <w:r>
        <w:rPr>
          <w:bCs/>
          <w:b/>
        </w:rPr>
        <w:t xml:space="preserve">Ce qui a été exclu – et pourquoi :</w:t>
      </w:r>
    </w:p>
    <w:p>
      <w:pPr>
        <w:numPr>
          <w:ilvl w:val="0"/>
          <w:numId w:val="1354"/>
        </w:numPr>
        <w:pStyle w:val="Compact"/>
      </w:pPr>
      <w:r>
        <w:rPr>
          <w:bCs/>
          <w:b/>
        </w:rPr>
        <w:t xml:space="preserve">Huit inscriptions du promoteur « Hudson Biotech »</w:t>
      </w:r>
      <w:r>
        <w:t xml:space="preserve"> </w:t>
      </w:r>
      <w:r>
        <w:t xml:space="preserve">(une chacune pour le BPC-157, le GHK-Cu, le Melanotan II, le MOTS-c, le rétatrutide, le TB-500, la tésamoréline et le tirzépatide). Une inscription de ce promoteur se désigne dans sa propre description comme un exemple fictif (voir les chapitres BPC-157 et TB-500). Aucune de ces inscriptions n’est considérée dans ce livre comme une véritable étude.</w:t>
      </w:r>
    </w:p>
    <w:p>
      <w:pPr>
        <w:numPr>
          <w:ilvl w:val="0"/>
          <w:numId w:val="1354"/>
        </w:numPr>
        <w:pStyle w:val="Compact"/>
      </w:pPr>
      <w:r>
        <w:rPr>
          <w:bCs/>
          <w:b/>
        </w:rPr>
        <w:t xml:space="preserve">Les 1 000 résultats pour le terme de recherche « Gonadorelin ».</w:t>
      </w:r>
      <w:r>
        <w:t xml:space="preserve"> </w:t>
      </w:r>
      <w:r>
        <w:t xml:space="preserve">Ils concernent dans leur immense majorité des dérivés synthétiques de l’hormone GnRH (par exemple la leuproréline ou la triptoréline) dans le traitement des cancers de la prostate et du sein ou en médecine de la reproduction – donc d’autres médicaments. Les quelques inscriptions concernant la GnRH naturelle sont discutées au chapitre Gonadoréline ; aucune n’est une étude de phase 3 en cours.</w:t>
      </w:r>
    </w:p>
    <w:p>
      <w:pPr>
        <w:pStyle w:val="FirstParagraph"/>
      </w:pPr>
      <w:r>
        <w:rPr>
          <w:bCs/>
          <w:b/>
        </w:rPr>
        <w:t xml:space="preserve">Ce qui n’a pas été exclu, mais vérifié :</w:t>
      </w:r>
      <w:r>
        <w:t xml:space="preserve"> </w:t>
      </w:r>
      <w:r>
        <w:t xml:space="preserve">pour le glutathion, le collagène et la carnosine, les termes de recherche sont si généraux que de nombreux résultats ne mentionnent la substance que comme composant d’un mélange, comme comparateur ou comme paramètre mesuré. Ainsi, une grande étude sur la dengue apparaît sous le glutathion, parce que la N-acétylcystéine – un précurseur du glutathion – y est testée</w:t>
      </w:r>
      <w:r>
        <w:rPr>
          <w:rStyle w:val="FootnoteReference"/>
        </w:rPr>
        <w:footnoteReference w:id="2825"/>
      </w:r>
      <w:r>
        <w:t xml:space="preserve">. Sous le larazotide apparaissent deux études portant sur une tout autre substance contre la maladie de Fabry</w:t>
      </w:r>
      <w:r>
        <w:rPr>
          <w:rStyle w:val="FootnoteReference"/>
        </w:rPr>
        <w:footnoteReference w:id="2826"/>
      </w:r>
      <w:r>
        <w:t xml:space="preserve">. Ces résultats sont inclus dans les chiffres globaux, mais ne sont pas comptés comme études sur des peptides dans l’évaluation.</w:t>
      </w:r>
    </w:p>
    <w:p>
      <w:pPr>
        <w:pStyle w:val="BodyText"/>
      </w:pPr>
      <w:r>
        <w:rPr>
          <w:bCs/>
          <w:b/>
        </w:rPr>
        <w:t xml:space="preserve">Deux limites de l’analyse :</w:t>
      </w:r>
      <w:r>
        <w:t xml:space="preserve"> </w:t>
      </w:r>
      <w:r>
        <w:t xml:space="preserve">premièrement, tous les promoteurs ne signalent pas rapidement la fin de leur étude ; certaines inscriptions dont la date de fin est 2025 figurent encore comme « en cours » dans le registre. Deuxièmement, la requête ne couvre que les 58 substances de ce livre. Les nouvelles molécules sans chapitre propre n’apparaissent que si elles sont comparées à l’une de ces substances. C’est pourquoi une recherche ciblée supplémentaire a été menée pour les nouveaux principes d’action présentés plus bas.</w:t>
      </w:r>
    </w:p>
    <w:bookmarkEnd w:id="2827"/>
    <w:bookmarkStart w:id="2835" w:name="le-résultat-en-chiffres"/>
    <w:p>
      <w:pPr>
        <w:pStyle w:val="Heading3"/>
      </w:pPr>
      <w:r>
        <w:t xml:space="preserve">Le résultat en chiffres</w:t>
      </w:r>
    </w:p>
    <w:p>
      <w:pPr>
        <w:pStyle w:val="FirstParagraph"/>
      </w:pPr>
      <w:r>
        <w:t xml:space="preserve">Après les exclusions, il restait 730 études interventionnelles en cours. Parmi elles, 568 – un peu plus des trois quarts – concernent des substances du groupe A (métabolisme et poids).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études en cours au total</w:t>
            </w:r>
          </w:p>
        </w:tc>
        <w:tc>
          <w:tcPr/>
          <w:p>
            <w:pPr>
              <w:pStyle w:val="Compact"/>
              <w:jc w:val="left"/>
            </w:pPr>
            <w:r>
              <w:t xml:space="preserve">dont groupe A</w:t>
            </w:r>
          </w:p>
        </w:tc>
      </w:tr>
      <w:tr>
        <w:tc>
          <w:tcPr/>
          <w:p>
            <w:pPr>
              <w:pStyle w:val="Compact"/>
              <w:jc w:val="left"/>
            </w:pPr>
            <w:r>
              <w:t xml:space="preserve">Phase 1</w:t>
            </w:r>
          </w:p>
        </w:tc>
        <w:tc>
          <w:tcPr/>
          <w:p>
            <w:pPr>
              <w:pStyle w:val="Compact"/>
              <w:jc w:val="left"/>
            </w:pPr>
            <w:r>
              <w:t xml:space="preserve">80</w:t>
            </w:r>
          </w:p>
        </w:tc>
        <w:tc>
          <w:tcPr/>
          <w:p>
            <w:pPr>
              <w:pStyle w:val="Compact"/>
              <w:jc w:val="left"/>
            </w:pPr>
            <w:r>
              <w:t xml:space="preserve">55</w:t>
            </w:r>
          </w:p>
        </w:tc>
      </w:tr>
      <w:tr>
        <w:tc>
          <w:tcPr/>
          <w:p>
            <w:pPr>
              <w:pStyle w:val="Compact"/>
              <w:jc w:val="left"/>
            </w:pPr>
            <w:r>
              <w:t xml:space="preserve">Phase 1/2</w:t>
            </w:r>
          </w:p>
        </w:tc>
        <w:tc>
          <w:tcPr/>
          <w:p>
            <w:pPr>
              <w:pStyle w:val="Compact"/>
              <w:jc w:val="left"/>
            </w:pPr>
            <w:r>
              <w:t xml:space="preserve">19</w:t>
            </w:r>
          </w:p>
        </w:tc>
        <w:tc>
          <w:tcPr/>
          <w:p>
            <w:pPr>
              <w:pStyle w:val="Compact"/>
              <w:jc w:val="left"/>
            </w:pPr>
            <w:r>
              <w:t xml:space="preserve">16</w:t>
            </w:r>
          </w:p>
        </w:tc>
      </w:tr>
      <w:tr>
        <w:tc>
          <w:tcPr/>
          <w:p>
            <w:pPr>
              <w:pStyle w:val="Compact"/>
              <w:jc w:val="left"/>
            </w:pPr>
            <w:r>
              <w:t xml:space="preserve">Phase 2</w:t>
            </w:r>
          </w:p>
        </w:tc>
        <w:tc>
          <w:tcPr/>
          <w:p>
            <w:pPr>
              <w:pStyle w:val="Compact"/>
              <w:jc w:val="left"/>
            </w:pPr>
            <w:r>
              <w:t xml:space="preserve">179</w:t>
            </w:r>
          </w:p>
        </w:tc>
        <w:tc>
          <w:tcPr/>
          <w:p>
            <w:pPr>
              <w:pStyle w:val="Compact"/>
              <w:jc w:val="left"/>
            </w:pPr>
            <w:r>
              <w:t xml:space="preserve">125</w:t>
            </w:r>
          </w:p>
        </w:tc>
      </w:tr>
      <w:tr>
        <w:tc>
          <w:tcPr/>
          <w:p>
            <w:pPr>
              <w:pStyle w:val="Compact"/>
              <w:jc w:val="left"/>
            </w:pPr>
            <w:r>
              <w:t xml:space="preserve">Phase 2/3</w:t>
            </w:r>
          </w:p>
        </w:tc>
        <w:tc>
          <w:tcPr/>
          <w:p>
            <w:pPr>
              <w:pStyle w:val="Compact"/>
              <w:jc w:val="left"/>
            </w:pPr>
            <w:r>
              <w:t xml:space="preserve">19</w:t>
            </w:r>
          </w:p>
        </w:tc>
        <w:tc>
          <w:tcPr/>
          <w:p>
            <w:pPr>
              <w:pStyle w:val="Compact"/>
              <w:jc w:val="left"/>
            </w:pPr>
            <w:r>
              <w:t xml:space="preserve">15</w:t>
            </w:r>
          </w:p>
        </w:tc>
      </w:tr>
      <w:tr>
        <w:tc>
          <w:tcPr/>
          <w:p>
            <w:pPr>
              <w:pStyle w:val="Compact"/>
              <w:jc w:val="left"/>
            </w:pPr>
            <w:r>
              <w:t xml:space="preserve">Phase 3</w:t>
            </w:r>
          </w:p>
        </w:tc>
        <w:tc>
          <w:tcPr/>
          <w:p>
            <w:pPr>
              <w:pStyle w:val="Compact"/>
              <w:jc w:val="left"/>
            </w:pPr>
            <w:r>
              <w:t xml:space="preserve">157</w:t>
            </w:r>
          </w:p>
        </w:tc>
        <w:tc>
          <w:tcPr/>
          <w:p>
            <w:pPr>
              <w:pStyle w:val="Compact"/>
              <w:jc w:val="left"/>
            </w:pPr>
            <w:r>
              <w:t xml:space="preserve">142</w:t>
            </w:r>
          </w:p>
        </w:tc>
      </w:tr>
      <w:tr>
        <w:tc>
          <w:tcPr/>
          <w:p>
            <w:pPr>
              <w:pStyle w:val="Compact"/>
              <w:jc w:val="left"/>
            </w:pPr>
            <w:r>
              <w:t xml:space="preserve">Phase 4</w:t>
            </w:r>
          </w:p>
        </w:tc>
        <w:tc>
          <w:tcPr/>
          <w:p>
            <w:pPr>
              <w:pStyle w:val="Compact"/>
              <w:jc w:val="left"/>
            </w:pPr>
            <w:r>
              <w:t xml:space="preserve">140</w:t>
            </w:r>
          </w:p>
        </w:tc>
        <w:tc>
          <w:tcPr/>
          <w:p>
            <w:pPr>
              <w:pStyle w:val="Compact"/>
              <w:jc w:val="left"/>
            </w:pPr>
            <w:r>
              <w:t xml:space="preserve">132</w:t>
            </w:r>
          </w:p>
        </w:tc>
      </w:tr>
      <w:tr>
        <w:tc>
          <w:tcPr/>
          <w:p>
            <w:pPr>
              <w:pStyle w:val="Compact"/>
              <w:jc w:val="left"/>
            </w:pPr>
            <w:r>
              <w:t xml:space="preserve">sans indication de phase</w:t>
            </w:r>
          </w:p>
        </w:tc>
        <w:tc>
          <w:tcPr/>
          <w:p>
            <w:pPr>
              <w:pStyle w:val="Compact"/>
              <w:jc w:val="left"/>
            </w:pPr>
            <w:r>
              <w:t xml:space="preserve">136</w:t>
            </w:r>
          </w:p>
        </w:tc>
        <w:tc>
          <w:tcPr/>
          <w:p>
            <w:pPr>
              <w:pStyle w:val="Compact"/>
              <w:jc w:val="left"/>
            </w:pPr>
            <w:r>
              <w:t xml:space="preserve">83</w:t>
            </w:r>
          </w:p>
        </w:tc>
      </w:tr>
      <w:tr>
        <w:tc>
          <w:tcPr/>
          <w:p>
            <w:pPr>
              <w:pStyle w:val="Compact"/>
              <w:jc w:val="left"/>
            </w:pPr>
            <w:r>
              <w:rPr>
                <w:bCs/>
                <w:b/>
              </w:rPr>
              <w:t xml:space="preserve">Total</w:t>
            </w:r>
          </w:p>
        </w:tc>
        <w:tc>
          <w:tcPr/>
          <w:p>
            <w:pPr>
              <w:pStyle w:val="Compact"/>
              <w:jc w:val="left"/>
            </w:pPr>
            <w:r>
              <w:rPr>
                <w:bCs/>
                <w:b/>
              </w:rPr>
              <w:t xml:space="preserve">730</w:t>
            </w:r>
          </w:p>
        </w:tc>
        <w:tc>
          <w:tcPr/>
          <w:p>
            <w:pPr>
              <w:pStyle w:val="Compact"/>
              <w:jc w:val="left"/>
            </w:pPr>
            <w:r>
              <w:rPr>
                <w:bCs/>
                <w:b/>
              </w:rPr>
              <w:t xml:space="preserve">568</w:t>
            </w:r>
          </w:p>
        </w:tc>
      </w:tr>
    </w:tbl>
    <w:p>
      <w:pPr>
        <w:pStyle w:val="BodyText"/>
      </w:pPr>
      <w:r>
        <w:t xml:space="preserve">Sur les 157 études de phase 3 en cours, 68 recrutaient encore, 54 étaient actives sans nouvelles inclusions et 35 n’avaient pas encore commencé. Si l’on ajoute les études combinées de phase 2/3, on obtient 176 études à un stade avancé ; 157 d’entre elles (142 en phase 3, 15 en phase 2/3) – près de neuf sur dix – relèvent du groupe A.</w:t>
      </w:r>
    </w:p>
    <w:p>
      <w:pPr>
        <w:pStyle w:val="BodyText"/>
      </w:pPr>
      <w:r>
        <w:t xml:space="preserve">Dans le groupe A, environ une de ces études avancées sur trois est portée par des universités et des cliniques, les autres par des entreprises. Les dates de fin prévues se répartissent ainsi : 21 études doivent s’achever en 2026, 49 en 2027, 41 en 2028 et 44 entre 2029 et 2033. La véritable vague de nouveaux résultats est donc attendue en 2027 et 2028.</w:t>
      </w:r>
    </w:p>
    <w:p>
      <w:pPr>
        <w:pStyle w:val="BodyText"/>
      </w:pPr>
      <w:r>
        <w:rPr>
          <w:bCs/>
          <w:b/>
        </w:rPr>
        <w:t xml:space="preserve">Les groupes B à F</w:t>
      </w:r>
      <w:r>
        <w:t xml:space="preserve"> </w:t>
      </w:r>
      <w:r>
        <w:t xml:space="preserve">présentent un tout autre visage. Après examen des inscriptions, il ne reste que cinq études de phase 3 en cours dans lesquelles une substance de ce livre est réellement le produit testé : la thymosine alpha 1 après chirurgie d’un cancer colorectal</w:t>
      </w:r>
      <w:r>
        <w:rPr>
          <w:rStyle w:val="FootnoteReference"/>
        </w:rPr>
        <w:footnoteReference w:id="2828"/>
      </w:r>
      <w:r>
        <w:t xml:space="preserve">, un collyre de thymosine bêta 4 dans la kératopathie neurotrophique</w:t>
      </w:r>
      <w:r>
        <w:rPr>
          <w:rStyle w:val="FootnoteReference"/>
        </w:rPr>
        <w:footnoteReference w:id="2829"/>
      </w:r>
      <w:r>
        <w:t xml:space="preserve">, l’élamipretide dans la dégénérescence maculaire sèche</w:t>
      </w:r>
      <w:r>
        <w:rPr>
          <w:rStyle w:val="FootnoteReference"/>
        </w:rPr>
        <w:footnoteReference w:id="2830"/>
      </w:r>
      <w:r>
        <w:t xml:space="preserve">, l’afamélanotide dans le vitiligo</w:t>
      </w:r>
      <w:r>
        <w:rPr>
          <w:rStyle w:val="FootnoteReference"/>
        </w:rPr>
        <w:footnoteReference w:id="2831"/>
      </w:r>
      <w:r>
        <w:t xml:space="preserve"> </w:t>
      </w:r>
      <w:r>
        <w:t xml:space="preserve">et l’ibutamorène, qui n’est pas un peptide, chez des enfants présentant un déficit en hormone de croissance</w:t>
      </w:r>
      <w:r>
        <w:rPr>
          <w:rStyle w:val="FootnoteReference"/>
        </w:rPr>
        <w:footnoteReference w:id="2832"/>
      </w:r>
      <w:r>
        <w:t xml:space="preserve">. S’y ajoutent quelques études combinées de phase 2/3, par exemple sur l’ocytocine en spray nasal dans les douleurs chroniques</w:t>
      </w:r>
      <w:r>
        <w:rPr>
          <w:rStyle w:val="FootnoteReference"/>
        </w:rPr>
        <w:footnoteReference w:id="2833"/>
      </w:r>
      <w:r>
        <w:t xml:space="preserve"> </w:t>
      </w:r>
      <w:r>
        <w:t xml:space="preserve">et sur la thymosine alpha 1 en cas d’échecs d’implantation répétés après fécondation in vitro</w:t>
      </w:r>
      <w:r>
        <w:rPr>
          <w:rStyle w:val="FootnoteReference"/>
        </w:rPr>
        <w:footnoteReference w:id="2834"/>
      </w:r>
      <w:r>
        <w:t xml:space="preserve">. Pour les « peptides de recherche » les plus populaires sur Internet – BPC-157, CJC-1295, ipamoréline, Epitalon, Semax, Selank –, aucune étude de phase 3 n’est en cours.</w:t>
      </w:r>
    </w:p>
    <w:bookmarkEnd w:id="2835"/>
    <w:bookmarkStart w:id="2836" w:name="X16031e1e39113e8f7d727032e81d52220bea65a"/>
    <w:p>
      <w:pPr>
        <w:pStyle w:val="Heading3"/>
      </w:pPr>
      <w:r>
        <w:t xml:space="preserve">Les principales études de phase 3 en cours</w:t>
      </w:r>
    </w:p>
    <w:p>
      <w:pPr>
        <w:pStyle w:val="FirstParagraph"/>
      </w:pPr>
      <w:r>
        <w:t xml:space="preserve">Les tableaux suivants présentent une sélection selon la taille et l’importance. La « fin prévue » est la fin d’étude indiquée dans le registre (état octobre 2026) ; le critère principal est souvent analysé quelques mois plus tôt, et les publications suivent généralement six mois à un an plus tard.</w:t>
      </w:r>
    </w:p>
    <w:p>
      <w:pPr>
        <w:pStyle w:val="BodyText"/>
      </w:pPr>
      <w:r>
        <w:rPr>
          <w:bCs/>
          <w:b/>
        </w:rPr>
        <w:t xml:space="preserve">Métabolisme et poids (groupe A)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 / NCT</w:t>
            </w:r>
          </w:p>
        </w:tc>
        <w:tc>
          <w:tcPr/>
          <w:p>
            <w:pPr>
              <w:pStyle w:val="Compact"/>
              <w:jc w:val="left"/>
            </w:pPr>
            <w:r>
              <w:t xml:space="preserve">Substance</w:t>
            </w:r>
          </w:p>
        </w:tc>
        <w:tc>
          <w:tcPr/>
          <w:p>
            <w:pPr>
              <w:pStyle w:val="Compact"/>
              <w:jc w:val="left"/>
            </w:pPr>
            <w:r>
              <w:t xml:space="preserve">Question</w:t>
            </w:r>
          </w:p>
        </w:tc>
        <w:tc>
          <w:tcPr/>
          <w:p>
            <w:pPr>
              <w:pStyle w:val="Compact"/>
              <w:jc w:val="left"/>
            </w:pPr>
            <w:r>
              <w:t xml:space="preserve">Fin prévue</w:t>
            </w:r>
          </w:p>
        </w:tc>
      </w:tr>
      <w:tr>
        <w:tc>
          <w:tcPr/>
          <w:p>
            <w:pPr>
              <w:pStyle w:val="Compact"/>
              <w:jc w:val="left"/>
            </w:pPr>
            <w:r>
              <w:t xml:space="preserve">TRIUMPH-5, NCT06662383</w:t>
            </w:r>
          </w:p>
        </w:tc>
        <w:tc>
          <w:tcPr/>
          <w:p>
            <w:pPr>
              <w:pStyle w:val="Compact"/>
              <w:jc w:val="left"/>
            </w:pPr>
            <w:r>
              <w:t xml:space="preserve">Rétatrutide vs tirzépatide</w:t>
            </w:r>
          </w:p>
        </w:tc>
        <w:tc>
          <w:tcPr/>
          <w:p>
            <w:pPr>
              <w:pStyle w:val="Compact"/>
              <w:jc w:val="left"/>
            </w:pPr>
            <w:r>
              <w:t xml:space="preserve">perte de poids, 800 adultes</w:t>
            </w:r>
          </w:p>
        </w:tc>
        <w:tc>
          <w:tcPr/>
          <w:p>
            <w:pPr>
              <w:pStyle w:val="Compact"/>
              <w:jc w:val="left"/>
            </w:pPr>
            <w:r>
              <w:t xml:space="preserve">décembre 2026</w:t>
            </w:r>
          </w:p>
        </w:tc>
      </w:tr>
      <w:tr>
        <w:tc>
          <w:tcPr/>
          <w:p>
            <w:pPr>
              <w:pStyle w:val="Compact"/>
              <w:jc w:val="left"/>
            </w:pPr>
            <w:r>
              <w:t xml:space="preserve">MARITIME-1, NCT06858839</w:t>
            </w:r>
          </w:p>
        </w:tc>
        <w:tc>
          <w:tcPr/>
          <w:p>
            <w:pPr>
              <w:pStyle w:val="Compact"/>
              <w:jc w:val="left"/>
            </w:pPr>
            <w:r>
              <w:t xml:space="preserve">Maridebart cafraglutide</w:t>
            </w:r>
          </w:p>
        </w:tc>
        <w:tc>
          <w:tcPr/>
          <w:p>
            <w:pPr>
              <w:pStyle w:val="Compact"/>
              <w:jc w:val="left"/>
            </w:pPr>
            <w:r>
              <w:t xml:space="preserve">perte de poids sans diabète, 3 853 participants</w:t>
            </w:r>
          </w:p>
        </w:tc>
        <w:tc>
          <w:tcPr/>
          <w:p>
            <w:pPr>
              <w:pStyle w:val="Compact"/>
              <w:jc w:val="left"/>
            </w:pPr>
            <w:r>
              <w:t xml:space="preserve">avril 2027</w:t>
            </w:r>
          </w:p>
        </w:tc>
      </w:tr>
      <w:tr>
        <w:tc>
          <w:tcPr/>
          <w:p>
            <w:pPr>
              <w:pStyle w:val="Compact"/>
              <w:jc w:val="left"/>
            </w:pPr>
            <w:r>
              <w:t xml:space="preserve">SURMOUNT-MMO, NCT05556512</w:t>
            </w:r>
          </w:p>
        </w:tc>
        <w:tc>
          <w:tcPr/>
          <w:p>
            <w:pPr>
              <w:pStyle w:val="Compact"/>
              <w:jc w:val="left"/>
            </w:pPr>
            <w:r>
              <w:t xml:space="preserve">Tirzépatide</w:t>
            </w:r>
          </w:p>
        </w:tc>
        <w:tc>
          <w:tcPr/>
          <w:p>
            <w:pPr>
              <w:pStyle w:val="Compact"/>
              <w:jc w:val="left"/>
            </w:pPr>
            <w:r>
              <w:t xml:space="preserve">événements cardiovasculaires et décès, 15 374 participants</w:t>
            </w:r>
          </w:p>
        </w:tc>
        <w:tc>
          <w:tcPr/>
          <w:p>
            <w:pPr>
              <w:pStyle w:val="Compact"/>
              <w:jc w:val="left"/>
            </w:pPr>
            <w:r>
              <w:t xml:space="preserve">octobre 2027</w:t>
            </w:r>
          </w:p>
        </w:tc>
      </w:tr>
      <w:tr>
        <w:tc>
          <w:tcPr/>
          <w:p>
            <w:pPr>
              <w:pStyle w:val="Compact"/>
              <w:jc w:val="left"/>
            </w:pPr>
            <w:r>
              <w:t xml:space="preserve">REDEFINE 3, NCT05669755</w:t>
            </w:r>
          </w:p>
        </w:tc>
        <w:tc>
          <w:tcPr/>
          <w:p>
            <w:pPr>
              <w:pStyle w:val="Compact"/>
              <w:jc w:val="left"/>
            </w:pPr>
            <w:r>
              <w:t xml:space="preserve">CagriSema</w:t>
            </w:r>
          </w:p>
        </w:tc>
        <w:tc>
          <w:tcPr/>
          <w:p>
            <w:pPr>
              <w:pStyle w:val="Compact"/>
              <w:jc w:val="left"/>
            </w:pPr>
            <w:r>
              <w:t xml:space="preserve">événements cardiovasculaires, 7 101 participants</w:t>
            </w:r>
          </w:p>
        </w:tc>
        <w:tc>
          <w:tcPr/>
          <w:p>
            <w:pPr>
              <w:pStyle w:val="Compact"/>
              <w:jc w:val="left"/>
            </w:pPr>
            <w:r>
              <w:t xml:space="preserve">octobre 2027</w:t>
            </w:r>
          </w:p>
        </w:tc>
      </w:tr>
      <w:tr>
        <w:tc>
          <w:tcPr/>
          <w:p>
            <w:pPr>
              <w:pStyle w:val="Compact"/>
              <w:jc w:val="left"/>
            </w:pPr>
            <w:r>
              <w:t xml:space="preserve">NCT07564414</w:t>
            </w:r>
          </w:p>
        </w:tc>
        <w:tc>
          <w:tcPr/>
          <w:p>
            <w:pPr>
              <w:pStyle w:val="Compact"/>
              <w:jc w:val="left"/>
            </w:pPr>
            <w:r>
              <w:t xml:space="preserve">CagriSema (doses plus élevées) vs sémaglutide</w:t>
            </w:r>
          </w:p>
        </w:tc>
        <w:tc>
          <w:tcPr/>
          <w:p>
            <w:pPr>
              <w:pStyle w:val="Compact"/>
              <w:jc w:val="left"/>
            </w:pPr>
            <w:r>
              <w:t xml:space="preserve">perte de poids, 2 500 participants</w:t>
            </w:r>
          </w:p>
        </w:tc>
        <w:tc>
          <w:tcPr/>
          <w:p>
            <w:pPr>
              <w:pStyle w:val="Compact"/>
              <w:jc w:val="left"/>
            </w:pPr>
            <w:r>
              <w:t xml:space="preserve">avril 2028</w:t>
            </w:r>
          </w:p>
        </w:tc>
      </w:tr>
      <w:tr>
        <w:tc>
          <w:tcPr/>
          <w:p>
            <w:pPr>
              <w:pStyle w:val="Compact"/>
              <w:jc w:val="left"/>
            </w:pPr>
            <w:r>
              <w:t xml:space="preserve">TRIUMPH-6, NCT06859268</w:t>
            </w:r>
          </w:p>
        </w:tc>
        <w:tc>
          <w:tcPr/>
          <w:p>
            <w:pPr>
              <w:pStyle w:val="Compact"/>
              <w:jc w:val="left"/>
            </w:pPr>
            <w:r>
              <w:t xml:space="preserve">Rétatrutide</w:t>
            </w:r>
          </w:p>
        </w:tc>
        <w:tc>
          <w:tcPr/>
          <w:p>
            <w:pPr>
              <w:pStyle w:val="Compact"/>
              <w:jc w:val="left"/>
            </w:pPr>
            <w:r>
              <w:t xml:space="preserve">maintien du poids après amaigrissement, 643 participants</w:t>
            </w:r>
          </w:p>
        </w:tc>
        <w:tc>
          <w:tcPr/>
          <w:p>
            <w:pPr>
              <w:pStyle w:val="Compact"/>
              <w:jc w:val="left"/>
            </w:pPr>
            <w:r>
              <w:t xml:space="preserve">avril 2028</w:t>
            </w:r>
          </w:p>
        </w:tc>
      </w:tr>
      <w:tr>
        <w:tc>
          <w:tcPr/>
          <w:p>
            <w:pPr>
              <w:pStyle w:val="Compact"/>
              <w:jc w:val="left"/>
            </w:pPr>
            <w:r>
              <w:t xml:space="preserve">TRIUMPH-Outcomes, NCT06383390</w:t>
            </w:r>
          </w:p>
        </w:tc>
        <w:tc>
          <w:tcPr/>
          <w:p>
            <w:pPr>
              <w:pStyle w:val="Compact"/>
              <w:jc w:val="left"/>
            </w:pPr>
            <w:r>
              <w:t xml:space="preserve">Rétatrutide</w:t>
            </w:r>
          </w:p>
        </w:tc>
        <w:tc>
          <w:tcPr/>
          <w:p>
            <w:pPr>
              <w:pStyle w:val="Compact"/>
              <w:jc w:val="left"/>
            </w:pPr>
            <w:r>
              <w:t xml:space="preserve">événements cardiaques et rénaux, 10 000 participants</w:t>
            </w:r>
          </w:p>
        </w:tc>
        <w:tc>
          <w:tcPr/>
          <w:p>
            <w:pPr>
              <w:pStyle w:val="Compact"/>
              <w:jc w:val="left"/>
            </w:pPr>
            <w:r>
              <w:t xml:space="preserve">février 2029</w:t>
            </w:r>
          </w:p>
        </w:tc>
      </w:tr>
      <w:tr>
        <w:tc>
          <w:tcPr/>
          <w:p>
            <w:pPr>
              <w:pStyle w:val="Compact"/>
              <w:jc w:val="left"/>
            </w:pPr>
            <w:r>
              <w:t xml:space="preserve">ESSENCE, NCT04822181</w:t>
            </w:r>
          </w:p>
        </w:tc>
        <w:tc>
          <w:tcPr/>
          <w:p>
            <w:pPr>
              <w:pStyle w:val="Compact"/>
              <w:jc w:val="left"/>
            </w:pPr>
            <w:r>
              <w:t xml:space="preserve">Sémaglutide</w:t>
            </w:r>
          </w:p>
        </w:tc>
        <w:tc>
          <w:tcPr/>
          <w:p>
            <w:pPr>
              <w:pStyle w:val="Compact"/>
              <w:jc w:val="left"/>
            </w:pPr>
            <w:r>
              <w:t xml:space="preserve">stéatose hépatique (MASH), 1 205 participants</w:t>
            </w:r>
          </w:p>
        </w:tc>
        <w:tc>
          <w:tcPr/>
          <w:p>
            <w:pPr>
              <w:pStyle w:val="Compact"/>
              <w:jc w:val="left"/>
            </w:pPr>
            <w:r>
              <w:t xml:space="preserve">avril 2029</w:t>
            </w:r>
          </w:p>
        </w:tc>
      </w:tr>
      <w:tr>
        <w:tc>
          <w:tcPr/>
          <w:p>
            <w:pPr>
              <w:pStyle w:val="Compact"/>
              <w:jc w:val="left"/>
            </w:pPr>
            <w:r>
              <w:t xml:space="preserve">LIVERAGE-Cirrhosis, NCT06632457</w:t>
            </w:r>
          </w:p>
        </w:tc>
        <w:tc>
          <w:tcPr/>
          <w:p>
            <w:pPr>
              <w:pStyle w:val="Compact"/>
              <w:jc w:val="left"/>
            </w:pPr>
            <w:r>
              <w:t xml:space="preserve">Survodutide</w:t>
            </w:r>
          </w:p>
        </w:tc>
        <w:tc>
          <w:tcPr/>
          <w:p>
            <w:pPr>
              <w:pStyle w:val="Compact"/>
              <w:jc w:val="left"/>
            </w:pPr>
            <w:r>
              <w:t xml:space="preserve">complications hépatiques en cas de cirrhose, 1 590 participants</w:t>
            </w:r>
          </w:p>
        </w:tc>
        <w:tc>
          <w:tcPr/>
          <w:p>
            <w:pPr>
              <w:pStyle w:val="Compact"/>
              <w:jc w:val="left"/>
            </w:pPr>
            <w:r>
              <w:t xml:space="preserve">juin 2029</w:t>
            </w:r>
          </w:p>
        </w:tc>
      </w:tr>
      <w:tr>
        <w:tc>
          <w:tcPr/>
          <w:p>
            <w:pPr>
              <w:pStyle w:val="Compact"/>
              <w:jc w:val="left"/>
            </w:pPr>
            <w:r>
              <w:t xml:space="preserve">AMAZE 1, NCT07339423</w:t>
            </w:r>
          </w:p>
        </w:tc>
        <w:tc>
          <w:tcPr/>
          <w:p>
            <w:pPr>
              <w:pStyle w:val="Compact"/>
              <w:jc w:val="left"/>
            </w:pPr>
            <w:r>
              <w:t xml:space="preserve">Amycrétine (zénagamtide)</w:t>
            </w:r>
          </w:p>
        </w:tc>
        <w:tc>
          <w:tcPr/>
          <w:p>
            <w:pPr>
              <w:pStyle w:val="Compact"/>
              <w:jc w:val="left"/>
            </w:pPr>
            <w:r>
              <w:t xml:space="preserve">perte de poids, 1 150 participants</w:t>
            </w:r>
          </w:p>
        </w:tc>
        <w:tc>
          <w:tcPr/>
          <w:p>
            <w:pPr>
              <w:pStyle w:val="Compact"/>
              <w:jc w:val="left"/>
            </w:pPr>
            <w:r>
              <w:t xml:space="preserve">août 2029</w:t>
            </w:r>
          </w:p>
        </w:tc>
      </w:tr>
      <w:tr>
        <w:tc>
          <w:tcPr/>
          <w:p>
            <w:pPr>
              <w:pStyle w:val="Compact"/>
              <w:jc w:val="left"/>
            </w:pPr>
            <w:r>
              <w:t xml:space="preserve">MARITIME-CV, NCT07037433</w:t>
            </w:r>
          </w:p>
        </w:tc>
        <w:tc>
          <w:tcPr/>
          <w:p>
            <w:pPr>
              <w:pStyle w:val="Compact"/>
              <w:jc w:val="left"/>
            </w:pPr>
            <w:r>
              <w:t xml:space="preserve">Maridebart cafraglutide</w:t>
            </w:r>
          </w:p>
        </w:tc>
        <w:tc>
          <w:tcPr/>
          <w:p>
            <w:pPr>
              <w:pStyle w:val="Compact"/>
              <w:jc w:val="left"/>
            </w:pPr>
            <w:r>
              <w:t xml:space="preserve">événements cardiovasculaires, 12 800 participants</w:t>
            </w:r>
          </w:p>
        </w:tc>
        <w:tc>
          <w:tcPr/>
          <w:p>
            <w:pPr>
              <w:pStyle w:val="Compact"/>
              <w:jc w:val="left"/>
            </w:pPr>
            <w:r>
              <w:t xml:space="preserve">septembre 2030</w:t>
            </w:r>
          </w:p>
        </w:tc>
      </w:tr>
      <w:tr>
        <w:tc>
          <w:tcPr/>
          <w:p>
            <w:pPr>
              <w:pStyle w:val="Compact"/>
              <w:jc w:val="left"/>
            </w:pPr>
            <w:r>
              <w:t xml:space="preserve">MARITIME-HF, NCT07037459</w:t>
            </w:r>
          </w:p>
        </w:tc>
        <w:tc>
          <w:tcPr/>
          <w:p>
            <w:pPr>
              <w:pStyle w:val="Compact"/>
              <w:jc w:val="left"/>
            </w:pPr>
            <w:r>
              <w:t xml:space="preserve">Maridebart cafraglutide</w:t>
            </w:r>
          </w:p>
        </w:tc>
        <w:tc>
          <w:tcPr/>
          <w:p>
            <w:pPr>
              <w:pStyle w:val="Compact"/>
              <w:jc w:val="left"/>
            </w:pPr>
            <w:r>
              <w:t xml:space="preserve">insuffisance cardiaque avec obésité, 5 056 participants</w:t>
            </w:r>
          </w:p>
        </w:tc>
        <w:tc>
          <w:tcPr/>
          <w:p>
            <w:pPr>
              <w:pStyle w:val="Compact"/>
              <w:jc w:val="left"/>
            </w:pPr>
            <w:r>
              <w:t xml:space="preserve">septembre 2030</w:t>
            </w:r>
          </w:p>
        </w:tc>
      </w:tr>
      <w:tr>
        <w:tc>
          <w:tcPr/>
          <w:p>
            <w:pPr>
              <w:pStyle w:val="Compact"/>
              <w:jc w:val="left"/>
            </w:pPr>
            <w:r>
              <w:t xml:space="preserve">AMBIENCE, NCT07861100</w:t>
            </w:r>
          </w:p>
        </w:tc>
        <w:tc>
          <w:tcPr/>
          <w:p>
            <w:pPr>
              <w:pStyle w:val="Compact"/>
              <w:jc w:val="left"/>
            </w:pPr>
            <w:r>
              <w:t xml:space="preserve">Amycrétine (zénagamtide)</w:t>
            </w:r>
          </w:p>
        </w:tc>
        <w:tc>
          <w:tcPr/>
          <w:p>
            <w:pPr>
              <w:pStyle w:val="Compact"/>
              <w:jc w:val="left"/>
            </w:pPr>
            <w:r>
              <w:t xml:space="preserve">événements cardiovasculaires, 8 500 prévus</w:t>
            </w:r>
          </w:p>
        </w:tc>
        <w:tc>
          <w:tcPr/>
          <w:p>
            <w:pPr>
              <w:pStyle w:val="Compact"/>
              <w:jc w:val="left"/>
            </w:pPr>
            <w:r>
              <w:t xml:space="preserve">septembre 2030</w:t>
            </w:r>
          </w:p>
        </w:tc>
      </w:tr>
      <w:tr>
        <w:tc>
          <w:tcPr/>
          <w:p>
            <w:pPr>
              <w:pStyle w:val="Compact"/>
              <w:jc w:val="left"/>
            </w:pPr>
            <w:r>
              <w:t xml:space="preserve">ATTAIN-Outcomes, NCT07241390</w:t>
            </w:r>
          </w:p>
        </w:tc>
        <w:tc>
          <w:tcPr/>
          <w:p>
            <w:pPr>
              <w:pStyle w:val="Compact"/>
              <w:jc w:val="left"/>
            </w:pPr>
            <w:r>
              <w:t xml:space="preserve">Orforglipron (pas un peptide)</w:t>
            </w:r>
          </w:p>
        </w:tc>
        <w:tc>
          <w:tcPr/>
          <w:p>
            <w:pPr>
              <w:pStyle w:val="Compact"/>
              <w:jc w:val="left"/>
            </w:pPr>
            <w:r>
              <w:t xml:space="preserve">événements cardiovasculaires, 7 140 participants</w:t>
            </w:r>
          </w:p>
        </w:tc>
        <w:tc>
          <w:tcPr/>
          <w:p>
            <w:pPr>
              <w:pStyle w:val="Compact"/>
              <w:jc w:val="left"/>
            </w:pPr>
            <w:r>
              <w:t xml:space="preserve">août 2031</w:t>
            </w:r>
          </w:p>
        </w:tc>
      </w:tr>
      <w:tr>
        <w:tc>
          <w:tcPr/>
          <w:p>
            <w:pPr>
              <w:pStyle w:val="Compact"/>
              <w:jc w:val="left"/>
            </w:pPr>
            <w:r>
              <w:t xml:space="preserve">LIVERAGE, NCT06632444</w:t>
            </w:r>
          </w:p>
        </w:tc>
        <w:tc>
          <w:tcPr/>
          <w:p>
            <w:pPr>
              <w:pStyle w:val="Compact"/>
              <w:jc w:val="left"/>
            </w:pPr>
            <w:r>
              <w:t xml:space="preserve">Survodutide</w:t>
            </w:r>
          </w:p>
        </w:tc>
        <w:tc>
          <w:tcPr/>
          <w:p>
            <w:pPr>
              <w:pStyle w:val="Compact"/>
              <w:jc w:val="left"/>
            </w:pPr>
            <w:r>
              <w:t xml:space="preserve">MASH avec fibrose, 1 800 participants</w:t>
            </w:r>
          </w:p>
        </w:tc>
        <w:tc>
          <w:tcPr/>
          <w:p>
            <w:pPr>
              <w:pStyle w:val="Compact"/>
              <w:jc w:val="left"/>
            </w:pPr>
            <w:r>
              <w:t xml:space="preserve">décembre 2031</w:t>
            </w:r>
          </w:p>
        </w:tc>
      </w:tr>
      <w:tr>
        <w:tc>
          <w:tcPr/>
          <w:p>
            <w:pPr>
              <w:pStyle w:val="Compact"/>
              <w:jc w:val="left"/>
            </w:pPr>
            <w:r>
              <w:t xml:space="preserve">SYNERGY-Outcomes, NCT07165028</w:t>
            </w:r>
          </w:p>
        </w:tc>
        <w:tc>
          <w:tcPr/>
          <w:p>
            <w:pPr>
              <w:pStyle w:val="Compact"/>
              <w:jc w:val="left"/>
            </w:pPr>
            <w:r>
              <w:t xml:space="preserve">Tirzépatide et rétatrutide</w:t>
            </w:r>
          </w:p>
        </w:tc>
        <w:tc>
          <w:tcPr/>
          <w:p>
            <w:pPr>
              <w:pStyle w:val="Compact"/>
              <w:jc w:val="left"/>
            </w:pPr>
            <w:r>
              <w:t xml:space="preserve">événements hépatiques graves, 4 500 participants</w:t>
            </w:r>
          </w:p>
        </w:tc>
        <w:tc>
          <w:tcPr/>
          <w:p>
            <w:pPr>
              <w:pStyle w:val="Compact"/>
              <w:jc w:val="left"/>
            </w:pPr>
            <w:r>
              <w:t xml:space="preserve">août 2032</w:t>
            </w:r>
          </w:p>
        </w:tc>
      </w:tr>
    </w:tbl>
    <w:p>
      <w:pPr>
        <w:pStyle w:val="BodyText"/>
      </w:pPr>
      <w:r>
        <w:rPr>
          <w:bCs/>
          <w:b/>
        </w:rPr>
        <w:t xml:space="preserve">Autres groupes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 / NCT</w:t>
            </w:r>
          </w:p>
        </w:tc>
        <w:tc>
          <w:tcPr/>
          <w:p>
            <w:pPr>
              <w:pStyle w:val="Compact"/>
              <w:jc w:val="left"/>
            </w:pPr>
            <w:r>
              <w:t xml:space="preserve">Substance</w:t>
            </w:r>
          </w:p>
        </w:tc>
        <w:tc>
          <w:tcPr/>
          <w:p>
            <w:pPr>
              <w:pStyle w:val="Compact"/>
              <w:jc w:val="left"/>
            </w:pPr>
            <w:r>
              <w:t xml:space="preserve">Question</w:t>
            </w:r>
          </w:p>
        </w:tc>
        <w:tc>
          <w:tcPr/>
          <w:p>
            <w:pPr>
              <w:pStyle w:val="Compact"/>
              <w:jc w:val="left"/>
            </w:pPr>
            <w:r>
              <w:t xml:space="preserve">Fin prévue</w:t>
            </w:r>
          </w:p>
        </w:tc>
      </w:tr>
      <w:tr>
        <w:tc>
          <w:tcPr/>
          <w:p>
            <w:pPr>
              <w:pStyle w:val="Compact"/>
              <w:jc w:val="left"/>
            </w:pPr>
            <w:r>
              <w:t xml:space="preserve">SEER-2, NCT05555589</w:t>
            </w:r>
          </w:p>
        </w:tc>
        <w:tc>
          <w:tcPr/>
          <w:p>
            <w:pPr>
              <w:pStyle w:val="Compact"/>
              <w:jc w:val="left"/>
            </w:pPr>
            <w:r>
              <w:t xml:space="preserve">Thymosine bêta 4 (collyre)</w:t>
            </w:r>
          </w:p>
        </w:tc>
        <w:tc>
          <w:tcPr/>
          <w:p>
            <w:pPr>
              <w:pStyle w:val="Compact"/>
              <w:jc w:val="left"/>
            </w:pPr>
            <w:r>
              <w:t xml:space="preserve">cicatrisation de la cornée, 70 participants</w:t>
            </w:r>
          </w:p>
        </w:tc>
        <w:tc>
          <w:tcPr/>
          <w:p>
            <w:pPr>
              <w:pStyle w:val="Compact"/>
              <w:jc w:val="left"/>
            </w:pPr>
            <w:r>
              <w:t xml:space="preserve">mai 2026 (résultat attendu)</w:t>
            </w:r>
          </w:p>
        </w:tc>
      </w:tr>
      <w:tr>
        <w:tc>
          <w:tcPr/>
          <w:p>
            <w:pPr>
              <w:pStyle w:val="Compact"/>
              <w:jc w:val="left"/>
            </w:pPr>
            <w:r>
              <w:t xml:space="preserve">NCT06109649</w:t>
            </w:r>
          </w:p>
        </w:tc>
        <w:tc>
          <w:tcPr/>
          <w:p>
            <w:pPr>
              <w:pStyle w:val="Compact"/>
              <w:jc w:val="left"/>
            </w:pPr>
            <w:r>
              <w:t xml:space="preserve">Afamélanotide</w:t>
            </w:r>
          </w:p>
        </w:tc>
        <w:tc>
          <w:tcPr/>
          <w:p>
            <w:pPr>
              <w:pStyle w:val="Compact"/>
              <w:jc w:val="left"/>
            </w:pPr>
            <w:r>
              <w:t xml:space="preserve">vitiligo avec photothérapie, 200 participants</w:t>
            </w:r>
          </w:p>
        </w:tc>
        <w:tc>
          <w:tcPr/>
          <w:p>
            <w:pPr>
              <w:pStyle w:val="Compact"/>
              <w:jc w:val="left"/>
            </w:pPr>
            <w:r>
              <w:t xml:space="preserve">juin 2026 (résultat attendu)</w:t>
            </w:r>
          </w:p>
        </w:tc>
      </w:tr>
      <w:tr>
        <w:tc>
          <w:tcPr/>
          <w:p>
            <w:pPr>
              <w:pStyle w:val="Compact"/>
              <w:jc w:val="left"/>
            </w:pPr>
            <w:r>
              <w:t xml:space="preserve">NCT05086614</w:t>
            </w:r>
          </w:p>
        </w:tc>
        <w:tc>
          <w:tcPr/>
          <w:p>
            <w:pPr>
              <w:pStyle w:val="Compact"/>
              <w:jc w:val="left"/>
            </w:pPr>
            <w:r>
              <w:t xml:space="preserve">Thymosine alpha 1</w:t>
            </w:r>
          </w:p>
        </w:tc>
        <w:tc>
          <w:tcPr/>
          <w:p>
            <w:pPr>
              <w:pStyle w:val="Compact"/>
              <w:jc w:val="left"/>
            </w:pPr>
            <w:r>
              <w:t xml:space="preserve">survie sans maladie après un cancer colorectal, 2 500 participants</w:t>
            </w:r>
          </w:p>
        </w:tc>
        <w:tc>
          <w:tcPr/>
          <w:p>
            <w:pPr>
              <w:pStyle w:val="Compact"/>
              <w:jc w:val="left"/>
            </w:pPr>
            <w:r>
              <w:t xml:space="preserve">mars 2027</w:t>
            </w:r>
          </w:p>
        </w:tc>
      </w:tr>
      <w:tr>
        <w:tc>
          <w:tcPr/>
          <w:p>
            <w:pPr>
              <w:pStyle w:val="Compact"/>
              <w:jc w:val="left"/>
            </w:pPr>
            <w:r>
              <w:t xml:space="preserve">ReNEW, NCT06373731</w:t>
            </w:r>
          </w:p>
        </w:tc>
        <w:tc>
          <w:tcPr/>
          <w:p>
            <w:pPr>
              <w:pStyle w:val="Compact"/>
              <w:jc w:val="left"/>
            </w:pPr>
            <w:r>
              <w:t xml:space="preserve">Élamipretide (SS-31)</w:t>
            </w:r>
          </w:p>
        </w:tc>
        <w:tc>
          <w:tcPr/>
          <w:p>
            <w:pPr>
              <w:pStyle w:val="Compact"/>
              <w:jc w:val="left"/>
            </w:pPr>
            <w:r>
              <w:t xml:space="preserve">dégénérescence maculaire sèche, 313 participants</w:t>
            </w:r>
          </w:p>
        </w:tc>
        <w:tc>
          <w:tcPr/>
          <w:p>
            <w:pPr>
              <w:pStyle w:val="Compact"/>
              <w:jc w:val="left"/>
            </w:pPr>
            <w:r>
              <w:t xml:space="preserve">septembre 2027</w:t>
            </w:r>
          </w:p>
        </w:tc>
      </w:tr>
      <w:tr>
        <w:tc>
          <w:tcPr/>
          <w:p>
            <w:pPr>
              <w:pStyle w:val="Compact"/>
              <w:jc w:val="left"/>
            </w:pPr>
            <w:r>
              <w:t xml:space="preserve">NCT06948214</w:t>
            </w:r>
          </w:p>
        </w:tc>
        <w:tc>
          <w:tcPr/>
          <w:p>
            <w:pPr>
              <w:pStyle w:val="Compact"/>
              <w:jc w:val="left"/>
            </w:pPr>
            <w:r>
              <w:t xml:space="preserve">Ibutamorène (LUM-201, pas un peptide)</w:t>
            </w:r>
          </w:p>
        </w:tc>
        <w:tc>
          <w:tcPr/>
          <w:p>
            <w:pPr>
              <w:pStyle w:val="Compact"/>
              <w:jc w:val="left"/>
            </w:pPr>
            <w:r>
              <w:t xml:space="preserve">croissance chez des enfants présentant un déficit hormonal, 150 participants</w:t>
            </w:r>
          </w:p>
        </w:tc>
        <w:tc>
          <w:tcPr/>
          <w:p>
            <w:pPr>
              <w:pStyle w:val="Compact"/>
              <w:jc w:val="left"/>
            </w:pPr>
            <w:r>
              <w:t xml:space="preserve">janvier 2028</w:t>
            </w:r>
          </w:p>
        </w:tc>
      </w:tr>
    </w:tbl>
    <w:p>
      <w:pPr>
        <w:pStyle w:val="BodyText"/>
      </w:pPr>
      <w:r>
        <w:t xml:space="preserve">Les détails de chaque étude figurent dans la section « Études en cours et perspectives » du chapitre correspondant.</w:t>
      </w:r>
    </w:p>
    <w:bookmarkEnd w:id="2836"/>
    <w:bookmarkStart w:id="2846" w:name="X11b4f05cfef6c4c141b6ad8282c53c859e9a13c"/>
    <w:p>
      <w:pPr>
        <w:pStyle w:val="Heading3"/>
      </w:pPr>
      <w:r>
        <w:t xml:space="preserve">Ce que le registre révèle de l’orientation</w:t>
      </w:r>
    </w:p>
    <w:p>
      <w:pPr>
        <w:pStyle w:val="FirstParagraph"/>
      </w:pPr>
      <w:r>
        <w:rPr>
          <w:bCs/>
          <w:b/>
        </w:rPr>
        <w:t xml:space="preserve">De la balance aux critères cliniques forts.</w:t>
      </w:r>
      <w:r>
        <w:t xml:space="preserve"> </w:t>
      </w:r>
      <w:r>
        <w:t xml:space="preserve">La première génération d’études sur l’amaigrissement mesurait surtout des kilogrammes. Les grandes études des prochaines années se demandent si les infarctus, les AVC, l’insuffisance cardiaque, l’insuffisance rénale ou la cirrhose deviennent plus rares. Les six études de phase 3 en cours du groupe A comptant chacune plus de 5 000 participants sont toutes de telles études de critères cliniques. Pour les caisses d’assurance maladie qui décident du remboursement, ces résultats importent davantage que tout record de perte de poids.</w:t>
      </w:r>
    </w:p>
    <w:p>
      <w:pPr>
        <w:pStyle w:val="BodyText"/>
      </w:pPr>
      <w:r>
        <w:rPr>
          <w:bCs/>
          <w:b/>
        </w:rPr>
        <w:t xml:space="preserve">Comparaisons directes.</w:t>
      </w:r>
      <w:r>
        <w:t xml:space="preserve"> </w:t>
      </w:r>
      <w:r>
        <w:t xml:space="preserve">Les nouvelles substances doivent de plus en plus se mesurer aux substances établies, et pas seulement au placebo : rétatrutide contre tirzépatide</w:t>
      </w:r>
      <w:r>
        <w:rPr>
          <w:rStyle w:val="FootnoteReference"/>
        </w:rPr>
        <w:footnoteReference w:id="2837"/>
      </w:r>
      <w:r>
        <w:t xml:space="preserve">, zénagamtide contre sémaglutide (AMAZE 7, NCT07668414), maridebart cafraglutide contre sémaglutide dans le diabète de type 2 (MARITIME-T2D-3, NCT07866066). De nouveaux acteurs entrent aussi directement en lice : Roche teste le double agoniste GLP-1/GIP énicépatide contre le tirzépatide</w:t>
      </w:r>
      <w:r>
        <w:rPr>
          <w:rStyle w:val="FootnoteReference"/>
        </w:rPr>
        <w:footnoteReference w:id="2838"/>
      </w:r>
      <w:r>
        <w:t xml:space="preserve">, l’entreprise Kailera la substance ribupatide contre le sémaglutide (KaiNETIC-3, NCT07284979), AstraZeneca la substance à prise quotidienne élécoglipron contre le sémaglutide en comprimé (Eluminate-2, NCT07662213).</w:t>
      </w:r>
    </w:p>
    <w:p>
      <w:pPr>
        <w:pStyle w:val="BodyText"/>
      </w:pPr>
      <w:r>
        <w:rPr>
          <w:bCs/>
          <w:b/>
        </w:rPr>
        <w:t xml:space="preserve">Maintenir le poids et pas seulement le perdre.</w:t>
      </w:r>
      <w:r>
        <w:t xml:space="preserve"> </w:t>
      </w:r>
      <w:r>
        <w:t xml:space="preserve">Plusieurs études examinent expressément la période qui suit l’amaigrissement : le rétatrutide pour le maintien du poids (TRIUMPH-6, NCT06859268), une étude à long terme de CagriSema sur deux ans plus une prolongation</w:t>
      </w:r>
      <w:r>
        <w:rPr>
          <w:rStyle w:val="FootnoteReference"/>
        </w:rPr>
        <w:footnoteReference w:id="2839"/>
      </w:r>
      <w:r>
        <w:t xml:space="preserve">, le passage d’autres médicaments GLP-1 au maridebart cafraglutide administré une fois par mois</w:t>
      </w:r>
      <w:r>
        <w:rPr>
          <w:rStyle w:val="FootnoteReference"/>
        </w:rPr>
        <w:footnoteReference w:id="2840"/>
      </w:r>
      <w:r>
        <w:t xml:space="preserve"> </w:t>
      </w:r>
      <w:r>
        <w:t xml:space="preserve">ou au bérobénatide, une substance expérimentale de Pfizer à injecter une fois par mois</w:t>
      </w:r>
      <w:r>
        <w:rPr>
          <w:rStyle w:val="FootnoteReference"/>
        </w:rPr>
        <w:footnoteReference w:id="2841"/>
      </w:r>
      <w:r>
        <w:t xml:space="preserve">. Le contexte, ce sont des études comme SURMOUNT-4 : les personnes qui ont arrêté le tirzépatide après 36 semaines ont repris en moyenne 14,0 % au cours de l’année suivante, tandis que le poids a encore baissé de 5,5 % sous traitement poursuivi</w:t>
      </w:r>
      <w:r>
        <w:rPr>
          <w:rStyle w:val="FootnoteReference"/>
        </w:rPr>
        <w:footnoteReference w:id="2842"/>
      </w:r>
      <w:r>
        <w:t xml:space="preserve">.</w:t>
      </w:r>
    </w:p>
    <w:p>
      <w:pPr>
        <w:pStyle w:val="BodyText"/>
      </w:pPr>
      <w:r>
        <w:rPr>
          <w:bCs/>
          <w:b/>
        </w:rPr>
        <w:t xml:space="preserve">Nouveaux pays, nouvelles molécules.</w:t>
      </w:r>
      <w:r>
        <w:t xml:space="preserve"> </w:t>
      </w:r>
      <w:r>
        <w:t xml:space="preserve">Une grande partie des nouvelles études de phase 3 émane d’entreprises chinoises qui testent leurs propres substances à base de GLP-1 contre le sémaglutide ou le dulaglutide – par exemple le bofanglutide, injecté toutes les deux semaines (BALANCE-OBS, NCT07622810), ou la protéine de fusion d’exendine-4 JY09</w:t>
      </w:r>
      <w:r>
        <w:rPr>
          <w:rStyle w:val="FootnoteReference"/>
        </w:rPr>
        <w:footnoteReference w:id="2843"/>
      </w:r>
      <w:r>
        <w:t xml:space="preserve">. Le marché s’élargit donc, il ne fait pas que gagner en puissance.</w:t>
      </w:r>
    </w:p>
    <w:p>
      <w:pPr>
        <w:pStyle w:val="BodyText"/>
      </w:pPr>
      <w:r>
        <w:rPr>
          <w:bCs/>
          <w:b/>
        </w:rPr>
        <w:t xml:space="preserve">Enfants et adolescents.</w:t>
      </w:r>
      <w:r>
        <w:t xml:space="preserve"> </w:t>
      </w:r>
      <w:r>
        <w:t xml:space="preserve">Pour presque toutes les grandes substances, des études sont en cours chez les adolescents, parfois aussi chez les enfants, par exemple pour le tirzépatide</w:t>
      </w:r>
      <w:r>
        <w:rPr>
          <w:rStyle w:val="FootnoteReference"/>
        </w:rPr>
        <w:footnoteReference w:id="2844"/>
      </w:r>
      <w:r>
        <w:t xml:space="preserve">, l’orforglipron</w:t>
      </w:r>
      <w:r>
        <w:rPr>
          <w:rStyle w:val="FootnoteReference"/>
        </w:rPr>
        <w:footnoteReference w:id="2845"/>
      </w:r>
      <w:r>
        <w:t xml:space="preserve"> </w:t>
      </w:r>
      <w:r>
        <w:t xml:space="preserve">et CagriSema (NCT07253285, fin prévue en 2033).</w:t>
      </w:r>
    </w:p>
    <w:p>
      <w:pPr>
        <w:pStyle w:val="BodyText"/>
      </w:pPr>
      <w:r>
        <w:rPr>
          <w:bCs/>
          <w:b/>
        </w:rPr>
        <w:t xml:space="preserve">Et en dehors du métabolisme ?</w:t>
      </w:r>
      <w:r>
        <w:t xml:space="preserve"> </w:t>
      </w:r>
      <w:r>
        <w:t xml:space="preserve">Ici, le pipeline est maigre. Lorsqu’un peptide n’est pas brevetable, est déjà vendu comme complément alimentaire ou n’existe que sur le marché gris, presque personne ne finance de coûteuses études d’autorisation. Cela explique pourquoi les peptides les plus discutés sur Internet sont justement pratiquement absents des registres.</w:t>
      </w:r>
    </w:p>
    <w:bookmarkEnd w:id="2846"/>
    <w:bookmarkStart w:id="2864" w:name="nouveaux-principes-daction"/>
    <w:p>
      <w:pPr>
        <w:pStyle w:val="Heading3"/>
      </w:pPr>
      <w:r>
        <w:t xml:space="preserve">Nouveaux principes d’action</w:t>
      </w:r>
    </w:p>
    <w:bookmarkStart w:id="2850" w:name="triples-agonistes"/>
    <w:p>
      <w:pPr>
        <w:pStyle w:val="Heading4"/>
      </w:pPr>
      <w:r>
        <w:t xml:space="preserve">Triples agonistes</w:t>
      </w:r>
    </w:p>
    <w:p>
      <w:pPr>
        <w:pStyle w:val="FirstParagraph"/>
      </w:pPr>
      <w:r>
        <w:t xml:space="preserve">Le rétatrutide active trois récepteurs à la fois : GLP-1, GIP et glucagon. La composante glucagon est censée augmenter la dépense énergétique et la dégradation des graisses dans le foie. Dans l’étude de phase 2 portant sur 338 adultes, le poids a diminué de 24,2 % après 48 semaines à la dose la plus élevée étudiée, contre 2,1 % sous placebo</w:t>
      </w:r>
      <w:r>
        <w:rPr>
          <w:rStyle w:val="FootnoteReference"/>
        </w:rPr>
        <w:footnoteReference w:id="2847"/>
      </w:r>
      <w:r>
        <w:t xml:space="preserve">. La première étude de phase 3, TRIUMPH-1, portant sur 2 339 adultes, l’a confirmé : après 80 semaines, la perte de poids était selon la dose de 17,6 à 25,0 %, contre 3,9 % sous placebo. Chez les participants atteints d’arthrose du genou, les douleurs ont diminué, et chez ceux atteints d’apnée du sommeil, le nombre d’apnées a baissé</w:t>
      </w:r>
      <w:r>
        <w:rPr>
          <w:rStyle w:val="FootnoteReference"/>
        </w:rPr>
        <w:footnoteReference w:id="2848"/>
      </w:r>
      <w:r>
        <w:t xml:space="preserve">. TRIUMPH-Outcomes doit montrer d’ici 2029 si cette perte de poids supplémentaire entraîne aussi moins d’événements cardiaques et rénaux</w:t>
      </w:r>
      <w:r>
        <w:rPr>
          <w:rStyle w:val="FootnoteReference"/>
        </w:rPr>
        <w:footnoteReference w:id="2849"/>
      </w:r>
      <w:r>
        <w:t xml:space="preserve">. Les détails et les effets indésirables sont décrits au chapitre Rétatrutide.</w:t>
      </w:r>
    </w:p>
    <w:bookmarkEnd w:id="2850"/>
    <w:bookmarkStart w:id="2855" w:name="lamyline-la-quatrième-voie-hormonale"/>
    <w:p>
      <w:pPr>
        <w:pStyle w:val="Heading4"/>
      </w:pPr>
      <w:r>
        <w:t xml:space="preserve">L’amyline : la quatrième voie hormonale</w:t>
      </w:r>
    </w:p>
    <w:p>
      <w:pPr>
        <w:pStyle w:val="FirstParagraph"/>
      </w:pPr>
      <w:r>
        <w:t xml:space="preserve">L’amyline est sécrétée en même temps que l’insuline et a un effet rassasiant au niveau du tronc cérébral. Il faut distinguer trois lignes de développement :</w:t>
      </w:r>
    </w:p>
    <w:p>
      <w:pPr>
        <w:numPr>
          <w:ilvl w:val="0"/>
          <w:numId w:val="1355"/>
        </w:numPr>
        <w:pStyle w:val="Compact"/>
      </w:pPr>
      <w:r>
        <w:rPr>
          <w:bCs/>
          <w:b/>
        </w:rPr>
        <w:t xml:space="preserve">Association dans une seule injection :</w:t>
      </w:r>
      <w:r>
        <w:t xml:space="preserve"> </w:t>
      </w:r>
      <w:r>
        <w:t xml:space="preserve">CagriSema associe l’analogue de l’amyline cagrilintide au sémaglutide. Dans REDEFINE 1, portant sur 3 417 adultes, le poids a diminué de 20,4 % après 68 semaines, contre 3,0 % sous placebo ; des troubles gastro-intestinaux sont survenus chez 79,6 % contre 39,9 % des participants</w:t>
      </w:r>
      <w:r>
        <w:rPr>
          <w:rStyle w:val="FootnoteReference"/>
        </w:rPr>
        <w:footnoteReference w:id="2851"/>
      </w:r>
      <w:r>
        <w:t xml:space="preserve">.</w:t>
      </w:r>
    </w:p>
    <w:p>
      <w:pPr>
        <w:numPr>
          <w:ilvl w:val="0"/>
          <w:numId w:val="1355"/>
        </w:numPr>
        <w:pStyle w:val="Compact"/>
      </w:pPr>
      <w:r>
        <w:rPr>
          <w:bCs/>
          <w:b/>
        </w:rPr>
        <w:t xml:space="preserve">Une molécule pour deux récepteurs :</w:t>
      </w:r>
      <w:r>
        <w:t xml:space="preserve"> </w:t>
      </w:r>
      <w:r>
        <w:t xml:space="preserve">l’amycrétine, appelée zénagamtide depuis 2026, active simultanément les récepteurs du GLP-1 et de l’amyline. Dans une petite étude de phase 1b/2a portant sur 125 participants, le poids a diminué de 24,3 % après 36 semaines au palier de dose le plus élevé</w:t>
      </w:r>
      <w:r>
        <w:rPr>
          <w:rStyle w:val="FootnoteReference"/>
        </w:rPr>
        <w:footnoteReference w:id="2852"/>
      </w:r>
      <w:r>
        <w:t xml:space="preserve">. Le programme de phase 3 AMAZE est en cours depuis 2026.</w:t>
      </w:r>
    </w:p>
    <w:p>
      <w:pPr>
        <w:numPr>
          <w:ilvl w:val="0"/>
          <w:numId w:val="1355"/>
        </w:numPr>
        <w:pStyle w:val="Compact"/>
      </w:pPr>
      <w:r>
        <w:rPr>
          <w:bCs/>
          <w:b/>
        </w:rPr>
        <w:t xml:space="preserve">L’amyline seule :</w:t>
      </w:r>
      <w:r>
        <w:t xml:space="preserve"> </w:t>
      </w:r>
      <w:r>
        <w:t xml:space="preserve">l’espoir est ici une meilleure tolérance. L’éloralintide, un agoniste sélectif du récepteur de l’amyline de Lilly, a entraîné dans une étude de phase 2 portant sur 263 adultes une perte de poids de 9 à 20 % après 48 semaines, contre 0,4 % sous placebo ; les nausées et la fatigue étaient, selon la dose, nettement plus fréquentes que sous placebo</w:t>
      </w:r>
      <w:r>
        <w:rPr>
          <w:rStyle w:val="FootnoteReference"/>
        </w:rPr>
        <w:footnoteReference w:id="2853"/>
      </w:r>
      <w:r>
        <w:t xml:space="preserve">. Le pétrélintide de Zealand Pharma a réduit le poids de 7,9 à 9,8 % après 28 semaines dans l’étude de phase 2 ZUPREME 1 portant sur 493 participants (placebo 1,7 %). Des nausées sont survenues chez 20 % contre 6 % des participants, mais les vomissements n’étaient pas plus fréquents que sous placebo</w:t>
      </w:r>
      <w:r>
        <w:rPr>
          <w:rStyle w:val="FootnoteReference"/>
        </w:rPr>
        <w:footnoteReference w:id="2854"/>
      </w:r>
      <w:r>
        <w:t xml:space="preserve">.</w:t>
      </w:r>
    </w:p>
    <w:p>
      <w:pPr>
        <w:pStyle w:val="FirstParagraph"/>
      </w:pPr>
      <w:r>
        <w:t xml:space="preserve">Les deux substances à base d’amyline seule sont désormais en phase 3 : l’éloralintide dans ENLIGHTEN-1, avec 1 980 participants prévus (NCT07321886, fin en juillet 2030), le pétrélintide dans ZUPREME-3, avec 3 900 participants prévus, sous la direction de Roche (NCT07843498, fin en mars 2029). Lilly teste en outre une association d’éloralintide et de tirzépatide (AMPLIFY-1, NCT07881432, 2 115 participants prévus).</w:t>
      </w:r>
    </w:p>
    <w:bookmarkEnd w:id="2855"/>
    <w:bookmarkStart w:id="2858" w:name="conjugués-anticorps-peptide"/>
    <w:p>
      <w:pPr>
        <w:pStyle w:val="Heading4"/>
      </w:pPr>
      <w:r>
        <w:t xml:space="preserve">Conjugués anticorps-peptide</w:t>
      </w:r>
    </w:p>
    <w:p>
      <w:pPr>
        <w:pStyle w:val="FirstParagraph"/>
      </w:pPr>
      <w:r>
        <w:t xml:space="preserve">Les peptides sont rapidement dégradés dans l’organisme et éliminés par les reins. Une solution consiste à les coupler à un anticorps qui reste des semaines dans le sang. Une revue décrit ces conjugués anticorps-peptide comme une nouvelle classe de substances à part entière : contrairement aux protéines de fusion, le peptide est fabriqué chimiquement et n’est lié à l’anticorps qu’ensuite, de sorte qu’il peut aussi contenir des éléments constitutifs inhabituels</w:t>
      </w:r>
      <w:r>
        <w:rPr>
          <w:rStyle w:val="FootnoteReference"/>
        </w:rPr>
        <w:footnoteReference w:id="2856"/>
      </w:r>
      <w:r>
        <w:t xml:space="preserve">.</w:t>
      </w:r>
    </w:p>
    <w:p>
      <w:pPr>
        <w:pStyle w:val="BodyText"/>
      </w:pPr>
      <w:r>
        <w:t xml:space="preserve">L’exemple le plus connu est le maridebart cafraglutide (MariTide). Il associe un anticorps qui bloque le récepteur du GIP à des peptides de type GLP-1 qui activent le récepteur du GLP-1. Dans l’étude de phase 2 portant sur 592 participants, il était injecté toutes les quatre ou huit semaines. Après 52 semaines, la perte de poids était de 12,3 à 16,2 % sans diabète (placebo 2,5 %) et de 8,4 à 12,3 % avec un diabète de type 2 (placebo 1,7 %). Les troubles gastro-intestinaux étaient fréquents, mais plus rares lorsque la dose était augmentée lentement</w:t>
      </w:r>
      <w:r>
        <w:rPr>
          <w:rStyle w:val="FootnoteReference"/>
        </w:rPr>
        <w:footnoteReference w:id="2857"/>
      </w:r>
      <w:r>
        <w:t xml:space="preserve">. Le concept : moins d’injections plutôt qu’un effet maximal.</w:t>
      </w:r>
    </w:p>
    <w:bookmarkEnd w:id="2858"/>
    <w:bookmarkStart w:id="2862" w:name="X06c8d13d673eedd48ff7af84dcdcb5adc459001"/>
    <w:p>
      <w:pPr>
        <w:pStyle w:val="Heading4"/>
      </w:pPr>
      <w:r>
        <w:t xml:space="preserve">Préserver les muscles pendant l’amaigrissement</w:t>
      </w:r>
    </w:p>
    <w:p>
      <w:pPr>
        <w:pStyle w:val="FirstParagraph"/>
      </w:pPr>
      <w:r>
        <w:t xml:space="preserve">Lors de toute perte de poids importante, on perd aussi de la masse musculaire et osseuse. Une approche est l’anticorps</w:t>
      </w:r>
      <w:r>
        <w:t xml:space="preserve"> </w:t>
      </w:r>
      <w:r>
        <w:rPr>
          <w:bCs/>
          <w:b/>
        </w:rPr>
        <w:t xml:space="preserve">bimagrumab</w:t>
      </w:r>
      <w:r>
        <w:t xml:space="preserve">, qui bloque les récepteurs de l’activine de type II – des interrupteurs qui freinent la croissance musculaire. Le bimagrumab n’est pas un peptide, mais il est associé de manière ciblée à des médicaments peptidiques.</w:t>
      </w:r>
    </w:p>
    <w:p>
      <w:pPr>
        <w:numPr>
          <w:ilvl w:val="0"/>
          <w:numId w:val="1356"/>
        </w:numPr>
        <w:pStyle w:val="Compact"/>
      </w:pPr>
      <w:r>
        <w:t xml:space="preserve">Dans une étude de phase 2 portant sur 75 adultes atteints de diabète de type 2 et en surpoids, la masse grasse a diminué de 20,5 % après 48 semaines sous bimagrumab seul, tandis que la masse maigre a augmenté de 3,6 % (placebo −0,5 % et −0,8 %)</w:t>
      </w:r>
      <w:r>
        <w:rPr>
          <w:rStyle w:val="FootnoteReference"/>
        </w:rPr>
        <w:footnoteReference w:id="2859"/>
      </w:r>
      <w:r>
        <w:t xml:space="preserve">.</w:t>
      </w:r>
    </w:p>
    <w:p>
      <w:pPr>
        <w:numPr>
          <w:ilvl w:val="0"/>
          <w:numId w:val="1356"/>
        </w:numPr>
        <w:pStyle w:val="Compact"/>
      </w:pPr>
      <w:r>
        <w:t xml:space="preserve">Dans une étude de phase 2 portant sur 507 adultes obèses, la perte de poids après 48 semaines était de 9,3 kg sous bimagrumab seul, de 14,2 kg sous sémaglutide seul et de 17,8 kg sous l’association (placebo 3,3 kg). Les effets indésirables fréquents du bimagrumab étaient des crampes musculaires, une diarrhée et de l’acné</w:t>
      </w:r>
      <w:r>
        <w:rPr>
          <w:rStyle w:val="FootnoteReference"/>
        </w:rPr>
        <w:footnoteReference w:id="2860"/>
      </w:r>
      <w:r>
        <w:t xml:space="preserve">.</w:t>
      </w:r>
    </w:p>
    <w:p>
      <w:pPr>
        <w:pStyle w:val="FirstParagraph"/>
      </w:pPr>
      <w:r>
        <w:t xml:space="preserve">Lilly teste désormais le bimagrumab avec le tirzépatide (NCT06643728, 252 participants, fin en janvier 2027). Une étude plus petite au Massachusetts General Hospital examine la même association sous l’angle de la composition corporelle et des os</w:t>
      </w:r>
      <w:r>
        <w:rPr>
          <w:rStyle w:val="FootnoteReference"/>
        </w:rPr>
        <w:footnoteReference w:id="2861"/>
      </w:r>
      <w:r>
        <w:t xml:space="preserve">. Il n’est pas démontré à ce jour qu’une masse musculaire accrue à l’examen d’imagerie signifie aussi plus de force, moins de chutes ou moins de fractures. Aucune étude de phase 3 n’est inscrite au registre.</w:t>
      </w:r>
    </w:p>
    <w:bookmarkEnd w:id="2862"/>
    <w:bookmarkStart w:id="2863" w:name="comprimés"/>
    <w:p>
      <w:pPr>
        <w:pStyle w:val="Heading4"/>
      </w:pPr>
      <w:r>
        <w:t xml:space="preserve">Comprimés</w:t>
      </w:r>
    </w:p>
    <w:p>
      <w:pPr>
        <w:pStyle w:val="FirstParagraph"/>
      </w:pPr>
      <w:r>
        <w:t xml:space="preserve">Le changement le plus lourd de conséquences ne concerne peut-être pas le récepteur, mais la voie d’entrée dans l’organisme : des comprimés contenant des peptides et de petites molécules qui agissent comme des peptides. Le chapitre suivant est consacré à ce thème.</w:t>
      </w:r>
    </w:p>
    <w:bookmarkEnd w:id="2863"/>
    <w:bookmarkEnd w:id="2864"/>
    <w:bookmarkStart w:id="2865" w:name="lessentiel-en-bref-8"/>
    <w:p>
      <w:pPr>
        <w:pStyle w:val="Heading3"/>
      </w:pPr>
      <w:r>
        <w:t xml:space="preserve">L’essentiel en bref</w:t>
      </w:r>
    </w:p>
    <w:p>
      <w:pPr>
        <w:numPr>
          <w:ilvl w:val="0"/>
          <w:numId w:val="1357"/>
        </w:numPr>
        <w:pStyle w:val="Compact"/>
      </w:pPr>
      <w:r>
        <w:t xml:space="preserve">Après exclusion des inscriptions fictives et sans rapport avec le sujet, 730 études interventionnelles sont en cours sur les substances de ce livre, dont 157 en phase 3.</w:t>
      </w:r>
    </w:p>
    <w:p>
      <w:pPr>
        <w:numPr>
          <w:ilvl w:val="0"/>
          <w:numId w:val="1357"/>
        </w:numPr>
        <w:pStyle w:val="Compact"/>
      </w:pPr>
      <w:r>
        <w:t xml:space="preserve">Près de neuf études avancées sur dix concernent le métabolisme et le poids. Pour les peptides populaires du marché gris, aucune étude de phase 3 n’est en cours.</w:t>
      </w:r>
    </w:p>
    <w:p>
      <w:pPr>
        <w:numPr>
          <w:ilvl w:val="0"/>
          <w:numId w:val="1357"/>
        </w:numPr>
        <w:pStyle w:val="Compact"/>
      </w:pPr>
      <w:r>
        <w:t xml:space="preserve">Les grandes études cardiovasculaires, rénales et hépatiques s’achèveront entre 2027 et 2032. Ce sont elles qui montreront si les nouvelles substances font plus que réduire le poids.</w:t>
      </w:r>
    </w:p>
    <w:p>
      <w:pPr>
        <w:numPr>
          <w:ilvl w:val="0"/>
          <w:numId w:val="1357"/>
        </w:numPr>
        <w:pStyle w:val="Compact"/>
      </w:pPr>
      <w:r>
        <w:t xml:space="preserve">Les nouveaux principes d’action – triples agonistes, amyline, conjugués anticorps-peptide, protection musculaire – sont étayés par des études de phase 2, et la plupart se trouvent en phase 3. Pour aucune de ces nouvelles substances, une autorisation n’est acquise.</w:t>
      </w:r>
    </w:p>
    <w:bookmarkEnd w:id="2865"/>
    <w:bookmarkEnd w:id="2866"/>
    <w:bookmarkStart w:id="2902" w:name="des-comprimés-plutôt-que-des-injections"/>
    <w:p>
      <w:pPr>
        <w:pStyle w:val="Heading2"/>
      </w:pPr>
      <w:r>
        <w:t xml:space="preserve">Des comprimés plutôt que des injections</w:t>
      </w:r>
    </w:p>
    <w:p>
      <w:pPr>
        <w:pStyle w:val="FirstParagraph"/>
      </w:pPr>
      <w:r>
        <w:t xml:space="preserve">Presque tous les médicaments peptidiques de ce livre sont injectés. La raison est simple : le tube digestif est conçu pour décomposer les protéines et les peptides en leurs éléments constitutifs. Ce qui est utile pour l’alimentation rend un peptide inutilisable comme médicament avant même qu’il n’atteigne le sang. La partie I a décrit ces obstacles en détail (chapitre « Comment les peptides pénètrent dans l’organisme »).</w:t>
      </w:r>
    </w:p>
    <w:p>
      <w:pPr>
        <w:pStyle w:val="BodyText"/>
      </w:pPr>
      <w:r>
        <w:t xml:space="preserve">Si l’on fait néanmoins des recherches intensives sur les comprimés, c’est pour plusieurs raisons. Beaucoup de personnes n’aiment pas se faire des injections. Les produits injectables doivent le plus souvent être conservés au froid, et les stylos sont coûteux à fabriquer. Et comme les médicaments contre l’obésité doivent, selon les connaissances actuelles, être pris durablement pour agir, chaque simplification compte pour le traitement au long cours. Une revue indique que des formes orales d’insuline, de calcitonine, de parathormone et de vasopressine ont déjà été testées dans des études cliniques, et que seul le sémaglutide a permis la percée pour une substance utilisée à grande échelle</w:t>
      </w:r>
      <w:r>
        <w:rPr>
          <w:rStyle w:val="FootnoteReference"/>
        </w:rPr>
        <w:footnoteReference w:id="2867"/>
      </w:r>
      <w:r>
        <w:t xml:space="preserve">.</w:t>
      </w:r>
    </w:p>
    <w:p>
      <w:pPr>
        <w:pStyle w:val="BodyText"/>
      </w:pPr>
      <w:r>
        <w:t xml:space="preserve">Il existe aujourd’hui deux voies fondamentalement différentes vers le comprimé : soit on protège un</w:t>
      </w:r>
      <w:r>
        <w:t xml:space="preserve"> </w:t>
      </w:r>
      <w:r>
        <w:rPr>
          <w:bCs/>
          <w:b/>
        </w:rPr>
        <w:t xml:space="preserve">peptide</w:t>
      </w:r>
      <w:r>
        <w:t xml:space="preserve"> </w:t>
      </w:r>
      <w:r>
        <w:t xml:space="preserve">de manière à ce qu’au moins une petite partie soit absorbée – soit on remplace le peptide par une</w:t>
      </w:r>
      <w:r>
        <w:t xml:space="preserve"> </w:t>
      </w:r>
      <w:r>
        <w:rPr>
          <w:bCs/>
          <w:b/>
        </w:rPr>
        <w:t xml:space="preserve">petite molécule</w:t>
      </w:r>
      <w:r>
        <w:t xml:space="preserve"> </w:t>
      </w:r>
      <w:r>
        <w:t xml:space="preserve">qui passe de l’intestin dans le sang comme un médicament ordinaire et agit néanmoins sur le même récepteur.</w:t>
      </w:r>
    </w:p>
    <w:bookmarkStart w:id="2882" w:name="Xe7e16c93d3ecafeaaf7694919deb9ad2f700fa1"/>
    <w:p>
      <w:pPr>
        <w:pStyle w:val="Heading3"/>
      </w:pPr>
      <w:r>
        <w:t xml:space="preserve">Voie 1 : peptide plus promoteur d’absorption</w:t>
      </w:r>
    </w:p>
    <w:bookmarkStart w:id="2869" w:name="le-principe"/>
    <w:p>
      <w:pPr>
        <w:pStyle w:val="Heading4"/>
      </w:pPr>
      <w:r>
        <w:t xml:space="preserve">Le principe</w:t>
      </w:r>
    </w:p>
    <w:p>
      <w:pPr>
        <w:pStyle w:val="FirstParagraph"/>
      </w:pPr>
      <w:r>
        <w:t xml:space="preserve">Un</w:t>
      </w:r>
      <w:r>
        <w:t xml:space="preserve"> </w:t>
      </w:r>
      <w:r>
        <w:rPr>
          <w:bCs/>
          <w:b/>
        </w:rPr>
        <w:t xml:space="preserve">promoteur d’absorption</w:t>
      </w:r>
      <w:r>
        <w:t xml:space="preserve"> </w:t>
      </w:r>
      <w:r>
        <w:t xml:space="preserve">(terme technique : promoteur de perméation) est un excipient qui rend la muqueuse temporairement plus perméable ou protège le peptide contre la dégradation. Pour le comprimé de sémaglutide, il s’agit de l’excipient</w:t>
      </w:r>
      <w:r>
        <w:t xml:space="preserve"> </w:t>
      </w:r>
      <w:r>
        <w:rPr>
          <w:bCs/>
          <w:b/>
        </w:rPr>
        <w:t xml:space="preserve">SNAC</w:t>
      </w:r>
      <w:r>
        <w:t xml:space="preserve">. Il élève le pH dans l’environnement immédiat du comprimé, freine l’activation de l’enzyme digestive pepsine et fait en sorte que le sémaglutide se présente sous forme de molécules isolées, plus facilement absorbées. Malgré cela, selon une revue, seuls 0,4 à 1 % environ de la substance active passent dans le sang – et uniquement à jeun et avec peu d’eau. Après un repas, le sémaglutide n’est pratiquement pas détectable dans le sang</w:t>
      </w:r>
      <w:r>
        <w:rPr>
          <w:rStyle w:val="FootnoteReference"/>
        </w:rPr>
        <w:footnoteReference w:id="2868"/>
      </w:r>
      <w:r>
        <w:t xml:space="preserve">. Il en découle les règles de prise strictes qui figurent dans le RCP.</w:t>
      </w:r>
    </w:p>
    <w:bookmarkEnd w:id="2869"/>
    <w:bookmarkStart w:id="2871" w:name="le-comprimé-de-sémaglutide-dans-lobésité"/>
    <w:p>
      <w:pPr>
        <w:pStyle w:val="Heading4"/>
      </w:pPr>
      <w:r>
        <w:t xml:space="preserve">Le comprimé de sémaglutide dans l’obésité</w:t>
      </w:r>
    </w:p>
    <w:p>
      <w:pPr>
        <w:pStyle w:val="FirstParagraph"/>
      </w:pPr>
      <w:r>
        <w:t xml:space="preserve">Pour le diabète de type 2, le comprimé de sémaglutide (Rybelsus) est autorisé dans l’UE depuis 2020. Pour l’obésité, des doses plus élevées ont été testées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Étude</w:t>
            </w:r>
          </w:p>
        </w:tc>
        <w:tc>
          <w:tcPr/>
          <w:p>
            <w:pPr>
              <w:pStyle w:val="Compact"/>
              <w:jc w:val="left"/>
            </w:pPr>
            <w:r>
              <w:t xml:space="preserve">Participants et plan</w:t>
            </w:r>
          </w:p>
        </w:tc>
        <w:tc>
          <w:tcPr/>
          <w:p>
            <w:pPr>
              <w:pStyle w:val="Compact"/>
              <w:jc w:val="left"/>
            </w:pPr>
            <w:r>
              <w:t xml:space="preserve">Durée</w:t>
            </w:r>
          </w:p>
        </w:tc>
        <w:tc>
          <w:tcPr/>
          <w:p>
            <w:pPr>
              <w:pStyle w:val="Compact"/>
              <w:jc w:val="left"/>
            </w:pPr>
            <w:r>
              <w:t xml:space="preserve">Résultat</w:t>
            </w:r>
          </w:p>
        </w:tc>
      </w:tr>
      <w:tr>
        <w:tc>
          <w:tcPr/>
          <w:p>
            <w:pPr>
              <w:pStyle w:val="Compact"/>
              <w:jc w:val="left"/>
            </w:pPr>
            <w:r>
              <w:t xml:space="preserve">OASIS 1 (Knop 2023), PMID 37385278</w:t>
            </w:r>
          </w:p>
        </w:tc>
        <w:tc>
          <w:tcPr/>
          <w:p>
            <w:pPr>
              <w:pStyle w:val="Compact"/>
              <w:jc w:val="left"/>
            </w:pPr>
            <w:r>
              <w:t xml:space="preserve">667 adultes sans diabète, comprimé contre placebo</w:t>
            </w:r>
          </w:p>
        </w:tc>
        <w:tc>
          <w:tcPr/>
          <w:p>
            <w:pPr>
              <w:pStyle w:val="Compact"/>
              <w:jc w:val="left"/>
            </w:pPr>
            <w:r>
              <w:t xml:space="preserve">68 semaines</w:t>
            </w:r>
          </w:p>
        </w:tc>
        <w:tc>
          <w:tcPr/>
          <w:p>
            <w:pPr>
              <w:pStyle w:val="Compact"/>
              <w:jc w:val="left"/>
            </w:pPr>
            <w:r>
              <w:t xml:space="preserve">−15,1 % de poids vs −2,4 %</w:t>
            </w:r>
          </w:p>
        </w:tc>
      </w:tr>
      <w:tr>
        <w:tc>
          <w:tcPr/>
          <w:p>
            <w:pPr>
              <w:pStyle w:val="Compact"/>
              <w:jc w:val="left"/>
            </w:pPr>
            <w:r>
              <w:t xml:space="preserve">OASIS 4 (Wharton 2025), PMID 40934115</w:t>
            </w:r>
          </w:p>
        </w:tc>
        <w:tc>
          <w:tcPr/>
          <w:p>
            <w:pPr>
              <w:pStyle w:val="Compact"/>
              <w:jc w:val="left"/>
            </w:pPr>
            <w:r>
              <w:t xml:space="preserve">307 adultes sans diabète, dose de comprimé plus faible contre placebo</w:t>
            </w:r>
          </w:p>
        </w:tc>
        <w:tc>
          <w:tcPr/>
          <w:p>
            <w:pPr>
              <w:pStyle w:val="Compact"/>
              <w:jc w:val="left"/>
            </w:pPr>
            <w:r>
              <w:t xml:space="preserve">64 semaines</w:t>
            </w:r>
          </w:p>
        </w:tc>
        <w:tc>
          <w:tcPr/>
          <w:p>
            <w:pPr>
              <w:pStyle w:val="Compact"/>
              <w:jc w:val="left"/>
            </w:pPr>
            <w:r>
              <w:t xml:space="preserve">−13,6 % vs −2,2 %</w:t>
            </w:r>
          </w:p>
        </w:tc>
      </w:tr>
      <w:tr>
        <w:tc>
          <w:tcPr/>
          <w:p>
            <w:pPr>
              <w:pStyle w:val="Compact"/>
              <w:jc w:val="left"/>
            </w:pPr>
            <w:r>
              <w:t xml:space="preserve">Pour comparaison : STEP 1 (Wilding 2021), PMID 33567185</w:t>
            </w:r>
          </w:p>
        </w:tc>
        <w:tc>
          <w:tcPr/>
          <w:p>
            <w:pPr>
              <w:pStyle w:val="Compact"/>
              <w:jc w:val="left"/>
            </w:pPr>
            <w:r>
              <w:t xml:space="preserve">1 961 adultes sans diabète, injection hebdomadaire contre placebo</w:t>
            </w:r>
          </w:p>
        </w:tc>
        <w:tc>
          <w:tcPr/>
          <w:p>
            <w:pPr>
              <w:pStyle w:val="Compact"/>
              <w:jc w:val="left"/>
            </w:pPr>
            <w:r>
              <w:t xml:space="preserve">68 semaines</w:t>
            </w:r>
          </w:p>
        </w:tc>
        <w:tc>
          <w:tcPr/>
          <w:p>
            <w:pPr>
              <w:pStyle w:val="Compact"/>
              <w:jc w:val="left"/>
            </w:pPr>
            <w:r>
              <w:t xml:space="preserve">−14,9 % vs −2,4 %</w:t>
            </w:r>
          </w:p>
        </w:tc>
      </w:tr>
    </w:tbl>
    <w:p>
      <w:pPr>
        <w:pStyle w:val="BodyText"/>
      </w:pPr>
      <w:r>
        <w:t xml:space="preserve">Dans les deux études sur le comprimé, les troubles gastro-intestinaux étaient fréquents : 80 % contre 46 % sous placebo dans OASIS 1, 74,0 % contre 42,2 % dans OASIS 4. Selon le chapitre Sémaglutide, l’étude OASIS 4 constitue la base du comprimé de Wegovy autorisé aux États-Unis (vérifier le statut d’autorisation actuel). Une autre étude de phase 3 sur le comprimé est en cours (OASIS 5, NCT07770841, fin en avril 2028).</w:t>
      </w:r>
    </w:p>
    <w:p>
      <w:pPr>
        <w:pStyle w:val="BodyText"/>
      </w:pPr>
      <w:r>
        <w:t xml:space="preserve">Les chiffres sont proches de ceux de l’injection. Il manque toutefois une grande comparaison directe entre comprimé et injection dans l’obésité, et les comparaisons croisées entre études ne sont qu’une orientation grossière.</w:t>
      </w:r>
    </w:p>
    <w:p>
      <w:pPr>
        <w:pStyle w:val="BodyText"/>
      </w:pPr>
      <w:r>
        <w:rPr>
          <w:bCs/>
          <w:b/>
        </w:rPr>
        <w:t xml:space="preserve">Un inconvénient rarement mentionné :</w:t>
      </w:r>
      <w:r>
        <w:t xml:space="preserve"> </w:t>
      </w:r>
      <w:r>
        <w:t xml:space="preserve">comme seule une fraction est absorbée, le comprimé nécessite une quantité de substance active bien plus importante. Une estimation des coûts des génériques après l’expiration du brevet a abouti à 28 à 140 dollars américains par personne et par an pour le sémaglutide injecté, et à 186 à 380 dollars américains pour le comprimé</w:t>
      </w:r>
      <w:r>
        <w:rPr>
          <w:rStyle w:val="FootnoteReference"/>
        </w:rPr>
        <w:footnoteReference w:id="2870"/>
      </w:r>
      <w:r>
        <w:t xml:space="preserve">. Le comprimé n’est donc pas automatiquement la solution la moins chère (pour en savoir plus, voir le chapitre « Brevets, génériques et prix »).</w:t>
      </w:r>
    </w:p>
    <w:bookmarkEnd w:id="2871"/>
    <w:bookmarkStart w:id="2873" w:name="critères-cliniques-forts-soul"/>
    <w:p>
      <w:pPr>
        <w:pStyle w:val="Heading4"/>
      </w:pPr>
      <w:r>
        <w:t xml:space="preserve">Critères cliniques forts : SOUL</w:t>
      </w:r>
    </w:p>
    <w:p>
      <w:pPr>
        <w:pStyle w:val="FirstParagraph"/>
      </w:pPr>
      <w:r>
        <w:t xml:space="preserve">Pour le diabète de type 2, le bénéfice du comprimé de sémaglutide au-delà de la glycémie est démontré. Dans SOUL, portant sur 9 650 personnes atteintes de diabète de type 2 et de maladie vasculaire ou rénale, des événements cardiovasculaires graves sont survenus, sur une durée d’observation moyenne d’environ quatre ans, chez 12,0 % des personnes sous comprimé et chez 13,8 % sous placebo (hazard ratio 0,86). Les critères rénaux de confirmation ne différaient pas de manière significative</w:t>
      </w:r>
      <w:r>
        <w:rPr>
          <w:rStyle w:val="FootnoteReference"/>
        </w:rPr>
        <w:footnoteReference w:id="2872"/>
      </w:r>
      <w:r>
        <w:t xml:space="preserve">. Pour les personnes obèses sans diabète, une telle étude avec le comprimé n’existe pas encore.</w:t>
      </w:r>
    </w:p>
    <w:bookmarkEnd w:id="2873"/>
    <w:bookmarkStart w:id="2876" w:name="amyline-et-glp-1-en-comprimé"/>
    <w:p>
      <w:pPr>
        <w:pStyle w:val="Heading4"/>
      </w:pPr>
      <w:r>
        <w:t xml:space="preserve">Amyline et GLP-1 en comprimé</w:t>
      </w:r>
    </w:p>
    <w:p>
      <w:pPr>
        <w:pStyle w:val="FirstParagraph"/>
      </w:pPr>
      <w:r>
        <w:t xml:space="preserve">Novo Nordisk développe aussi l’amycrétine (zénagamtide depuis 2026) sous forme de comprimé. Selon la publication de l’étude, le peptide agit sur les récepteurs du GLP-1, de l’amyline et de la calcitonine. Dans une étude de phase 2 portant sur 186 adultes atteints de diabète de type 2, l’HbA1c a diminué après 36 semaines, dans les trois groupes de dose, de 0,5 à 1,1 point de pourcentage de plus que sous placebo. Des troubles gastro-intestinaux sont survenus selon la dose chez 26 à 47 % des participants (placebo 23 %) ; des événements indésirables graves ont touché 4 % des personnes sous zénagamtide et personne sous placebo</w:t>
      </w:r>
      <w:r>
        <w:rPr>
          <w:rStyle w:val="FootnoteReference"/>
        </w:rPr>
        <w:footnoteReference w:id="2874"/>
      </w:r>
      <w:r>
        <w:t xml:space="preserve">. L’étude de phase 3 AMAZE 9 teste le comprimé dans le surpoids chez 950 participants (NCT07720271, fin en août 2028). Une étude de phase 1 examine expressément comment la quantité d’eau et le moment du repas influencent l’absorption</w:t>
      </w:r>
      <w:r>
        <w:rPr>
          <w:rStyle w:val="FootnoteReference"/>
        </w:rPr>
        <w:footnoteReference w:id="2875"/>
      </w:r>
      <w:r>
        <w:t xml:space="preserve"> </w:t>
      </w:r>
      <w:r>
        <w:t xml:space="preserve">– un indice que ce comprimé sera lui aussi probablement soumis à des règles de prise.</w:t>
      </w:r>
    </w:p>
    <w:bookmarkEnd w:id="2876"/>
    <w:bookmarkStart w:id="2881" w:name="peptides-oraux-en-dehors-du-métabolisme"/>
    <w:p>
      <w:pPr>
        <w:pStyle w:val="Heading4"/>
      </w:pPr>
      <w:r>
        <w:t xml:space="preserve">Peptides oraux en dehors du métabolisme</w:t>
      </w:r>
    </w:p>
    <w:p>
      <w:pPr>
        <w:pStyle w:val="FirstParagraph"/>
      </w:pPr>
      <w:r>
        <w:t xml:space="preserve">La percée ne se limite pas aux médicaments amaigrissants. Deux exemples montrent que les peptides oraux deviennent une classe de médicaments à part entière :</w:t>
      </w:r>
    </w:p>
    <w:p>
      <w:pPr>
        <w:numPr>
          <w:ilvl w:val="0"/>
          <w:numId w:val="1358"/>
        </w:numPr>
        <w:pStyle w:val="Compact"/>
      </w:pPr>
      <w:r>
        <w:rPr>
          <w:bCs/>
          <w:b/>
        </w:rPr>
        <w:t xml:space="preserve">L’enlicitide</w:t>
      </w:r>
      <w:r>
        <w:t xml:space="preserve"> </w:t>
      </w:r>
      <w:r>
        <w:t xml:space="preserve">est un peptide cyclique (macrocyclique) qui inhibe la protéine PCSK9 et abaisse ainsi le cholestérol LDL. Jusqu’à présent, ces inhibiteurs n’existaient que sous forme injectable (anticorps). La substance a été découverte grâce à une méthode qui explore de très grandes bibliothèques de peptides à la recherche de partenaires de liaison adaptés, puis optimisée chimiquement de manière ciblée</w:t>
      </w:r>
      <w:r>
        <w:rPr>
          <w:rStyle w:val="FootnoteReference"/>
        </w:rPr>
        <w:footnoteReference w:id="2877"/>
      </w:r>
      <w:r>
        <w:t xml:space="preserve">. Dans l’étude de phase 3 CORALreef Lipids portant sur 2 909 participants, le cholestérol LDL a diminué de 57,1 % après 24 semaines, alors qu’il a augmenté de 3,0 % sous placebo. Les événements indésirables ont été aussi fréquents dans les deux groupes</w:t>
      </w:r>
      <w:r>
        <w:rPr>
          <w:rStyle w:val="FootnoteReference"/>
        </w:rPr>
        <w:footnoteReference w:id="2878"/>
      </w:r>
      <w:r>
        <w:t xml:space="preserve">. CORALreef Outcomes, portant sur 14 550 participants, doit montrer si cela prévient aussi les infarctus et les AVC (NCT06008756, fin en novembre 2031).</w:t>
      </w:r>
    </w:p>
    <w:p>
      <w:pPr>
        <w:numPr>
          <w:ilvl w:val="0"/>
          <w:numId w:val="1358"/>
        </w:numPr>
        <w:pStyle w:val="Compact"/>
      </w:pPr>
      <w:r>
        <w:rPr>
          <w:bCs/>
          <w:b/>
        </w:rPr>
        <w:t xml:space="preserve">L’icotrokinra</w:t>
      </w:r>
      <w:r>
        <w:t xml:space="preserve"> </w:t>
      </w:r>
      <w:r>
        <w:t xml:space="preserve">est un peptide oral qui bloque le récepteur du messager inflammatoire interleukine-23. Dans l’étude de phase 3 ICONIC-LEAD portant sur 684 adultes et adolescents atteints de psoriasis modéré à sévère, 65 % ont obtenu après 16 semaines une peau (quasi) blanchie, contre 8 % sous placebo ; les événements indésirables étaient aussi fréquents dans les deux groupes (49 %)</w:t>
      </w:r>
      <w:r>
        <w:rPr>
          <w:rStyle w:val="FootnoteReference"/>
        </w:rPr>
        <w:footnoteReference w:id="2879"/>
      </w:r>
      <w:r>
        <w:t xml:space="preserve">. En mars 2026, l’icotrokinra a été autorisé aux États-Unis ; dans l’UE, l’évaluation était en cours (Keam 2026, PMID 42243571 ; vérifier l’état actuel). Le chemin parcouru est remarquable : selon une étude pharmacologique, l’icotrokinra se passe</w:t>
      </w:r>
      <w:r>
        <w:t xml:space="preserve"> </w:t>
      </w:r>
      <w:r>
        <w:rPr>
          <w:bCs/>
          <w:b/>
        </w:rPr>
        <w:t xml:space="preserve">de</w:t>
      </w:r>
      <w:r>
        <w:t xml:space="preserve"> </w:t>
      </w:r>
      <w:r>
        <w:t xml:space="preserve">promoteur d’absorption. En expérimentation animale, seuls 0,1 à 0,3 % passaient dans le sang, et pourtant un effet était mesurable dans tout l’organisme, parce que le peptide est très stable et très puissant</w:t>
      </w:r>
      <w:r>
        <w:rPr>
          <w:rStyle w:val="FootnoteReference"/>
        </w:rPr>
        <w:footnoteReference w:id="2880"/>
      </w:r>
      <w:r>
        <w:t xml:space="preserve">. Des études dans la rectocolite hémorragique sont en cours (ICONIC-UC, NCT07196748).</w:t>
      </w:r>
    </w:p>
    <w:p>
      <w:pPr>
        <w:pStyle w:val="FirstParagraph"/>
      </w:pPr>
      <w:r>
        <w:t xml:space="preserve">Ces deux substances ne sont pas des peptides du marché gris, mais des molécules conçues sur mesure et testées pendant des années dans de grandes études. Elles n’ont rien en commun avec les peptides « oraux » proposés sur Internet.</w:t>
      </w:r>
    </w:p>
    <w:bookmarkEnd w:id="2881"/>
    <w:bookmarkEnd w:id="2882"/>
    <w:bookmarkStart w:id="2891" w:name="X768683c0c5d26fc5d0a5cd7615101f97b864917"/>
    <w:p>
      <w:pPr>
        <w:pStyle w:val="Heading3"/>
      </w:pPr>
      <w:r>
        <w:t xml:space="preserve">Voie 2 : de petites molécules au lieu de peptides</w:t>
      </w:r>
    </w:p>
    <w:bookmarkStart w:id="2888" w:name="orforglipron"/>
    <w:p>
      <w:pPr>
        <w:pStyle w:val="Heading4"/>
      </w:pPr>
      <w:r>
        <w:t xml:space="preserve">Orforglipron</w:t>
      </w:r>
    </w:p>
    <w:p>
      <w:pPr>
        <w:pStyle w:val="FirstParagraph"/>
      </w:pPr>
      <w:r>
        <w:t xml:space="preserve">L’orforglipron n’est pas un peptide, mais une petite molécule fabriquée chimiquement qui active le récepteur du GLP-1 (voir en détail le chapitre Orforglipron dans la partie II · A). Il se prend comme un comprimé ordinaire une fois par jour, selon les études sans tenir compte des repas ni de la quantité d’eau</w:t>
      </w:r>
      <w:r>
        <w:rPr>
          <w:rStyle w:val="FootnoteReference"/>
        </w:rPr>
        <w:footnoteReference w:id="2883"/>
      </w:r>
      <w:r>
        <w:t xml:space="preserve">.</w:t>
      </w:r>
    </w:p>
    <w:p>
      <w:pPr>
        <w:numPr>
          <w:ilvl w:val="0"/>
          <w:numId w:val="1359"/>
        </w:numPr>
        <w:pStyle w:val="Compact"/>
      </w:pPr>
      <w:r>
        <w:rPr>
          <w:bCs/>
          <w:b/>
        </w:rPr>
        <w:t xml:space="preserve">Poids :</w:t>
      </w:r>
      <w:r>
        <w:t xml:space="preserve"> </w:t>
      </w:r>
      <w:r>
        <w:t xml:space="preserve">dans ATTAIN-1, portant sur 3 127 adultes obèses, le poids a diminué de 11,2 % après 72 semaines à la dose la plus élevée, contre 2,1 % sous placebo. En raison d’effets indésirables, 5,3 à 10,3 % des participants ont arrêté (placebo 2,7 %)</w:t>
      </w:r>
      <w:r>
        <w:rPr>
          <w:rStyle w:val="FootnoteReference"/>
        </w:rPr>
        <w:footnoteReference w:id="2884"/>
      </w:r>
      <w:r>
        <w:t xml:space="preserve">.</w:t>
      </w:r>
    </w:p>
    <w:p>
      <w:pPr>
        <w:numPr>
          <w:ilvl w:val="0"/>
          <w:numId w:val="1359"/>
        </w:numPr>
        <w:pStyle w:val="Compact"/>
      </w:pPr>
      <w:r>
        <w:rPr>
          <w:bCs/>
          <w:b/>
        </w:rPr>
        <w:t xml:space="preserve">Glycémie :</w:t>
      </w:r>
      <w:r>
        <w:t xml:space="preserve"> </w:t>
      </w:r>
      <w:r>
        <w:t xml:space="preserve">dans la comparaison ouverte avec le comprimé de sémaglutide (ACHIEVE-3, 1 698 participants), l’orforglipron a davantage abaissé l’HbA1c après 52 semaines, de 1,91 contre 1,47 point de pourcentage aux doses les plus élevées respectives</w:t>
      </w:r>
      <w:r>
        <w:rPr>
          <w:rStyle w:val="FootnoteReference"/>
        </w:rPr>
        <w:footnoteReference w:id="2885"/>
      </w:r>
      <w:r>
        <w:t xml:space="preserve">.</w:t>
      </w:r>
    </w:p>
    <w:p>
      <w:pPr>
        <w:numPr>
          <w:ilvl w:val="0"/>
          <w:numId w:val="1359"/>
        </w:numPr>
        <w:pStyle w:val="Compact"/>
      </w:pPr>
      <w:r>
        <w:rPr>
          <w:bCs/>
          <w:b/>
        </w:rPr>
        <w:t xml:space="preserve">Maintien du poids :</w:t>
      </w:r>
      <w:r>
        <w:t xml:space="preserve"> </w:t>
      </w:r>
      <w:r>
        <w:t xml:space="preserve">dans ATTAIN-MAINTAIN, des participants sont passés, après un amaigrissement obtenu avec du tirzépatide ou du sémaglutide injecté, à l’orforglipron ou à un placebo. Après 52 semaines, ils conservaient avec l’orforglipron 74,7 % ou 79,3 % de leur perte de poids, contre 49,2 % ou 37,6 % avec le placebo. Il n’y avait pas de groupe poursuivant simplement l’injection ; les autrices et auteurs citent eux-mêmes cette limite</w:t>
      </w:r>
      <w:r>
        <w:rPr>
          <w:rStyle w:val="FootnoteReference"/>
        </w:rPr>
        <w:footnoteReference w:id="2886"/>
      </w:r>
      <w:r>
        <w:t xml:space="preserve">.</w:t>
      </w:r>
    </w:p>
    <w:p>
      <w:pPr>
        <w:numPr>
          <w:ilvl w:val="0"/>
          <w:numId w:val="1359"/>
        </w:numPr>
        <w:pStyle w:val="Compact"/>
      </w:pPr>
      <w:r>
        <w:rPr>
          <w:bCs/>
          <w:b/>
        </w:rPr>
        <w:t xml:space="preserve">Foie :</w:t>
      </w:r>
      <w:r>
        <w:t xml:space="preserve"> </w:t>
      </w:r>
      <w:r>
        <w:t xml:space="preserve">pour les petites molécules agissant sur le GLP-1, les valeurs hépatiques étaient une préoccupation particulière. Une analyse groupée de sept études de phase 3 portant sur 11 220 participants n’a trouvé pour l’orforglipron aucun cas répondant aux critères d’une atteinte hépatique d’origine médicamenteuse</w:t>
      </w:r>
      <w:r>
        <w:rPr>
          <w:rStyle w:val="FootnoteReference"/>
        </w:rPr>
        <w:footnoteReference w:id="2887"/>
      </w:r>
      <w:r>
        <w:t xml:space="preserve">.</w:t>
      </w:r>
    </w:p>
    <w:bookmarkEnd w:id="2888"/>
    <w:bookmarkStart w:id="2890" w:name="X7bb833365c8088e8c399edc8e0c02eefc21014d"/>
    <w:p>
      <w:pPr>
        <w:pStyle w:val="Heading4"/>
      </w:pPr>
      <w:r>
        <w:t xml:space="preserve">Toutes les petites molécules ne réussissent pas</w:t>
      </w:r>
    </w:p>
    <w:p>
      <w:pPr>
        <w:pStyle w:val="FirstParagraph"/>
      </w:pPr>
      <w:r>
        <w:t xml:space="preserve">Le</w:t>
      </w:r>
      <w:r>
        <w:t xml:space="preserve"> </w:t>
      </w:r>
      <w:r>
        <w:rPr>
          <w:bCs/>
          <w:b/>
        </w:rPr>
        <w:t xml:space="preserve">danuglipron</w:t>
      </w:r>
      <w:r>
        <w:t xml:space="preserve"> </w:t>
      </w:r>
      <w:r>
        <w:t xml:space="preserve">de Pfizer montre que la voie est difficile. Dans une étude de phase 2b portant sur 628 adultes obèses, dans laquelle les comprimés étaient pris deux fois par jour, le poids a certes diminué nettement plus que sous placebo, mais seuls 39,3 % ont terminé le traitement ; environ 38 % ont arrêté en raison d’effets indésirables</w:t>
      </w:r>
      <w:r>
        <w:rPr>
          <w:rStyle w:val="FootnoteReference"/>
        </w:rPr>
        <w:footnoteReference w:id="2889"/>
      </w:r>
      <w:r>
        <w:t xml:space="preserve">. Selon les communications du fabricant, le développement a été abandonné. D’autres entreprises développent leurs propres comprimés ; AstraZeneca, par exemple, teste la substance élécoglipron dans une étude de phase 3 contre le comprimé de sémaglutide (Eluminate-2, NCT07662213).</w:t>
      </w:r>
    </w:p>
    <w:bookmarkEnd w:id="2890"/>
    <w:bookmarkEnd w:id="2891"/>
    <w:bookmarkStart w:id="2893" w:name="X1e333d4f72daedde583768fbd7e205660439e3b"/>
    <w:p>
      <w:pPr>
        <w:pStyle w:val="Heading3"/>
      </w:pPr>
      <w:r>
        <w:t xml:space="preserve">Comprimé peptidique ou petite molécule : une comparaison</w:t>
      </w:r>
    </w:p>
    <w:p>
      <w:pPr>
        <w:pStyle w:val="FirstParagraph"/>
      </w:pPr>
      <w:r>
        <w:t xml:space="preserve">Une comparaison directe du comprimé de sémaglutide et de l’orforglipron dans l’obésité fait défaut. Une analyse les a comparés indirectement en confrontant les données individuelles d’OASIS 4 aux données globales publiées d’ATTAIN-1. Selon celle-ci, la perte de poids était supérieure d’environ 3 points de pourcentage avec le comprimé de sémaglutide, et les arrêts pour effets indésirables étaient plus fréquents sous orforglipron</w:t>
      </w:r>
      <w:r>
        <w:rPr>
          <w:rStyle w:val="FootnoteReference"/>
        </w:rPr>
        <w:footnoteReference w:id="2892"/>
      </w:r>
      <w:r>
        <w:t xml:space="preserve">. Ces comparaisons indirectes doivent être lues avec prudence : les données individuelles n’étaient disponibles que pour l’une des deux études, à savoir celle du programme sémaglutide.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Caractéristique</w:t>
            </w:r>
          </w:p>
        </w:tc>
        <w:tc>
          <w:tcPr/>
          <w:p>
            <w:pPr>
              <w:pStyle w:val="Compact"/>
              <w:jc w:val="left"/>
            </w:pPr>
            <w:r>
              <w:t xml:space="preserve">Peptide injectable</w:t>
            </w:r>
          </w:p>
        </w:tc>
        <w:tc>
          <w:tcPr/>
          <w:p>
            <w:pPr>
              <w:pStyle w:val="Compact"/>
              <w:jc w:val="left"/>
            </w:pPr>
            <w:r>
              <w:t xml:space="preserve">Peptide en comprimé</w:t>
            </w:r>
          </w:p>
        </w:tc>
        <w:tc>
          <w:tcPr/>
          <w:p>
            <w:pPr>
              <w:pStyle w:val="Compact"/>
              <w:jc w:val="left"/>
            </w:pPr>
            <w:r>
              <w:t xml:space="preserve">Petite molécule</w:t>
            </w:r>
          </w:p>
        </w:tc>
      </w:tr>
      <w:tr>
        <w:tc>
          <w:tcPr/>
          <w:p>
            <w:pPr>
              <w:pStyle w:val="Compact"/>
              <w:jc w:val="left"/>
            </w:pPr>
            <w:r>
              <w:t xml:space="preserve">Exemple</w:t>
            </w:r>
          </w:p>
        </w:tc>
        <w:tc>
          <w:tcPr/>
          <w:p>
            <w:pPr>
              <w:pStyle w:val="Compact"/>
              <w:jc w:val="left"/>
            </w:pPr>
            <w:r>
              <w:t xml:space="preserve">Sémaglutide, tirzépatide</w:t>
            </w:r>
          </w:p>
        </w:tc>
        <w:tc>
          <w:tcPr/>
          <w:p>
            <w:pPr>
              <w:pStyle w:val="Compact"/>
              <w:jc w:val="left"/>
            </w:pPr>
            <w:r>
              <w:t xml:space="preserve">Sémaglutide en comprimé, zénagamtide en comprimé</w:t>
            </w:r>
          </w:p>
        </w:tc>
        <w:tc>
          <w:tcPr/>
          <w:p>
            <w:pPr>
              <w:pStyle w:val="Compact"/>
              <w:jc w:val="left"/>
            </w:pPr>
            <w:r>
              <w:t xml:space="preserve">Orforglipron</w:t>
            </w:r>
          </w:p>
        </w:tc>
      </w:tr>
      <w:tr>
        <w:tc>
          <w:tcPr/>
          <w:p>
            <w:pPr>
              <w:pStyle w:val="Compact"/>
              <w:jc w:val="left"/>
            </w:pPr>
            <w:r>
              <w:t xml:space="preserve">Prise</w:t>
            </w:r>
          </w:p>
        </w:tc>
        <w:tc>
          <w:tcPr/>
          <w:p>
            <w:pPr>
              <w:pStyle w:val="Compact"/>
              <w:jc w:val="left"/>
            </w:pPr>
            <w:r>
              <w:t xml:space="preserve">hebdomadaire à mensuelle</w:t>
            </w:r>
          </w:p>
        </w:tc>
        <w:tc>
          <w:tcPr/>
          <w:p>
            <w:pPr>
              <w:pStyle w:val="Compact"/>
              <w:jc w:val="left"/>
            </w:pPr>
            <w:r>
              <w:t xml:space="preserve">quotidienne, à jeun, avec règles de prise</w:t>
            </w:r>
          </w:p>
        </w:tc>
        <w:tc>
          <w:tcPr/>
          <w:p>
            <w:pPr>
              <w:pStyle w:val="Compact"/>
              <w:jc w:val="left"/>
            </w:pPr>
            <w:r>
              <w:t xml:space="preserve">quotidienne, sans règles liées aux repas</w:t>
            </w:r>
          </w:p>
        </w:tc>
      </w:tr>
      <w:tr>
        <w:tc>
          <w:tcPr/>
          <w:p>
            <w:pPr>
              <w:pStyle w:val="Compact"/>
              <w:jc w:val="left"/>
            </w:pPr>
            <w:r>
              <w:t xml:space="preserve">Besoin en substance active</w:t>
            </w:r>
          </w:p>
        </w:tc>
        <w:tc>
          <w:tcPr/>
          <w:p>
            <w:pPr>
              <w:pStyle w:val="Compact"/>
              <w:jc w:val="left"/>
            </w:pPr>
            <w:r>
              <w:t xml:space="preserve">faible</w:t>
            </w:r>
          </w:p>
        </w:tc>
        <w:tc>
          <w:tcPr/>
          <w:p>
            <w:pPr>
              <w:pStyle w:val="Compact"/>
              <w:jc w:val="left"/>
            </w:pPr>
            <w:r>
              <w:t xml:space="preserve">très élevé (absorption d’environ 1 %)</w:t>
            </w:r>
          </w:p>
        </w:tc>
        <w:tc>
          <w:tcPr/>
          <w:p>
            <w:pPr>
              <w:pStyle w:val="Compact"/>
              <w:jc w:val="left"/>
            </w:pPr>
            <w:r>
              <w:t xml:space="preserve">normal pour des comprimés</w:t>
            </w:r>
          </w:p>
        </w:tc>
      </w:tr>
      <w:tr>
        <w:tc>
          <w:tcPr/>
          <w:p>
            <w:pPr>
              <w:pStyle w:val="Compact"/>
              <w:jc w:val="left"/>
            </w:pPr>
            <w:r>
              <w:t xml:space="preserve">Perte de poids dans les études</w:t>
            </w:r>
          </w:p>
        </w:tc>
        <w:tc>
          <w:tcPr/>
          <w:p>
            <w:pPr>
              <w:pStyle w:val="Compact"/>
              <w:jc w:val="left"/>
            </w:pPr>
            <w:r>
              <w:t xml:space="preserve">la plus élevée</w:t>
            </w:r>
          </w:p>
        </w:tc>
        <w:tc>
          <w:tcPr/>
          <w:p>
            <w:pPr>
              <w:pStyle w:val="Compact"/>
              <w:jc w:val="left"/>
            </w:pPr>
            <w:r>
              <w:t xml:space="preserve">semblable à celle du sémaglutide injectable</w:t>
            </w:r>
          </w:p>
        </w:tc>
        <w:tc>
          <w:tcPr/>
          <w:p>
            <w:pPr>
              <w:pStyle w:val="Compact"/>
              <w:jc w:val="left"/>
            </w:pPr>
            <w:r>
              <w:t xml:space="preserve">un peu plus faible</w:t>
            </w:r>
          </w:p>
        </w:tc>
      </w:tr>
      <w:tr>
        <w:tc>
          <w:tcPr/>
          <w:p>
            <w:pPr>
              <w:pStyle w:val="Compact"/>
              <w:jc w:val="left"/>
            </w:pPr>
            <w:r>
              <w:t xml:space="preserve">Dégradation, interactions</w:t>
            </w:r>
          </w:p>
        </w:tc>
        <w:tc>
          <w:tcPr/>
          <w:p>
            <w:pPr>
              <w:pStyle w:val="Compact"/>
              <w:jc w:val="left"/>
            </w:pPr>
            <w:r>
              <w:t xml:space="preserve">comme une protéine, peu d’interactions</w:t>
            </w:r>
          </w:p>
        </w:tc>
        <w:tc>
          <w:tcPr/>
          <w:p>
            <w:pPr>
              <w:pStyle w:val="Compact"/>
              <w:jc w:val="left"/>
            </w:pPr>
            <w:r>
              <w:t xml:space="preserve">comme une protéine</w:t>
            </w:r>
          </w:p>
        </w:tc>
        <w:tc>
          <w:tcPr/>
          <w:p>
            <w:pPr>
              <w:pStyle w:val="Compact"/>
              <w:jc w:val="left"/>
            </w:pPr>
            <w:r>
              <w:t xml:space="preserve">par des enzymes hépatiques, interactions possibles</w:t>
            </w:r>
          </w:p>
        </w:tc>
      </w:tr>
      <w:tr>
        <w:tc>
          <w:tcPr/>
          <w:p>
            <w:pPr>
              <w:pStyle w:val="Compact"/>
              <w:jc w:val="left"/>
            </w:pPr>
            <w:r>
              <w:t xml:space="preserve">Critères cliniques forts</w:t>
            </w:r>
          </w:p>
        </w:tc>
        <w:tc>
          <w:tcPr/>
          <w:p>
            <w:pPr>
              <w:pStyle w:val="Compact"/>
              <w:jc w:val="left"/>
            </w:pPr>
            <w:r>
              <w:t xml:space="preserve">démontrés pour plusieurs substances</w:t>
            </w:r>
          </w:p>
        </w:tc>
        <w:tc>
          <w:tcPr/>
          <w:p>
            <w:pPr>
              <w:pStyle w:val="Compact"/>
              <w:jc w:val="left"/>
            </w:pPr>
            <w:r>
              <w:t xml:space="preserve">démontrés dans le diabète de type 2 (SOUL)</w:t>
            </w:r>
          </w:p>
        </w:tc>
        <w:tc>
          <w:tcPr/>
          <w:p>
            <w:pPr>
              <w:pStyle w:val="Compact"/>
              <w:jc w:val="left"/>
            </w:pPr>
            <w:r>
              <w:t xml:space="preserve">étude de critères cliniques en cours jusqu’en 2031</w:t>
            </w:r>
          </w:p>
        </w:tc>
      </w:tr>
    </w:tbl>
    <w:p>
      <w:pPr>
        <w:pStyle w:val="BodyText"/>
      </w:pPr>
      <w:r>
        <w:t xml:space="preserve">Le point « interactions » mérite une explication : les peptides sont dégradés dans l’organisme comme les autres protéines. Les petites molécules comme l’orforglipron sont en revanche métabolisées par des enzymes hépatiques, par lesquelles passent aussi de nombreux autres médicaments. C’est pourquoi de nombreuses études d’interactions ont été menées pour l’orforglipron (voir le chapitre Orforglipron).</w:t>
      </w:r>
    </w:p>
    <w:bookmarkEnd w:id="2893"/>
    <w:bookmarkStart w:id="2899" w:name="questions-ouvertes"/>
    <w:p>
      <w:pPr>
        <w:pStyle w:val="Heading3"/>
      </w:pPr>
      <w:r>
        <w:t xml:space="preserve">Questions ouvertes</w:t>
      </w:r>
    </w:p>
    <w:p>
      <w:pPr>
        <w:pStyle w:val="FirstParagraph"/>
      </w:pPr>
      <w:r>
        <w:rPr>
          <w:bCs/>
          <w:b/>
        </w:rPr>
        <w:t xml:space="preserve">Prend-on un comprimé quotidien plus fidèlement qu’une injection hebdomadaire ?</w:t>
      </w:r>
      <w:r>
        <w:t xml:space="preserve"> </w:t>
      </w:r>
      <w:r>
        <w:t xml:space="preserve">C’est loin d’être acquis. Une personne qui échange une injection par semaine contre sept comprimés a sept occasions par semaine d’oublier une dose. Pour le comprimé de sémaglutide s’ajoute le fait qu’un repas pris trop tôt peut pratiquement empêcher l’absorption</w:t>
      </w:r>
      <w:r>
        <w:rPr>
          <w:rStyle w:val="FootnoteReference"/>
        </w:rPr>
        <w:footnoteReference w:id="2894"/>
      </w:r>
      <w:r>
        <w:t xml:space="preserve">. Les études d’autorisation, avec leurs participants étroitement suivis, ne montrent pas l’effet que cela a sur l’efficacité dans la vie quotidienne.</w:t>
      </w:r>
    </w:p>
    <w:p>
      <w:pPr>
        <w:pStyle w:val="BodyText"/>
      </w:pPr>
      <w:r>
        <w:rPr>
          <w:bCs/>
          <w:b/>
        </w:rPr>
        <w:t xml:space="preserve">Existe-t-il des critères cliniques forts pour les comprimés dans l’obésité ?</w:t>
      </w:r>
      <w:r>
        <w:t xml:space="preserve"> </w:t>
      </w:r>
      <w:r>
        <w:t xml:space="preserve">Pas encore. SOUL portait sur des personnes atteintes de diabète de type 2. L’étude cardiovasculaire sur l’orforglipron se poursuit jusqu’en 2031</w:t>
      </w:r>
      <w:r>
        <w:rPr>
          <w:rStyle w:val="FootnoteReference"/>
        </w:rPr>
        <w:footnoteReference w:id="2895"/>
      </w:r>
      <w:r>
        <w:t xml:space="preserve">, et l’orforglipron est même testé chez des personnes en surpoids afin de prévenir la progression vers l’obésité ou vers des maladies associées (ATTAIN-NOW, NCT07794579, 2 001 participants, fin en septembre 2030).</w:t>
      </w:r>
    </w:p>
    <w:p>
      <w:pPr>
        <w:pStyle w:val="BodyText"/>
      </w:pPr>
      <w:r>
        <w:rPr>
          <w:bCs/>
          <w:b/>
        </w:rPr>
        <w:t xml:space="preserve">Le comprimé est-il le traitement d’entretien ?</w:t>
      </w:r>
      <w:r>
        <w:t xml:space="preserve"> </w:t>
      </w:r>
      <w:r>
        <w:t xml:space="preserve">ATTAIN-MAINTAIN suggère que le passage de l’injection à un comprimé peut préserver une grande partie de la perte de poids. Il n’a pas été vérifié si c’est aussi efficace que de poursuivre l’injection.</w:t>
      </w:r>
    </w:p>
    <w:p>
      <w:pPr>
        <w:pStyle w:val="BodyText"/>
      </w:pPr>
      <w:r>
        <w:rPr>
          <w:bCs/>
          <w:b/>
        </w:rPr>
        <w:t xml:space="preserve">Les comprimés deviendront-ils moins chers ?</w:t>
      </w:r>
      <w:r>
        <w:t xml:space="preserve"> </w:t>
      </w:r>
      <w:r>
        <w:t xml:space="preserve">Pour les petites molécules, c’est plausible, car elles sont fabriquées par des procédés chimiques standard. Pour les comprimés peptidiques, l’estimation des coûts plaide plutôt en sens inverse, car ils nécessitent beaucoup plus de substance active</w:t>
      </w:r>
      <w:r>
        <w:rPr>
          <w:rStyle w:val="FootnoteReference"/>
        </w:rPr>
        <w:footnoteReference w:id="2896"/>
      </w:r>
      <w:r>
        <w:t xml:space="preserve">. Les prix concrets en Europe restent ouverts.</w:t>
      </w:r>
    </w:p>
    <w:p>
      <w:pPr>
        <w:pStyle w:val="BodyText"/>
      </w:pPr>
      <w:r>
        <w:rPr>
          <w:bCs/>
          <w:b/>
        </w:rPr>
        <w:t xml:space="preserve">Qu’en est-il des gouttes, comprimés orodispersibles et sprays nasaux vendus sur Internet ?</w:t>
      </w:r>
      <w:r>
        <w:t xml:space="preserve"> </w:t>
      </w:r>
      <w:r>
        <w:t xml:space="preserve">La prudence est de mise. Une étude de préparations magistrales fabriquées aux États-Unis a trouvé des préparations de sémaglutide ou de tirzépatide à usage sublingual et sous forme de comprimés orodispersibles, pour lesquelles il n’existe aucune preuve d’efficacité ni de sécurité</w:t>
      </w:r>
      <w:r>
        <w:rPr>
          <w:rStyle w:val="FootnoteReference"/>
        </w:rPr>
        <w:footnoteReference w:id="2897"/>
      </w:r>
      <w:r>
        <w:t xml:space="preserve">. Dans une analyse de laboratoire, des copies de sémaglutide oral contenaient parfois nettement moins de substance active qu’indiqué et libéraient la substance active et le SNAC différemment de l’original</w:t>
      </w:r>
      <w:r>
        <w:rPr>
          <w:rStyle w:val="FootnoteReference"/>
        </w:rPr>
        <w:footnoteReference w:id="2898"/>
      </w:r>
      <w:r>
        <w:t xml:space="preserve">. Un peptide vendu « en comprimé » n’est guère absorbé sans formulation éprouvée – cela vaut pour le sémaglutide comme pour le BPC-157 ou d’autres peptides du marché gris.</w:t>
      </w:r>
    </w:p>
    <w:bookmarkEnd w:id="2899"/>
    <w:bookmarkStart w:id="2900" w:name="appréciation-de-lauteur"/>
    <w:p>
      <w:pPr>
        <w:pStyle w:val="Heading3"/>
      </w:pPr>
      <w:r>
        <w:t xml:space="preserve">Appréciation de l’auteur</w:t>
      </w:r>
    </w:p>
    <w:p>
      <w:pPr>
        <w:pStyle w:val="FirstParagraph"/>
      </w:pPr>
      <w:r>
        <w:t xml:space="preserve">L’injection ne disparaîtra pas, mais son monopole est terminé. Pour la phase de forte perte de poids, les substances injectées devraient rester en tête au cours des prochaines années, parce qu’elles ont l’effet le plus important dans les études et que les données cardiovasculaires portent jusqu’à présent presque exclusivement sur elles. Pour l’entretien sur plusieurs années, pour les personnes qui ont peur des injections et pour les pays sans chaîne du froid fiable, les comprimés constituent en revanche un véritable progrès. La question de savoir si ce sont plutôt les comprimés peptidiques ou les petites molécules qui s’imposeront se décidera moins sur l’efficacité que sur le prix, le confort de prise et la sécurité à long terme. C’est une appréciation ; seul est établi le fait que les deux voies sont testées dans de grandes études de phase 3.</w:t>
      </w:r>
    </w:p>
    <w:bookmarkEnd w:id="2900"/>
    <w:bookmarkStart w:id="2901" w:name="lessentiel-en-bref-9"/>
    <w:p>
      <w:pPr>
        <w:pStyle w:val="Heading3"/>
      </w:pPr>
      <w:r>
        <w:t xml:space="preserve">L’essentiel en bref</w:t>
      </w:r>
    </w:p>
    <w:p>
      <w:pPr>
        <w:numPr>
          <w:ilvl w:val="0"/>
          <w:numId w:val="1360"/>
        </w:numPr>
        <w:pStyle w:val="Compact"/>
      </w:pPr>
      <w:r>
        <w:t xml:space="preserve">Les peptides en comprimé ne fonctionnent qu’au prix d’un effort technique considérable. Avec le comprimé de sémaglutide, environ 1 % de la substance active passe dans le sang ; il obtient néanmoins dans les études des pertes de poids semblables à celles de l’injection.</w:t>
      </w:r>
    </w:p>
    <w:p>
      <w:pPr>
        <w:numPr>
          <w:ilvl w:val="0"/>
          <w:numId w:val="1360"/>
        </w:numPr>
        <w:pStyle w:val="Compact"/>
      </w:pPr>
      <w:r>
        <w:t xml:space="preserve">Les petites molécules comme l’orforglipron contournent le problème, mais ont entraîné dans les études une perte de poids un peu plus faible et sont dégradées par des enzymes hépatiques.</w:t>
      </w:r>
    </w:p>
    <w:p>
      <w:pPr>
        <w:numPr>
          <w:ilvl w:val="0"/>
          <w:numId w:val="1360"/>
        </w:numPr>
        <w:pStyle w:val="Compact"/>
      </w:pPr>
      <w:r>
        <w:t xml:space="preserve">Les peptides oraux deviennent aussi, en dehors du métabolisme, une classe de médicaments à part entière, par exemple contre l’hypercholestérolémie (enlicitide) et le psoriasis (icotrokinra).</w:t>
      </w:r>
    </w:p>
    <w:p>
      <w:pPr>
        <w:numPr>
          <w:ilvl w:val="0"/>
          <w:numId w:val="1360"/>
        </w:numPr>
        <w:pStyle w:val="Compact"/>
      </w:pPr>
      <w:r>
        <w:t xml:space="preserve">Restent ouverts les données à long terme, les critères cliniques forts dans l’obésité, l’observance dans la vie quotidienne et les prix.</w:t>
      </w:r>
    </w:p>
    <w:p>
      <w:pPr>
        <w:numPr>
          <w:ilvl w:val="0"/>
          <w:numId w:val="1360"/>
        </w:numPr>
        <w:pStyle w:val="Compact"/>
      </w:pPr>
      <w:r>
        <w:t xml:space="preserve">Les médicaments ne doivent être utilisés que sous accompagnement médical et conformément au RCP ; les peptides « oraux » du marché gris n’ont rien à voir avec ces évolutions.</w:t>
      </w:r>
    </w:p>
    <w:bookmarkEnd w:id="2901"/>
    <w:bookmarkEnd w:id="2902"/>
    <w:bookmarkStart w:id="2929" w:name="brevets-génériques-et-prix"/>
    <w:p>
      <w:pPr>
        <w:pStyle w:val="Heading2"/>
      </w:pPr>
      <w:r>
        <w:t xml:space="preserve">Brevets, génériques et prix</w:t>
      </w:r>
    </w:p>
    <w:p>
      <w:pPr>
        <w:pStyle w:val="FirstParagraph"/>
      </w:pPr>
      <w:r>
        <w:t xml:space="preserve">Ce sont les études qui déterminent si un médicament agit. Ce sont les brevets, les prix, les chaînes d’approvisionnement et les caisses d’assurance maladie qui déterminent s’il parvient aux personnes. Pour les médicaments GLP-1, cette seconde partie de l’histoire est presque aussi spectaculaire que la première : pénuries, marché des copies préparées en pharmacie aux États-Unis, contrefaçons dans le monde entier – et, en 2026, l’expiration des premiers brevets du sémaglutide dans de grands pays.</w:t>
      </w:r>
    </w:p>
    <w:p>
      <w:pPr>
        <w:pStyle w:val="BodyText"/>
      </w:pPr>
      <w:r>
        <w:rPr>
          <w:bCs/>
          <w:b/>
        </w:rPr>
        <w:t xml:space="preserve">Une remarque importante en préambule :</w:t>
      </w:r>
      <w:r>
        <w:t xml:space="preserve"> </w:t>
      </w:r>
      <w:r>
        <w:t xml:space="preserve">les prix, la durée des brevets et les règles de remboursement évoluent rapidement et ne sont que partiellement documentés dans des travaux scientifiques. Lorsque ce chapitre donne des indications sans référence à une étude, elles sont signalées par « état 2026, à vérifier ». Aucun prix concret en euros n’est délibérément indiqué, car ils varient selon le pays, le conditionnement et le moment.</w:t>
      </w:r>
    </w:p>
    <w:bookmarkStart w:id="2904" w:name="X16086a64b7eddb197d130626874fabb329986d9"/>
    <w:p>
      <w:pPr>
        <w:pStyle w:val="Heading3"/>
      </w:pPr>
      <w:r>
        <w:t xml:space="preserve">Brevets, génériques et biosimilaires : les notions</w:t>
      </w:r>
    </w:p>
    <w:p>
      <w:pPr>
        <w:pStyle w:val="FirstParagraph"/>
      </w:pPr>
      <w:r>
        <w:t xml:space="preserve">Un</w:t>
      </w:r>
      <w:r>
        <w:t xml:space="preserve"> </w:t>
      </w:r>
      <w:r>
        <w:rPr>
          <w:bCs/>
          <w:b/>
        </w:rPr>
        <w:t xml:space="preserve">brevet</w:t>
      </w:r>
      <w:r>
        <w:t xml:space="preserve"> </w:t>
      </w:r>
      <w:r>
        <w:t xml:space="preserve">confère au fabricant, pour une durée limitée, le droit exclusif de vendre une substance active. Dans l’UE et aux États-Unis, la durée de base est de 20 ans à compter du dépôt ; comme le développement prend de nombreuses années, elle peut être prolongée de jusqu’à cinq ans pour les médicaments par un certificat complémentaire de protection. Outre le brevet sur la substance active elle-même, il existe souvent d’autres brevets sur les procédés de fabrication, les formes galéniques ou les stylos.</w:t>
      </w:r>
    </w:p>
    <w:p>
      <w:pPr>
        <w:pStyle w:val="BodyText"/>
      </w:pPr>
      <w:r>
        <w:t xml:space="preserve">À l’expiration de la protection, d’autres fabricants peuvent proposer des copies :</w:t>
      </w:r>
    </w:p>
    <w:p>
      <w:pPr>
        <w:numPr>
          <w:ilvl w:val="0"/>
          <w:numId w:val="1361"/>
        </w:numPr>
        <w:pStyle w:val="Compact"/>
      </w:pPr>
      <w:r>
        <w:rPr>
          <w:bCs/>
          <w:b/>
        </w:rPr>
        <w:t xml:space="preserve">Les génériques</w:t>
      </w:r>
      <w:r>
        <w:t xml:space="preserve"> </w:t>
      </w:r>
      <w:r>
        <w:t xml:space="preserve">sont des copies de substances actives fabriquées chimiquement. Ils doivent montrer qu’ils contiennent la même substance active et qu’elle est disponible de la même façon dans l’organisme ; de nouvelles grandes études d’efficacité ne sont pas nécessaires.</w:t>
      </w:r>
    </w:p>
    <w:p>
      <w:pPr>
        <w:numPr>
          <w:ilvl w:val="0"/>
          <w:numId w:val="1361"/>
        </w:numPr>
        <w:pStyle w:val="Compact"/>
      </w:pPr>
      <w:r>
        <w:rPr>
          <w:bCs/>
          <w:b/>
        </w:rPr>
        <w:t xml:space="preserve">Les biosimilaires</w:t>
      </w:r>
      <w:r>
        <w:t xml:space="preserve"> </w:t>
      </w:r>
      <w:r>
        <w:t xml:space="preserve">succèdent à des substances actives produites par voie biologique, par exemple des anticorps ou des protéines de fusion. Comme la production biologique ne fournit jamais des molécules tout à fait identiques, leur autorisation est plus exigeante.</w:t>
      </w:r>
    </w:p>
    <w:p>
      <w:pPr>
        <w:pStyle w:val="FirstParagraph"/>
      </w:pPr>
      <w:r>
        <w:t xml:space="preserve">Les peptides courts comme le liraglutide ou le sémaglutide se situent entre les deux : ils peuvent être fabriqués par génie génétique ou par voie chimique. Cela a des conséquences pratiques. Une analyse de laboratoire a comparé 16 copies injectables et 8 copies orales de sémaglutide ainsi que 2 copies de liraglutide aux originaux. Elle a trouvé de nouvelles impuretés, une quantité de substance active nettement inférieure à celle indiquée pour plusieurs comprimés de sémaglutide et, pour le liraglutide, une tendance plus marquée à l’agrégation</w:t>
      </w:r>
      <w:r>
        <w:rPr>
          <w:rStyle w:val="FootnoteReference"/>
        </w:rPr>
        <w:footnoteReference w:id="2903"/>
      </w:r>
      <w:r>
        <w:t xml:space="preserve">. Selon les autrices et auteurs, on ignore si ces différences ont une signification clinique. L’analyse montre toutefois pourquoi les autorités examinent de près les copies de peptides.</w:t>
      </w:r>
    </w:p>
    <w:bookmarkEnd w:id="2904"/>
    <w:bookmarkStart w:id="2906" w:name="Xc49d37cb82ef49a6ea941742902778ffc3c40d0"/>
    <w:p>
      <w:pPr>
        <w:pStyle w:val="Heading3"/>
      </w:pPr>
      <w:r>
        <w:t xml:space="preserve">Liraglutide : le premier générique de GLP-1</w:t>
      </w:r>
    </w:p>
    <w:p>
      <w:pPr>
        <w:pStyle w:val="FirstParagraph"/>
      </w:pPr>
      <w:r>
        <w:t xml:space="preserve">Le liraglutide est la première substance GLP-1 dont la protection a expiré sur de grands marchés. Aux États-Unis, des génériques de la forme destinée au diabète (Victoza) sont sur le marché depuis 2024, et depuis 2025 également de la forme destinée à l’obésité (Saxenda). En Europe, des copies arrivent progressivement ; la situation varie selon les pays (voir le chapitre Liraglutide).</w:t>
      </w:r>
    </w:p>
    <w:p>
      <w:pPr>
        <w:pStyle w:val="BodyText"/>
      </w:pPr>
      <w:r>
        <w:t xml:space="preserve">Pour l’approvisionnement, cela a deux faces. D’une part, une substance au bénéfice cardiovasculaire démontré dans le diabète de type 2 devient moins chère. D’autre part, le liraglutide doit être injecté quotidiennement et agit nettement moins sur le poids que le sémaglutide : dans STEP 8, le poids a diminué en moyenne de 15,8 % sous sémaglutide hebdomadaire et de 6,4 % sous liraglutide quotidien ; 38,5 % contre 6,0 % des participants ont perdu au moins un cinquième de leur poids</w:t>
      </w:r>
      <w:r>
        <w:rPr>
          <w:rStyle w:val="FootnoteReference"/>
        </w:rPr>
        <w:footnoteReference w:id="2905"/>
      </w:r>
      <w:r>
        <w:t xml:space="preserve">. Pour les personnes qui ne peuvent pas payer le médicament plus récent, un médicament plus ancien et bon marché peut néanmoins être un meilleur choix que rien du tout.</w:t>
      </w:r>
    </w:p>
    <w:bookmarkEnd w:id="2906"/>
    <w:bookmarkStart w:id="2911" w:name="sémaglutide-2026-année-charnière"/>
    <w:p>
      <w:pPr>
        <w:pStyle w:val="Heading3"/>
      </w:pPr>
      <w:r>
        <w:t xml:space="preserve">Sémaglutide : 2026, année charnière</w:t>
      </w:r>
    </w:p>
    <w:p>
      <w:pPr>
        <w:pStyle w:val="FirstParagraph"/>
      </w:pPr>
      <w:r>
        <w:t xml:space="preserve">Pour le sémaglutide, les brevets expirent en 2026 dans plusieurs grands pays situés hors de l’UE et des États-Unis, dont, selon le chapitre Sémaglutide, le Canada, la Chine, l’Inde et le Brésil. Une analyse de bases de données de brevets a abouti au tableau suivant</w:t>
      </w:r>
      <w:r>
        <w:rPr>
          <w:rStyle w:val="FootnoteReference"/>
        </w:rPr>
        <w:footnoteReference w:id="2907"/>
      </w:r>
      <w:r>
        <w:t xml:space="preserve"> </w:t>
      </w:r>
      <w:r>
        <w:t xml:space="preserve">:</w:t>
      </w:r>
    </w:p>
    <w:p>
      <w:pPr>
        <w:numPr>
          <w:ilvl w:val="0"/>
          <w:numId w:val="1362"/>
        </w:numPr>
        <w:pStyle w:val="Compact"/>
      </w:pPr>
      <w:r>
        <w:t xml:space="preserve">Dans douze pays, la protection par brevet prend fin en 2026. Ils regroupent 47 % des personnes obèses et 49 % des personnes atteintes de diabète de type 2 dans le monde.</w:t>
      </w:r>
    </w:p>
    <w:p>
      <w:pPr>
        <w:numPr>
          <w:ilvl w:val="0"/>
          <w:numId w:val="1362"/>
        </w:numPr>
        <w:pStyle w:val="Compact"/>
      </w:pPr>
      <w:r>
        <w:t xml:space="preserve">Dans 150 autres pays, les autrices et auteurs n’ont trouvé aucun dépôt de brevet.</w:t>
      </w:r>
    </w:p>
    <w:p>
      <w:pPr>
        <w:numPr>
          <w:ilvl w:val="0"/>
          <w:numId w:val="1362"/>
        </w:numPr>
        <w:pStyle w:val="Compact"/>
      </w:pPr>
      <w:r>
        <w:t xml:space="preserve">D’ici fin 2026, des copies injectables de sémaglutide pourraient ainsi être disponibles dans 162 pays, où vivent 69 % des personnes atteintes de diabète de type 2 et 84 % des personnes atteintes d’obésité clinique.</w:t>
      </w:r>
    </w:p>
    <w:p>
      <w:pPr>
        <w:numPr>
          <w:ilvl w:val="0"/>
          <w:numId w:val="1362"/>
        </w:numPr>
        <w:pStyle w:val="Compact"/>
      </w:pPr>
      <w:r>
        <w:t xml:space="preserve">À partir de données sur les livraisons de substance active en provenance d’Inde, ils ont estimé les coûts de production : une année de sémaglutide injecté pourrait être proposée sous forme générique pour 28 à 140 dollars américains par personne, le comprimé pour 186 à 380 dollars américains. Le stylo représentait une part disproportionnée des coûts.</w:t>
      </w:r>
    </w:p>
    <w:p>
      <w:pPr>
        <w:pStyle w:val="FirstParagraph"/>
      </w:pPr>
      <w:r>
        <w:t xml:space="preserve">Les autrices et auteurs soulignent eux-mêmes que le coût des stylos, d’autres brevets et la faiblesse des systèmes de santé peuvent malgré tout limiter l’accès. Une analyse réalisée en Inde montre à quel point les génériques peuvent faire baisser les prix : les prix des inhibiteurs du SGLT2 et des agonistes du récepteur du GLP-1 y ont baissé d’environ 60 à 90 % après l’expiration des brevets. Entre les prix des génériques indiens et les prix catalogue américains, les auteurs ont trouvé des écarts d’un facteur 15 à 65. Ils signalent toutefois aussi que les génériques de différents fabricants peuvent différer en qualité et en absorption dans l’organisme</w:t>
      </w:r>
      <w:r>
        <w:rPr>
          <w:rStyle w:val="FootnoteReference"/>
        </w:rPr>
        <w:footnoteReference w:id="2908"/>
      </w:r>
      <w:r>
        <w:t xml:space="preserve">.</w:t>
      </w:r>
    </w:p>
    <w:p>
      <w:pPr>
        <w:pStyle w:val="BodyText"/>
      </w:pPr>
      <w:r>
        <w:rPr>
          <w:bCs/>
          <w:b/>
        </w:rPr>
        <w:t xml:space="preserve">Dans l’UE et aux États-Unis</w:t>
      </w:r>
      <w:r>
        <w:t xml:space="preserve">, les génériques du sémaglutide ne sont attendus que vers 2031/2032. Pour les lectrices et lecteurs en Autriche et en Allemagne, cela signifie : un générique de sémaglutide vendu légalement au Canada ou en Inde n’y est pas un médicament autorisé. Les règles d’importation pour usage personnel sont strictes (voir le chapitre « Cadre juridique » dans la partie I), et les offres en ligne qui se réclament de tels génériques sont une porte d’entrée typique pour les contrefaçons (voir le chapitre « Le marché gris »).</w:t>
      </w:r>
    </w:p>
    <w:p>
      <w:pPr>
        <w:pStyle w:val="BodyText"/>
      </w:pPr>
      <w:r>
        <w:rPr>
          <w:bCs/>
          <w:b/>
        </w:rPr>
        <w:t xml:space="preserve">Un signal politique :</w:t>
      </w:r>
      <w:r>
        <w:t xml:space="preserve"> </w:t>
      </w:r>
      <w:r>
        <w:t xml:space="preserve">en septembre 2025, l’Organisation mondiale de la santé a inscrit le sémaglutide, le liraglutide, le dulaglutide et le tirzépatide sur sa liste des médicaments essentiels. Une analyse y voit une étape destinée à faciliter les négociations de prix et le développement de génériques dans les pays à revenu faible et intermédiaire ; elle cite en même temps le manque de moyens, la faiblesse des infrastructures et le risque d’une utilisation non critique comme obstacles</w:t>
      </w:r>
      <w:r>
        <w:rPr>
          <w:rStyle w:val="FootnoteReference"/>
        </w:rPr>
        <w:footnoteReference w:id="2909"/>
      </w:r>
      <w:r>
        <w:t xml:space="preserve">. Dans sa première ligne directrice sur les traitements GLP-1 dans l’obésité, l’OMS formule une recommandation conditionnelle en faveur d’un traitement au long cours associé à une thérapie comportementale intensive. Parmi les raisons de cette restriction, elle cite notamment les données limitées à long terme, les coûts et la question de l’équité d’accès</w:t>
      </w:r>
      <w:r>
        <w:rPr>
          <w:rStyle w:val="FootnoteReference"/>
        </w:rPr>
        <w:footnoteReference w:id="2910"/>
      </w:r>
      <w:r>
        <w:t xml:space="preserve">.</w:t>
      </w:r>
    </w:p>
    <w:bookmarkEnd w:id="2911"/>
    <w:bookmarkStart w:id="2912" w:name="le-tirzépatide-et-ses-successeurs"/>
    <w:p>
      <w:pPr>
        <w:pStyle w:val="Heading3"/>
      </w:pPr>
      <w:r>
        <w:t xml:space="preserve">Le tirzépatide et ses successeurs</w:t>
      </w:r>
    </w:p>
    <w:p>
      <w:pPr>
        <w:pStyle w:val="FirstParagraph"/>
      </w:pPr>
      <w:r>
        <w:t xml:space="preserve">Pour le tirzépatide et toutes les substances plus récentes – rétatrutide, CagriSema, amycrétine, maridebart cafraglutide, orforglipron –, aucune expiration de brevet n’est attendue au cours de cette décennie. Pour le tirzépatide, selon les informations du secteur, les génériques ne sont pas attendus avant la seconde moitié des années 2030. Il en résulte un schéma prévisible : les substances les plus anciennes deviennent moins chères, les plus puissantes restent chères.</w:t>
      </w:r>
    </w:p>
    <w:bookmarkEnd w:id="2912"/>
    <w:bookmarkStart w:id="2916" w:name="la-fin-du-compounding-aux-états-unis"/>
    <w:p>
      <w:pPr>
        <w:pStyle w:val="Heading3"/>
      </w:pPr>
      <w:r>
        <w:t xml:space="preserve">La fin du compounding aux États-Unis</w:t>
      </w:r>
    </w:p>
    <w:p>
      <w:pPr>
        <w:pStyle w:val="FirstParagraph"/>
      </w:pPr>
      <w:r>
        <w:t xml:space="preserve">Pendant les pénuries officielles, les pharmacies américaines ont été autorisées à préparer elles-mêmes du sémaglutide et du tirzépatide (« compounding », voir partie I). Il en est né un vaste marché. Une étude menée dans l’État américain du Colorado a recensé au printemps 2024 93 entreprises avec 188 sites qui faisaient la promotion de ces préparations – le plus souvent des spas médicaux ou des services d’amaigrissement. 41 de ces sites web faisaient référence dans leurs descriptions de produits à l’autorisation de la FDA, alors que les préparations n’en avaient aucune. Un fournisseur faisait la promotion d’un mélange contenant du BPC-157, une substance que la FDA a classée comme inadaptée au compounding</w:t>
      </w:r>
      <w:r>
        <w:rPr>
          <w:rStyle w:val="FootnoteReference"/>
        </w:rPr>
        <w:footnoteReference w:id="2913"/>
      </w:r>
      <w:r>
        <w:t xml:space="preserve">.</w:t>
      </w:r>
    </w:p>
    <w:p>
      <w:pPr>
        <w:pStyle w:val="BodyText"/>
      </w:pPr>
      <w:r>
        <w:t xml:space="preserve">Après que la FDA a déclaré la fin des pénuries – fin 2024 pour le tirzépatide, début 2025 pour le sémaglutide –, les délais de transition pour les copies des préparations autorisées ont expiré au cours de l’année 2025. Depuis, seules sont autorisées les préparations qui diffèrent des préparations autorisées. Une analyse a recensé 33 de ces produits, dont des mélanges avec de la vitamine B12, de la glycine ou un laxatif ainsi que des gouttes et des comprimés orodispersibles, dont le bénéfice et la sécurité sont largement inconnus</w:t>
      </w:r>
      <w:r>
        <w:rPr>
          <w:rStyle w:val="FootnoteReference"/>
        </w:rPr>
        <w:footnoteReference w:id="2914"/>
      </w:r>
      <w:r>
        <w:t xml:space="preserve">. Un laboratoire a trouvé dans des mélanges tirzépatide-B12 de différents fournisseurs une impureté jusqu’alors inconnue, formée par une réaction chimique entre le tirzépatide et certaines formes de B12 ; ses conséquences pour la santé sont inconnues</w:t>
      </w:r>
      <w:r>
        <w:rPr>
          <w:rStyle w:val="FootnoteReference"/>
        </w:rPr>
        <w:footnoteReference w:id="2915"/>
      </w:r>
      <w:r>
        <w:t xml:space="preserve">.</w:t>
      </w:r>
    </w:p>
    <w:p>
      <w:pPr>
        <w:pStyle w:val="BodyText"/>
      </w:pPr>
      <w:r>
        <w:t xml:space="preserve">Le compounding n’a donc pas disparu, mais s’est déplacé vers une niche dans laquelle des ajouts « personnalisés » fournissent la base juridique. En Europe, il n’existe pas de système comparable.</w:t>
      </w:r>
    </w:p>
    <w:bookmarkEnd w:id="2916"/>
    <w:bookmarkStart w:id="2919" w:name="pénuries-dapprovisionnement"/>
    <w:p>
      <w:pPr>
        <w:pStyle w:val="Heading3"/>
      </w:pPr>
      <w:r>
        <w:t xml:space="preserve">Pénuries d’approvisionnement</w:t>
      </w:r>
    </w:p>
    <w:p>
      <w:pPr>
        <w:pStyle w:val="FirstParagraph"/>
      </w:pPr>
      <w:r>
        <w:t xml:space="preserve">À partir de 2022, la demande de sémaglutide, puis de tirzépatide, a dépassé la production. Des personnes atteintes de diabète de type 2 n’ont temporairement pas pu obtenir leurs médicaments. En Allemagne et en Autriche, les autorités et les sociétés savantes ont appelé à réserver Ozempic aux personnes atteintes de diabète de type 2 et à ne pas le prescrire uniquement pour perdre du poids.</w:t>
      </w:r>
    </w:p>
    <w:p>
      <w:pPr>
        <w:pStyle w:val="BodyText"/>
      </w:pPr>
      <w:r>
        <w:t xml:space="preserve">Quelle était la part des prescriptions hors autorisation ? Une étude de registre nationale danoise apporte une réponse. Le nombre de nouveaux utilisateurs d’Ozempic a fortement augmenté à partir de 2022, jusqu’à un pic de 10 pour 1 000 adultes par an début 2023. En 2022, un tiers des nouveaux utilisateurs n’avaient pas de diabète de type 2 documenté ; en 2023, cette proportion a de nouveau baissé. Les autrices et auteurs en concluent que les prescriptions pour perdre du poids n’expliquent qu’une petite partie de la pénurie</w:t>
      </w:r>
      <w:r>
        <w:rPr>
          <w:rStyle w:val="FootnoteReference"/>
        </w:rPr>
        <w:footnoteReference w:id="2917"/>
      </w:r>
      <w:r>
        <w:t xml:space="preserve">.</w:t>
      </w:r>
    </w:p>
    <w:p>
      <w:pPr>
        <w:pStyle w:val="BodyText"/>
      </w:pPr>
      <w:r>
        <w:t xml:space="preserve">Les pénuries ont des conséquences directes sur le traitement. Dans une étude américaine portant sur 288 personnes ayant arrêté le sémaglutide ou le tirzépatide pris pour perdre du poids au cours de la première année, 11,8 % ont cité les pénuries comme raison principale. Les plus fréquents étaient toutefois les problèmes de coût ou d’assurance (47,6 %), suivis des effets indésirables (14,6 %) ; 2,4 % sont passés à une préparation magistrale</w:t>
      </w:r>
      <w:r>
        <w:rPr>
          <w:rStyle w:val="FootnoteReference"/>
        </w:rPr>
        <w:footnoteReference w:id="2918"/>
      </w:r>
      <w:r>
        <w:t xml:space="preserve">.</w:t>
      </w:r>
    </w:p>
    <w:p>
      <w:pPr>
        <w:pStyle w:val="BodyText"/>
      </w:pPr>
      <w:r>
        <w:t xml:space="preserve">Les fabricants ont depuis fortement augmenté leurs capacités de production, et les pénuries officielles sont considérées comme terminées aux États-Unis. En Europe, la situation varie selon la préparation et le pays.</w:t>
      </w:r>
    </w:p>
    <w:bookmarkEnd w:id="2919"/>
    <w:bookmarkStart w:id="2924" w:name="prix-que-vaut-un-médicament-amaigrissant"/>
    <w:p>
      <w:pPr>
        <w:pStyle w:val="Heading3"/>
      </w:pPr>
      <w:r>
        <w:t xml:space="preserve">Prix : que vaut un médicament amaigrissant ?</w:t>
      </w:r>
    </w:p>
    <w:p>
      <w:pPr>
        <w:pStyle w:val="FirstParagraph"/>
      </w:pPr>
      <w:r>
        <w:t xml:space="preserve">Aux États-Unis, les prix catalogue des médicaments GLP-1 sont nettement plus élevés qu’en Europe. Des travaux d’économie de la santé menés aux États-Unis se demandent donc si le bénéfice justifie le prix :</w:t>
      </w:r>
    </w:p>
    <w:p>
      <w:pPr>
        <w:numPr>
          <w:ilvl w:val="0"/>
          <w:numId w:val="1363"/>
        </w:numPr>
        <w:pStyle w:val="Compact"/>
      </w:pPr>
      <w:r>
        <w:t xml:space="preserve">Une modélisation pour les adultes américains a montré que le tirzépatide et le sémaglutide permettraient certes d’éviter sur la vie entière de nombreux cas de diabète et de maladies cardiovasculaires, mais qu’ils n’étaient pas coût-efficaces aux prix nets de l’époque. Pour atteindre un seuil habituel, les prix auraient dû baisser encore de 30,5 % (tirzépatide) et de 81,9 % (sémaglutide)</w:t>
      </w:r>
      <w:r>
        <w:rPr>
          <w:rStyle w:val="FootnoteReference"/>
        </w:rPr>
        <w:footnoteReference w:id="2920"/>
      </w:r>
      <w:r>
        <w:t xml:space="preserve">.</w:t>
      </w:r>
    </w:p>
    <w:p>
      <w:pPr>
        <w:numPr>
          <w:ilvl w:val="0"/>
          <w:numId w:val="1363"/>
        </w:numPr>
        <w:pStyle w:val="Compact"/>
      </w:pPr>
      <w:r>
        <w:t xml:space="preserve">Une méta-analyse de neuf études d’économie de la santé issues de pays à revenu élevé a conclu que les agonistes du récepteur du GLP-1 pour le traitement de l’obésité sans diabète ne sont en général pas coût-efficaces du point de vue des payeurs ; il pourrait en aller autrement dans certains sous-groupes et sur des périodes plus longues</w:t>
      </w:r>
      <w:r>
        <w:rPr>
          <w:rStyle w:val="FootnoteReference"/>
        </w:rPr>
        <w:footnoteReference w:id="2921"/>
      </w:r>
      <w:r>
        <w:t xml:space="preserve">.</w:t>
      </w:r>
    </w:p>
    <w:p>
      <w:pPr>
        <w:numPr>
          <w:ilvl w:val="0"/>
          <w:numId w:val="1363"/>
        </w:numPr>
        <w:pStyle w:val="Compact"/>
      </w:pPr>
      <w:r>
        <w:t xml:space="preserve">Pour les personnes sans diabète ayant déjà eu un infarctus ou un AVC, une modélisation s’est révélée plus favorable : au prix payé par les patients payant eux-mêmes aux États-Unis au moment de l’analyse, le sémaglutide serait coût-efficace dans ce groupe</w:t>
      </w:r>
      <w:r>
        <w:rPr>
          <w:rStyle w:val="FootnoteReference"/>
        </w:rPr>
        <w:footnoteReference w:id="2922"/>
      </w:r>
      <w:r>
        <w:t xml:space="preserve">.</w:t>
      </w:r>
    </w:p>
    <w:p>
      <w:pPr>
        <w:pStyle w:val="FirstParagraph"/>
      </w:pPr>
      <w:r>
        <w:t xml:space="preserve">Ces calculs dépendent fortement des hypothèses de prix, et les prix évoluent. Aux États-Unis, les fabricants ont introduit depuis 2025 des offres directes nettement moins chères pour les patients payant eux-mêmes et ont conclu des accords de prix avec le gouvernement ; le sémaglutide fait en outre l’objet des négociations de prix publiques pour le programme Medicare destiné aux retraités. Une analyse américaine montre à quel point la prise en charge influence l’utilisation : après l’autorisation de Wegovy en mars 2024 pour la réduction du risque cardiovasculaire et sa prise en charge par Medicare pour cette indication, le nombre de boîtes de Wegovy délivrées via Medicare a augmenté de 598,1 % en valeur relative</w:t>
      </w:r>
      <w:r>
        <w:rPr>
          <w:rStyle w:val="FootnoteReference"/>
        </w:rPr>
        <w:footnoteReference w:id="2923"/>
      </w:r>
      <w:r>
        <w:t xml:space="preserve">.</w:t>
      </w:r>
    </w:p>
    <w:p>
      <w:pPr>
        <w:pStyle w:val="BodyText"/>
      </w:pPr>
      <w:r>
        <w:rPr>
          <w:bCs/>
          <w:b/>
        </w:rPr>
        <w:t xml:space="preserve">Appréciation de l’auteur :</w:t>
      </w:r>
      <w:r>
        <w:t xml:space="preserve"> </w:t>
      </w:r>
      <w:r>
        <w:t xml:space="preserve">les prix des médicaments à base de GLP-1 baisseront au cours des prochaines années – grâce aux génériques des substances anciennes, à la concurrence entre fabricants, aux comprimés à base de petites molécules et à la pression politique. C’est dans les pays où les brevets expirent tôt que cela se fera le plus sentir. Dans l’UE, la grande baisse de prix ne devrait intervenir qu’avec les génériques du sémaglutide au début des années 2030.</w:t>
      </w:r>
    </w:p>
    <w:bookmarkEnd w:id="2924"/>
    <w:bookmarkStart w:id="2925" w:name="X6b045d817a8ec74d99e77127f1bead85940900f"/>
    <w:p>
      <w:pPr>
        <w:pStyle w:val="Heading3"/>
      </w:pPr>
      <w:r>
        <w:t xml:space="preserve">Remboursement en Allemagne et en Autriche</w:t>
      </w:r>
    </w:p>
    <w:p>
      <w:pPr>
        <w:pStyle w:val="FirstParagraph"/>
      </w:pPr>
      <w:r>
        <w:rPr>
          <w:bCs/>
          <w:b/>
        </w:rPr>
        <w:t xml:space="preserve">Allemagne :</w:t>
      </w:r>
      <w:r>
        <w:t xml:space="preserve"> </w:t>
      </w:r>
      <w:r>
        <w:t xml:space="preserve">dans le diabète de type 2, l’assurance maladie obligatoire prend en charge les coûts des médicaments GLP-1 autorisés comme Ozempic, Rybelsus, Trulicity ou Mounjaro dans le cadre de l’autorisation. Les médicaments servant principalement à la réduction du poids sont en revanche exclus du remboursement en vertu du § 34 du SGB V ; les assurés de l’assurance obligatoire doivent donc en règle générale payer eux-mêmes Wegovy, Saxenda et Mounjaro destiné à la gestion du poids. La modification de cette règle pour les personnes à haut risque cardiovasculaire fait l’objet de discussions politiques et au sein de l’autogestion du système de santé. Les assurances maladie privées décident selon leurs propres conditions tarifaires.</w:t>
      </w:r>
    </w:p>
    <w:p>
      <w:pPr>
        <w:pStyle w:val="BodyText"/>
      </w:pPr>
      <w:r>
        <w:rPr>
          <w:bCs/>
          <w:b/>
        </w:rPr>
        <w:t xml:space="preserve">Autriche :</w:t>
      </w:r>
      <w:r>
        <w:t xml:space="preserve"> </w:t>
      </w:r>
      <w:r>
        <w:t xml:space="preserve">dans le diabète de type 2, les médicaments GLP-1 sont remboursables, mais la prise en charge est parfois soumise à des conditions ou à une autorisation de la caisse d’assurance maladie. Pour la seule gestion du poids, les coûts ne sont en règle générale pas pris en charge, ou seulement dans des cas exceptionnels.</w:t>
      </w:r>
    </w:p>
    <w:p>
      <w:pPr>
        <w:pStyle w:val="BodyText"/>
      </w:pPr>
      <w:r>
        <w:t xml:space="preserve">Dans les deux pays, la règle est la suivante : le remboursement d’un traitement dépend de l’indication, des résultats d’examens et de la situation juridique actuelle. La ou le médecin traitant et la caisse d’assurance maladie sont les bons interlocuteurs. Une prescription pour perdre du poids avec une préparation autorisée uniquement pour le diabète constitue une utilisation hors autorisation et n’est pas remboursée.</w:t>
      </w:r>
    </w:p>
    <w:bookmarkEnd w:id="2925"/>
    <w:bookmarkStart w:id="2927" w:name="X5ce3115fdc2e1c76668dc566386d582a95ec74b"/>
    <w:p>
      <w:pPr>
        <w:pStyle w:val="Heading3"/>
      </w:pPr>
      <w:r>
        <w:t xml:space="preserve">Ce que cela signifie pour les patientes et les patients</w:t>
      </w:r>
    </w:p>
    <w:p>
      <w:pPr>
        <w:numPr>
          <w:ilvl w:val="0"/>
          <w:numId w:val="1364"/>
        </w:numPr>
        <w:pStyle w:val="Compact"/>
      </w:pPr>
      <w:r>
        <w:rPr>
          <w:bCs/>
          <w:b/>
        </w:rPr>
        <w:t xml:space="preserve">Moins cher ne veut pas dire marché gris.</w:t>
      </w:r>
      <w:r>
        <w:t xml:space="preserve"> </w:t>
      </w:r>
      <w:r>
        <w:t xml:space="preserve">Avec l’expiration des brevets dans d’autres pays, les offres se réclamant de « génériques » vont se multiplier. Pour l’Autriche et l’Allemagne, seules les préparations autorisées dans ces pays et délivrées en pharmacie sont des médicaments contrôlés.</w:t>
      </w:r>
    </w:p>
    <w:p>
      <w:pPr>
        <w:numPr>
          <w:ilvl w:val="0"/>
          <w:numId w:val="1364"/>
        </w:numPr>
        <w:pStyle w:val="Compact"/>
      </w:pPr>
      <w:r>
        <w:rPr>
          <w:bCs/>
          <w:b/>
        </w:rPr>
        <w:t xml:space="preserve">L’arrêt pour des raisons de coût est fréquent – et a des conséquences.</w:t>
      </w:r>
      <w:r>
        <w:t xml:space="preserve"> </w:t>
      </w:r>
      <w:r>
        <w:t xml:space="preserve">Dans la prolongation de STEP 1, un an après l’arrêt du sémaglutide, les participants avaient repris en moyenne deux tiers de leur perte de poids, et les améliorations de la pression artérielle et des valeurs sanguines s’étaient largement estompées</w:t>
      </w:r>
      <w:r>
        <w:rPr>
          <w:rStyle w:val="FootnoteReference"/>
        </w:rPr>
        <w:footnoteReference w:id="2926"/>
      </w:r>
      <w:r>
        <w:t xml:space="preserve">. Si vous envisagez d’arrêter pour des raisons de coût, parlez-en à votre médecin.</w:t>
      </w:r>
    </w:p>
    <w:p>
      <w:pPr>
        <w:numPr>
          <w:ilvl w:val="0"/>
          <w:numId w:val="1364"/>
        </w:numPr>
        <w:pStyle w:val="Compact"/>
      </w:pPr>
      <w:r>
        <w:rPr>
          <w:bCs/>
          <w:b/>
        </w:rPr>
        <w:t xml:space="preserve">Les substances plus anciennes ne sont pas sans valeur.</w:t>
      </w:r>
      <w:r>
        <w:t xml:space="preserve"> </w:t>
      </w:r>
      <w:r>
        <w:t xml:space="preserve">Le liraglutide ou le dulaglutide sont bien étudiés et ont un bénéfice cardiovasculaire démontré dans le diabète de type 2. Le choix de la substance qui convient dans un cas particulier relève d’une décision médicale.</w:t>
      </w:r>
    </w:p>
    <w:bookmarkEnd w:id="2927"/>
    <w:bookmarkStart w:id="2928" w:name="lessentiel-en-bref-10"/>
    <w:p>
      <w:pPr>
        <w:pStyle w:val="Heading3"/>
      </w:pPr>
      <w:r>
        <w:t xml:space="preserve">L’essentiel en bref</w:t>
      </w:r>
    </w:p>
    <w:p>
      <w:pPr>
        <w:numPr>
          <w:ilvl w:val="0"/>
          <w:numId w:val="1365"/>
        </w:numPr>
        <w:pStyle w:val="Compact"/>
      </w:pPr>
      <w:r>
        <w:t xml:space="preserve">En 2026, la protection par brevet du sémaglutide prend fin dans des pays où vit près de la moitié des personnes obèses. Les génériques pourraient y coûter une fraction des prix actuels ; dans l’UE et aux États-Unis, ils ne sont attendus que vers 2031/2032 (à vérifier).</w:t>
      </w:r>
    </w:p>
    <w:p>
      <w:pPr>
        <w:numPr>
          <w:ilvl w:val="0"/>
          <w:numId w:val="1365"/>
        </w:numPr>
        <w:pStyle w:val="Compact"/>
      </w:pPr>
      <w:r>
        <w:t xml:space="preserve">Il existe déjà des génériques du liraglutide ; le tirzépatide et toutes les substances plus récentes resteront probablement protégés par brevet jusque loin dans les années 2030.</w:t>
      </w:r>
    </w:p>
    <w:p>
      <w:pPr>
        <w:numPr>
          <w:ilvl w:val="0"/>
          <w:numId w:val="1365"/>
        </w:numPr>
        <w:pStyle w:val="Compact"/>
      </w:pPr>
      <w:r>
        <w:t xml:space="preserve">Le compounding américain de copies de préparations autorisées a largement pris fin avec la fin des pénuries ; il reste des préparations modifiées contenant des ajouts non contrôlés.</w:t>
      </w:r>
    </w:p>
    <w:p>
      <w:pPr>
        <w:numPr>
          <w:ilvl w:val="0"/>
          <w:numId w:val="1365"/>
        </w:numPr>
        <w:pStyle w:val="Compact"/>
      </w:pPr>
      <w:r>
        <w:t xml:space="preserve">Dans les études, le coût est la raison la plus fréquente d’interrompre un traitement. En Allemagne, les médicaments amaigrissants sont exclus du remboursement ; en Autriche, le remboursement n’est que limité.</w:t>
      </w:r>
    </w:p>
    <w:bookmarkEnd w:id="2928"/>
    <w:bookmarkEnd w:id="2929"/>
    <w:bookmarkStart w:id="2975" w:name="prévisions-2030-à-2035"/>
    <w:p>
      <w:pPr>
        <w:pStyle w:val="Heading2"/>
      </w:pPr>
      <w:r>
        <w:t xml:space="preserve">Prévisions 2030 à 2035</w:t>
      </w:r>
    </w:p>
    <w:p>
      <w:pPr>
        <w:pStyle w:val="FirstParagraph"/>
      </w:pPr>
      <w:r>
        <w:t xml:space="preserve">Les prévisions en médecine ont un piètre bilan. Ce livre en donne aussi des exemples : des expérimentations animales et des données observationnelles avaient fait espérer que les médicaments GLP-1 freineraient le déclin cognitif dans la maladie d’Alzheimer. Dans les deux études de phase 3 evoke et evoke+, totalisant 3 808 participants, la maladie a pourtant progressé aussi vite sous comprimés de sémaglutide que sous placebo</w:t>
      </w:r>
      <w:r>
        <w:rPr>
          <w:rStyle w:val="FootnoteReference"/>
        </w:rPr>
        <w:footnoteReference w:id="2930"/>
      </w:r>
      <w:r>
        <w:t xml:space="preserve">. Dans la maladie de Parkinson, l’étude de phase 3 Exenatide-PD3, portant sur 194 participants, n’a trouvé aucun indice que l’exénatide ralentisse la progression</w:t>
      </w:r>
      <w:r>
        <w:rPr>
          <w:rStyle w:val="FootnoteReference"/>
        </w:rPr>
        <w:footnoteReference w:id="2931"/>
      </w:r>
      <w:r>
        <w:t xml:space="preserve">.</w:t>
      </w:r>
    </w:p>
    <w:p>
      <w:pPr>
        <w:pStyle w:val="BodyText"/>
      </w:pPr>
      <w:r>
        <w:t xml:space="preserve">Ce chapitre fait donc, dans chaque section, une distinction stricte :</w:t>
      </w:r>
    </w:p>
    <w:p>
      <w:pPr>
        <w:numPr>
          <w:ilvl w:val="0"/>
          <w:numId w:val="1366"/>
        </w:numPr>
        <w:pStyle w:val="Compact"/>
      </w:pPr>
      <w:r>
        <w:rPr>
          <w:bCs/>
          <w:b/>
        </w:rPr>
        <w:t xml:space="preserve">Établi :</w:t>
      </w:r>
      <w:r>
        <w:t xml:space="preserve"> </w:t>
      </w:r>
      <w:r>
        <w:t xml:space="preserve">ce qui est inscrit dans les registres d’études (avec une date de fin prévue), ce qui est publié dans des études évaluées par des pairs et ce que les autorités ont décidé. Même ce qui est établi peut changer – les dates de fin se décalent, des études sont interrompues.</w:t>
      </w:r>
    </w:p>
    <w:p>
      <w:pPr>
        <w:numPr>
          <w:ilvl w:val="0"/>
          <w:numId w:val="1366"/>
        </w:numPr>
        <w:pStyle w:val="Compact"/>
      </w:pPr>
      <w:r>
        <w:rPr>
          <w:bCs/>
          <w:b/>
        </w:rPr>
        <w:t xml:space="preserve">Appréciation de l’auteur :</w:t>
      </w:r>
      <w:r>
        <w:t xml:space="preserve"> </w:t>
      </w:r>
      <w:r>
        <w:t xml:space="preserve">une attente argumentée, qui peut se révéler fausse. Elle est signalée comme telle et justifiée à chaque fois.</w:t>
      </w:r>
    </w:p>
    <w:p>
      <w:pPr>
        <w:pStyle w:val="FirstParagraph"/>
      </w:pPr>
      <w:r>
        <w:t xml:space="preserve">Les données des registres reflètent la situation d’octobre 2026.</w:t>
      </w:r>
    </w:p>
    <w:bookmarkStart w:id="2941" w:name="groupe-a-métabolisme-et-poids"/>
    <w:p>
      <w:pPr>
        <w:pStyle w:val="Heading3"/>
      </w:pPr>
      <w:r>
        <w:t xml:space="preserve">Groupe A – Métabolisme et poids</w:t>
      </w:r>
    </w:p>
    <w:p>
      <w:pPr>
        <w:pStyle w:val="FirstParagraph"/>
      </w:pPr>
      <w:r>
        <w:rPr>
          <w:bCs/>
          <w:b/>
        </w:rPr>
        <w:t xml:space="preserve">Établi :</w:t>
      </w:r>
    </w:p>
    <w:p>
      <w:pPr>
        <w:numPr>
          <w:ilvl w:val="0"/>
          <w:numId w:val="1367"/>
        </w:numPr>
        <w:pStyle w:val="Compact"/>
      </w:pPr>
      <w:r>
        <w:t xml:space="preserve">D’ici 2032, au moins neuf grandes études de critères cliniques et hépatiques s’achèveront : SURMOUNT-MMO sur le tirzépatide</w:t>
      </w:r>
      <w:r>
        <w:rPr>
          <w:rStyle w:val="FootnoteReference"/>
        </w:rPr>
        <w:footnoteReference w:id="2932"/>
      </w:r>
      <w:r>
        <w:t xml:space="preserve"> </w:t>
      </w:r>
      <w:r>
        <w:t xml:space="preserve">et REDEFINE 3 sur CagriSema</w:t>
      </w:r>
      <w:r>
        <w:rPr>
          <w:rStyle w:val="FootnoteReference"/>
        </w:rPr>
        <w:footnoteReference w:id="2933"/>
      </w:r>
      <w:r>
        <w:t xml:space="preserve"> </w:t>
      </w:r>
      <w:r>
        <w:t xml:space="preserve">en 2027, TRIUMPH-Outcomes sur le rétatrutide</w:t>
      </w:r>
      <w:r>
        <w:rPr>
          <w:rStyle w:val="FootnoteReference"/>
        </w:rPr>
        <w:footnoteReference w:id="2934"/>
      </w:r>
      <w:r>
        <w:t xml:space="preserve"> </w:t>
      </w:r>
      <w:r>
        <w:t xml:space="preserve">et LIVERAGE-Cirrhosis sur le survodutide</w:t>
      </w:r>
      <w:r>
        <w:rPr>
          <w:rStyle w:val="FootnoteReference"/>
        </w:rPr>
        <w:footnoteReference w:id="2935"/>
      </w:r>
      <w:r>
        <w:t xml:space="preserve"> </w:t>
      </w:r>
      <w:r>
        <w:t xml:space="preserve">en 2029, MARITIME-CV et MARITIME-HF sur le maridebart cafraglutide</w:t>
      </w:r>
      <w:r>
        <w:rPr>
          <w:rStyle w:val="FootnoteReference"/>
        </w:rPr>
        <w:footnoteReference w:id="2936"/>
      </w:r>
      <w:r>
        <w:t xml:space="preserve"> </w:t>
      </w:r>
      <w:r>
        <w:t xml:space="preserve">ainsi qu’AMBIENCE sur le zénagamtide</w:t>
      </w:r>
      <w:r>
        <w:rPr>
          <w:rStyle w:val="FootnoteReference"/>
        </w:rPr>
        <w:footnoteReference w:id="2937"/>
      </w:r>
      <w:r>
        <w:t xml:space="preserve"> </w:t>
      </w:r>
      <w:r>
        <w:t xml:space="preserve">en 2030, ATTAIN-Outcomes sur l’orforglipron</w:t>
      </w:r>
      <w:r>
        <w:rPr>
          <w:rStyle w:val="FootnoteReference"/>
        </w:rPr>
        <w:footnoteReference w:id="2938"/>
      </w:r>
      <w:r>
        <w:t xml:space="preserve"> </w:t>
      </w:r>
      <w:r>
        <w:t xml:space="preserve">en 2031 et SYNERGY-Outcomes sur le tirzépatide et le rétatrutide</w:t>
      </w:r>
      <w:r>
        <w:rPr>
          <w:rStyle w:val="FootnoteReference"/>
        </w:rPr>
        <w:footnoteReference w:id="2939"/>
      </w:r>
      <w:r>
        <w:t xml:space="preserve"> </w:t>
      </w:r>
      <w:r>
        <w:t xml:space="preserve">en 2032.</w:t>
      </w:r>
    </w:p>
    <w:p>
      <w:pPr>
        <w:numPr>
          <w:ilvl w:val="0"/>
          <w:numId w:val="1367"/>
        </w:numPr>
        <w:pStyle w:val="Compact"/>
      </w:pPr>
      <w:r>
        <w:t xml:space="preserve">Des substances à base d’amyline seule sont en phase 3 : l’éloralintide (ENLIGHTEN-1, NCT07321886, fin 2030) et le pétrélintide (ZUPREME-3, NCT07843498, fin 2029).</w:t>
      </w:r>
    </w:p>
    <w:p>
      <w:pPr>
        <w:numPr>
          <w:ilvl w:val="0"/>
          <w:numId w:val="1367"/>
        </w:numPr>
        <w:pStyle w:val="Compact"/>
      </w:pPr>
      <w:r>
        <w:t xml:space="preserve">Pour CagriSema et l’orforglipron, des demandes d’autorisation ont été déposées ou annoncées selon les chapitres correspondants ; pour le rétatrutide, elles sont attendues après l’achèvement de TRIUMPH-1 et TRIUMPH-2 (état octobre 2026, à vérifier).</w:t>
      </w:r>
    </w:p>
    <w:p>
      <w:pPr>
        <w:numPr>
          <w:ilvl w:val="0"/>
          <w:numId w:val="1367"/>
        </w:numPr>
        <w:pStyle w:val="Compact"/>
      </w:pPr>
      <w:r>
        <w:t xml:space="preserve">Dans douze pays, la protection par brevet du sémaglutide prend fin en 2026, dont de grands marchés hors de l’UE et des États-Unis</w:t>
      </w:r>
      <w:r>
        <w:rPr>
          <w:rStyle w:val="FootnoteReference"/>
        </w:rPr>
        <w:footnoteReference w:id="2940"/>
      </w:r>
      <w:r>
        <w:t xml:space="preserve">. Dans l’UE et aux États-Unis, les génériques sont attendus vers 2031/2032.</w:t>
      </w:r>
    </w:p>
    <w:p>
      <w:pPr>
        <w:pStyle w:val="FirstParagraph"/>
      </w:pPr>
      <w:r>
        <w:rPr>
          <w:bCs/>
          <w:b/>
        </w:rPr>
        <w:t xml:space="preserve">Appréciation de l’auteur :</w:t>
      </w:r>
      <w:r>
        <w:t xml:space="preserve"> </w:t>
      </w:r>
      <w:r>
        <w:t xml:space="preserve">d’ici 2030, plusieurs nouvelles classes de substances seront probablement autorisées dans l’UE – au moins une association avec l’amyline, un triple agoniste et une petite molécule en comprimé. Justification : les programmes de phase 3 sont bien avancés, les résultats publiés jusqu’ici sont clairement positifs, et les fabricants ont déposé ou annoncé des demandes d’autorisation. Une perte de poids moyenne de 20 à 25 % dans les études ne devrait alors plus être l’exception. Mais plus important qu’un nouveau record sera la question de savoir quelle substance convient à quelle personne : qui a surtout besoin d’une protection cardiaque, qui a une stéatose hépatique, qui veut éviter les injections, qui tolère mal les effets indésirables. Entre 2030 et 2035, je m’attends à une nette baisse des prix du sémaglutide en Europe grâce aux génériques, tandis que les substances les plus récentes resteront chères. Je considère comme réel le risque d’une prise en charge à deux vitesses – les médicaments les plus puissants pour ceux qui paient eux-mêmes, les plus anciens pour tous les autres.</w:t>
      </w:r>
    </w:p>
    <w:bookmarkEnd w:id="2941"/>
    <w:bookmarkStart w:id="2944" w:name="X6da4197a983d2431cf68b8e5c5c97d7d6e51afb"/>
    <w:p>
      <w:pPr>
        <w:pStyle w:val="Heading3"/>
      </w:pPr>
      <w:r>
        <w:t xml:space="preserve">Groupe B – Guérison, régénération et système immunitaire</w:t>
      </w:r>
    </w:p>
    <w:p>
      <w:pPr>
        <w:pStyle w:val="FirstParagraph"/>
      </w:pPr>
      <w:r>
        <w:rPr>
          <w:bCs/>
          <w:b/>
        </w:rPr>
        <w:t xml:space="preserve">Établi :</w:t>
      </w:r>
    </w:p>
    <w:p>
      <w:pPr>
        <w:numPr>
          <w:ilvl w:val="0"/>
          <w:numId w:val="1368"/>
        </w:numPr>
        <w:pStyle w:val="Compact"/>
      </w:pPr>
      <w:r>
        <w:t xml:space="preserve">L’étude de phase 3 sur la thymosine alpha 1 après chirurgie d’un cancer colorectal, portant sur 2 500 participants, doit s’achever en mars 2027</w:t>
      </w:r>
      <w:r>
        <w:rPr>
          <w:rStyle w:val="FootnoteReference"/>
        </w:rPr>
        <w:footnoteReference w:id="2942"/>
      </w:r>
      <w:r>
        <w:t xml:space="preserve">.</w:t>
      </w:r>
    </w:p>
    <w:p>
      <w:pPr>
        <w:numPr>
          <w:ilvl w:val="0"/>
          <w:numId w:val="1368"/>
        </w:numPr>
        <w:pStyle w:val="Compact"/>
      </w:pPr>
      <w:r>
        <w:t xml:space="preserve">L’étude de phase 3 SEER-2 avec un collyre de thymosine bêta 4 dans la kératopathie neurotrophique était terminée en mai 2026 selon le registre ; aucun résultat n’était disponible en octobre 2026</w:t>
      </w:r>
      <w:r>
        <w:rPr>
          <w:rStyle w:val="FootnoteReference"/>
        </w:rPr>
        <w:footnoteReference w:id="2943"/>
      </w:r>
      <w:r>
        <w:t xml:space="preserve">.</w:t>
      </w:r>
    </w:p>
    <w:p>
      <w:pPr>
        <w:numPr>
          <w:ilvl w:val="0"/>
          <w:numId w:val="1368"/>
        </w:numPr>
        <w:pStyle w:val="Compact"/>
      </w:pPr>
      <w:r>
        <w:t xml:space="preserve">Une étude chinoise de phase 2 avec de la thymosine bêta 4 recombinante après un infarctus du myocarde est prévue (NCT07586865, 189 participants, fin en mai 2028).</w:t>
      </w:r>
    </w:p>
    <w:p>
      <w:pPr>
        <w:numPr>
          <w:ilvl w:val="0"/>
          <w:numId w:val="1368"/>
        </w:numPr>
        <w:pStyle w:val="Compact"/>
      </w:pPr>
      <w:r>
        <w:t xml:space="preserve">Pour le BPC-157, une petite étude randomisée portant sur 30 participants après une chirurgie de l’épaule est enregistrée, mais n’a pas encore commencé (NCT07803250, fin prévue en août 2027).</w:t>
      </w:r>
    </w:p>
    <w:p>
      <w:pPr>
        <w:pStyle w:val="FirstParagraph"/>
      </w:pPr>
      <w:r>
        <w:rPr>
          <w:bCs/>
          <w:b/>
        </w:rPr>
        <w:t xml:space="preserve">Appréciation de l’auteur :</w:t>
      </w:r>
      <w:r>
        <w:t xml:space="preserve"> </w:t>
      </w:r>
      <w:r>
        <w:t xml:space="preserve">je considère qu’une autorisation du BPC-157, du TB-500 ou du KPV dans l’UE d’ici 2035 est très improbable. Justification : il n’existe aucun programme de phase 2 ou de phase 3, aucun fabricant ayant un intérêt visible pour une autorisation, et même un résultat positif de la petite étude sur l’épaule ne serait qu’un premier indice. Plus réaliste est une autorisation de niche pour le collyre de thymosine bêta 4 dans une maladie rare de la cornée, si SEER-2 est positive. La thymosine alpha 1 pourrait jouer un rôle plus important en Chine dans le suivi après cancer si l’étude sur le cancer colorectal est positive – mais avec des réserves en raison de l’absence de double aveugle.</w:t>
      </w:r>
    </w:p>
    <w:bookmarkEnd w:id="2944"/>
    <w:bookmarkStart w:id="2946" w:name="groupe-c-axe-de-lhormone-de-croissance"/>
    <w:p>
      <w:pPr>
        <w:pStyle w:val="Heading3"/>
      </w:pPr>
      <w:r>
        <w:t xml:space="preserve">Groupe C – Axe de l’hormone de croissance</w:t>
      </w:r>
    </w:p>
    <w:p>
      <w:pPr>
        <w:pStyle w:val="FirstParagraph"/>
      </w:pPr>
      <w:r>
        <w:rPr>
          <w:bCs/>
          <w:b/>
        </w:rPr>
        <w:t xml:space="preserve">Établi :</w:t>
      </w:r>
    </w:p>
    <w:p>
      <w:pPr>
        <w:numPr>
          <w:ilvl w:val="0"/>
          <w:numId w:val="1369"/>
        </w:numPr>
        <w:pStyle w:val="Compact"/>
      </w:pPr>
      <w:r>
        <w:t xml:space="preserve">L’ibutamorène (pas un peptide) est testé sous le nom de LUM-201 dans une étude de phase 3 portant sur 150 enfants présentant un déficit en hormone de croissance (NCT06948214, fin en janvier 2028). Une étude de phase 2 portant sur 202 personnes âgées obèses doit examiner le LUM-201 en complément du sémaglutide (NCT07754045, fin en février 2028).</w:t>
      </w:r>
    </w:p>
    <w:p>
      <w:pPr>
        <w:numPr>
          <w:ilvl w:val="0"/>
          <w:numId w:val="1369"/>
        </w:numPr>
        <w:pStyle w:val="Compact"/>
      </w:pPr>
      <w:r>
        <w:t xml:space="preserve">Le registre à long terme sur la mécasermine se poursuit jusqu’à fin 2027</w:t>
      </w:r>
      <w:r>
        <w:rPr>
          <w:rStyle w:val="FootnoteReference"/>
        </w:rPr>
        <w:footnoteReference w:id="2945"/>
      </w:r>
      <w:r>
        <w:t xml:space="preserve">.</w:t>
      </w:r>
    </w:p>
    <w:p>
      <w:pPr>
        <w:numPr>
          <w:ilvl w:val="0"/>
          <w:numId w:val="1369"/>
        </w:numPr>
        <w:pStyle w:val="Compact"/>
      </w:pPr>
      <w:r>
        <w:t xml:space="preserve">Pour la sermoréline, le CJC-1295, l’ipamoréline, le GHRP-2, le GHRP-6, l’hexaréline et l’IGF-1 LR3, aucune étude en cours n’est enregistrée (voir les chapitres correspondants).</w:t>
      </w:r>
    </w:p>
    <w:p>
      <w:pPr>
        <w:pStyle w:val="FirstParagraph"/>
      </w:pPr>
      <w:r>
        <w:rPr>
          <w:bCs/>
          <w:b/>
        </w:rPr>
        <w:t xml:space="preserve">Appréciation de l’auteur :</w:t>
      </w:r>
      <w:r>
        <w:t xml:space="preserve"> </w:t>
      </w:r>
      <w:r>
        <w:t xml:space="preserve">je considère qu’une nouvelle autorisation d’un peptide libérant l’hormone de croissance chez l’adulte d’ici 2035 est improbable. Justification : les substances sont anciennes, difficilement brevetables, et les questions de sécurité liées à des taux d’IGF-1 durablement élevés (voir partie IV) rendent les grandes études coûteuses et risquées. Une autre tendance est intéressante : comme une forte perte de poids coûte aussi du muscle, l’axe de l’hormone de croissance pourrait susciter un regain d’attention comme protection musculaire possible – l’étude associant LUM-201 et sémaglutide en est un premier exemple. Qu’il en résulte un bénéfice reste totalement ouvert.</w:t>
      </w:r>
    </w:p>
    <w:bookmarkEnd w:id="2946"/>
    <w:bookmarkStart w:id="2950" w:name="groupe-d-cerveau-sommeil-et-longévité"/>
    <w:p>
      <w:pPr>
        <w:pStyle w:val="Heading3"/>
      </w:pPr>
      <w:r>
        <w:t xml:space="preserve">Groupe D – Cerveau, sommeil et longévité</w:t>
      </w:r>
    </w:p>
    <w:p>
      <w:pPr>
        <w:pStyle w:val="FirstParagraph"/>
      </w:pPr>
      <w:r>
        <w:rPr>
          <w:bCs/>
          <w:b/>
        </w:rPr>
        <w:t xml:space="preserve">Établi :</w:t>
      </w:r>
    </w:p>
    <w:p>
      <w:pPr>
        <w:numPr>
          <w:ilvl w:val="0"/>
          <w:numId w:val="1370"/>
        </w:numPr>
        <w:pStyle w:val="Compact"/>
      </w:pPr>
      <w:r>
        <w:t xml:space="preserve">L’élamipretide (SS-31) est autorisé aux États-Unis depuis septembre 2025 selon une procédure accélérée dans le syndrome de Barth, sous réserve d’une étude de confirmation (4TAZPower, NCT07531251, fin en novembre 2029). L’étude de phase 3 ReNEW dans la dégénérescence maculaire sèche doit s’achever en septembre 2027</w:t>
      </w:r>
      <w:r>
        <w:rPr>
          <w:rStyle w:val="FootnoteReference"/>
        </w:rPr>
        <w:footnoteReference w:id="2947"/>
      </w:r>
      <w:r>
        <w:t xml:space="preserve">.</w:t>
      </w:r>
    </w:p>
    <w:p>
      <w:pPr>
        <w:numPr>
          <w:ilvl w:val="0"/>
          <w:numId w:val="1370"/>
        </w:numPr>
        <w:pStyle w:val="Compact"/>
      </w:pPr>
      <w:r>
        <w:t xml:space="preserve">Pour le Cerebrolysin, seules des études de plus petite taille sont en cours, par exemple dans le CADASIL</w:t>
      </w:r>
      <w:r>
        <w:rPr>
          <w:rStyle w:val="FootnoteReference"/>
        </w:rPr>
        <w:footnoteReference w:id="2948"/>
      </w:r>
      <w:r>
        <w:t xml:space="preserve">.</w:t>
      </w:r>
    </w:p>
    <w:p>
      <w:pPr>
        <w:numPr>
          <w:ilvl w:val="0"/>
          <w:numId w:val="1370"/>
        </w:numPr>
        <w:pStyle w:val="Compact"/>
      </w:pPr>
      <w:r>
        <w:t xml:space="preserve">Pour le Semax, le Selank, le Dihexa, le DSIP, le Pinealon, l’humanine, le FOXO4-DRI et le MOTS-c, aucune étude enregistrée de manière fiable portant sur l’administration de la substance n’est répertoriée. Pour l’Epitalon, il n’existe qu’une étude non contrôlée dans laquelle il est l’un des cinq composants d’un sérum cutané</w:t>
      </w:r>
      <w:r>
        <w:rPr>
          <w:rStyle w:val="FootnoteReference"/>
        </w:rPr>
        <w:footnoteReference w:id="2949"/>
      </w:r>
      <w:r>
        <w:t xml:space="preserve">.</w:t>
      </w:r>
    </w:p>
    <w:p>
      <w:pPr>
        <w:numPr>
          <w:ilvl w:val="0"/>
          <w:numId w:val="1370"/>
        </w:numPr>
        <w:pStyle w:val="Compact"/>
      </w:pPr>
      <w:r>
        <w:t xml:space="preserve">Aux États-Unis, le classement de plusieurs de ces peptides pour les préparations magistrales est en cours de réévaluation (voir les chapitres Semax et Dihexa ; Willis 2026, PMID 42752426).</w:t>
      </w:r>
    </w:p>
    <w:p>
      <w:pPr>
        <w:pStyle w:val="FirstParagraph"/>
      </w:pPr>
      <w:r>
        <w:rPr>
          <w:bCs/>
          <w:b/>
        </w:rPr>
        <w:t xml:space="preserve">Appréciation de l’auteur :</w:t>
      </w:r>
      <w:r>
        <w:t xml:space="preserve"> </w:t>
      </w:r>
      <w:r>
        <w:t xml:space="preserve">les peptides de longévité resteront probablement d’ici 2035 ce qu’ils sont aujourd’hui : des substances avec des données animales intéressantes et une forte demande en ligne, mais sans preuve d’un bénéfice chez l’humain. Justification : les études sur le « vieillissement en bonne santé » nécessitent de nombreuses années et des critères clairs, qui n’existent encore guère dans ce domaine ; aucun fabricant n’a de programme visible. Si les autorités américaines autorisaient certains peptides pour les préparations magistrales, cela en augmenterait la diffusion sans améliorer les données. L’élamipretide est la seule substance de ce groupe ayant une voie réaliste vers une autorisation plus large, et encore uniquement si ReNEW est positive.</w:t>
      </w:r>
    </w:p>
    <w:bookmarkEnd w:id="2950"/>
    <w:bookmarkStart w:id="2952" w:name="X996fa6ec97e5f06dfc6227a628b9037db809be0"/>
    <w:p>
      <w:pPr>
        <w:pStyle w:val="Heading3"/>
      </w:pPr>
      <w:r>
        <w:t xml:space="preserve">Groupe E – Hormones, sexualité et pigmentation</w:t>
      </w:r>
    </w:p>
    <w:p>
      <w:pPr>
        <w:pStyle w:val="FirstParagraph"/>
      </w:pPr>
      <w:r>
        <w:rPr>
          <w:bCs/>
          <w:b/>
        </w:rPr>
        <w:t xml:space="preserve">Établi :</w:t>
      </w:r>
    </w:p>
    <w:p>
      <w:pPr>
        <w:numPr>
          <w:ilvl w:val="0"/>
          <w:numId w:val="1371"/>
        </w:numPr>
        <w:pStyle w:val="Compact"/>
      </w:pPr>
      <w:r>
        <w:t xml:space="preserve">L’étude de phase 3 sur l’afamélanotide dans le vitiligo, portant sur 200 participants, était terminée en juin 2026 selon le registre ; aucun résultat évalué par des pairs n’était disponible en octobre 2026</w:t>
      </w:r>
      <w:r>
        <w:rPr>
          <w:rStyle w:val="FootnoteReference"/>
        </w:rPr>
        <w:footnoteReference w:id="2951"/>
      </w:r>
      <w:r>
        <w:t xml:space="preserve">.</w:t>
      </w:r>
    </w:p>
    <w:p>
      <w:pPr>
        <w:numPr>
          <w:ilvl w:val="0"/>
          <w:numId w:val="1371"/>
        </w:numPr>
        <w:pStyle w:val="Compact"/>
      </w:pPr>
      <w:r>
        <w:t xml:space="preserve">La kisspeptine est étudiée dans de petites études de phase 2 dans le déficit hormonal congénital (NCT05896293, fin en mai 2028) et dans l’aménorrhée hypothalamique (NCT07224438, fin en mai 2030).</w:t>
      </w:r>
    </w:p>
    <w:p>
      <w:pPr>
        <w:numPr>
          <w:ilvl w:val="0"/>
          <w:numId w:val="1371"/>
        </w:numPr>
        <w:pStyle w:val="Compact"/>
      </w:pPr>
      <w:r>
        <w:t xml:space="preserve">L’ocytocine en spray nasal est testée en complément d’une thérapie de couple dans le trouble de stress post-traumatique chez 240 participants (NCT06194851, fin en septembre 2028).</w:t>
      </w:r>
    </w:p>
    <w:p>
      <w:pPr>
        <w:pStyle w:val="FirstParagraph"/>
      </w:pPr>
      <w:r>
        <w:rPr>
          <w:bCs/>
          <w:b/>
        </w:rPr>
        <w:t xml:space="preserve">Appréciation de l’auteur :</w:t>
      </w:r>
      <w:r>
        <w:t xml:space="preserve"> </w:t>
      </w:r>
      <w:r>
        <w:t xml:space="preserve">le plus envisageable d’ici 2030 est une extension de l’autorisation de l’afamélanotide au vitiligo – si l’étude de phase 3 est positive. La kisspeptine devrait rester un outil de recherche et de diagnostic ; une autorisation d’ici 2035 suppose de plus grandes études comparatives, qui font défaut jusqu’à présent. Pour l’ocytocine en spray nasal, je ne m’attends à aucune autorisation dans l’autisme ou l’anxiété sociale, tout au plus à des preuves pour des usages étroitement délimités en association avec une psychothérapie. Le Melanotan II reste un produit du marché gris.</w:t>
      </w:r>
    </w:p>
    <w:bookmarkEnd w:id="2952"/>
    <w:bookmarkStart w:id="2953" w:name="Xcd31beb61376430e6c7864701d566ce8308329d"/>
    <w:p>
      <w:pPr>
        <w:pStyle w:val="Heading3"/>
      </w:pPr>
      <w:r>
        <w:t xml:space="preserve">Groupe F – Collagène, nutrition et cosmétique</w:t>
      </w:r>
    </w:p>
    <w:p>
      <w:pPr>
        <w:pStyle w:val="FirstParagraph"/>
      </w:pPr>
      <w:r>
        <w:rPr>
          <w:bCs/>
          <w:b/>
        </w:rPr>
        <w:t xml:space="preserve">Établi :</w:t>
      </w:r>
    </w:p>
    <w:p>
      <w:pPr>
        <w:numPr>
          <w:ilvl w:val="0"/>
          <w:numId w:val="1372"/>
        </w:numPr>
        <w:pStyle w:val="Compact"/>
      </w:pPr>
      <w:r>
        <w:t xml:space="preserve">Une étude contrôlée contre placebo portant sur 204 participants teste l’hydrolysat de collagène dans l’arthrose du genou, avec la douleur comme critère principal (NCT04998188, fin en décembre 2027).</w:t>
      </w:r>
    </w:p>
    <w:p>
      <w:pPr>
        <w:numPr>
          <w:ilvl w:val="0"/>
          <w:numId w:val="1372"/>
        </w:numPr>
        <w:pStyle w:val="Compact"/>
      </w:pPr>
      <w:r>
        <w:t xml:space="preserve">Une étude de phase 1/2 portant sur 144 participants examine la carnosine dans l’artériopathie oblitérante des membres inférieurs, avec la distance de marche en six minutes comme critère principal (NCT06480760, fin en octobre 2028).</w:t>
      </w:r>
    </w:p>
    <w:p>
      <w:pPr>
        <w:numPr>
          <w:ilvl w:val="0"/>
          <w:numId w:val="1372"/>
        </w:numPr>
        <w:pStyle w:val="Compact"/>
      </w:pPr>
      <w:r>
        <w:t xml:space="preserve">Pour les lactotripeptides, le Matrixyl et l’Argireline, aucune étude en cours n’est enregistrée.</w:t>
      </w:r>
    </w:p>
    <w:p>
      <w:pPr>
        <w:pStyle w:val="FirstParagraph"/>
      </w:pPr>
      <w:r>
        <w:rPr>
          <w:bCs/>
          <w:b/>
        </w:rPr>
        <w:t xml:space="preserve">Appréciation de l’auteur :</w:t>
      </w:r>
      <w:r>
        <w:t xml:space="preserve"> </w:t>
      </w:r>
      <w:r>
        <w:t xml:space="preserve">ce groupe restera dans le domaine de l’alimentation et de la cosmétique ; aucune autorisation de médicament n’est à attendre, car les produits sont déjà en vente libre et personne n’aurait intérêt à supporter les coûts d’un programme d’autorisation. Ce qui pourrait changer, c’est la qualité des preuves : des études à financement indépendant et enregistrées au préalable, comme celle sur l’arthrose du genou, montreront si les petits effets observés dans des études financées par les fabricants se confirment. Je m’attends à ce que les effets soient plutôt plus faibles dans de telles études.</w:t>
      </w:r>
    </w:p>
    <w:bookmarkEnd w:id="2953"/>
    <w:bookmarkStart w:id="2972" w:name="thèmes-transversaux"/>
    <w:p>
      <w:pPr>
        <w:pStyle w:val="Heading3"/>
      </w:pPr>
      <w:r>
        <w:t xml:space="preserve">Thèmes transversaux</w:t>
      </w:r>
    </w:p>
    <w:bookmarkStart w:id="2955" w:name="données-à-long-terme"/>
    <w:p>
      <w:pPr>
        <w:pStyle w:val="Heading4"/>
      </w:pPr>
      <w:r>
        <w:t xml:space="preserve">Données à long terme</w:t>
      </w:r>
    </w:p>
    <w:p>
      <w:pPr>
        <w:pStyle w:val="FirstParagraph"/>
      </w:pPr>
      <w:r>
        <w:rPr>
          <w:bCs/>
          <w:b/>
        </w:rPr>
        <w:t xml:space="preserve">Établi :</w:t>
      </w:r>
      <w:r>
        <w:t xml:space="preserve"> </w:t>
      </w:r>
      <w:r>
        <w:t xml:space="preserve">la ligne directrice de l’OMS sur les traitements GLP-1 dans l’obésité ne formule qu’une recommandation conditionnelle et cite les données limitées à long terme parmi les raisons</w:t>
      </w:r>
      <w:r>
        <w:rPr>
          <w:rStyle w:val="FootnoteReference"/>
        </w:rPr>
        <w:footnoteReference w:id="2954"/>
      </w:r>
      <w:r>
        <w:t xml:space="preserve">. Les études de critères cliniques en cours suivent leurs participants pendant plusieurs années, mais presque aucune pendant dix ans.</w:t>
      </w:r>
    </w:p>
    <w:p>
      <w:pPr>
        <w:pStyle w:val="BodyText"/>
      </w:pPr>
      <w:r>
        <w:rPr>
          <w:bCs/>
          <w:b/>
        </w:rPr>
        <w:t xml:space="preserve">Appréciation de l’auteur :</w:t>
      </w:r>
      <w:r>
        <w:t xml:space="preserve"> </w:t>
      </w:r>
      <w:r>
        <w:t xml:space="preserve">d’ici 2035, les données à dix ans proviendront surtout de registres nationaux et de données d’assurance maladie, et non d’études randomisées. Elles permettront de mieux saisir les effets indésirables rares, mais distingueront plus difficilement la cause et l’effet. Chez les enfants et les adolescents, pour lesquels plusieurs études se poursuivent jusqu’au début des années 2030, la question des conséquences à long terme est particulièrement pressante.</w:t>
      </w:r>
    </w:p>
    <w:bookmarkEnd w:id="2955"/>
    <w:bookmarkStart w:id="2960" w:name="traitement-dentretien"/>
    <w:p>
      <w:pPr>
        <w:pStyle w:val="Heading4"/>
      </w:pPr>
      <w:r>
        <w:t xml:space="preserve">Traitement d’entretien</w:t>
      </w:r>
    </w:p>
    <w:p>
      <w:pPr>
        <w:pStyle w:val="FirstParagraph"/>
      </w:pPr>
      <w:r>
        <w:rPr>
          <w:bCs/>
          <w:b/>
        </w:rPr>
        <w:t xml:space="preserve">Établi :</w:t>
      </w:r>
      <w:r>
        <w:t xml:space="preserve"> </w:t>
      </w:r>
      <w:r>
        <w:t xml:space="preserve">après l’arrêt, une grande partie du poids perdu est reprise. Dans la prolongation de STEP 1, il s’agissait en moyenne des deux tiers un an après la fin du traitement par sémaglutide</w:t>
      </w:r>
      <w:r>
        <w:rPr>
          <w:rStyle w:val="FootnoteReference"/>
        </w:rPr>
        <w:footnoteReference w:id="2956"/>
      </w:r>
      <w:r>
        <w:t xml:space="preserve">. Dans SURMOUNT-4, les participants passés du tirzépatide au placebo ont repris 14,0 % au cours de l’année suivante</w:t>
      </w:r>
      <w:r>
        <w:rPr>
          <w:rStyle w:val="FootnoteReference"/>
        </w:rPr>
        <w:footnoteReference w:id="2957"/>
      </w:r>
      <w:r>
        <w:t xml:space="preserve">. Dans ATTAIN-MAINTAIN, le passage de l’injection à l’orforglipron a permis de conserver une grande partie de la perte de poids</w:t>
      </w:r>
      <w:r>
        <w:rPr>
          <w:rStyle w:val="FootnoteReference"/>
        </w:rPr>
        <w:footnoteReference w:id="2958"/>
      </w:r>
      <w:r>
        <w:t xml:space="preserve">. D’autres études sur le maintien du poids sont en cours (TRIUMPH-6, NCT06859268 ; passage à des substances mensuelles, NCT07575399, NCT07845500). Des modélisations suggèrent que des administrations plus espacées pourraient préserver une partie de l’effet ; cela n’a pas encore été testé dans des études et ne justifie pas de modifier le traitement de sa propre initiative</w:t>
      </w:r>
      <w:r>
        <w:rPr>
          <w:rStyle w:val="FootnoteReference"/>
        </w:rPr>
        <w:footnoteReference w:id="2959"/>
      </w:r>
      <w:r>
        <w:t xml:space="preserve">.</w:t>
      </w:r>
    </w:p>
    <w:p>
      <w:pPr>
        <w:pStyle w:val="BodyText"/>
      </w:pPr>
      <w:r>
        <w:rPr>
          <w:bCs/>
          <w:b/>
        </w:rPr>
        <w:t xml:space="preserve">Appréciation de l’auteur :</w:t>
      </w:r>
      <w:r>
        <w:t xml:space="preserve"> </w:t>
      </w:r>
      <w:r>
        <w:t xml:space="preserve">d’ici 2030, un modèle par étapes s’imposera : d’abord une phase avec une substance très efficace, puis un entretien avec un comprimé, une préparation mensuelle ou une intensité moindre. Justification : plusieurs fabricants testent précisément cette séquence, et elle est attrayante pour les payeurs. La question de savoir si l’entretien doit durer toute la vie ou si, chez certaines personnes, un arrêt sans reprise de poids importante est possible restera l’une des questions ouvertes les plus importantes.</w:t>
      </w:r>
    </w:p>
    <w:bookmarkEnd w:id="2960"/>
    <w:bookmarkStart w:id="2962" w:name="personnalisation"/>
    <w:p>
      <w:pPr>
        <w:pStyle w:val="Heading4"/>
      </w:pPr>
      <w:r>
        <w:t xml:space="preserve">Personnalisation</w:t>
      </w:r>
    </w:p>
    <w:p>
      <w:pPr>
        <w:pStyle w:val="FirstParagraph"/>
      </w:pPr>
      <w:r>
        <w:rPr>
          <w:bCs/>
          <w:b/>
        </w:rPr>
        <w:t xml:space="preserve">Établi :</w:t>
      </w:r>
      <w:r>
        <w:t xml:space="preserve"> </w:t>
      </w:r>
      <w:r>
        <w:t xml:space="preserve">la médecine de précision dans l’obésité existe déjà pour des formes génétiques rares : le setmélanotide n’est autorisé que pour certains défauts génétiques (voir le chapitre Setmélanotide). L’orforglipron est testé dans une étude portant sur 2 001 participants en surpoids afin de prévenir la progression vers l’obésité ou vers des maladies associées (ATTAIN-NOW, NCT07794579, fin en septembre 2030). L’OMS annonce qu’elle élaborera ensuite des critères pour déterminer qui doit être traité en priorité lorsque les moyens sont limités</w:t>
      </w:r>
      <w:r>
        <w:rPr>
          <w:rStyle w:val="FootnoteReference"/>
        </w:rPr>
        <w:footnoteReference w:id="2961"/>
      </w:r>
      <w:r>
        <w:t xml:space="preserve">.</w:t>
      </w:r>
    </w:p>
    <w:p>
      <w:pPr>
        <w:pStyle w:val="BodyText"/>
      </w:pPr>
      <w:r>
        <w:rPr>
          <w:bCs/>
          <w:b/>
        </w:rPr>
        <w:t xml:space="preserve">Appréciation de l’auteur :</w:t>
      </w:r>
      <w:r>
        <w:t xml:space="preserve"> </w:t>
      </w:r>
      <w:r>
        <w:t xml:space="preserve">un test fiable indiquant à l’avance qui répondra bien à quelle substance n’est pas en vue d’ici 2030. La personnalisation sera d’abord pragmatique : selon les maladies associées, la tolérance, l’acceptation des injections et les coûts. La question de savoir si des médicaments doivent être utilisés avant même l’apparition d’une obésité restera controversée sur les plans éthique et économique.</w:t>
      </w:r>
    </w:p>
    <w:bookmarkEnd w:id="2962"/>
    <w:bookmarkStart w:id="2966" w:name="réglementation-du-marché-gris"/>
    <w:p>
      <w:pPr>
        <w:pStyle w:val="Heading4"/>
      </w:pPr>
      <w:r>
        <w:t xml:space="preserve">Réglementation du marché gris</w:t>
      </w:r>
    </w:p>
    <w:p>
      <w:pPr>
        <w:pStyle w:val="FirstParagraph"/>
      </w:pPr>
      <w:r>
        <w:rPr>
          <w:bCs/>
          <w:b/>
        </w:rPr>
        <w:t xml:space="preserve">Établi :</w:t>
      </w:r>
      <w:r>
        <w:t xml:space="preserve"> </w:t>
      </w:r>
      <w:r>
        <w:t xml:space="preserve">les analyses de laboratoire et les rapports de cas des parties I et IV montrent des contrefaçons, des erreurs de dosage et des impuretés. Entre-temps, même des substances non autorisées comme le rétatrutide et le zénagamtide sont vendues en ligne</w:t>
      </w:r>
      <w:r>
        <w:rPr>
          <w:rStyle w:val="FootnoteReference"/>
        </w:rPr>
        <w:footnoteReference w:id="2963"/>
      </w:r>
      <w:r>
        <w:t xml:space="preserve">. Aux États-Unis, les copies de sémaglutide et de tirzépatide préparées en pharmacie ont largement pris fin avec la fin des pénuries ; des préparations modifiées subsistent</w:t>
      </w:r>
      <w:r>
        <w:rPr>
          <w:rStyle w:val="FootnoteReference"/>
        </w:rPr>
        <w:footnoteReference w:id="2964"/>
      </w:r>
      <w:r>
        <w:t xml:space="preserve">. Le classement des peptides pour les préparations magistrales est en cours de renégociation aux États-Unis</w:t>
      </w:r>
      <w:r>
        <w:rPr>
          <w:rStyle w:val="FootnoteReference"/>
        </w:rPr>
        <w:footnoteReference w:id="2965"/>
      </w:r>
      <w:r>
        <w:t xml:space="preserve">.</w:t>
      </w:r>
    </w:p>
    <w:p>
      <w:pPr>
        <w:pStyle w:val="BodyText"/>
      </w:pPr>
      <w:r>
        <w:rPr>
          <w:bCs/>
          <w:b/>
        </w:rPr>
        <w:t xml:space="preserve">Appréciation de l’auteur :</w:t>
      </w:r>
      <w:r>
        <w:t xml:space="preserve"> </w:t>
      </w:r>
      <w:r>
        <w:t xml:space="preserve">le marché gris ne disparaîtra pas d’ici 2035, mais il évoluera. La baisse des prix des médicaments autorisés devrait réduire l’incitation à contrefaire le sémaglutide. Dans le même temps, chaque nouvelle substance qui fait sensation dans les études sera proposée comme « research peptide » avant même son autorisation. Je m’attends à des contrôles plus stricts des vendeurs en ligne et des moyens de paiement dans l’UE, mais pas à une solution efficace tant que des commandes seront possibles depuis des pays où la surveillance est faible.</w:t>
      </w:r>
    </w:p>
    <w:bookmarkEnd w:id="2966"/>
    <w:bookmarkStart w:id="2971" w:name="Xdbfba8177aa173dd17b4f4e3360c2da0108034c"/>
    <w:p>
      <w:pPr>
        <w:pStyle w:val="Heading4"/>
      </w:pPr>
      <w:r>
        <w:t xml:space="preserve">Intelligence artificielle dans la conception de peptides</w:t>
      </w:r>
    </w:p>
    <w:p>
      <w:pPr>
        <w:pStyle w:val="FirstParagraph"/>
      </w:pPr>
      <w:r>
        <w:rPr>
          <w:bCs/>
          <w:b/>
        </w:rPr>
        <w:t xml:space="preserve">Établi :</w:t>
      </w:r>
      <w:r>
        <w:t xml:space="preserve"> </w:t>
      </w:r>
      <w:r>
        <w:t xml:space="preserve">jusqu’à présent, toutes les preuves publiées proviennent d’expériences de laboratoire et animales. Une équipe de recherche a conçu à l’aide de méthodes d’apprentissage automatique 10 000 nouveaux agonistes du récepteur du GLP-1, en a sélectionné 60 par ordinateur et les a testés en laboratoire ; deux candidats ont agi chez la souris environ trois fois plus longtemps que le sémaglutide</w:t>
      </w:r>
      <w:r>
        <w:rPr>
          <w:rStyle w:val="FootnoteReference"/>
        </w:rPr>
        <w:footnoteReference w:id="2967"/>
      </w:r>
      <w:r>
        <w:t xml:space="preserve">. Une autre méthode a conçu des peptides cycliques se liant de manière ciblée à des protéines prédéfinies ; les structures déterminées en laboratoire concordaient étroitement avec les modèles informatiques</w:t>
      </w:r>
      <w:r>
        <w:rPr>
          <w:rStyle w:val="FootnoteReference"/>
        </w:rPr>
        <w:footnoteReference w:id="2968"/>
      </w:r>
      <w:r>
        <w:t xml:space="preserve">. Un modèle d’apprentissage a permis de dériver de peptides bactériens de nouveaux peptides antimicrobiens, dont l’un a réduit de plus de 95 % la charge bactérienne chez des souris atteintes d’une infection de la cuisse</w:t>
      </w:r>
      <w:r>
        <w:rPr>
          <w:rStyle w:val="FootnoteReference"/>
        </w:rPr>
        <w:footnoteReference w:id="2969"/>
      </w:r>
      <w:r>
        <w:t xml:space="preserve">. Le peptide oral anti-PCSK9 enlicitide a été découvert grâce à une autre méthode à haut débit et se trouve déjà en phase 3</w:t>
      </w:r>
      <w:r>
        <w:rPr>
          <w:rStyle w:val="FootnoteReference"/>
        </w:rPr>
        <w:footnoteReference w:id="2970"/>
      </w:r>
      <w:r>
        <w:t xml:space="preserve">.</w:t>
      </w:r>
    </w:p>
    <w:p>
      <w:pPr>
        <w:pStyle w:val="BodyText"/>
      </w:pPr>
      <w:r>
        <w:rPr>
          <w:bCs/>
          <w:b/>
        </w:rPr>
        <w:t xml:space="preserve">Appréciation de l’auteur :</w:t>
      </w:r>
      <w:r>
        <w:t xml:space="preserve"> </w:t>
      </w:r>
      <w:r>
        <w:t xml:space="preserve">d’ici 2030, les premiers peptides conçus à l’aide de méthodes d’IA feront l’objet d’études précoces chez l’humain ; une autorisation d’ici 2035 est possible, mais pas probable, car même une molécule trouvée rapidement doit franchir toutes les phases cliniques. L’IA raccourcit la recherche de candidats, pas leur évaluation chez l’humain. Pour les lectrices et lecteurs, cela signifie : les offres qui promettent des « peptides optimisés par IA » relèvent de la publicité, pas d’une preuve d’efficacité.</w:t>
      </w:r>
    </w:p>
    <w:bookmarkEnd w:id="2971"/>
    <w:bookmarkEnd w:id="2972"/>
    <w:bookmarkStart w:id="2973" w:name="Xc0b9d39cffff2719ebdeb2524477b300319760a"/>
    <w:p>
      <w:pPr>
        <w:pStyle w:val="Heading3"/>
      </w:pPr>
      <w:r>
        <w:t xml:space="preserve">Calendrier : ce qui est annoncé dans le registre d’ici 2032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Période</w:t>
            </w:r>
          </w:p>
        </w:tc>
        <w:tc>
          <w:tcPr/>
          <w:p>
            <w:pPr>
              <w:pStyle w:val="Compact"/>
              <w:jc w:val="left"/>
            </w:pPr>
            <w:r>
              <w:t xml:space="preserve">Événement attendu selon le registre</w:t>
            </w:r>
          </w:p>
        </w:tc>
        <w:tc>
          <w:tcPr/>
          <w:p>
            <w:pPr>
              <w:pStyle w:val="Compact"/>
              <w:jc w:val="left"/>
            </w:pPr>
            <w:r>
              <w:t xml:space="preserve">Substance</w:t>
            </w:r>
          </w:p>
        </w:tc>
        <w:tc>
          <w:tcPr/>
          <w:p>
            <w:pPr>
              <w:pStyle w:val="Compact"/>
              <w:jc w:val="left"/>
            </w:pPr>
            <w:r>
              <w:t xml:space="preserve">Étude</w:t>
            </w:r>
          </w:p>
        </w:tc>
      </w:tr>
      <w:tr>
        <w:tc>
          <w:tcPr/>
          <w:p>
            <w:pPr>
              <w:pStyle w:val="Compact"/>
              <w:jc w:val="left"/>
            </w:pPr>
            <w:r>
              <w:t xml:space="preserve">2026/2027</w:t>
            </w:r>
          </w:p>
        </w:tc>
        <w:tc>
          <w:tcPr/>
          <w:p>
            <w:pPr>
              <w:pStyle w:val="Compact"/>
              <w:jc w:val="left"/>
            </w:pPr>
            <w:r>
              <w:t xml:space="preserve">résultats de la comparaison directe avec le tirzépatide</w:t>
            </w:r>
          </w:p>
        </w:tc>
        <w:tc>
          <w:tcPr/>
          <w:p>
            <w:pPr>
              <w:pStyle w:val="Compact"/>
              <w:jc w:val="left"/>
            </w:pPr>
            <w:r>
              <w:t xml:space="preserve">Rétatrutide</w:t>
            </w:r>
          </w:p>
        </w:tc>
        <w:tc>
          <w:tcPr/>
          <w:p>
            <w:pPr>
              <w:pStyle w:val="Compact"/>
              <w:jc w:val="left"/>
            </w:pPr>
            <w:r>
              <w:t xml:space="preserve">NCT06662383</w:t>
            </w:r>
          </w:p>
        </w:tc>
      </w:tr>
      <w:tr>
        <w:tc>
          <w:tcPr/>
          <w:p>
            <w:pPr>
              <w:pStyle w:val="Compact"/>
              <w:jc w:val="left"/>
            </w:pPr>
            <w:r>
              <w:t xml:space="preserve">2027</w:t>
            </w:r>
          </w:p>
        </w:tc>
        <w:tc>
          <w:tcPr/>
          <w:p>
            <w:pPr>
              <w:pStyle w:val="Compact"/>
              <w:jc w:val="left"/>
            </w:pPr>
            <w:r>
              <w:t xml:space="preserve">résultats cardiovasculaires sans diabète</w:t>
            </w:r>
          </w:p>
        </w:tc>
        <w:tc>
          <w:tcPr/>
          <w:p>
            <w:pPr>
              <w:pStyle w:val="Compact"/>
              <w:jc w:val="left"/>
            </w:pPr>
            <w:r>
              <w:t xml:space="preserve">Tirzépatide</w:t>
            </w:r>
          </w:p>
        </w:tc>
        <w:tc>
          <w:tcPr/>
          <w:p>
            <w:pPr>
              <w:pStyle w:val="Compact"/>
              <w:jc w:val="left"/>
            </w:pPr>
            <w:r>
              <w:t xml:space="preserve">NCT05556512</w:t>
            </w:r>
          </w:p>
        </w:tc>
      </w:tr>
      <w:tr>
        <w:tc>
          <w:tcPr/>
          <w:p>
            <w:pPr>
              <w:pStyle w:val="Compact"/>
              <w:jc w:val="left"/>
            </w:pPr>
            <w:r>
              <w:t xml:space="preserve">2027</w:t>
            </w:r>
          </w:p>
        </w:tc>
        <w:tc>
          <w:tcPr/>
          <w:p>
            <w:pPr>
              <w:pStyle w:val="Compact"/>
              <w:jc w:val="left"/>
            </w:pPr>
            <w:r>
              <w:t xml:space="preserve">résultats cardiovasculaires</w:t>
            </w:r>
          </w:p>
        </w:tc>
        <w:tc>
          <w:tcPr/>
          <w:p>
            <w:pPr>
              <w:pStyle w:val="Compact"/>
              <w:jc w:val="left"/>
            </w:pPr>
            <w:r>
              <w:t xml:space="preserve">CagriSema</w:t>
            </w:r>
          </w:p>
        </w:tc>
        <w:tc>
          <w:tcPr/>
          <w:p>
            <w:pPr>
              <w:pStyle w:val="Compact"/>
              <w:jc w:val="left"/>
            </w:pPr>
            <w:r>
              <w:t xml:space="preserve">NCT05669755</w:t>
            </w:r>
          </w:p>
        </w:tc>
      </w:tr>
      <w:tr>
        <w:tc>
          <w:tcPr/>
          <w:p>
            <w:pPr>
              <w:pStyle w:val="Compact"/>
              <w:jc w:val="left"/>
            </w:pPr>
            <w:r>
              <w:t xml:space="preserve">2027</w:t>
            </w:r>
          </w:p>
        </w:tc>
        <w:tc>
          <w:tcPr/>
          <w:p>
            <w:pPr>
              <w:pStyle w:val="Compact"/>
              <w:jc w:val="left"/>
            </w:pPr>
            <w:r>
              <w:t xml:space="preserve">suivi après cancer colorectal</w:t>
            </w:r>
          </w:p>
        </w:tc>
        <w:tc>
          <w:tcPr/>
          <w:p>
            <w:pPr>
              <w:pStyle w:val="Compact"/>
              <w:jc w:val="left"/>
            </w:pPr>
            <w:r>
              <w:t xml:space="preserve">Thymosine alpha 1</w:t>
            </w:r>
          </w:p>
        </w:tc>
        <w:tc>
          <w:tcPr/>
          <w:p>
            <w:pPr>
              <w:pStyle w:val="Compact"/>
              <w:jc w:val="left"/>
            </w:pPr>
            <w:r>
              <w:t xml:space="preserve">NCT05086614</w:t>
            </w:r>
          </w:p>
        </w:tc>
      </w:tr>
      <w:tr>
        <w:tc>
          <w:tcPr/>
          <w:p>
            <w:pPr>
              <w:pStyle w:val="Compact"/>
              <w:jc w:val="left"/>
            </w:pPr>
            <w:r>
              <w:t xml:space="preserve">2027</w:t>
            </w:r>
          </w:p>
        </w:tc>
        <w:tc>
          <w:tcPr/>
          <w:p>
            <w:pPr>
              <w:pStyle w:val="Compact"/>
              <w:jc w:val="left"/>
            </w:pPr>
            <w:r>
              <w:t xml:space="preserve">dégénérescence maculaire</w:t>
            </w:r>
          </w:p>
        </w:tc>
        <w:tc>
          <w:tcPr/>
          <w:p>
            <w:pPr>
              <w:pStyle w:val="Compact"/>
              <w:jc w:val="left"/>
            </w:pPr>
            <w:r>
              <w:t xml:space="preserve">Élamipretide</w:t>
            </w:r>
          </w:p>
        </w:tc>
        <w:tc>
          <w:tcPr/>
          <w:p>
            <w:pPr>
              <w:pStyle w:val="Compact"/>
              <w:jc w:val="left"/>
            </w:pPr>
            <w:r>
              <w:t xml:space="preserve">NCT06373731</w:t>
            </w:r>
          </w:p>
        </w:tc>
      </w:tr>
      <w:tr>
        <w:tc>
          <w:tcPr/>
          <w:p>
            <w:pPr>
              <w:pStyle w:val="Compact"/>
              <w:jc w:val="left"/>
            </w:pPr>
            <w:r>
              <w:t xml:space="preserve">2028</w:t>
            </w:r>
          </w:p>
        </w:tc>
        <w:tc>
          <w:tcPr/>
          <w:p>
            <w:pPr>
              <w:pStyle w:val="Compact"/>
              <w:jc w:val="left"/>
            </w:pPr>
            <w:r>
              <w:t xml:space="preserve">croissance chez l’enfant</w:t>
            </w:r>
          </w:p>
        </w:tc>
        <w:tc>
          <w:tcPr/>
          <w:p>
            <w:pPr>
              <w:pStyle w:val="Compact"/>
              <w:jc w:val="left"/>
            </w:pPr>
            <w:r>
              <w:t xml:space="preserve">Ibutamorène (LUM-201)</w:t>
            </w:r>
          </w:p>
        </w:tc>
        <w:tc>
          <w:tcPr/>
          <w:p>
            <w:pPr>
              <w:pStyle w:val="Compact"/>
              <w:jc w:val="left"/>
            </w:pPr>
            <w:r>
              <w:t xml:space="preserve">NCT06948214</w:t>
            </w:r>
          </w:p>
        </w:tc>
      </w:tr>
      <w:tr>
        <w:tc>
          <w:tcPr/>
          <w:p>
            <w:pPr>
              <w:pStyle w:val="Compact"/>
              <w:jc w:val="left"/>
            </w:pPr>
            <w:r>
              <w:t xml:space="preserve">2029</w:t>
            </w:r>
          </w:p>
        </w:tc>
        <w:tc>
          <w:tcPr/>
          <w:p>
            <w:pPr>
              <w:pStyle w:val="Compact"/>
              <w:jc w:val="left"/>
            </w:pPr>
            <w:r>
              <w:t xml:space="preserve">événements cardiaques et rénaux</w:t>
            </w:r>
          </w:p>
        </w:tc>
        <w:tc>
          <w:tcPr/>
          <w:p>
            <w:pPr>
              <w:pStyle w:val="Compact"/>
              <w:jc w:val="left"/>
            </w:pPr>
            <w:r>
              <w:t xml:space="preserve">Rétatrutide</w:t>
            </w:r>
          </w:p>
        </w:tc>
        <w:tc>
          <w:tcPr/>
          <w:p>
            <w:pPr>
              <w:pStyle w:val="Compact"/>
              <w:jc w:val="left"/>
            </w:pPr>
            <w:r>
              <w:t xml:space="preserve">NCT06383390</w:t>
            </w:r>
          </w:p>
        </w:tc>
      </w:tr>
      <w:tr>
        <w:tc>
          <w:tcPr/>
          <w:p>
            <w:pPr>
              <w:pStyle w:val="Compact"/>
              <w:jc w:val="left"/>
            </w:pPr>
            <w:r>
              <w:t xml:space="preserve">2030</w:t>
            </w:r>
          </w:p>
        </w:tc>
        <w:tc>
          <w:tcPr/>
          <w:p>
            <w:pPr>
              <w:pStyle w:val="Compact"/>
              <w:jc w:val="left"/>
            </w:pPr>
            <w:r>
              <w:t xml:space="preserve">résultats cardiovasculaires, insuffisance cardiaque</w:t>
            </w:r>
          </w:p>
        </w:tc>
        <w:tc>
          <w:tcPr/>
          <w:p>
            <w:pPr>
              <w:pStyle w:val="Compact"/>
              <w:jc w:val="left"/>
            </w:pPr>
            <w:r>
              <w:t xml:space="preserve">Maridebart cafraglutide</w:t>
            </w:r>
          </w:p>
        </w:tc>
        <w:tc>
          <w:tcPr/>
          <w:p>
            <w:pPr>
              <w:pStyle w:val="Compact"/>
              <w:jc w:val="left"/>
            </w:pPr>
            <w:r>
              <w:t xml:space="preserve">NCT07037433, NCT07037459</w:t>
            </w:r>
          </w:p>
        </w:tc>
      </w:tr>
      <w:tr>
        <w:tc>
          <w:tcPr/>
          <w:p>
            <w:pPr>
              <w:pStyle w:val="Compact"/>
              <w:jc w:val="left"/>
            </w:pPr>
            <w:r>
              <w:t xml:space="preserve">2030</w:t>
            </w:r>
          </w:p>
        </w:tc>
        <w:tc>
          <w:tcPr/>
          <w:p>
            <w:pPr>
              <w:pStyle w:val="Compact"/>
              <w:jc w:val="left"/>
            </w:pPr>
            <w:r>
              <w:t xml:space="preserve">résultats cardiovasculaires</w:t>
            </w:r>
          </w:p>
        </w:tc>
        <w:tc>
          <w:tcPr/>
          <w:p>
            <w:pPr>
              <w:pStyle w:val="Compact"/>
              <w:jc w:val="left"/>
            </w:pPr>
            <w:r>
              <w:t xml:space="preserve">Zénagamtide</w:t>
            </w:r>
          </w:p>
        </w:tc>
        <w:tc>
          <w:tcPr/>
          <w:p>
            <w:pPr>
              <w:pStyle w:val="Compact"/>
              <w:jc w:val="left"/>
            </w:pPr>
            <w:r>
              <w:t xml:space="preserve">NCT07861100</w:t>
            </w:r>
          </w:p>
        </w:tc>
      </w:tr>
      <w:tr>
        <w:tc>
          <w:tcPr/>
          <w:p>
            <w:pPr>
              <w:pStyle w:val="Compact"/>
              <w:jc w:val="left"/>
            </w:pPr>
            <w:r>
              <w:t xml:space="preserve">2031</w:t>
            </w:r>
          </w:p>
        </w:tc>
        <w:tc>
          <w:tcPr/>
          <w:p>
            <w:pPr>
              <w:pStyle w:val="Compact"/>
              <w:jc w:val="left"/>
            </w:pPr>
            <w:r>
              <w:t xml:space="preserve">résultats cardiovasculaires</w:t>
            </w:r>
          </w:p>
        </w:tc>
        <w:tc>
          <w:tcPr/>
          <w:p>
            <w:pPr>
              <w:pStyle w:val="Compact"/>
              <w:jc w:val="left"/>
            </w:pPr>
            <w:r>
              <w:t xml:space="preserve">Orforglipron</w:t>
            </w:r>
          </w:p>
        </w:tc>
        <w:tc>
          <w:tcPr/>
          <w:p>
            <w:pPr>
              <w:pStyle w:val="Compact"/>
              <w:jc w:val="left"/>
            </w:pPr>
            <w:r>
              <w:t xml:space="preserve">NCT07241390</w:t>
            </w:r>
          </w:p>
        </w:tc>
      </w:tr>
      <w:tr>
        <w:tc>
          <w:tcPr/>
          <w:p>
            <w:pPr>
              <w:pStyle w:val="Compact"/>
              <w:jc w:val="left"/>
            </w:pPr>
            <w:r>
              <w:t xml:space="preserve">2031</w:t>
            </w:r>
          </w:p>
        </w:tc>
        <w:tc>
          <w:tcPr/>
          <w:p>
            <w:pPr>
              <w:pStyle w:val="Compact"/>
              <w:jc w:val="left"/>
            </w:pPr>
            <w:r>
              <w:t xml:space="preserve">résultats cardiovasculaires</w:t>
            </w:r>
          </w:p>
        </w:tc>
        <w:tc>
          <w:tcPr/>
          <w:p>
            <w:pPr>
              <w:pStyle w:val="Compact"/>
              <w:jc w:val="left"/>
            </w:pPr>
            <w:r>
              <w:t xml:space="preserve">Enlicitide (peptide oral)</w:t>
            </w:r>
          </w:p>
        </w:tc>
        <w:tc>
          <w:tcPr/>
          <w:p>
            <w:pPr>
              <w:pStyle w:val="Compact"/>
              <w:jc w:val="left"/>
            </w:pPr>
            <w:r>
              <w:t xml:space="preserve">NCT06008756</w:t>
            </w:r>
          </w:p>
        </w:tc>
      </w:tr>
      <w:tr>
        <w:tc>
          <w:tcPr/>
          <w:p>
            <w:pPr>
              <w:pStyle w:val="Compact"/>
              <w:jc w:val="left"/>
            </w:pPr>
            <w:r>
              <w:t xml:space="preserve">2032</w:t>
            </w:r>
          </w:p>
        </w:tc>
        <w:tc>
          <w:tcPr/>
          <w:p>
            <w:pPr>
              <w:pStyle w:val="Compact"/>
              <w:jc w:val="left"/>
            </w:pPr>
            <w:r>
              <w:t xml:space="preserve">événements hépatiques graves</w:t>
            </w:r>
          </w:p>
        </w:tc>
        <w:tc>
          <w:tcPr/>
          <w:p>
            <w:pPr>
              <w:pStyle w:val="Compact"/>
              <w:jc w:val="left"/>
            </w:pPr>
            <w:r>
              <w:t xml:space="preserve">Tirzépatide, rétatrutide</w:t>
            </w:r>
          </w:p>
        </w:tc>
        <w:tc>
          <w:tcPr/>
          <w:p>
            <w:pPr>
              <w:pStyle w:val="Compact"/>
              <w:jc w:val="left"/>
            </w:pPr>
            <w:r>
              <w:t xml:space="preserve">NCT07165028</w:t>
            </w:r>
          </w:p>
        </w:tc>
      </w:tr>
    </w:tbl>
    <w:p>
      <w:pPr>
        <w:pStyle w:val="BodyText"/>
      </w:pPr>
      <w:r>
        <w:t xml:space="preserve">Les années sont les fins d’étude indiquées dans le registre. Les publications suivent généralement plus tard, et les reports sont fréquents.</w:t>
      </w:r>
    </w:p>
    <w:bookmarkEnd w:id="2973"/>
    <w:bookmarkStart w:id="2974" w:name="conclusion-du-livre"/>
    <w:p>
      <w:pPr>
        <w:pStyle w:val="Heading3"/>
      </w:pPr>
      <w:r>
        <w:t xml:space="preserve">Conclusion du livre</w:t>
      </w:r>
    </w:p>
    <w:p>
      <w:pPr>
        <w:pStyle w:val="FirstParagraph"/>
      </w:pPr>
      <w:r>
        <w:t xml:space="preserve">Parmi les peptides de ce livre, seuls quelques-uns ont prouvé leur efficacité dans de grandes études chez l’humain – au premier rang desquels les médicaments à base de GLP-1, dont le bénéfice est démontré jusqu’à la réduction des événements cardiovasculaires. Pour la plupart des peptides promus sur Internet comme remèdes miracles pour la guérison, les muscles ou une longue vie, il n’existe en revanche que des expérimentations animales, de petites études ou aucune donnée – et pas non plus de grande étude en cours qui changerait bientôt la donne. L’avenir de la médecine peptidique ne se joue donc pas dans les boutiques en ligne, mais dans les études de critères cliniques qui s’achèveront entre 2027 et 2032. Si vous vous intéressez à un peptide, le mieux est de vous poser trois questions : existe-t-il des études randomisées chez l’humain, le produit est-il un médicament contrôlé, et une ou un médecin accompagne-t-il l’utilisation ?</w:t>
      </w:r>
    </w:p>
    <w:bookmarkEnd w:id="2974"/>
    <w:bookmarkEnd w:id="2975"/>
    <w:bookmarkEnd w:id="2976"/>
    <w:bookmarkStart w:id="2996" w:name="glossaire"/>
    <w:p>
      <w:pPr>
        <w:pStyle w:val="Heading1"/>
      </w:pPr>
      <w:r>
        <w:t xml:space="preserve">Glossaire</w:t>
      </w:r>
    </w:p>
    <w:p>
      <w:pPr>
        <w:pStyle w:val="FirstParagraph"/>
      </w:pPr>
      <w:r>
        <w:t xml:space="preserve">Les explications qui suivent sont volontairement brèves. Vous trouverez des présentations plus détaillées dans les chapitres de la partie I, en particulier « Ce que sont les peptides – et ce qu’ils ne sont pas » et « Bien lire les études ».</w:t>
      </w:r>
    </w:p>
    <w:bookmarkStart w:id="2977" w:name="a"/>
    <w:p>
      <w:pPr>
        <w:pStyle w:val="Heading3"/>
      </w:pPr>
      <w:r>
        <w:t xml:space="preserve">A</w:t>
      </w:r>
    </w:p>
    <w:p>
      <w:pPr>
        <w:pStyle w:val="FirstParagraph"/>
      </w:pPr>
      <w:r>
        <w:rPr>
          <w:bCs/>
          <w:b/>
        </w:rPr>
        <w:t xml:space="preserve">Acide aminé</w:t>
      </w:r>
      <w:r>
        <w:t xml:space="preserve"> </w:t>
      </w:r>
      <w:r>
        <w:t xml:space="preserve">: élément constitutif de base des peptides et des protéines. L’être humain utilise essentiellement 20 acides aminés standard, reliés en chaînes par des liaisons peptidiques.</w:t>
      </w:r>
    </w:p>
    <w:p>
      <w:pPr>
        <w:pStyle w:val="BodyText"/>
      </w:pPr>
      <w:r>
        <w:rPr>
          <w:bCs/>
          <w:b/>
        </w:rPr>
        <w:t xml:space="preserve">Acromégalie</w:t>
      </w:r>
      <w:r>
        <w:t xml:space="preserve"> </w:t>
      </w:r>
      <w:r>
        <w:t xml:space="preserve">: maladie due à une surproduction durable d’hormone de croissance à l’âge adulte, le plus souvent causée par une tumeur bénigne de l’hypophyse. Elle se caractérise par des mains, des pieds et des traits du visage élargis.</w:t>
      </w:r>
    </w:p>
    <w:p>
      <w:pPr>
        <w:pStyle w:val="BodyText"/>
      </w:pPr>
      <w:r>
        <w:rPr>
          <w:bCs/>
          <w:b/>
        </w:rPr>
        <w:t xml:space="preserve">Agoniste</w:t>
      </w:r>
      <w:r>
        <w:t xml:space="preserve"> </w:t>
      </w:r>
      <w:r>
        <w:t xml:space="preserve">: substance qui se lie à un récepteur et l’active, c’est-à-dire déclenche un signal. Le sémaglutide est par exemple un agoniste du récepteur du GLP-1.</w:t>
      </w:r>
    </w:p>
    <w:p>
      <w:pPr>
        <w:pStyle w:val="BodyText"/>
      </w:pPr>
      <w:r>
        <w:rPr>
          <w:bCs/>
          <w:b/>
        </w:rPr>
        <w:t xml:space="preserve">Agoniste du récepteur du GLP-1</w:t>
      </w:r>
      <w:r>
        <w:t xml:space="preserve"> </w:t>
      </w:r>
      <w:r>
        <w:t xml:space="preserve">: substance active qui active le récepteur du GLP-1, par exemple l’exénatide, le liraglutide, le dulaglutide ou le sémaglutide.</w:t>
      </w:r>
    </w:p>
    <w:p>
      <w:pPr>
        <w:pStyle w:val="BodyText"/>
      </w:pPr>
      <w:r>
        <w:rPr>
          <w:bCs/>
          <w:b/>
        </w:rPr>
        <w:t xml:space="preserve">Albumine</w:t>
      </w:r>
      <w:r>
        <w:t xml:space="preserve"> </w:t>
      </w:r>
      <w:r>
        <w:t xml:space="preserve">: la protéine la plus abondante du plasma sanguin. Certains médicaments peptidiques sont conçus pour se lier à l’albumine et rester ainsi plus longtemps dans l’organisme.</w:t>
      </w:r>
    </w:p>
    <w:p>
      <w:pPr>
        <w:pStyle w:val="BodyText"/>
      </w:pPr>
      <w:r>
        <w:rPr>
          <w:bCs/>
          <w:b/>
        </w:rPr>
        <w:t xml:space="preserve">Amyline</w:t>
      </w:r>
      <w:r>
        <w:t xml:space="preserve"> </w:t>
      </w:r>
      <w:r>
        <w:t xml:space="preserve">: hormone peptidique sécrétée par le pancréas en même temps que l’insuline, qui influence notamment la satiété et la vidange gastrique. Des dérivés comme le pramlintide et le cagrilintide sont utilisés ou étudiés comme médicaments.</w:t>
      </w:r>
    </w:p>
    <w:p>
      <w:pPr>
        <w:pStyle w:val="BodyText"/>
      </w:pPr>
      <w:r>
        <w:rPr>
          <w:bCs/>
          <w:b/>
        </w:rPr>
        <w:t xml:space="preserve">Analogue</w:t>
      </w:r>
      <w:r>
        <w:t xml:space="preserve"> </w:t>
      </w:r>
      <w:r>
        <w:t xml:space="preserve">: molécule copiée sur un modèle naturel, mais modifiée de manière ciblée – par exemple pour la rendre plus stable ou plus durablement active.</w:t>
      </w:r>
    </w:p>
    <w:p>
      <w:pPr>
        <w:pStyle w:val="BodyText"/>
      </w:pPr>
      <w:r>
        <w:rPr>
          <w:bCs/>
          <w:b/>
        </w:rPr>
        <w:t xml:space="preserve">Analyse en intention de traiter</w:t>
      </w:r>
      <w:r>
        <w:t xml:space="preserve"> </w:t>
      </w:r>
      <w:r>
        <w:t xml:space="preserve">: analyse d’une étude dans laquelle tous les participants sont comptés dans le groupe auquel ils ont été attribués – même s’ils ont arrêté le traitement. Elle est considérée comme une estimation plus réaliste de l’effet dans la vie quotidienne.</w:t>
      </w:r>
    </w:p>
    <w:p>
      <w:pPr>
        <w:pStyle w:val="BodyText"/>
      </w:pPr>
      <w:r>
        <w:rPr>
          <w:bCs/>
          <w:b/>
        </w:rPr>
        <w:t xml:space="preserve">Angiogenèse</w:t>
      </w:r>
      <w:r>
        <w:t xml:space="preserve"> </w:t>
      </w:r>
      <w:r>
        <w:t xml:space="preserve">: formation de nouveaux vaisseaux sanguins. Elle est importante pour la cicatrisation des plaies, mais peut aussi favoriser la croissance des tumeurs.</w:t>
      </w:r>
    </w:p>
    <w:p>
      <w:pPr>
        <w:pStyle w:val="BodyText"/>
      </w:pPr>
      <w:r>
        <w:rPr>
          <w:bCs/>
          <w:b/>
        </w:rPr>
        <w:t xml:space="preserve">Antagoniste</w:t>
      </w:r>
      <w:r>
        <w:t xml:space="preserve"> </w:t>
      </w:r>
      <w:r>
        <w:t xml:space="preserve">: substance qui se lie à un récepteur sans l’activer et bloque ainsi l’effet des messagers endogènes.</w:t>
      </w:r>
    </w:p>
    <w:p>
      <w:pPr>
        <w:pStyle w:val="BodyText"/>
      </w:pPr>
      <w:r>
        <w:rPr>
          <w:bCs/>
          <w:b/>
        </w:rPr>
        <w:t xml:space="preserve">Anticorps</w:t>
      </w:r>
      <w:r>
        <w:t xml:space="preserve"> </w:t>
      </w:r>
      <w:r>
        <w:t xml:space="preserve">: molécules protéiques du système immunitaire qui se lient de manière ciblée à des structures étrangères. Les anticorps formés contre des médicaments peptidiques peuvent en atténuer l’effet ou déclencher des réactions.</w:t>
      </w:r>
    </w:p>
    <w:p>
      <w:pPr>
        <w:pStyle w:val="BodyText"/>
      </w:pPr>
      <w:r>
        <w:rPr>
          <w:bCs/>
          <w:b/>
        </w:rPr>
        <w:t xml:space="preserve">Autorisation de mise sur le marché</w:t>
      </w:r>
      <w:r>
        <w:t xml:space="preserve"> </w:t>
      </w:r>
      <w:r>
        <w:t xml:space="preserve">: autorisation officielle de commercialiser un médicament, délivrée après évaluation de sa qualité, de son efficacité et de sa sécurité.</w:t>
      </w:r>
    </w:p>
    <w:p>
      <w:pPr>
        <w:pStyle w:val="BodyText"/>
      </w:pPr>
      <w:r>
        <w:rPr>
          <w:bCs/>
          <w:b/>
        </w:rPr>
        <w:t xml:space="preserve">Autorisation d’usage à des fins thérapeutiques (AUT, therapeutic use exemption, TUE)</w:t>
      </w:r>
      <w:r>
        <w:t xml:space="preserve"> </w:t>
      </w:r>
      <w:r>
        <w:t xml:space="preserve">: dérogation médicale accordée dans le sport, qui autorise l’utilisation d’un médicament interdit mais médicalement nécessaire.</w:t>
      </w:r>
    </w:p>
    <w:bookmarkEnd w:id="2977"/>
    <w:bookmarkStart w:id="2978" w:name="b"/>
    <w:p>
      <w:pPr>
        <w:pStyle w:val="Heading3"/>
      </w:pPr>
      <w:r>
        <w:t xml:space="preserve">B</w:t>
      </w:r>
    </w:p>
    <w:p>
      <w:pPr>
        <w:pStyle w:val="FirstParagraph"/>
      </w:pPr>
      <w:r>
        <w:rPr>
          <w:bCs/>
          <w:b/>
        </w:rPr>
        <w:t xml:space="preserve">Biais de publication</w:t>
      </w:r>
      <w:r>
        <w:t xml:space="preserve"> </w:t>
      </w:r>
      <w:r>
        <w:t xml:space="preserve">: distorsion de l’image d’ensemble lorsque les études aux résultats positifs sont publiées plus souvent que celles aux résultats négatifs.</w:t>
      </w:r>
    </w:p>
    <w:p>
      <w:pPr>
        <w:pStyle w:val="BodyText"/>
      </w:pPr>
      <w:r>
        <w:rPr>
          <w:bCs/>
          <w:b/>
        </w:rPr>
        <w:t xml:space="preserve">Biodisponibilité</w:t>
      </w:r>
      <w:r>
        <w:t xml:space="preserve"> </w:t>
      </w:r>
      <w:r>
        <w:t xml:space="preserve">: proportion d’une substance active administrée qui parvient inchangée dans la circulation sanguine. Elle est de 100 % pour une perfusion intraveineuse, et souvent de quelques pour cent seulement, voire moins, pour les comprimés de peptides.</w:t>
      </w:r>
    </w:p>
    <w:p>
      <w:pPr>
        <w:pStyle w:val="BodyText"/>
      </w:pPr>
      <w:r>
        <w:rPr>
          <w:bCs/>
          <w:b/>
        </w:rPr>
        <w:t xml:space="preserve">Biosimilaire</w:t>
      </w:r>
      <w:r>
        <w:t xml:space="preserve"> </w:t>
      </w:r>
      <w:r>
        <w:t xml:space="preserve">: médicament succédant à un médicament biologique après l’expiration de la protection par brevet. Il doit être démontré qu’il est très similaire à l’original en qualité, en efficacité et en sécurité.</w:t>
      </w:r>
    </w:p>
    <w:bookmarkEnd w:id="2978"/>
    <w:bookmarkStart w:id="2979" w:name="c"/>
    <w:p>
      <w:pPr>
        <w:pStyle w:val="Heading3"/>
      </w:pPr>
      <w:r>
        <w:t xml:space="preserve">C</w:t>
      </w:r>
    </w:p>
    <w:p>
      <w:pPr>
        <w:pStyle w:val="FirstParagraph"/>
      </w:pPr>
      <w:r>
        <w:rPr>
          <w:bCs/>
          <w:b/>
        </w:rPr>
        <w:t xml:space="preserve">Complément alimentaire</w:t>
      </w:r>
      <w:r>
        <w:t xml:space="preserve"> </w:t>
      </w:r>
      <w:r>
        <w:t xml:space="preserve">: denrée alimentaire destinée à compléter l’alimentation normale par des nutriments ou d’autres substances. Il ne nécessite pas d’autorisation, mais ne doit pas avoir d’effet pharmacologique.</w:t>
      </w:r>
    </w:p>
    <w:p>
      <w:pPr>
        <w:pStyle w:val="BodyText"/>
      </w:pPr>
      <w:r>
        <w:rPr>
          <w:bCs/>
          <w:b/>
        </w:rPr>
        <w:t xml:space="preserve">Compounding</w:t>
      </w:r>
      <w:r>
        <w:t xml:space="preserve"> </w:t>
      </w:r>
      <w:r>
        <w:t xml:space="preserve">: aux États-Unis, fabrication de médicaments par les pharmacies elles-mêmes, par exemple en cas de pénurie. Ces préparations ne sont pas des spécialités pharmaceutiques autorisées.</w:t>
      </w:r>
    </w:p>
    <w:p>
      <w:pPr>
        <w:pStyle w:val="BodyText"/>
      </w:pPr>
      <w:r>
        <w:rPr>
          <w:bCs/>
          <w:b/>
        </w:rPr>
        <w:t xml:space="preserve">Conflit d’intérêts</w:t>
      </w:r>
      <w:r>
        <w:t xml:space="preserve"> </w:t>
      </w:r>
      <w:r>
        <w:t xml:space="preserve">: situation dans laquelle des intérêts financiers ou autres pourraient influencer le jugement de chercheurs ou d’auteurs, par exemple lorsqu’une étude est financée par le fabricant.</w:t>
      </w:r>
    </w:p>
    <w:p>
      <w:pPr>
        <w:pStyle w:val="BodyText"/>
      </w:pPr>
      <w:r>
        <w:rPr>
          <w:bCs/>
          <w:b/>
        </w:rPr>
        <w:t xml:space="preserve">Critère clinique fort</w:t>
      </w:r>
      <w:r>
        <w:t xml:space="preserve"> </w:t>
      </w:r>
      <w:r>
        <w:t xml:space="preserve">: résultat d’étude qui compte directement pour les patientes et les patients, par exemple le décès, l’infarctus, l’AVC ou la fracture.</w:t>
      </w:r>
    </w:p>
    <w:p>
      <w:pPr>
        <w:pStyle w:val="BodyText"/>
      </w:pPr>
      <w:r>
        <w:rPr>
          <w:bCs/>
          <w:b/>
        </w:rPr>
        <w:t xml:space="preserve">Critère de substitution</w:t>
      </w:r>
      <w:r>
        <w:t xml:space="preserve"> </w:t>
      </w:r>
      <w:r>
        <w:t xml:space="preserve">: valeur mesurée utilisée à la place d’un événement cliniquement significatif, par exemple la glycémie au lieu de l’infarctus. L’amélioration d’un critère de substitution ne signifie pas automatiquement un bénéfice pour les patientes et les patients.</w:t>
      </w:r>
    </w:p>
    <w:p>
      <w:pPr>
        <w:pStyle w:val="BodyText"/>
      </w:pPr>
      <w:r>
        <w:rPr>
          <w:bCs/>
          <w:b/>
        </w:rPr>
        <w:t xml:space="preserve">Critère d’évaluation</w:t>
      </w:r>
      <w:r>
        <w:t xml:space="preserve"> </w:t>
      </w:r>
      <w:r>
        <w:t xml:space="preserve">: caractéristique à l’aide de laquelle le succès d’un traitement est mesuré dans une étude, par exemple la perte de poids, la glycémie ou les infarctus. Le plus important est fixé avant le début de l’étude comme critère principal.</w:t>
      </w:r>
    </w:p>
    <w:bookmarkEnd w:id="2979"/>
    <w:bookmarkStart w:id="2980" w:name="d"/>
    <w:p>
      <w:pPr>
        <w:pStyle w:val="Heading3"/>
      </w:pPr>
      <w:r>
        <w:t xml:space="preserve">D</w:t>
      </w:r>
    </w:p>
    <w:p>
      <w:pPr>
        <w:pStyle w:val="FirstParagraph"/>
      </w:pPr>
      <w:r>
        <w:rPr>
          <w:bCs/>
          <w:b/>
        </w:rPr>
        <w:t xml:space="preserve">Dalton</w:t>
      </w:r>
      <w:r>
        <w:t xml:space="preserve"> </w:t>
      </w:r>
      <w:r>
        <w:t xml:space="preserve">: unité de mesure de la masse des molécules. Un acide aminé dans une chaîne peptidique pèse en moyenne un peu plus de 100 daltons.</w:t>
      </w:r>
    </w:p>
    <w:p>
      <w:pPr>
        <w:pStyle w:val="BodyText"/>
      </w:pPr>
      <w:r>
        <w:rPr>
          <w:bCs/>
          <w:b/>
        </w:rPr>
        <w:t xml:space="preserve">Demi-vie</w:t>
      </w:r>
      <w:r>
        <w:t xml:space="preserve"> </w:t>
      </w:r>
      <w:r>
        <w:t xml:space="preserve">: temps au bout duquel la moitié d’une substance active a été dégradée ou éliminée par l’organisme. Elle détermine largement la fréquence d’administration d’un médicament.</w:t>
      </w:r>
    </w:p>
    <w:p>
      <w:pPr>
        <w:pStyle w:val="BodyText"/>
      </w:pPr>
      <w:r>
        <w:rPr>
          <w:bCs/>
          <w:b/>
        </w:rPr>
        <w:t xml:space="preserve">Diabète de type 2</w:t>
      </w:r>
      <w:r>
        <w:t xml:space="preserve"> </w:t>
      </w:r>
      <w:r>
        <w:t xml:space="preserve">: forme la plus fréquente du diabète, dans laquelle l’organisme utilise l’insuline moins efficacement et le pancréas n’en produit pas suffisamment pour compenser. Souvent associé au surpoids.</w:t>
      </w:r>
    </w:p>
    <w:p>
      <w:pPr>
        <w:pStyle w:val="BodyText"/>
      </w:pPr>
      <w:r>
        <w:rPr>
          <w:bCs/>
          <w:b/>
        </w:rPr>
        <w:t xml:space="preserve">Dipeptidyl peptidase-4 (DPP-4)</w:t>
      </w:r>
      <w:r>
        <w:t xml:space="preserve"> </w:t>
      </w:r>
      <w:r>
        <w:t xml:space="preserve">: enzyme qui dégrade rapidement, entre autres, l’hormone intestinale GLP-1. Les inhibiteurs de cette enzyme (gliptines) sont utilisés comme comprimés contre le diabète.</w:t>
      </w:r>
    </w:p>
    <w:p>
      <w:pPr>
        <w:pStyle w:val="BodyText"/>
      </w:pPr>
      <w:r>
        <w:rPr>
          <w:bCs/>
          <w:b/>
        </w:rPr>
        <w:t xml:space="preserve">Double aveugle</w:t>
      </w:r>
      <w:r>
        <w:t xml:space="preserve"> </w:t>
      </w:r>
      <w:r>
        <w:t xml:space="preserve">: étude dans laquelle ni les participants ni le personnel de l’étude ne savent qui reçoit la substance active et qui reçoit le placebo. Cela réduit l’influence des attentes sur les résultats.</w:t>
      </w:r>
    </w:p>
    <w:bookmarkEnd w:id="2980"/>
    <w:bookmarkStart w:id="2981" w:name="e"/>
    <w:p>
      <w:pPr>
        <w:pStyle w:val="Heading3"/>
      </w:pPr>
      <w:r>
        <w:t xml:space="preserve">E</w:t>
      </w:r>
    </w:p>
    <w:p>
      <w:pPr>
        <w:pStyle w:val="FirstParagraph"/>
      </w:pPr>
      <w:r>
        <w:rPr>
          <w:bCs/>
          <w:b/>
        </w:rPr>
        <w:t xml:space="preserve">ECR (essai contrôlé randomisé, en anglais RCT)</w:t>
      </w:r>
      <w:r>
        <w:t xml:space="preserve"> </w:t>
      </w:r>
      <w:r>
        <w:t xml:space="preserve">: étude avec attribution au hasard à un groupe traité et à un groupe témoin. Elle est considérée comme le moyen le plus fiable de démontrer l’effet d’un traitement.</w:t>
      </w:r>
    </w:p>
    <w:p>
      <w:pPr>
        <w:pStyle w:val="BodyText"/>
      </w:pPr>
      <w:r>
        <w:rPr>
          <w:bCs/>
          <w:b/>
        </w:rPr>
        <w:t xml:space="preserve">Effet placebo</w:t>
      </w:r>
      <w:r>
        <w:t xml:space="preserve"> </w:t>
      </w:r>
      <w:r>
        <w:t xml:space="preserve">: amélioration de troubles qui n’est pas due à une substance active, mais aux attentes, à l’attention reçue ou à l’évolution naturelle.</w:t>
      </w:r>
    </w:p>
    <w:p>
      <w:pPr>
        <w:pStyle w:val="BodyText"/>
      </w:pPr>
      <w:r>
        <w:rPr>
          <w:bCs/>
          <w:b/>
        </w:rPr>
        <w:t xml:space="preserve">Endotoxines</w:t>
      </w:r>
      <w:r>
        <w:t xml:space="preserve"> </w:t>
      </w:r>
      <w:r>
        <w:t xml:space="preserve">: composants thermostables de la paroi cellulaire de certaines bactéries. S’ils passent dans le sang, ils peuvent déclencher fièvre, inflammations et réactions circulatoires ; ils restent actifs même après la destruction des bactéries.</w:t>
      </w:r>
    </w:p>
    <w:p>
      <w:pPr>
        <w:pStyle w:val="BodyText"/>
      </w:pPr>
      <w:r>
        <w:rPr>
          <w:bCs/>
          <w:b/>
        </w:rPr>
        <w:t xml:space="preserve">Estimand</w:t>
      </w:r>
      <w:r>
        <w:t xml:space="preserve"> </w:t>
      </w:r>
      <w:r>
        <w:t xml:space="preserve">: description précise de l’effet du traitement estimé dans une étude – par exemple indépendamment du fait que les participants arrêtent le traitement, ou uniquement pour la période de prise effective.</w:t>
      </w:r>
    </w:p>
    <w:p>
      <w:pPr>
        <w:pStyle w:val="BodyText"/>
      </w:pPr>
      <w:r>
        <w:rPr>
          <w:bCs/>
          <w:b/>
        </w:rPr>
        <w:t xml:space="preserve">Étude de cohorte</w:t>
      </w:r>
      <w:r>
        <w:t xml:space="preserve"> </w:t>
      </w:r>
      <w:r>
        <w:t xml:space="preserve">: étude observationnelle qui suit un groupe de personnes sur une longue période et compare la fréquence de certains événements selon différentes caractéristiques ou différents traitements.</w:t>
      </w:r>
    </w:p>
    <w:p>
      <w:pPr>
        <w:pStyle w:val="BodyText"/>
      </w:pPr>
      <w:r>
        <w:rPr>
          <w:bCs/>
          <w:b/>
        </w:rPr>
        <w:t xml:space="preserve">Étude ouverte</w:t>
      </w:r>
      <w:r>
        <w:t xml:space="preserve"> </w:t>
      </w:r>
      <w:r>
        <w:t xml:space="preserve">: étude sans mise en aveugle, dans laquelle les participants et le personnel de l’étude savent quel traitement est administré.</w:t>
      </w:r>
    </w:p>
    <w:p>
      <w:pPr>
        <w:pStyle w:val="BodyText"/>
      </w:pPr>
      <w:r>
        <w:rPr>
          <w:bCs/>
          <w:b/>
        </w:rPr>
        <w:t xml:space="preserve">Études précliniques</w:t>
      </w:r>
      <w:r>
        <w:t xml:space="preserve"> </w:t>
      </w:r>
      <w:r>
        <w:t xml:space="preserve">: investigations en laboratoire et chez l’animal menées avant les premières études chez l’humain.</w:t>
      </w:r>
    </w:p>
    <w:p>
      <w:pPr>
        <w:pStyle w:val="BodyText"/>
      </w:pPr>
      <w:r>
        <w:rPr>
          <w:bCs/>
          <w:b/>
        </w:rPr>
        <w:t xml:space="preserve">EudraVigilance</w:t>
      </w:r>
      <w:r>
        <w:t xml:space="preserve"> </w:t>
      </w:r>
      <w:r>
        <w:t xml:space="preserve">: base de données de l’Agence européenne des médicaments recueillant les déclarations de suspicions d’effets indésirables.</w:t>
      </w:r>
    </w:p>
    <w:p>
      <w:pPr>
        <w:pStyle w:val="BodyText"/>
      </w:pPr>
      <w:r>
        <w:rPr>
          <w:bCs/>
          <w:b/>
        </w:rPr>
        <w:t xml:space="preserve">Événement indésirable</w:t>
      </w:r>
      <w:r>
        <w:t xml:space="preserve"> </w:t>
      </w:r>
      <w:r>
        <w:t xml:space="preserve">: tout problème de santé survenant au cours d’une étude, qu’il soit causé ou non par le traitement. Seule la comparaison avec le groupe témoin montre si un lien est probable.</w:t>
      </w:r>
    </w:p>
    <w:p>
      <w:pPr>
        <w:pStyle w:val="BodyText"/>
      </w:pPr>
      <w:r>
        <w:rPr>
          <w:bCs/>
          <w:b/>
        </w:rPr>
        <w:t xml:space="preserve">Extrémité C-terminale</w:t>
      </w:r>
      <w:r>
        <w:t xml:space="preserve"> </w:t>
      </w:r>
      <w:r>
        <w:t xml:space="preserve">: extrémité d’une chaîne peptidique portant le groupe acide libre. Les séquences peptidiques s’écrivent de l’extrémité N-terminale vers l’extrémité C-terminale.</w:t>
      </w:r>
    </w:p>
    <w:p>
      <w:pPr>
        <w:pStyle w:val="BodyText"/>
      </w:pPr>
      <w:r>
        <w:rPr>
          <w:bCs/>
          <w:b/>
        </w:rPr>
        <w:t xml:space="preserve">Extrémité N-terminale</w:t>
      </w:r>
      <w:r>
        <w:t xml:space="preserve"> </w:t>
      </w:r>
      <w:r>
        <w:t xml:space="preserve">: début d’une chaîne peptidique portant le groupe amine libre.</w:t>
      </w:r>
    </w:p>
    <w:bookmarkEnd w:id="2981"/>
    <w:bookmarkStart w:id="2982" w:name="f"/>
    <w:p>
      <w:pPr>
        <w:pStyle w:val="Heading3"/>
      </w:pPr>
      <w:r>
        <w:t xml:space="preserve">F</w:t>
      </w:r>
    </w:p>
    <w:p>
      <w:pPr>
        <w:pStyle w:val="FirstParagraph"/>
      </w:pPr>
      <w:r>
        <w:rPr>
          <w:bCs/>
          <w:b/>
        </w:rPr>
        <w:t xml:space="preserve">Facteur de confusion (confounding)</w:t>
      </w:r>
      <w:r>
        <w:t xml:space="preserve"> </w:t>
      </w:r>
      <w:r>
        <w:t xml:space="preserve">: facteur lié à la fois à un traitement et à un résultat, qui peut ainsi créer une association apparente. Problème typique des études observationnelles.</w:t>
      </w:r>
    </w:p>
    <w:p>
      <w:pPr>
        <w:pStyle w:val="BodyText"/>
      </w:pPr>
      <w:r>
        <w:rPr>
          <w:bCs/>
          <w:b/>
        </w:rPr>
        <w:t xml:space="preserve">FAERS</w:t>
      </w:r>
      <w:r>
        <w:t xml:space="preserve"> </w:t>
      </w:r>
      <w:r>
        <w:t xml:space="preserve">: système de déclaration de l’autorité américaine du médicament (FDA) pour les suspicions d’effets indésirables.</w:t>
      </w:r>
    </w:p>
    <w:bookmarkEnd w:id="2982"/>
    <w:bookmarkStart w:id="2983" w:name="g"/>
    <w:p>
      <w:pPr>
        <w:pStyle w:val="Heading3"/>
      </w:pPr>
      <w:r>
        <w:t xml:space="preserve">G</w:t>
      </w:r>
    </w:p>
    <w:p>
      <w:pPr>
        <w:pStyle w:val="FirstParagraph"/>
      </w:pPr>
      <w:r>
        <w:rPr>
          <w:bCs/>
          <w:b/>
        </w:rPr>
        <w:t xml:space="preserve">Ghréline</w:t>
      </w:r>
      <w:r>
        <w:t xml:space="preserve"> </w:t>
      </w:r>
      <w:r>
        <w:t xml:space="preserve">: hormone peptidique produite principalement dans l’estomac, qui déclenche la faim et stimule la sécrétion d’hormone de croissance.</w:t>
      </w:r>
    </w:p>
    <w:p>
      <w:pPr>
        <w:pStyle w:val="BodyText"/>
      </w:pPr>
      <w:r>
        <w:rPr>
          <w:bCs/>
          <w:b/>
        </w:rPr>
        <w:t xml:space="preserve">GHRH (growth hormone-releasing hormone)</w:t>
      </w:r>
      <w:r>
        <w:t xml:space="preserve"> </w:t>
      </w:r>
      <w:r>
        <w:t xml:space="preserve">: hormone de l’hypothalamus qui incite l’hypophyse à sécréter l’hormone de croissance. La sermoréline, la tésamoréline et le CJC-1295 en sont dérivés.</w:t>
      </w:r>
    </w:p>
    <w:p>
      <w:pPr>
        <w:pStyle w:val="BodyText"/>
      </w:pPr>
      <w:r>
        <w:rPr>
          <w:bCs/>
          <w:b/>
        </w:rPr>
        <w:t xml:space="preserve">GHRP (growth hormone-releasing peptides)</w:t>
      </w:r>
      <w:r>
        <w:t xml:space="preserve"> </w:t>
      </w:r>
      <w:r>
        <w:t xml:space="preserve">: groupe de peptides synthétiques qui augmentent la sécrétion d’hormone de croissance par l’intermédiaire du récepteur de la ghréline, par exemple le GHRP-2, le GHRP-6, l’hexaréline et l’ipamoréline.</w:t>
      </w:r>
    </w:p>
    <w:p>
      <w:pPr>
        <w:pStyle w:val="BodyText"/>
      </w:pPr>
      <w:r>
        <w:rPr>
          <w:bCs/>
          <w:b/>
        </w:rPr>
        <w:t xml:space="preserve">GIP (polypeptide insulinotrope dépendant du glucose)</w:t>
      </w:r>
      <w:r>
        <w:t xml:space="preserve"> </w:t>
      </w:r>
      <w:r>
        <w:t xml:space="preserve">: hormone intestinale du groupe des incrétines. Le tirzépatide active, en plus du récepteur du GLP-1, le récepteur du GIP.</w:t>
      </w:r>
    </w:p>
    <w:p>
      <w:pPr>
        <w:pStyle w:val="BodyText"/>
      </w:pPr>
      <w:r>
        <w:rPr>
          <w:bCs/>
          <w:b/>
        </w:rPr>
        <w:t xml:space="preserve">GLP-1 (glucagon-like peptide-1)</w:t>
      </w:r>
      <w:r>
        <w:t xml:space="preserve"> </w:t>
      </w:r>
      <w:r>
        <w:t xml:space="preserve">: hormone intestinale sécrétée après les repas, qui renforce la libération d’insuline en fonction de la glycémie, ralentit la vidange gastrique et influence la sensation de satiété.</w:t>
      </w:r>
    </w:p>
    <w:p>
      <w:pPr>
        <w:pStyle w:val="BodyText"/>
      </w:pPr>
      <w:r>
        <w:rPr>
          <w:bCs/>
          <w:b/>
        </w:rPr>
        <w:t xml:space="preserve">Glucagon</w:t>
      </w:r>
      <w:r>
        <w:t xml:space="preserve"> </w:t>
      </w:r>
      <w:r>
        <w:t xml:space="preserve">: hormone peptidique du pancréas qui augmente la glycémie. Certaines nouvelles substances activent en plus le récepteur du glucagon.</w:t>
      </w:r>
    </w:p>
    <w:p>
      <w:pPr>
        <w:pStyle w:val="BodyText"/>
      </w:pPr>
      <w:r>
        <w:rPr>
          <w:bCs/>
          <w:b/>
        </w:rPr>
        <w:t xml:space="preserve">GnRH (gonadolibérine)</w:t>
      </w:r>
      <w:r>
        <w:t xml:space="preserve"> </w:t>
      </w:r>
      <w:r>
        <w:t xml:space="preserve">: hormone de l’hypothalamus qui régule la sécrétion de la LH et de la FSH, les hormones qui pilotent les hormones sexuelles. La gonadoréline en est une forme synthétique.</w:t>
      </w:r>
    </w:p>
    <w:p>
      <w:pPr>
        <w:pStyle w:val="BodyText"/>
      </w:pPr>
      <w:r>
        <w:rPr>
          <w:bCs/>
          <w:b/>
        </w:rPr>
        <w:t xml:space="preserve">Groupe témoin</w:t>
      </w:r>
      <w:r>
        <w:t xml:space="preserve"> </w:t>
      </w:r>
      <w:r>
        <w:t xml:space="preserve">: groupe de comparaison d’une étude, qui ne reçoit pas de substance active, reçoit un placebo ou un traitement standard.</w:t>
      </w:r>
    </w:p>
    <w:bookmarkEnd w:id="2983"/>
    <w:bookmarkStart w:id="2984" w:name="h"/>
    <w:p>
      <w:pPr>
        <w:pStyle w:val="Heading3"/>
      </w:pPr>
      <w:r>
        <w:t xml:space="preserve">H</w:t>
      </w:r>
    </w:p>
    <w:p>
      <w:pPr>
        <w:pStyle w:val="FirstParagraph"/>
      </w:pPr>
      <w:r>
        <w:rPr>
          <w:bCs/>
          <w:b/>
        </w:rPr>
        <w:t xml:space="preserve">Hazard ratio</w:t>
      </w:r>
      <w:r>
        <w:t xml:space="preserve"> </w:t>
      </w:r>
      <w:r>
        <w:t xml:space="preserve">: mesure de la différence du risque de survenue d’un événement au cours du temps entre deux groupes. Une valeur de 0,80 signifie un risque relatif inférieur d’environ 20 %.</w:t>
      </w:r>
    </w:p>
    <w:p>
      <w:pPr>
        <w:pStyle w:val="BodyText"/>
      </w:pPr>
      <w:r>
        <w:rPr>
          <w:bCs/>
          <w:b/>
        </w:rPr>
        <w:t xml:space="preserve">HbA1c</w:t>
      </w:r>
      <w:r>
        <w:t xml:space="preserve"> </w:t>
      </w:r>
      <w:r>
        <w:t xml:space="preserve">: proportion du pigment rouge du sang à laquelle du sucre est lié. Elle reflète la glycémie moyenne des deux à trois derniers mois et constitue un critère de substitution important dans les études sur le diabète.</w:t>
      </w:r>
    </w:p>
    <w:p>
      <w:pPr>
        <w:pStyle w:val="BodyText"/>
      </w:pPr>
      <w:r>
        <w:rPr>
          <w:bCs/>
          <w:b/>
        </w:rPr>
        <w:t xml:space="preserve">Hormone de croissance (somatotropine)</w:t>
      </w:r>
      <w:r>
        <w:t xml:space="preserve"> </w:t>
      </w:r>
      <w:r>
        <w:t xml:space="preserve">: protéine de l’hypophyse qui influence la croissance, le métabolisme et la composition corporelle. De nombreux peptides de ce livre sont censés en augmenter la sécrétion.</w:t>
      </w:r>
    </w:p>
    <w:p>
      <w:pPr>
        <w:pStyle w:val="BodyText"/>
      </w:pPr>
      <w:r>
        <w:rPr>
          <w:bCs/>
          <w:b/>
        </w:rPr>
        <w:t xml:space="preserve">HPLC (chromatographie liquide haute performance)</w:t>
      </w:r>
      <w:r>
        <w:t xml:space="preserve"> </w:t>
      </w:r>
      <w:r>
        <w:t xml:space="preserve">: méthode de laboratoire permettant de séparer des mélanges de substances et de déterminer la pureté des peptides.</w:t>
      </w:r>
    </w:p>
    <w:p>
      <w:pPr>
        <w:pStyle w:val="BodyText"/>
      </w:pPr>
      <w:r>
        <w:rPr>
          <w:bCs/>
          <w:b/>
        </w:rPr>
        <w:t xml:space="preserve">Hydrolysat</w:t>
      </w:r>
      <w:r>
        <w:t xml:space="preserve"> </w:t>
      </w:r>
      <w:r>
        <w:t xml:space="preserve">: mélange de fragments obtenu lorsque des protéines sont scindées par des enzymes ou par un acide. Les peptides de collagène sont obtenus de cette manière.</w:t>
      </w:r>
    </w:p>
    <w:p>
      <w:pPr>
        <w:pStyle w:val="BodyText"/>
      </w:pPr>
      <w:r>
        <w:rPr>
          <w:bCs/>
          <w:b/>
        </w:rPr>
        <w:t xml:space="preserve">Hypoglycémie</w:t>
      </w:r>
      <w:r>
        <w:t xml:space="preserve"> </w:t>
      </w:r>
      <w:r>
        <w:t xml:space="preserve">: taux de sucre dans le sang trop bas. Elle peut entraîner tremblements, sueurs, confusion et perte de connaissance et constitue une urgence.</w:t>
      </w:r>
    </w:p>
    <w:p>
      <w:pPr>
        <w:pStyle w:val="BodyText"/>
      </w:pPr>
      <w:r>
        <w:rPr>
          <w:bCs/>
          <w:b/>
        </w:rPr>
        <w:t xml:space="preserve">Hypophyse</w:t>
      </w:r>
      <w:r>
        <w:t xml:space="preserve"> </w:t>
      </w:r>
      <w:r>
        <w:t xml:space="preserve">: petite glande hormonale située à la base du crâne, qui sécrète notamment l’hormone de croissance et les hormones de commande de la thyroïde, des glandes surrénales et des glandes sexuelles.</w:t>
      </w:r>
    </w:p>
    <w:p>
      <w:pPr>
        <w:pStyle w:val="BodyText"/>
      </w:pPr>
      <w:r>
        <w:rPr>
          <w:bCs/>
          <w:b/>
        </w:rPr>
        <w:t xml:space="preserve">Hypothalamus</w:t>
      </w:r>
      <w:r>
        <w:t xml:space="preserve"> </w:t>
      </w:r>
      <w:r>
        <w:t xml:space="preserve">: région du cerveau qui pilote l’hypophyse par l’intermédiaire d’hormones de libération et participe à la régulation de la faim, de la soif, du sommeil et de la température corporelle.</w:t>
      </w:r>
    </w:p>
    <w:bookmarkEnd w:id="2984"/>
    <w:bookmarkStart w:id="2985" w:name="i"/>
    <w:p>
      <w:pPr>
        <w:pStyle w:val="Heading3"/>
      </w:pPr>
      <w:r>
        <w:t xml:space="preserve">I</w:t>
      </w:r>
    </w:p>
    <w:p>
      <w:pPr>
        <w:pStyle w:val="FirstParagraph"/>
      </w:pPr>
      <w:r>
        <w:rPr>
          <w:bCs/>
          <w:b/>
        </w:rPr>
        <w:t xml:space="preserve">IGF-1 (facteur de croissance analogue à l’insuline 1)</w:t>
      </w:r>
      <w:r>
        <w:t xml:space="preserve"> </w:t>
      </w:r>
      <w:r>
        <w:t xml:space="preserve">: facteur de croissance produit principalement dans le foie sous l’influence de l’hormone de croissance. Il transmet de nombreux effets de l’hormone de croissance et sert de valeur de laboratoire pour l’évaluer.</w:t>
      </w:r>
    </w:p>
    <w:p>
      <w:pPr>
        <w:pStyle w:val="BodyText"/>
      </w:pPr>
      <w:r>
        <w:rPr>
          <w:bCs/>
          <w:b/>
        </w:rPr>
        <w:t xml:space="preserve">IMC (indice de masse corporelle)</w:t>
      </w:r>
      <w:r>
        <w:t xml:space="preserve"> </w:t>
      </w:r>
      <w:r>
        <w:t xml:space="preserve">: poids corporel en kilogrammes divisé par le carré de la taille en mètres. Mesure approximative de l’insuffisance pondérale, du poids normal et du surpoids.</w:t>
      </w:r>
    </w:p>
    <w:p>
      <w:pPr>
        <w:pStyle w:val="BodyText"/>
      </w:pPr>
      <w:r>
        <w:rPr>
          <w:bCs/>
          <w:b/>
        </w:rPr>
        <w:t xml:space="preserve">Immunogénicité</w:t>
      </w:r>
      <w:r>
        <w:t xml:space="preserve"> </w:t>
      </w:r>
      <w:r>
        <w:t xml:space="preserve">: capacité d’une substance à déclencher une réaction du système immunitaire, par exemple la formation d’anticorps.</w:t>
      </w:r>
    </w:p>
    <w:p>
      <w:pPr>
        <w:pStyle w:val="BodyText"/>
      </w:pPr>
      <w:r>
        <w:rPr>
          <w:bCs/>
          <w:b/>
        </w:rPr>
        <w:t xml:space="preserve">Impureté</w:t>
      </w:r>
      <w:r>
        <w:t xml:space="preserve"> </w:t>
      </w:r>
      <w:r>
        <w:t xml:space="preserve">: composants indésirables d’un produit, par exemple des chaînes peptidiques défectueuses issues de la synthèse, des résidus de solvants, des métaux ou des composants bactériens.</w:t>
      </w:r>
    </w:p>
    <w:p>
      <w:pPr>
        <w:pStyle w:val="BodyText"/>
      </w:pPr>
      <w:r>
        <w:rPr>
          <w:bCs/>
          <w:b/>
        </w:rPr>
        <w:t xml:space="preserve">In vitro</w:t>
      </w:r>
      <w:r>
        <w:t xml:space="preserve"> </w:t>
      </w:r>
      <w:r>
        <w:t xml:space="preserve">: « dans le verre » – expériences menées en laboratoire sur des cellules, des tissus ou des molécules isolées, en dehors d’un organisme vivant.</w:t>
      </w:r>
    </w:p>
    <w:p>
      <w:pPr>
        <w:pStyle w:val="BodyText"/>
      </w:pPr>
      <w:r>
        <w:rPr>
          <w:bCs/>
          <w:b/>
        </w:rPr>
        <w:t xml:space="preserve">Incrétines</w:t>
      </w:r>
      <w:r>
        <w:t xml:space="preserve"> </w:t>
      </w:r>
      <w:r>
        <w:t xml:space="preserve">: hormones intestinales qui renforcent la sécrétion d’insuline après un repas. Les principales sont le GLP-1 et le GIP.</w:t>
      </w:r>
    </w:p>
    <w:p>
      <w:pPr>
        <w:pStyle w:val="BodyText"/>
      </w:pPr>
      <w:r>
        <w:rPr>
          <w:bCs/>
          <w:b/>
        </w:rPr>
        <w:t xml:space="preserve">Insuline</w:t>
      </w:r>
      <w:r>
        <w:t xml:space="preserve"> </w:t>
      </w:r>
      <w:r>
        <w:t xml:space="preserve">: hormone peptidique du pancréas composée de 51 acides aminés, qui abaisse la glycémie. En 1922, elle a été le premier peptide utilisé comme médicament.</w:t>
      </w:r>
    </w:p>
    <w:p>
      <w:pPr>
        <w:pStyle w:val="BodyText"/>
      </w:pPr>
      <w:r>
        <w:rPr>
          <w:bCs/>
          <w:b/>
        </w:rPr>
        <w:t xml:space="preserve">Intervalle de confiance</w:t>
      </w:r>
      <w:r>
        <w:t xml:space="preserve"> </w:t>
      </w:r>
      <w:r>
        <w:t xml:space="preserve">: fourchette autour d’un résultat d’étude dans laquelle se situe la vraie valeur avec une probabilité donnée (le plus souvent 95 %). Des intervalles larges indiquent une estimation incertaine.</w:t>
      </w:r>
    </w:p>
    <w:bookmarkEnd w:id="2985"/>
    <w:bookmarkStart w:id="2986" w:name="l"/>
    <w:p>
      <w:pPr>
        <w:pStyle w:val="Heading3"/>
      </w:pPr>
      <w:r>
        <w:t xml:space="preserve">L</w:t>
      </w:r>
    </w:p>
    <w:p>
      <w:pPr>
        <w:pStyle w:val="FirstParagraph"/>
      </w:pPr>
      <w:r>
        <w:rPr>
          <w:bCs/>
          <w:b/>
        </w:rPr>
        <w:t xml:space="preserve">Liaison peptidique</w:t>
      </w:r>
      <w:r>
        <w:t xml:space="preserve"> </w:t>
      </w:r>
      <w:r>
        <w:t xml:space="preserve">: liaison chimique entre le groupe acide d’un acide aminé et le groupe amine du suivant, dont la formation libère une molécule d’eau.</w:t>
      </w:r>
    </w:p>
    <w:p>
      <w:pPr>
        <w:pStyle w:val="BodyText"/>
      </w:pPr>
      <w:r>
        <w:rPr>
          <w:bCs/>
          <w:b/>
        </w:rPr>
        <w:t xml:space="preserve">Lyophilisat</w:t>
      </w:r>
      <w:r>
        <w:t xml:space="preserve"> </w:t>
      </w:r>
      <w:r>
        <w:t xml:space="preserve">: poudre lyophilisée. De nombreux peptides sont conservés sous cette forme et doivent être dissous dans un liquide avant utilisation.</w:t>
      </w:r>
    </w:p>
    <w:bookmarkEnd w:id="2986"/>
    <w:bookmarkStart w:id="2987" w:name="m"/>
    <w:p>
      <w:pPr>
        <w:pStyle w:val="Heading3"/>
      </w:pPr>
      <w:r>
        <w:t xml:space="preserve">M</w:t>
      </w:r>
    </w:p>
    <w:p>
      <w:pPr>
        <w:pStyle w:val="FirstParagraph"/>
      </w:pPr>
      <w:r>
        <w:rPr>
          <w:bCs/>
          <w:b/>
        </w:rPr>
        <w:t xml:space="preserve">Médicament</w:t>
      </w:r>
      <w:r>
        <w:t xml:space="preserve"> </w:t>
      </w:r>
      <w:r>
        <w:t xml:space="preserve">: substance ou préparation destinée à guérir, soulager ou prévenir des maladies, ou modifiant des fonctions de l’organisme par une action pharmacologique, immunologique ou métabolique. Dans l’UE, un médicament doit obtenir une autorisation avant d’être vendu.</w:t>
      </w:r>
    </w:p>
    <w:p>
      <w:pPr>
        <w:pStyle w:val="BodyText"/>
      </w:pPr>
      <w:r>
        <w:rPr>
          <w:bCs/>
          <w:b/>
        </w:rPr>
        <w:t xml:space="preserve">Médicament biologique</w:t>
      </w:r>
      <w:r>
        <w:t xml:space="preserve"> </w:t>
      </w:r>
      <w:r>
        <w:t xml:space="preserve">: médicament dont la substance active est produite à l’aide de cellules vivantes, par exemple par génie génétique dans des bactéries ou des cellules de mammifères. De nombreux peptides de grande taille et tous les médicaments à base d’anticorps en font partie.</w:t>
      </w:r>
    </w:p>
    <w:p>
      <w:pPr>
        <w:pStyle w:val="BodyText"/>
      </w:pPr>
      <w:r>
        <w:rPr>
          <w:bCs/>
          <w:b/>
        </w:rPr>
        <w:t xml:space="preserve">Médicament par fonction</w:t>
      </w:r>
      <w:r>
        <w:t xml:space="preserve"> </w:t>
      </w:r>
      <w:r>
        <w:t xml:space="preserve">: notion juridique désignant un produit considéré comme médicament en raison de son action pharmacologique, immunologique ou métabolique – quelle que soit la manière dont il est promu.</w:t>
      </w:r>
    </w:p>
    <w:p>
      <w:pPr>
        <w:pStyle w:val="BodyText"/>
      </w:pPr>
      <w:r>
        <w:rPr>
          <w:bCs/>
          <w:b/>
        </w:rPr>
        <w:t xml:space="preserve">Médicament par présentation</w:t>
      </w:r>
      <w:r>
        <w:t xml:space="preserve"> </w:t>
      </w:r>
      <w:r>
        <w:t xml:space="preserve">: notion juridique désignant un produit considéré comme médicament parce qu’il est présenté ou promu comme remède contre des maladies.</w:t>
      </w:r>
    </w:p>
    <w:p>
      <w:pPr>
        <w:pStyle w:val="BodyText"/>
      </w:pPr>
      <w:r>
        <w:rPr>
          <w:bCs/>
          <w:b/>
        </w:rPr>
        <w:t xml:space="preserve">Méta-analyse</w:t>
      </w:r>
      <w:r>
        <w:t xml:space="preserve"> </w:t>
      </w:r>
      <w:r>
        <w:t xml:space="preserve">: synthèse statistique des résultats de plusieurs études portant sur la même question. Elle ne vaut que ce que valent les études qui y sont incluses.</w:t>
      </w:r>
    </w:p>
    <w:p>
      <w:pPr>
        <w:pStyle w:val="BodyText"/>
      </w:pPr>
      <w:r>
        <w:rPr>
          <w:bCs/>
          <w:b/>
        </w:rPr>
        <w:t xml:space="preserve">Mimétique</w:t>
      </w:r>
      <w:r>
        <w:t xml:space="preserve"> </w:t>
      </w:r>
      <w:r>
        <w:t xml:space="preserve">: substance qui imite l’effet d’une autre sans en avoir la structure – par exemple une petite molécule qui active un récepteur comme une hormone peptidique.</w:t>
      </w:r>
    </w:p>
    <w:p>
      <w:pPr>
        <w:pStyle w:val="BodyText"/>
      </w:pPr>
      <w:r>
        <w:rPr>
          <w:bCs/>
          <w:b/>
        </w:rPr>
        <w:t xml:space="preserve">Mise en aveugle</w:t>
      </w:r>
      <w:r>
        <w:t xml:space="preserve"> </w:t>
      </w:r>
      <w:r>
        <w:t xml:space="preserve">: fait de cacher l’attribution aux groupes aux participants et/ou au personnel de l’étude, afin d’éviter les effets liés aux attentes.</w:t>
      </w:r>
    </w:p>
    <w:bookmarkEnd w:id="2987"/>
    <w:bookmarkStart w:id="2988" w:name="n"/>
    <w:p>
      <w:pPr>
        <w:pStyle w:val="Heading3"/>
      </w:pPr>
      <w:r>
        <w:t xml:space="preserve">N</w:t>
      </w:r>
    </w:p>
    <w:p>
      <w:pPr>
        <w:pStyle w:val="FirstParagraph"/>
      </w:pPr>
      <w:r>
        <w:rPr>
          <w:bCs/>
          <w:b/>
        </w:rPr>
        <w:t xml:space="preserve">Niveau de preuve</w:t>
      </w:r>
      <w:r>
        <w:t xml:space="preserve"> </w:t>
      </w:r>
      <w:r>
        <w:t xml:space="preserve">: dans ce livre, classement de A à D indiquant dans quelle mesure l’effet d’un peptide chez l’humain est démontré. A correspond à plusieurs grandes études randomisées et à une autorisation, D à des études exclusivement animales et de laboratoire.</w:t>
      </w:r>
    </w:p>
    <w:p>
      <w:pPr>
        <w:pStyle w:val="BodyText"/>
      </w:pPr>
      <w:r>
        <w:rPr>
          <w:bCs/>
          <w:b/>
        </w:rPr>
        <w:t xml:space="preserve">Nombre de sujets à traiter (number needed to treat, NNT)</w:t>
      </w:r>
      <w:r>
        <w:t xml:space="preserve"> </w:t>
      </w:r>
      <w:r>
        <w:t xml:space="preserve">: nombre de personnes qui doivent être traitées pendant une période donnée pour qu’une personne évite un événement. Il est calculé à partir de la réduction absolue du risque.</w:t>
      </w:r>
    </w:p>
    <w:p>
      <w:pPr>
        <w:pStyle w:val="BodyText"/>
      </w:pPr>
      <w:r>
        <w:rPr>
          <w:bCs/>
          <w:b/>
        </w:rPr>
        <w:t xml:space="preserve">Nouvel aliment (novel food)</w:t>
      </w:r>
      <w:r>
        <w:t xml:space="preserve"> </w:t>
      </w:r>
      <w:r>
        <w:t xml:space="preserve">: dans l’UE, denrée alimentaire ou ingrédient qui n’était pas consommé de manière significative avant le 15 mai 1997. Ces produits nécessitent une autorisation avant d’être vendus.</w:t>
      </w:r>
    </w:p>
    <w:p>
      <w:pPr>
        <w:pStyle w:val="BodyText"/>
      </w:pPr>
      <w:r>
        <w:rPr>
          <w:bCs/>
          <w:b/>
        </w:rPr>
        <w:t xml:space="preserve">Numéro NCT</w:t>
      </w:r>
      <w:r>
        <w:t xml:space="preserve"> </w:t>
      </w:r>
      <w:r>
        <w:t xml:space="preserve">: numéro d’identification d’une étude dans le registre ClinicalTrials.gov, composé de « NCT » et de huit chiffres.</w:t>
      </w:r>
    </w:p>
    <w:bookmarkEnd w:id="2988"/>
    <w:bookmarkStart w:id="2989" w:name="o"/>
    <w:p>
      <w:pPr>
        <w:pStyle w:val="Heading3"/>
      </w:pPr>
      <w:r>
        <w:t xml:space="preserve">O</w:t>
      </w:r>
    </w:p>
    <w:p>
      <w:pPr>
        <w:pStyle w:val="FirstParagraph"/>
      </w:pPr>
      <w:r>
        <w:rPr>
          <w:bCs/>
          <w:b/>
        </w:rPr>
        <w:t xml:space="preserve">Obésité</w:t>
      </w:r>
      <w:r>
        <w:t xml:space="preserve"> </w:t>
      </w:r>
      <w:r>
        <w:t xml:space="preserve">: excès de poids pathologique, généralement défini par un indice de masse corporelle de 30 ou plus. Elle est considérée comme une maladie chronique associée à un risque accru de diabète, de maladies cardiovasculaires et articulaires.</w:t>
      </w:r>
    </w:p>
    <w:p>
      <w:pPr>
        <w:pStyle w:val="BodyText"/>
      </w:pPr>
      <w:r>
        <w:rPr>
          <w:bCs/>
          <w:b/>
        </w:rPr>
        <w:t xml:space="preserve">Oligopeptide</w:t>
      </w:r>
      <w:r>
        <w:t xml:space="preserve"> </w:t>
      </w:r>
      <w:r>
        <w:t xml:space="preserve">: peptide court composé d’environ deux à dix acides aminés.</w:t>
      </w:r>
    </w:p>
    <w:bookmarkEnd w:id="2989"/>
    <w:bookmarkStart w:id="2990" w:name="p"/>
    <w:p>
      <w:pPr>
        <w:pStyle w:val="Heading3"/>
      </w:pPr>
      <w:r>
        <w:t xml:space="preserve">P</w:t>
      </w:r>
    </w:p>
    <w:p>
      <w:pPr>
        <w:pStyle w:val="FirstParagraph"/>
      </w:pPr>
      <w:r>
        <w:rPr>
          <w:bCs/>
          <w:b/>
        </w:rPr>
        <w:t xml:space="preserve">Pancréatite</w:t>
      </w:r>
      <w:r>
        <w:t xml:space="preserve"> </w:t>
      </w:r>
      <w:r>
        <w:t xml:space="preserve">: inflammation du pancréas. Elle est discutée comme effet indésirable possible et rare des médicaments GLP-1.</w:t>
      </w:r>
    </w:p>
    <w:p>
      <w:pPr>
        <w:pStyle w:val="BodyText"/>
      </w:pPr>
      <w:r>
        <w:rPr>
          <w:bCs/>
          <w:b/>
        </w:rPr>
        <w:t xml:space="preserve">Peptide</w:t>
      </w:r>
      <w:r>
        <w:t xml:space="preserve"> </w:t>
      </w:r>
      <w:r>
        <w:t xml:space="preserve">: chaîne d’acides aminés reliés par des liaisons peptidiques. À partir d’environ 50 acides aminés, on parle généralement de protéine.</w:t>
      </w:r>
    </w:p>
    <w:p>
      <w:pPr>
        <w:pStyle w:val="BodyText"/>
      </w:pPr>
      <w:r>
        <w:rPr>
          <w:bCs/>
          <w:b/>
        </w:rPr>
        <w:t xml:space="preserve">Peptide cyclique</w:t>
      </w:r>
      <w:r>
        <w:t xml:space="preserve"> </w:t>
      </w:r>
      <w:r>
        <w:t xml:space="preserve">: peptide dont la chaîne est fermée en anneau. Les structures cycliques rendent souvent les peptides plus stables vis-à-vis des enzymes.</w:t>
      </w:r>
    </w:p>
    <w:p>
      <w:pPr>
        <w:pStyle w:val="BodyText"/>
      </w:pPr>
      <w:r>
        <w:rPr>
          <w:bCs/>
          <w:b/>
        </w:rPr>
        <w:t xml:space="preserve">Peptides antimicrobiens</w:t>
      </w:r>
      <w:r>
        <w:t xml:space="preserve"> </w:t>
      </w:r>
      <w:r>
        <w:t xml:space="preserve">: peptides endogènes faisant partie des défenses immunitaires innées et capables d’endommager les bactéries, les champignons ou les virus. Le LL-37 en est un exemple.</w:t>
      </w:r>
    </w:p>
    <w:p>
      <w:pPr>
        <w:pStyle w:val="BodyText"/>
      </w:pPr>
      <w:r>
        <w:rPr>
          <w:bCs/>
          <w:b/>
        </w:rPr>
        <w:t xml:space="preserve">Pharmacocinétique</w:t>
      </w:r>
      <w:r>
        <w:t xml:space="preserve"> </w:t>
      </w:r>
      <w:r>
        <w:t xml:space="preserve">: étude de ce que l’organisme fait d’une substance active – absorption, distribution, dégradation et élimination.</w:t>
      </w:r>
    </w:p>
    <w:p>
      <w:pPr>
        <w:pStyle w:val="BodyText"/>
      </w:pPr>
      <w:r>
        <w:rPr>
          <w:bCs/>
          <w:b/>
        </w:rPr>
        <w:t xml:space="preserve">Pharmacodynamie</w:t>
      </w:r>
      <w:r>
        <w:t xml:space="preserve"> </w:t>
      </w:r>
      <w:r>
        <w:t xml:space="preserve">: étude de ce qu’une substance active produit dans l’organisme – c’est-à-dire de ses effets et de ses mécanismes d’action.</w:t>
      </w:r>
    </w:p>
    <w:p>
      <w:pPr>
        <w:pStyle w:val="BodyText"/>
      </w:pPr>
      <w:r>
        <w:rPr>
          <w:bCs/>
          <w:b/>
        </w:rPr>
        <w:t xml:space="preserve">Pharmacovigilance</w:t>
      </w:r>
      <w:r>
        <w:t xml:space="preserve"> </w:t>
      </w:r>
      <w:r>
        <w:t xml:space="preserve">: surveillance systématique des médicaments après leur autorisation, afin de détecter et d’évaluer les effets indésirables.</w:t>
      </w:r>
    </w:p>
    <w:p>
      <w:pPr>
        <w:pStyle w:val="BodyText"/>
      </w:pPr>
      <w:r>
        <w:rPr>
          <w:bCs/>
          <w:b/>
        </w:rPr>
        <w:t xml:space="preserve">Phases des études</w:t>
      </w:r>
      <w:r>
        <w:t xml:space="preserve"> </w:t>
      </w:r>
      <w:r>
        <w:t xml:space="preserve">: étapes de l’évaluation des médicaments chez l’humain, de la phase 1 (tolérance chez quelques personnes) à la phase 3 (grandes études comparatives) et à la phase 4 (surveillance après l’autorisation).</w:t>
      </w:r>
    </w:p>
    <w:p>
      <w:pPr>
        <w:pStyle w:val="BodyText"/>
      </w:pPr>
      <w:r>
        <w:rPr>
          <w:bCs/>
          <w:b/>
        </w:rPr>
        <w:t xml:space="preserve">Placebo</w:t>
      </w:r>
      <w:r>
        <w:t xml:space="preserve"> </w:t>
      </w:r>
      <w:r>
        <w:t xml:space="preserve">: préparation factice sans substance active, utilisée à titre de comparaison dans les études.</w:t>
      </w:r>
    </w:p>
    <w:p>
      <w:pPr>
        <w:pStyle w:val="BodyText"/>
      </w:pPr>
      <w:r>
        <w:rPr>
          <w:bCs/>
          <w:b/>
        </w:rPr>
        <w:t xml:space="preserve">PMID</w:t>
      </w:r>
      <w:r>
        <w:t xml:space="preserve"> </w:t>
      </w:r>
      <w:r>
        <w:t xml:space="preserve">: numéro d’identification PubMed, un numéro unique attribué à chaque entrée de la base de données bibliographique PubMed.</w:t>
      </w:r>
    </w:p>
    <w:p>
      <w:pPr>
        <w:pStyle w:val="BodyText"/>
      </w:pPr>
      <w:r>
        <w:rPr>
          <w:bCs/>
          <w:b/>
        </w:rPr>
        <w:t xml:space="preserve">Polypeptide</w:t>
      </w:r>
      <w:r>
        <w:t xml:space="preserve"> </w:t>
      </w:r>
      <w:r>
        <w:t xml:space="preserve">: chaîne peptidique plus longue, généralement de plus de dix acides aminés.</w:t>
      </w:r>
    </w:p>
    <w:p>
      <w:pPr>
        <w:pStyle w:val="BodyText"/>
      </w:pPr>
      <w:r>
        <w:rPr>
          <w:bCs/>
          <w:b/>
        </w:rPr>
        <w:t xml:space="preserve">Prépublication (preprint)</w:t>
      </w:r>
      <w:r>
        <w:t xml:space="preserve"> </w:t>
      </w:r>
      <w:r>
        <w:t xml:space="preserve">: travail scientifique rendu public avant son évaluation par des pairs.</w:t>
      </w:r>
    </w:p>
    <w:p>
      <w:pPr>
        <w:pStyle w:val="BodyText"/>
      </w:pPr>
      <w:r>
        <w:rPr>
          <w:bCs/>
          <w:b/>
        </w:rPr>
        <w:t xml:space="preserve">Produit cosmétique</w:t>
      </w:r>
      <w:r>
        <w:t xml:space="preserve"> </w:t>
      </w:r>
      <w:r>
        <w:t xml:space="preserve">: produit à usage externe destiné à nettoyer, entretenir, protéger ou modifier l’apparence. Il ne peut revendiquer aucun effet médicamenteux et ne nécessite pas d’autorisation dans l’UE.</w:t>
      </w:r>
    </w:p>
    <w:p>
      <w:pPr>
        <w:pStyle w:val="BodyText"/>
      </w:pPr>
      <w:r>
        <w:rPr>
          <w:bCs/>
          <w:b/>
        </w:rPr>
        <w:t xml:space="preserve">Protéase</w:t>
      </w:r>
      <w:r>
        <w:t xml:space="preserve"> </w:t>
      </w:r>
      <w:r>
        <w:t xml:space="preserve">: enzyme qui scinde les liaisons peptidiques et dégrade ainsi les protéines et les peptides. Appelée aussi peptidase.</w:t>
      </w:r>
    </w:p>
    <w:p>
      <w:pPr>
        <w:pStyle w:val="BodyText"/>
      </w:pPr>
      <w:r>
        <w:rPr>
          <w:bCs/>
          <w:b/>
        </w:rPr>
        <w:t xml:space="preserve">Protéine</w:t>
      </w:r>
      <w:r>
        <w:t xml:space="preserve"> </w:t>
      </w:r>
      <w:r>
        <w:t xml:space="preserve">: grosse molécule composée le plus souvent de plus de 50 acides aminés, avec un repliement spatial déterminé.</w:t>
      </w:r>
    </w:p>
    <w:p>
      <w:pPr>
        <w:pStyle w:val="BodyText"/>
      </w:pPr>
      <w:r>
        <w:rPr>
          <w:bCs/>
          <w:b/>
        </w:rPr>
        <w:t xml:space="preserve">PubMed</w:t>
      </w:r>
      <w:r>
        <w:t xml:space="preserve"> </w:t>
      </w:r>
      <w:r>
        <w:t xml:space="preserve">: base de données bibliographique en libre accès de la National Library of Medicine américaine, comptant des millions d’entrées issues de la recherche biomédicale.</w:t>
      </w:r>
    </w:p>
    <w:p>
      <w:pPr>
        <w:pStyle w:val="BodyText"/>
      </w:pPr>
      <w:r>
        <w:rPr>
          <w:bCs/>
          <w:b/>
        </w:rPr>
        <w:t xml:space="preserve">Pyramide des preuves</w:t>
      </w:r>
      <w:r>
        <w:t xml:space="preserve"> </w:t>
      </w:r>
      <w:r>
        <w:t xml:space="preserve">: classement des types d’études selon leur valeur probante, des études de laboratoire et animales en bas jusqu’aux méta-analyses d’études randomisées en haut.</w:t>
      </w:r>
    </w:p>
    <w:bookmarkEnd w:id="2990"/>
    <w:bookmarkStart w:id="2991" w:name="r"/>
    <w:p>
      <w:pPr>
        <w:pStyle w:val="Heading3"/>
      </w:pPr>
      <w:r>
        <w:t xml:space="preserve">R</w:t>
      </w:r>
    </w:p>
    <w:p>
      <w:pPr>
        <w:pStyle w:val="FirstParagraph"/>
      </w:pPr>
      <w:r>
        <w:rPr>
          <w:bCs/>
          <w:b/>
        </w:rPr>
        <w:t xml:space="preserve">Randomisation</w:t>
      </w:r>
      <w:r>
        <w:t xml:space="preserve"> </w:t>
      </w:r>
      <w:r>
        <w:t xml:space="preserve">: attribution au hasard des participants aux groupes d’une étude. Elle garantit que les groupes ne diffèrent systématiquement que par le traitement.</w:t>
      </w:r>
    </w:p>
    <w:p>
      <w:pPr>
        <w:pStyle w:val="BodyText"/>
      </w:pPr>
      <w:r>
        <w:rPr>
          <w:bCs/>
          <w:b/>
        </w:rPr>
        <w:t xml:space="preserve">Rapport de cas</w:t>
      </w:r>
      <w:r>
        <w:t xml:space="preserve"> </w:t>
      </w:r>
      <w:r>
        <w:t xml:space="preserve">: description d’un cas clinique isolé dans une revue spécialisée. Les rapports de cas sont importants pour détecter des effets indésirables rares, mais disent peu de choses sur l’efficacité.</w:t>
      </w:r>
    </w:p>
    <w:p>
      <w:pPr>
        <w:pStyle w:val="BodyText"/>
      </w:pPr>
      <w:r>
        <w:rPr>
          <w:bCs/>
          <w:b/>
        </w:rPr>
        <w:t xml:space="preserve">RCP (résumé des caractéristiques du produit)</w:t>
      </w:r>
      <w:r>
        <w:t xml:space="preserve"> </w:t>
      </w:r>
      <w:r>
        <w:t xml:space="preserve">: information approuvée par les autorités et destinée aux médecins et aux pharmacies sur un médicament autorisé, avec ses indications, sa posologie, ses contre-indications et ses effets indésirables.</w:t>
      </w:r>
    </w:p>
    <w:p>
      <w:pPr>
        <w:pStyle w:val="BodyText"/>
      </w:pPr>
      <w:r>
        <w:rPr>
          <w:bCs/>
          <w:b/>
        </w:rPr>
        <w:t xml:space="preserve">Récepteur</w:t>
      </w:r>
      <w:r>
        <w:t xml:space="preserve"> </w:t>
      </w:r>
      <w:r>
        <w:t xml:space="preserve">: molécule protéique, le plus souvent située à la surface des cellules, à laquelle se lie un messager, déclenchant ainsi un signal dans la cellule.</w:t>
      </w:r>
    </w:p>
    <w:p>
      <w:pPr>
        <w:pStyle w:val="BodyText"/>
      </w:pPr>
      <w:r>
        <w:rPr>
          <w:bCs/>
          <w:b/>
        </w:rPr>
        <w:t xml:space="preserve">Récepteurs de la mélanocortine</w:t>
      </w:r>
      <w:r>
        <w:t xml:space="preserve"> </w:t>
      </w:r>
      <w:r>
        <w:t xml:space="preserve">: famille de récepteurs qui influencent notamment la pigmentation de la peau, l’appétit et la fonction sexuelle. L’afamélanotide, le brémélanotide, le Melanotan II et le setmélanotide agissent sur ces récepteurs.</w:t>
      </w:r>
    </w:p>
    <w:p>
      <w:pPr>
        <w:pStyle w:val="BodyText"/>
      </w:pPr>
      <w:r>
        <w:rPr>
          <w:bCs/>
          <w:b/>
        </w:rPr>
        <w:t xml:space="preserve">Recombinant</w:t>
      </w:r>
      <w:r>
        <w:t xml:space="preserve"> </w:t>
      </w:r>
      <w:r>
        <w:t xml:space="preserve">: produit par génie génétique, en introduisant le plan de construction d’un peptide ou d’une protéine dans des bactéries, des levures ou d’autres cellules.</w:t>
      </w:r>
    </w:p>
    <w:p>
      <w:pPr>
        <w:pStyle w:val="BodyText"/>
      </w:pPr>
      <w:r>
        <w:rPr>
          <w:bCs/>
          <w:b/>
        </w:rPr>
        <w:t xml:space="preserve">Réduction absolue du risque</w:t>
      </w:r>
      <w:r>
        <w:t xml:space="preserve"> </w:t>
      </w:r>
      <w:r>
        <w:t xml:space="preserve">: différence de fréquence d’un événement entre deux groupes, exprimée en points de pourcentage. Si un risque passe de 8 % à 6,5 %, la réduction absolue du risque est de 1,5 point de pourcentage.</w:t>
      </w:r>
    </w:p>
    <w:p>
      <w:pPr>
        <w:pStyle w:val="BodyText"/>
      </w:pPr>
      <w:r>
        <w:rPr>
          <w:bCs/>
          <w:b/>
        </w:rPr>
        <w:t xml:space="preserve">Registre d’études</w:t>
      </w:r>
      <w:r>
        <w:t xml:space="preserve"> </w:t>
      </w:r>
      <w:r>
        <w:t xml:space="preserve">: bases de données publiques dans lesquelles les études cliniques sont inscrites avant leur début, par exemple ClinicalTrials.gov ou le registre de l’UE.</w:t>
      </w:r>
    </w:p>
    <w:p>
      <w:pPr>
        <w:pStyle w:val="BodyText"/>
      </w:pPr>
      <w:r>
        <w:rPr>
          <w:bCs/>
          <w:b/>
        </w:rPr>
        <w:t xml:space="preserve">Research peptides</w:t>
      </w:r>
      <w:r>
        <w:t xml:space="preserve"> </w:t>
      </w:r>
      <w:r>
        <w:t xml:space="preserve">: peptides vendus avec la mention « uniquement à des fins de recherche » ou « impropre à l’usage humain », mais souvent à des particuliers. Ce ne sont pas des médicaments contrôlés.</w:t>
      </w:r>
    </w:p>
    <w:p>
      <w:pPr>
        <w:pStyle w:val="BodyText"/>
      </w:pPr>
      <w:r>
        <w:rPr>
          <w:bCs/>
          <w:b/>
        </w:rPr>
        <w:t xml:space="preserve">Revue systématique</w:t>
      </w:r>
      <w:r>
        <w:t xml:space="preserve"> </w:t>
      </w:r>
      <w:r>
        <w:t xml:space="preserve">: travail qui recherche, évalue et résume selon des règles prédéfinies toutes les études disponibles sur une question.</w:t>
      </w:r>
    </w:p>
    <w:p>
      <w:pPr>
        <w:pStyle w:val="BodyText"/>
      </w:pPr>
      <w:r>
        <w:rPr>
          <w:bCs/>
          <w:b/>
        </w:rPr>
        <w:t xml:space="preserve">Rhabdomyolyse</w:t>
      </w:r>
      <w:r>
        <w:t xml:space="preserve"> </w:t>
      </w:r>
      <w:r>
        <w:t xml:space="preserve">: destruction du tissu musculaire, au cours de laquelle des composants musculaires passent dans le sang et peuvent endommager les reins.</w:t>
      </w:r>
    </w:p>
    <w:p>
      <w:pPr>
        <w:pStyle w:val="BodyText"/>
      </w:pPr>
      <w:r>
        <w:rPr>
          <w:bCs/>
          <w:b/>
        </w:rPr>
        <w:t xml:space="preserve">Risque relatif</w:t>
      </w:r>
      <w:r>
        <w:t xml:space="preserve"> </w:t>
      </w:r>
      <w:r>
        <w:t xml:space="preserve">: rapport entre les fréquences d’un événement dans deux groupes. Un risque relatif de 0,5 signifie une réduction de moitié – quelle que soit la fréquence globale de l’événement.</w:t>
      </w:r>
    </w:p>
    <w:bookmarkEnd w:id="2991"/>
    <w:bookmarkStart w:id="2992" w:name="s"/>
    <w:p>
      <w:pPr>
        <w:pStyle w:val="Heading3"/>
      </w:pPr>
      <w:r>
        <w:t xml:space="preserve">S</w:t>
      </w:r>
    </w:p>
    <w:p>
      <w:pPr>
        <w:pStyle w:val="FirstParagraph"/>
      </w:pPr>
      <w:r>
        <w:rPr>
          <w:bCs/>
          <w:b/>
        </w:rPr>
        <w:t xml:space="preserve">Sécrétagogue</w:t>
      </w:r>
      <w:r>
        <w:t xml:space="preserve"> </w:t>
      </w:r>
      <w:r>
        <w:t xml:space="preserve">: substance qui stimule la sécrétion d’une autre substance. Les sécrétagogues de l’hormone de croissance augmentent la libération d’hormone de croissance.</w:t>
      </w:r>
    </w:p>
    <w:p>
      <w:pPr>
        <w:pStyle w:val="BodyText"/>
      </w:pPr>
      <w:r>
        <w:rPr>
          <w:bCs/>
          <w:b/>
        </w:rPr>
        <w:t xml:space="preserve">Séquence</w:t>
      </w:r>
      <w:r>
        <w:t xml:space="preserve"> </w:t>
      </w:r>
      <w:r>
        <w:t xml:space="preserve">: ordre des acides aminés dans une chaîne peptidique. Elle détermine les propriétés du peptide.</w:t>
      </w:r>
    </w:p>
    <w:p>
      <w:pPr>
        <w:pStyle w:val="BodyText"/>
      </w:pPr>
      <w:r>
        <w:rPr>
          <w:bCs/>
          <w:b/>
        </w:rPr>
        <w:t xml:space="preserve">Significativité (statistique)</w:t>
      </w:r>
      <w:r>
        <w:t xml:space="preserve"> </w:t>
      </w:r>
      <w:r>
        <w:t xml:space="preserve">: affirmation selon laquelle une différence observée n’est probablement pas due au seul hasard. Elle ne dit rien de l’ampleur ou de l’importance de la différence.</w:t>
      </w:r>
    </w:p>
    <w:p>
      <w:pPr>
        <w:pStyle w:val="BodyText"/>
      </w:pPr>
      <w:r>
        <w:rPr>
          <w:bCs/>
          <w:b/>
        </w:rPr>
        <w:t xml:space="preserve">SNAC</w:t>
      </w:r>
      <w:r>
        <w:t xml:space="preserve"> </w:t>
      </w:r>
      <w:r>
        <w:t xml:space="preserve">: excipient (N-[8-(2-hydroxybenzoyl)amino]caprylate de sodium) qui permet l’absorption du peptide dans l’estomac dans le comprimé de sémaglutide.</w:t>
      </w:r>
    </w:p>
    <w:p>
      <w:pPr>
        <w:pStyle w:val="BodyText"/>
      </w:pPr>
      <w:r>
        <w:rPr>
          <w:bCs/>
          <w:b/>
        </w:rPr>
        <w:t xml:space="preserve">Sous-cutané</w:t>
      </w:r>
      <w:r>
        <w:t xml:space="preserve"> </w:t>
      </w:r>
      <w:r>
        <w:t xml:space="preserve">: injecté sous la peau, dans le tissu adipeux sous-cutané. C’est la voie d’administration la plus fréquente des médicaments peptidiques.</w:t>
      </w:r>
    </w:p>
    <w:p>
      <w:pPr>
        <w:pStyle w:val="BodyText"/>
      </w:pPr>
      <w:r>
        <w:rPr>
          <w:bCs/>
          <w:b/>
        </w:rPr>
        <w:t xml:space="preserve">Spectrométrie de masse</w:t>
      </w:r>
      <w:r>
        <w:t xml:space="preserve"> </w:t>
      </w:r>
      <w:r>
        <w:t xml:space="preserve">: méthode de mesure qui identifie les molécules selon leur masse. Elle permet d’identifier sans ambiguïté des peptides dans des produits et des liquides biologiques, par exemple lors des contrôles antidopage.</w:t>
      </w:r>
    </w:p>
    <w:p>
      <w:pPr>
        <w:pStyle w:val="BodyText"/>
      </w:pPr>
      <w:r>
        <w:rPr>
          <w:bCs/>
          <w:b/>
        </w:rPr>
        <w:t xml:space="preserve">Stérilité</w:t>
      </w:r>
      <w:r>
        <w:t xml:space="preserve"> </w:t>
      </w:r>
      <w:r>
        <w:t xml:space="preserve">: absence de micro-organismes vivants. Un produit stérile peut néanmoins contenir des endotoxines.</w:t>
      </w:r>
    </w:p>
    <w:p>
      <w:pPr>
        <w:pStyle w:val="BodyText"/>
      </w:pPr>
      <w:r>
        <w:rPr>
          <w:bCs/>
          <w:b/>
        </w:rPr>
        <w:t xml:space="preserve">Synthèse peptidique en phase solide</w:t>
      </w:r>
      <w:r>
        <w:t xml:space="preserve"> </w:t>
      </w:r>
      <w:r>
        <w:t xml:space="preserve">: procédé chimique dans lequel une chaîne peptidique est construite élément par élément sur un support solide. C’est la base de la fabrication de la plupart des peptides courts.</w:t>
      </w:r>
    </w:p>
    <w:bookmarkEnd w:id="2992"/>
    <w:bookmarkStart w:id="2993" w:name="u"/>
    <w:p>
      <w:pPr>
        <w:pStyle w:val="Heading3"/>
      </w:pPr>
      <w:r>
        <w:t xml:space="preserve">U</w:t>
      </w:r>
    </w:p>
    <w:p>
      <w:pPr>
        <w:pStyle w:val="FirstParagraph"/>
      </w:pPr>
      <w:r>
        <w:rPr>
          <w:bCs/>
          <w:b/>
        </w:rPr>
        <w:t xml:space="preserve">Utilisation hors autorisation (off-label)</w:t>
      </w:r>
      <w:r>
        <w:t xml:space="preserve"> </w:t>
      </w:r>
      <w:r>
        <w:t xml:space="preserve">: utilisation d’un médicament autorisé en dehors des indications, posologies ou groupes de personnes autorisés.</w:t>
      </w:r>
    </w:p>
    <w:bookmarkEnd w:id="2993"/>
    <w:bookmarkStart w:id="2994" w:name="v"/>
    <w:p>
      <w:pPr>
        <w:pStyle w:val="Heading3"/>
      </w:pPr>
      <w:r>
        <w:t xml:space="preserve">V</w:t>
      </w:r>
    </w:p>
    <w:p>
      <w:pPr>
        <w:pStyle w:val="FirstParagraph"/>
      </w:pPr>
      <w:r>
        <w:rPr>
          <w:bCs/>
          <w:b/>
        </w:rPr>
        <w:t xml:space="preserve">Valeur p</w:t>
      </w:r>
      <w:r>
        <w:t xml:space="preserve"> </w:t>
      </w:r>
      <w:r>
        <w:t xml:space="preserve">: mesure statistique de la probabilité d’observer une différence au moins aussi grande s’il n’existait en réalité aucun effet. Les valeurs inférieures à 0,05 sont habituellement considérées comme statistiquement significatives.</w:t>
      </w:r>
    </w:p>
    <w:bookmarkEnd w:id="2994"/>
    <w:bookmarkStart w:id="2995" w:name="w"/>
    <w:p>
      <w:pPr>
        <w:pStyle w:val="Heading3"/>
      </w:pPr>
      <w:r>
        <w:t xml:space="preserve">W</w:t>
      </w:r>
    </w:p>
    <w:p>
      <w:pPr>
        <w:pStyle w:val="FirstParagraph"/>
      </w:pPr>
      <w:r>
        <w:rPr>
          <w:bCs/>
          <w:b/>
        </w:rPr>
        <w:t xml:space="preserve">WADA (Agence mondiale antidopage)</w:t>
      </w:r>
      <w:r>
        <w:t xml:space="preserve"> </w:t>
      </w:r>
      <w:r>
        <w:t xml:space="preserve">: organisation internationale qui publie chaque année la liste des substances et méthodes interdites dans le sport.</w:t>
      </w:r>
    </w:p>
    <w:bookmarkEnd w:id="2995"/>
    <w:bookmarkEnd w:id="2996"/>
    <w:bookmarkStart w:id="3012" w:name="méthodologie"/>
    <w:p>
      <w:pPr>
        <w:pStyle w:val="Heading1"/>
      </w:pPr>
      <w:r>
        <w:t xml:space="preserve">Méthodologie</w:t>
      </w:r>
    </w:p>
    <w:p>
      <w:pPr>
        <w:pStyle w:val="FirstParagraph"/>
      </w:pPr>
      <w:r>
        <w:t xml:space="preserve">Cette annexe décrit comment les études de ce livre ont été recherchées, sélectionnées et vérifiées. Elle doit vous permettre de retracer la recherche documentaire et, si nécessaire, de la refaire vous-même ou de la mettre à jour.</w:t>
      </w:r>
    </w:p>
    <w:bookmarkStart w:id="2997" w:name="bases-de-données"/>
    <w:p>
      <w:pPr>
        <w:pStyle w:val="Heading3"/>
      </w:pPr>
      <w:r>
        <w:t xml:space="preserve">Bases de données</w:t>
      </w:r>
    </w:p>
    <w:p>
      <w:pPr>
        <w:pStyle w:val="FirstParagraph"/>
      </w:pPr>
      <w:r>
        <w:t xml:space="preserve">La recherche repose sur deux bases de données en libre accès :</w:t>
      </w:r>
    </w:p>
    <w:p>
      <w:pPr>
        <w:numPr>
          <w:ilvl w:val="0"/>
          <w:numId w:val="1373"/>
        </w:numPr>
        <w:pStyle w:val="Compact"/>
      </w:pPr>
      <w:r>
        <w:rPr>
          <w:bCs/>
          <w:b/>
        </w:rPr>
        <w:t xml:space="preserve">PubMed</w:t>
      </w:r>
      <w:r>
        <w:t xml:space="preserve"> </w:t>
      </w:r>
      <w:r>
        <w:t xml:space="preserve">(pubmed.ncbi.nlm.nih.gov), la base de données bibliographique de la National Library of Medicine américaine. Elle répertorie les publications de revues biomédicales avec leur titre, leurs autrices et auteurs, leur résumé (abstract) et leurs mots-clés. Chaque entrée possède un numéro unique, le PMID.</w:t>
      </w:r>
    </w:p>
    <w:p>
      <w:pPr>
        <w:numPr>
          <w:ilvl w:val="0"/>
          <w:numId w:val="1373"/>
        </w:numPr>
        <w:pStyle w:val="Compact"/>
      </w:pPr>
      <w:r>
        <w:rPr>
          <w:bCs/>
          <w:b/>
        </w:rPr>
        <w:t xml:space="preserve">ClinicalTrials.gov</w:t>
      </w:r>
      <w:r>
        <w:t xml:space="preserve"> </w:t>
      </w:r>
      <w:r>
        <w:t xml:space="preserve">(clinicaltrials.gov), le registre d’études des National Institutes of Health américains. Des études cliniques du monde entier y sont enregistrées avant leur début, avec leur plan, le nombre de participants prévu, les critères d’évaluation et leur statut. Chaque étude possède un numéro NCT.</w:t>
      </w:r>
    </w:p>
    <w:p>
      <w:pPr>
        <w:pStyle w:val="FirstParagraph"/>
      </w:pPr>
      <w:r>
        <w:t xml:space="preserve">Les deux bases de données ont été interrogées via leurs interfaces de programmation officielles et accessibles au public : PubMed via les E-Utilities du National Center for Biotechnology Information, ClinicalTrials.gov via l’interface de programmation en version 2. D’autres bases de données comme Embase, la Cochrane Library, Web of Science, le registre des essais cliniques de l’UE ou des registres nationaux n’ont pas été explorées de manière systématique.</w:t>
      </w:r>
    </w:p>
    <w:bookmarkEnd w:id="2997"/>
    <w:bookmarkStart w:id="2998" w:name="période-dinterrogation"/>
    <w:p>
      <w:pPr>
        <w:pStyle w:val="Heading3"/>
      </w:pPr>
      <w:r>
        <w:t xml:space="preserve">Période d’interrogation</w:t>
      </w:r>
    </w:p>
    <w:p>
      <w:pPr>
        <w:pStyle w:val="FirstParagraph"/>
      </w:pPr>
      <w:r>
        <w:t xml:space="preserve">Les interrogations systématiques ont eu lieu en</w:t>
      </w:r>
      <w:r>
        <w:t xml:space="preserve"> </w:t>
      </w:r>
      <w:r>
        <w:rPr>
          <w:bCs/>
          <w:b/>
        </w:rPr>
        <w:t xml:space="preserve">octobre 2026</w:t>
      </w:r>
      <w:r>
        <w:t xml:space="preserve"> </w:t>
      </w:r>
      <w:r>
        <w:t xml:space="preserve">; le décompte des résultats pour tous les peptides date du 28 octobre 2026. Des recherches ciblées complémentaires sur certaines études, certains rapports de cas et certaines revues ont été effectuées au cours de la même période. Les études parues ultérieurement ne sont pas prises en compte. Le livre reflète la situation de novembre 2026.</w:t>
      </w:r>
    </w:p>
    <w:bookmarkEnd w:id="2998"/>
    <w:bookmarkStart w:id="2999" w:name="stratégie-de-recherche"/>
    <w:p>
      <w:pPr>
        <w:pStyle w:val="Heading3"/>
      </w:pPr>
      <w:r>
        <w:t xml:space="preserve">Stratégie de recherche</w:t>
      </w:r>
    </w:p>
    <w:p>
      <w:pPr>
        <w:pStyle w:val="FirstParagraph"/>
      </w:pPr>
      <w:r>
        <w:t xml:space="preserve">Pour chacun des 58 peptides et substances de comparaison, un terme de recherche PubMed spécifique a été défini. Il comprend la dénomination commune internationale ainsi que les abréviations, noms de code et noms commerciaux usuels, et cherche dans le titre et le résumé (balise</w:t>
      </w:r>
      <w:r>
        <w:t xml:space="preserve"> </w:t>
      </w:r>
      <w:r>
        <w:rPr>
          <w:rStyle w:val="VerbatimChar"/>
        </w:rPr>
        <w:t xml:space="preserve">[tiab]</w:t>
      </w:r>
      <w:r>
        <w:t xml:space="preserve">) ou uniquement dans le titre (</w:t>
      </w:r>
      <w:r>
        <w:rPr>
          <w:rStyle w:val="VerbatimChar"/>
        </w:rPr>
        <w:t xml:space="preserve">[ti]</w:t>
      </w:r>
      <w:r>
        <w:t xml:space="preserve">). Pour les termes ambigus, la recherche a été restreinte, par exemple aux travaux portant sur la prise orale pour les peptides de collagène ou aux travaux portant sur l’administration du peptide pour la kisspeptine.</w:t>
      </w:r>
    </w:p>
    <w:p>
      <w:pPr>
        <w:pStyle w:val="BodyText"/>
      </w:pPr>
      <w:r>
        <w:t xml:space="preserve">Trois filtres ont été appliqués à ce terme de recherche :</w:t>
      </w:r>
    </w:p>
    <w:p>
      <w:pPr>
        <w:pStyle w:val="BodyText"/>
      </w:pPr>
      <w:r>
        <w:rPr>
          <w:bCs/>
          <w:b/>
        </w:rPr>
        <w:t xml:space="preserve">Études chez l’humain.</w:t>
      </w:r>
      <w:r>
        <w:t xml:space="preserve"> </w:t>
      </w:r>
      <w:r>
        <w:t xml:space="preserve">Pour trouver des études cliniques chez l’humain, le terme de recherche a été combiné avec le filtre suivant :</w:t>
      </w:r>
    </w:p>
    <w:p>
      <w:pPr>
        <w:pStyle w:val="BodyText"/>
      </w:pPr>
      <w:r>
        <w:rPr>
          <w:rStyle w:val="VerbatimChar"/>
        </w:rPr>
        <w:t xml:space="preserve">(clinical trial[pt] OR randomized controlled trial[pt]) AND humans[mh]</w:t>
      </w:r>
    </w:p>
    <w:p>
      <w:pPr>
        <w:pStyle w:val="BodyText"/>
      </w:pPr>
      <w:r>
        <w:t xml:space="preserve">La partie</w:t>
      </w:r>
      <w:r>
        <w:t xml:space="preserve"> </w:t>
      </w:r>
      <w:r>
        <w:rPr>
          <w:rStyle w:val="VerbatimChar"/>
        </w:rPr>
        <w:t xml:space="preserve">[pt]</w:t>
      </w:r>
      <w:r>
        <w:t xml:space="preserve"> </w:t>
      </w:r>
      <w:r>
        <w:t xml:space="preserve">recherche le type de publication que PubMed attribue à chaque article ;</w:t>
      </w:r>
      <w:r>
        <w:t xml:space="preserve"> </w:t>
      </w:r>
      <w:r>
        <w:rPr>
          <w:rStyle w:val="VerbatimChar"/>
        </w:rPr>
        <w:t xml:space="preserve">humans[mh]</w:t>
      </w:r>
      <w:r>
        <w:t xml:space="preserve"> </w:t>
      </w:r>
      <w:r>
        <w:t xml:space="preserve">correspond au mot-clé « humains » du système de mots-clés MeSH. On trouve ainsi les articles signalés comme étude clinique ou comme étude contrôlée randomisée et portant sur des humains.</w:t>
      </w:r>
    </w:p>
    <w:p>
      <w:pPr>
        <w:pStyle w:val="BodyText"/>
      </w:pPr>
      <w:r>
        <w:rPr>
          <w:bCs/>
          <w:b/>
        </w:rPr>
        <w:t xml:space="preserve">Méta-analyses et revues.</w:t>
      </w:r>
      <w:r>
        <w:t xml:space="preserve"> </w:t>
      </w:r>
      <w:r>
        <w:t xml:space="preserve">Pour les travaux de synthèse, le terme de recherche a été combiné avec ce filtre :</w:t>
      </w:r>
    </w:p>
    <w:p>
      <w:pPr>
        <w:pStyle w:val="BodyText"/>
      </w:pPr>
      <w:r>
        <w:rPr>
          <w:rStyle w:val="VerbatimChar"/>
        </w:rPr>
        <w:t xml:space="preserve">(meta-analysis[pt] OR systematic review[pt])</w:t>
      </w:r>
    </w:p>
    <w:p>
      <w:pPr>
        <w:pStyle w:val="BodyText"/>
      </w:pPr>
      <w:r>
        <w:rPr>
          <w:bCs/>
          <w:b/>
        </w:rPr>
        <w:t xml:space="preserve">Études précliniques.</w:t>
      </w:r>
      <w:r>
        <w:t xml:space="preserve"> </w:t>
      </w:r>
      <w:r>
        <w:t xml:space="preserve">Pour les peptides comptant moins de 25 études chez l’humain, les autres travaux les plus pertinents ont en outre été analysés sans le filtre « études chez l’humain », afin de recenser les études animales et de laboratoire, les rapports de cas et les analyses de produits du marché gris.</w:t>
      </w:r>
    </w:p>
    <w:p>
      <w:pPr>
        <w:pStyle w:val="BodyText"/>
      </w:pPr>
      <w:r>
        <w:rPr>
          <w:bCs/>
          <w:b/>
        </w:rPr>
        <w:t xml:space="preserve">Études enregistrées.</w:t>
      </w:r>
      <w:r>
        <w:t xml:space="preserve"> </w:t>
      </w:r>
      <w:r>
        <w:t xml:space="preserve">Dans ClinicalTrials.gov, un terme de recherche spécifique, le plus souvent simple, reprenant le nom de la substance a été utilisé pour chaque peptide. Toutes les inscriptions ont été recensées, quels que soient leur statut et la phase de l’étude.</w:t>
      </w:r>
    </w:p>
    <w:p>
      <w:pPr>
        <w:pStyle w:val="BodyText"/>
      </w:pPr>
      <w:r>
        <w:t xml:space="preserve">Au-delà de ces recherches automatisées, une recherche ciblée a été menée pour chaque chapitre afin de trouver les principales études d’autorisation et de critères cliniques, les grandes méta-analyses, les programmes d’études (par exemple STEP, SURMOUNT ou SELECT), les données de sécurité, les rapports de cas et les analyses de laboratoire de produits du marché gris. Pour la partie I, des travaux sur l’histoire de la médecine peptidique, les formes galéniques, la méthodologie des études et le marché gris ont en outre été recherchés.</w:t>
      </w:r>
    </w:p>
    <w:bookmarkEnd w:id="2999"/>
    <w:bookmarkStart w:id="3006" w:name="termes-de-recherche-par-peptide"/>
    <w:p>
      <w:pPr>
        <w:pStyle w:val="Heading3"/>
      </w:pPr>
      <w:r>
        <w:t xml:space="preserve">Termes de recherche par peptide</w:t>
      </w:r>
    </w:p>
    <w:p>
      <w:pPr>
        <w:pStyle w:val="FirstParagraph"/>
      </w:pPr>
      <w:r>
        <w:t xml:space="preserve">Les tableaux suivants reproduisent les termes de recherche PubMed utilisés pour l’interrogation systématique. Les filtres décrits plus haut ont été ajoutés à chaque terme. Un astérisque en fin de mot remplace n’importe quelle terminaison,</w:t>
      </w:r>
      <w:r>
        <w:t xml:space="preserve"> </w:t>
      </w:r>
      <w:r>
        <w:rPr>
          <w:rStyle w:val="VerbatimChar"/>
        </w:rPr>
        <w:t xml:space="preserve">OR</w:t>
      </w:r>
      <w:r>
        <w:t xml:space="preserve"> </w:t>
      </w:r>
      <w:r>
        <w:t xml:space="preserve">relie des dénominations alternatives,</w:t>
      </w:r>
      <w:r>
        <w:t xml:space="preserve"> </w:t>
      </w:r>
      <w:r>
        <w:rPr>
          <w:rStyle w:val="VerbatimChar"/>
        </w:rPr>
        <w:t xml:space="preserve">AND</w:t>
      </w:r>
      <w:r>
        <w:t xml:space="preserve"> </w:t>
      </w:r>
      <w:r>
        <w:t xml:space="preserve">restreint la recherche.</w:t>
      </w:r>
    </w:p>
    <w:bookmarkStart w:id="3000" w:name="a.-métabolisme-et-poids-1"/>
    <w:p>
      <w:pPr>
        <w:pStyle w:val="Heading4"/>
      </w:pPr>
      <w:r>
        <w:t xml:space="preserve">A. Métabolisme et poids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Peptide</w:t>
            </w:r>
          </w:p>
        </w:tc>
        <w:tc>
          <w:tcPr/>
          <w:p>
            <w:pPr>
              <w:pStyle w:val="Compact"/>
              <w:jc w:val="left"/>
            </w:pPr>
            <w:r>
              <w:t xml:space="preserve">Terme de recherche PubMed</w:t>
            </w:r>
          </w:p>
        </w:tc>
      </w:tr>
      <w:tr>
        <w:tc>
          <w:tcPr/>
          <w:p>
            <w:pPr>
              <w:pStyle w:val="Compact"/>
              <w:jc w:val="left"/>
            </w:pPr>
            <w:r>
              <w:t xml:space="preserve">Exénatide</w:t>
            </w:r>
          </w:p>
        </w:tc>
        <w:tc>
          <w:tcPr/>
          <w:p>
            <w:pPr>
              <w:pStyle w:val="Compact"/>
              <w:jc w:val="left"/>
            </w:pPr>
            <w:r>
              <w:rPr>
                <w:rStyle w:val="VerbatimChar"/>
              </w:rPr>
              <w:t xml:space="preserve">exenatide[tiab]</w:t>
            </w:r>
          </w:p>
        </w:tc>
      </w:tr>
      <w:tr>
        <w:tc>
          <w:tcPr/>
          <w:p>
            <w:pPr>
              <w:pStyle w:val="Compact"/>
              <w:jc w:val="left"/>
            </w:pPr>
            <w:r>
              <w:t xml:space="preserve">Liraglutide</w:t>
            </w:r>
          </w:p>
        </w:tc>
        <w:tc>
          <w:tcPr/>
          <w:p>
            <w:pPr>
              <w:pStyle w:val="Compact"/>
              <w:jc w:val="left"/>
            </w:pPr>
            <w:r>
              <w:rPr>
                <w:rStyle w:val="VerbatimChar"/>
              </w:rPr>
              <w:t xml:space="preserve">liraglutide[tiab]</w:t>
            </w:r>
          </w:p>
        </w:tc>
      </w:tr>
      <w:tr>
        <w:tc>
          <w:tcPr/>
          <w:p>
            <w:pPr>
              <w:pStyle w:val="Compact"/>
              <w:jc w:val="left"/>
            </w:pPr>
            <w:r>
              <w:t xml:space="preserve">Dulaglutide</w:t>
            </w:r>
          </w:p>
        </w:tc>
        <w:tc>
          <w:tcPr/>
          <w:p>
            <w:pPr>
              <w:pStyle w:val="Compact"/>
              <w:jc w:val="left"/>
            </w:pPr>
            <w:r>
              <w:rPr>
                <w:rStyle w:val="VerbatimChar"/>
              </w:rPr>
              <w:t xml:space="preserve">dulaglutide[tiab]</w:t>
            </w:r>
          </w:p>
        </w:tc>
      </w:tr>
      <w:tr>
        <w:tc>
          <w:tcPr/>
          <w:p>
            <w:pPr>
              <w:pStyle w:val="Compact"/>
              <w:jc w:val="left"/>
            </w:pPr>
            <w:r>
              <w:t xml:space="preserve">Sémaglutide</w:t>
            </w:r>
          </w:p>
        </w:tc>
        <w:tc>
          <w:tcPr/>
          <w:p>
            <w:pPr>
              <w:pStyle w:val="Compact"/>
              <w:jc w:val="left"/>
            </w:pPr>
            <w:r>
              <w:rPr>
                <w:rStyle w:val="VerbatimChar"/>
              </w:rPr>
              <w:t xml:space="preserve">semaglutide[tiab]</w:t>
            </w:r>
          </w:p>
        </w:tc>
      </w:tr>
      <w:tr>
        <w:tc>
          <w:tcPr/>
          <w:p>
            <w:pPr>
              <w:pStyle w:val="Compact"/>
              <w:jc w:val="left"/>
            </w:pPr>
            <w:r>
              <w:t xml:space="preserve">Tirzépatide</w:t>
            </w:r>
          </w:p>
        </w:tc>
        <w:tc>
          <w:tcPr/>
          <w:p>
            <w:pPr>
              <w:pStyle w:val="Compact"/>
              <w:jc w:val="left"/>
            </w:pPr>
            <w:r>
              <w:rPr>
                <w:rStyle w:val="VerbatimChar"/>
              </w:rPr>
              <w:t xml:space="preserve">tirzepatide[tiab]</w:t>
            </w:r>
          </w:p>
        </w:tc>
      </w:tr>
      <w:tr>
        <w:tc>
          <w:tcPr/>
          <w:p>
            <w:pPr>
              <w:pStyle w:val="Compact"/>
              <w:jc w:val="left"/>
            </w:pPr>
            <w:r>
              <w:t xml:space="preserve">Rétatrutide</w:t>
            </w:r>
          </w:p>
        </w:tc>
        <w:tc>
          <w:tcPr/>
          <w:p>
            <w:pPr>
              <w:pStyle w:val="Compact"/>
              <w:jc w:val="left"/>
            </w:pPr>
            <w:r>
              <w:rPr>
                <w:rStyle w:val="VerbatimChar"/>
              </w:rPr>
              <w:t xml:space="preserve">retatrutide[tiab]</w:t>
            </w:r>
          </w:p>
        </w:tc>
      </w:tr>
      <w:tr>
        <w:tc>
          <w:tcPr/>
          <w:p>
            <w:pPr>
              <w:pStyle w:val="Compact"/>
              <w:jc w:val="left"/>
            </w:pPr>
            <w:r>
              <w:t xml:space="preserve">Survodutide</w:t>
            </w:r>
          </w:p>
        </w:tc>
        <w:tc>
          <w:tcPr/>
          <w:p>
            <w:pPr>
              <w:pStyle w:val="Compact"/>
              <w:jc w:val="left"/>
            </w:pPr>
            <w:r>
              <w:rPr>
                <w:rStyle w:val="VerbatimChar"/>
              </w:rPr>
              <w:t xml:space="preserve">survodutide[tiab]</w:t>
            </w:r>
          </w:p>
        </w:tc>
      </w:tr>
      <w:tr>
        <w:tc>
          <w:tcPr/>
          <w:p>
            <w:pPr>
              <w:pStyle w:val="Compact"/>
              <w:jc w:val="left"/>
            </w:pPr>
            <w:r>
              <w:t xml:space="preserve">Mazdutide</w:t>
            </w:r>
          </w:p>
        </w:tc>
        <w:tc>
          <w:tcPr/>
          <w:p>
            <w:pPr>
              <w:pStyle w:val="Compact"/>
              <w:jc w:val="left"/>
            </w:pPr>
            <w:r>
              <w:rPr>
                <w:rStyle w:val="VerbatimChar"/>
              </w:rPr>
              <w:t xml:space="preserve">mazdutide[tiab]</w:t>
            </w:r>
          </w:p>
        </w:tc>
      </w:tr>
      <w:tr>
        <w:tc>
          <w:tcPr/>
          <w:p>
            <w:pPr>
              <w:pStyle w:val="Compact"/>
              <w:jc w:val="left"/>
            </w:pPr>
            <w:r>
              <w:t xml:space="preserve">Cagrilintide ou CagriSema</w:t>
            </w:r>
          </w:p>
        </w:tc>
        <w:tc>
          <w:tcPr/>
          <w:p>
            <w:pPr>
              <w:pStyle w:val="Compact"/>
              <w:jc w:val="left"/>
            </w:pPr>
            <w:r>
              <w:rPr>
                <w:rStyle w:val="VerbatimChar"/>
              </w:rPr>
              <w:t xml:space="preserve">cagrilintide[tiab]</w:t>
            </w:r>
          </w:p>
        </w:tc>
      </w:tr>
      <w:tr>
        <w:tc>
          <w:tcPr/>
          <w:p>
            <w:pPr>
              <w:pStyle w:val="Compact"/>
              <w:jc w:val="left"/>
            </w:pPr>
            <w:r>
              <w:t xml:space="preserve">Amycrétine</w:t>
            </w:r>
          </w:p>
        </w:tc>
        <w:tc>
          <w:tcPr/>
          <w:p>
            <w:pPr>
              <w:pStyle w:val="Compact"/>
              <w:jc w:val="left"/>
            </w:pPr>
            <w:r>
              <w:rPr>
                <w:rStyle w:val="VerbatimChar"/>
              </w:rPr>
              <w:t xml:space="preserve">amycretin[tiab]</w:t>
            </w:r>
          </w:p>
        </w:tc>
      </w:tr>
      <w:tr>
        <w:tc>
          <w:tcPr/>
          <w:p>
            <w:pPr>
              <w:pStyle w:val="Compact"/>
              <w:jc w:val="left"/>
            </w:pPr>
            <w:r>
              <w:t xml:space="preserve">Maridebart cafraglutide (MariTide)</w:t>
            </w:r>
          </w:p>
        </w:tc>
        <w:tc>
          <w:tcPr/>
          <w:p>
            <w:pPr>
              <w:pStyle w:val="Compact"/>
              <w:jc w:val="left"/>
            </w:pPr>
            <w:r>
              <w:rPr>
                <w:rStyle w:val="VerbatimChar"/>
              </w:rPr>
              <w:t xml:space="preserve">maridebart[tiab] OR AMG 133[tiab]</w:t>
            </w:r>
          </w:p>
        </w:tc>
      </w:tr>
      <w:tr>
        <w:tc>
          <w:tcPr/>
          <w:p>
            <w:pPr>
              <w:pStyle w:val="Compact"/>
              <w:jc w:val="left"/>
            </w:pPr>
            <w:r>
              <w:t xml:space="preserve">Pramlintide</w:t>
            </w:r>
          </w:p>
        </w:tc>
        <w:tc>
          <w:tcPr/>
          <w:p>
            <w:pPr>
              <w:pStyle w:val="Compact"/>
              <w:jc w:val="left"/>
            </w:pPr>
            <w:r>
              <w:rPr>
                <w:rStyle w:val="VerbatimChar"/>
              </w:rPr>
              <w:t xml:space="preserve">pramlintide[tiab]</w:t>
            </w:r>
          </w:p>
        </w:tc>
      </w:tr>
      <w:tr>
        <w:tc>
          <w:tcPr/>
          <w:p>
            <w:pPr>
              <w:pStyle w:val="Compact"/>
              <w:jc w:val="left"/>
            </w:pPr>
            <w:r>
              <w:t xml:space="preserve">Setmélanotide</w:t>
            </w:r>
          </w:p>
        </w:tc>
        <w:tc>
          <w:tcPr/>
          <w:p>
            <w:pPr>
              <w:pStyle w:val="Compact"/>
              <w:jc w:val="left"/>
            </w:pPr>
            <w:r>
              <w:rPr>
                <w:rStyle w:val="VerbatimChar"/>
              </w:rPr>
              <w:t xml:space="preserve">setmelanotide[tiab]</w:t>
            </w:r>
          </w:p>
        </w:tc>
      </w:tr>
      <w:tr>
        <w:tc>
          <w:tcPr/>
          <w:p>
            <w:pPr>
              <w:pStyle w:val="Compact"/>
              <w:jc w:val="left"/>
            </w:pPr>
            <w:r>
              <w:t xml:space="preserve">AOD-9604</w:t>
            </w:r>
          </w:p>
        </w:tc>
        <w:tc>
          <w:tcPr/>
          <w:p>
            <w:pPr>
              <w:pStyle w:val="Compact"/>
              <w:jc w:val="left"/>
            </w:pPr>
            <w:r>
              <w:rPr>
                <w:rStyle w:val="VerbatimChar"/>
              </w:rPr>
              <w:t xml:space="preserve">AOD9604[tiab] OR AOD-9604[tiab]</w:t>
            </w:r>
          </w:p>
        </w:tc>
      </w:tr>
      <w:tr>
        <w:tc>
          <w:tcPr/>
          <w:p>
            <w:pPr>
              <w:pStyle w:val="Compact"/>
              <w:jc w:val="left"/>
            </w:pPr>
            <w:r>
              <w:t xml:space="preserve">Orforglipron (comparaison)</w:t>
            </w:r>
          </w:p>
        </w:tc>
        <w:tc>
          <w:tcPr/>
          <w:p>
            <w:pPr>
              <w:pStyle w:val="Compact"/>
              <w:jc w:val="left"/>
            </w:pPr>
            <w:r>
              <w:rPr>
                <w:rStyle w:val="VerbatimChar"/>
              </w:rPr>
              <w:t xml:space="preserve">orforglipron[tiab]</w:t>
            </w:r>
          </w:p>
        </w:tc>
      </w:tr>
    </w:tbl>
    <w:bookmarkEnd w:id="3000"/>
    <w:bookmarkStart w:id="3001" w:name="X885e914f4ea5da2d9fc614249cc39d150ddbbd6"/>
    <w:p>
      <w:pPr>
        <w:pStyle w:val="Heading4"/>
      </w:pPr>
      <w:r>
        <w:t xml:space="preserve">B. Guérison, régénération et système immunitaire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Peptide</w:t>
            </w:r>
          </w:p>
        </w:tc>
        <w:tc>
          <w:tcPr/>
          <w:p>
            <w:pPr>
              <w:pStyle w:val="Compact"/>
              <w:jc w:val="left"/>
            </w:pPr>
            <w:r>
              <w:t xml:space="preserve">Terme de recherche PubMed</w:t>
            </w:r>
          </w:p>
        </w:tc>
      </w:tr>
      <w:tr>
        <w:tc>
          <w:tcPr/>
          <w:p>
            <w:pPr>
              <w:pStyle w:val="Compact"/>
              <w:jc w:val="left"/>
            </w:pPr>
            <w:r>
              <w:t xml:space="preserve">BPC-157</w:t>
            </w:r>
          </w:p>
        </w:tc>
        <w:tc>
          <w:tcPr/>
          <w:p>
            <w:pPr>
              <w:pStyle w:val="Compact"/>
              <w:jc w:val="left"/>
            </w:pPr>
            <w:r>
              <w:rPr>
                <w:rStyle w:val="VerbatimChar"/>
              </w:rPr>
              <w:t xml:space="preserve">BPC 157[tiab] OR BPC-157[tiab] OR pentadecapeptide BPC[tiab]</w:t>
            </w:r>
          </w:p>
        </w:tc>
      </w:tr>
      <w:tr>
        <w:tc>
          <w:tcPr/>
          <w:p>
            <w:pPr>
              <w:pStyle w:val="Compact"/>
              <w:jc w:val="left"/>
            </w:pPr>
            <w:r>
              <w:t xml:space="preserve">TB-500 ou thymosine bêta 4</w:t>
            </w:r>
          </w:p>
        </w:tc>
        <w:tc>
          <w:tcPr/>
          <w:p>
            <w:pPr>
              <w:pStyle w:val="Compact"/>
              <w:jc w:val="left"/>
            </w:pPr>
            <w:r>
              <w:rPr>
                <w:rStyle w:val="VerbatimChar"/>
              </w:rPr>
              <w:t xml:space="preserve">thymosin beta-4[tiab] OR thymosin beta4[tiab] OR TB-500[tiab] OR TB500[tiab]</w:t>
            </w:r>
          </w:p>
        </w:tc>
      </w:tr>
      <w:tr>
        <w:tc>
          <w:tcPr/>
          <w:p>
            <w:pPr>
              <w:pStyle w:val="Compact"/>
              <w:jc w:val="left"/>
            </w:pPr>
            <w:r>
              <w:t xml:space="preserve">Thymosine alpha 1 (thymalfasine)</w:t>
            </w:r>
          </w:p>
        </w:tc>
        <w:tc>
          <w:tcPr/>
          <w:p>
            <w:pPr>
              <w:pStyle w:val="Compact"/>
              <w:jc w:val="left"/>
            </w:pPr>
            <w:r>
              <w:rPr>
                <w:rStyle w:val="VerbatimChar"/>
              </w:rPr>
              <w:t xml:space="preserve">thymosin alpha 1[tiab] OR thymalfasin[tiab] OR thymosin alpha1[tiab]</w:t>
            </w:r>
          </w:p>
        </w:tc>
      </w:tr>
      <w:tr>
        <w:tc>
          <w:tcPr/>
          <w:p>
            <w:pPr>
              <w:pStyle w:val="Compact"/>
              <w:jc w:val="left"/>
            </w:pPr>
            <w:r>
              <w:t xml:space="preserve">KPV</w:t>
            </w:r>
          </w:p>
        </w:tc>
        <w:tc>
          <w:tcPr/>
          <w:p>
            <w:pPr>
              <w:pStyle w:val="Compact"/>
              <w:jc w:val="left"/>
            </w:pPr>
            <w:r>
              <w:rPr>
                <w:rStyle w:val="VerbatimChar"/>
              </w:rPr>
              <w:t xml:space="preserve">KPV[tiab] AND (peptide[tiab] OR tripeptide[tiab])</w:t>
            </w:r>
          </w:p>
        </w:tc>
      </w:tr>
      <w:tr>
        <w:tc>
          <w:tcPr/>
          <w:p>
            <w:pPr>
              <w:pStyle w:val="Compact"/>
              <w:jc w:val="left"/>
            </w:pPr>
            <w:r>
              <w:t xml:space="preserve">LL-37</w:t>
            </w:r>
          </w:p>
        </w:tc>
        <w:tc>
          <w:tcPr/>
          <w:p>
            <w:pPr>
              <w:pStyle w:val="Compact"/>
              <w:jc w:val="left"/>
            </w:pPr>
            <w:r>
              <w:rPr>
                <w:rStyle w:val="VerbatimChar"/>
              </w:rPr>
              <w:t xml:space="preserve">LL-37[tiab] OR cathelicidin[tiab]</w:t>
            </w:r>
          </w:p>
        </w:tc>
      </w:tr>
      <w:tr>
        <w:tc>
          <w:tcPr/>
          <w:p>
            <w:pPr>
              <w:pStyle w:val="Compact"/>
              <w:jc w:val="left"/>
            </w:pPr>
            <w:r>
              <w:t xml:space="preserve">ARA-290 (cibinétide)</w:t>
            </w:r>
          </w:p>
        </w:tc>
        <w:tc>
          <w:tcPr/>
          <w:p>
            <w:pPr>
              <w:pStyle w:val="Compact"/>
              <w:jc w:val="left"/>
            </w:pPr>
            <w:r>
              <w:rPr>
                <w:rStyle w:val="VerbatimChar"/>
              </w:rPr>
              <w:t xml:space="preserve">ARA 290[tiab] OR ARA290[tiab] OR cibinetide[tiab]</w:t>
            </w:r>
          </w:p>
        </w:tc>
      </w:tr>
      <w:tr>
        <w:tc>
          <w:tcPr/>
          <w:p>
            <w:pPr>
              <w:pStyle w:val="Compact"/>
              <w:jc w:val="left"/>
            </w:pPr>
            <w:r>
              <w:t xml:space="preserve">Larazotide</w:t>
            </w:r>
          </w:p>
        </w:tc>
        <w:tc>
          <w:tcPr/>
          <w:p>
            <w:pPr>
              <w:pStyle w:val="Compact"/>
              <w:jc w:val="left"/>
            </w:pPr>
            <w:r>
              <w:rPr>
                <w:rStyle w:val="VerbatimChar"/>
              </w:rPr>
              <w:t xml:space="preserve">larazotide[tiab]</w:t>
            </w:r>
          </w:p>
        </w:tc>
      </w:tr>
      <w:tr>
        <w:tc>
          <w:tcPr/>
          <w:p>
            <w:pPr>
              <w:pStyle w:val="Compact"/>
              <w:jc w:val="left"/>
            </w:pPr>
            <w:r>
              <w:t xml:space="preserve">Thymaline ou thymogène</w:t>
            </w:r>
          </w:p>
        </w:tc>
        <w:tc>
          <w:tcPr/>
          <w:p>
            <w:pPr>
              <w:pStyle w:val="Compact"/>
              <w:jc w:val="left"/>
            </w:pPr>
            <w:r>
              <w:rPr>
                <w:rStyle w:val="VerbatimChar"/>
              </w:rPr>
              <w:t xml:space="preserve">thymalin[tiab] OR thymogen[tiab]</w:t>
            </w:r>
          </w:p>
        </w:tc>
      </w:tr>
    </w:tbl>
    <w:bookmarkEnd w:id="3001"/>
    <w:bookmarkStart w:id="3002" w:name="c.-axe-de-lhormone-de-croissance-1"/>
    <w:p>
      <w:pPr>
        <w:pStyle w:val="Heading4"/>
      </w:pPr>
      <w:r>
        <w:t xml:space="preserve">C. Axe de l’hormone de croissance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Peptide</w:t>
            </w:r>
          </w:p>
        </w:tc>
        <w:tc>
          <w:tcPr/>
          <w:p>
            <w:pPr>
              <w:pStyle w:val="Compact"/>
              <w:jc w:val="left"/>
            </w:pPr>
            <w:r>
              <w:t xml:space="preserve">Terme de recherche PubMed</w:t>
            </w:r>
          </w:p>
        </w:tc>
      </w:tr>
      <w:tr>
        <w:tc>
          <w:tcPr/>
          <w:p>
            <w:pPr>
              <w:pStyle w:val="Compact"/>
              <w:jc w:val="left"/>
            </w:pPr>
            <w:r>
              <w:t xml:space="preserve">Sermoréline</w:t>
            </w:r>
          </w:p>
        </w:tc>
        <w:tc>
          <w:tcPr/>
          <w:p>
            <w:pPr>
              <w:pStyle w:val="Compact"/>
              <w:jc w:val="left"/>
            </w:pPr>
            <w:r>
              <w:rPr>
                <w:rStyle w:val="VerbatimChar"/>
              </w:rPr>
              <w:t xml:space="preserve">sermorelin[tiab]</w:t>
            </w:r>
          </w:p>
        </w:tc>
      </w:tr>
      <w:tr>
        <w:tc>
          <w:tcPr/>
          <w:p>
            <w:pPr>
              <w:pStyle w:val="Compact"/>
              <w:jc w:val="left"/>
            </w:pPr>
            <w:r>
              <w:t xml:space="preserve">Tésamoréline</w:t>
            </w:r>
          </w:p>
        </w:tc>
        <w:tc>
          <w:tcPr/>
          <w:p>
            <w:pPr>
              <w:pStyle w:val="Compact"/>
              <w:jc w:val="left"/>
            </w:pPr>
            <w:r>
              <w:rPr>
                <w:rStyle w:val="VerbatimChar"/>
              </w:rPr>
              <w:t xml:space="preserve">tesamorelin[tiab]</w:t>
            </w:r>
          </w:p>
        </w:tc>
      </w:tr>
      <w:tr>
        <w:tc>
          <w:tcPr/>
          <w:p>
            <w:pPr>
              <w:pStyle w:val="Compact"/>
              <w:jc w:val="left"/>
            </w:pPr>
            <w:r>
              <w:t xml:space="preserve">CJC-1295</w:t>
            </w:r>
          </w:p>
        </w:tc>
        <w:tc>
          <w:tcPr/>
          <w:p>
            <w:pPr>
              <w:pStyle w:val="Compact"/>
              <w:jc w:val="left"/>
            </w:pPr>
            <w:r>
              <w:rPr>
                <w:rStyle w:val="VerbatimChar"/>
              </w:rPr>
              <w:t xml:space="preserve">CJC-1295[tiab] OR CJC 1295[tiab]</w:t>
            </w:r>
          </w:p>
        </w:tc>
      </w:tr>
      <w:tr>
        <w:tc>
          <w:tcPr/>
          <w:p>
            <w:pPr>
              <w:pStyle w:val="Compact"/>
              <w:jc w:val="left"/>
            </w:pPr>
            <w:r>
              <w:t xml:space="preserve">Ipamoréline</w:t>
            </w:r>
          </w:p>
        </w:tc>
        <w:tc>
          <w:tcPr/>
          <w:p>
            <w:pPr>
              <w:pStyle w:val="Compact"/>
              <w:jc w:val="left"/>
            </w:pPr>
            <w:r>
              <w:rPr>
                <w:rStyle w:val="VerbatimChar"/>
              </w:rPr>
              <w:t xml:space="preserve">ipamorelin[tiab]</w:t>
            </w:r>
          </w:p>
        </w:tc>
      </w:tr>
      <w:tr>
        <w:tc>
          <w:tcPr/>
          <w:p>
            <w:pPr>
              <w:pStyle w:val="Compact"/>
              <w:jc w:val="left"/>
            </w:pPr>
            <w:r>
              <w:t xml:space="preserve">GHRP-2 (pralmoréline)</w:t>
            </w:r>
          </w:p>
        </w:tc>
        <w:tc>
          <w:tcPr/>
          <w:p>
            <w:pPr>
              <w:pStyle w:val="Compact"/>
              <w:jc w:val="left"/>
            </w:pPr>
            <w:r>
              <w:rPr>
                <w:rStyle w:val="VerbatimChar"/>
              </w:rPr>
              <w:t xml:space="preserve">GHRP-2[tiab] OR pralmorelin[tiab]</w:t>
            </w:r>
          </w:p>
        </w:tc>
      </w:tr>
      <w:tr>
        <w:tc>
          <w:tcPr/>
          <w:p>
            <w:pPr>
              <w:pStyle w:val="Compact"/>
              <w:jc w:val="left"/>
            </w:pPr>
            <w:r>
              <w:t xml:space="preserve">GHRP-6</w:t>
            </w:r>
          </w:p>
        </w:tc>
        <w:tc>
          <w:tcPr/>
          <w:p>
            <w:pPr>
              <w:pStyle w:val="Compact"/>
              <w:jc w:val="left"/>
            </w:pPr>
            <w:r>
              <w:rPr>
                <w:rStyle w:val="VerbatimChar"/>
              </w:rPr>
              <w:t xml:space="preserve">GHRP-6[tiab]</w:t>
            </w:r>
          </w:p>
        </w:tc>
      </w:tr>
      <w:tr>
        <w:tc>
          <w:tcPr/>
          <w:p>
            <w:pPr>
              <w:pStyle w:val="Compact"/>
              <w:jc w:val="left"/>
            </w:pPr>
            <w:r>
              <w:t xml:space="preserve">Hexaréline</w:t>
            </w:r>
          </w:p>
        </w:tc>
        <w:tc>
          <w:tcPr/>
          <w:p>
            <w:pPr>
              <w:pStyle w:val="Compact"/>
              <w:jc w:val="left"/>
            </w:pPr>
            <w:r>
              <w:rPr>
                <w:rStyle w:val="VerbatimChar"/>
              </w:rPr>
              <w:t xml:space="preserve">hexarelin[tiab]</w:t>
            </w:r>
          </w:p>
        </w:tc>
      </w:tr>
      <w:tr>
        <w:tc>
          <w:tcPr/>
          <w:p>
            <w:pPr>
              <w:pStyle w:val="Compact"/>
              <w:jc w:val="left"/>
            </w:pPr>
            <w:r>
              <w:t xml:space="preserve">Macimoréline</w:t>
            </w:r>
          </w:p>
        </w:tc>
        <w:tc>
          <w:tcPr/>
          <w:p>
            <w:pPr>
              <w:pStyle w:val="Compact"/>
              <w:jc w:val="left"/>
            </w:pPr>
            <w:r>
              <w:rPr>
                <w:rStyle w:val="VerbatimChar"/>
              </w:rPr>
              <w:t xml:space="preserve">macimorelin[tiab]</w:t>
            </w:r>
          </w:p>
        </w:tc>
      </w:tr>
      <w:tr>
        <w:tc>
          <w:tcPr/>
          <w:p>
            <w:pPr>
              <w:pStyle w:val="Compact"/>
              <w:jc w:val="left"/>
            </w:pPr>
            <w:r>
              <w:t xml:space="preserve">Mécasermine (IGF-1)</w:t>
            </w:r>
          </w:p>
        </w:tc>
        <w:tc>
          <w:tcPr/>
          <w:p>
            <w:pPr>
              <w:pStyle w:val="Compact"/>
              <w:jc w:val="left"/>
            </w:pPr>
            <w:r>
              <w:rPr>
                <w:rStyle w:val="VerbatimChar"/>
              </w:rPr>
              <w:t xml:space="preserve">mecasermin[tiab] OR rhIGF-1[tiab]</w:t>
            </w:r>
          </w:p>
        </w:tc>
      </w:tr>
      <w:tr>
        <w:tc>
          <w:tcPr/>
          <w:p>
            <w:pPr>
              <w:pStyle w:val="Compact"/>
              <w:jc w:val="left"/>
            </w:pPr>
            <w:r>
              <w:t xml:space="preserve">IGF-1 LR3</w:t>
            </w:r>
          </w:p>
        </w:tc>
        <w:tc>
          <w:tcPr/>
          <w:p>
            <w:pPr>
              <w:pStyle w:val="Compact"/>
              <w:jc w:val="left"/>
            </w:pPr>
            <w:r>
              <w:rPr>
                <w:rStyle w:val="VerbatimChar"/>
              </w:rPr>
              <w:t xml:space="preserve">LR3-IGF-1[tiab] OR IGF-1 LR3[tiab] OR "Long R3"[tiab]</w:t>
            </w:r>
          </w:p>
        </w:tc>
      </w:tr>
      <w:tr>
        <w:tc>
          <w:tcPr/>
          <w:p>
            <w:pPr>
              <w:pStyle w:val="Compact"/>
              <w:jc w:val="left"/>
            </w:pPr>
            <w:r>
              <w:t xml:space="preserve">Ibutamorène (MK-677) (comparaison)</w:t>
            </w:r>
          </w:p>
        </w:tc>
        <w:tc>
          <w:tcPr/>
          <w:p>
            <w:pPr>
              <w:pStyle w:val="Compact"/>
              <w:jc w:val="left"/>
            </w:pPr>
            <w:r>
              <w:rPr>
                <w:rStyle w:val="VerbatimChar"/>
              </w:rPr>
              <w:t xml:space="preserve">ibutamoren[tiab] OR MK-677[tiab] OR MK-0677[tiab]</w:t>
            </w:r>
          </w:p>
        </w:tc>
      </w:tr>
    </w:tbl>
    <w:bookmarkEnd w:id="3002"/>
    <w:bookmarkStart w:id="3003" w:name="d.-cerveau-sommeil-et-longévité-1"/>
    <w:p>
      <w:pPr>
        <w:pStyle w:val="Heading4"/>
      </w:pPr>
      <w:r>
        <w:t xml:space="preserve">D. Cerveau, sommeil et longévité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Peptide</w:t>
            </w:r>
          </w:p>
        </w:tc>
        <w:tc>
          <w:tcPr/>
          <w:p>
            <w:pPr>
              <w:pStyle w:val="Compact"/>
              <w:jc w:val="left"/>
            </w:pPr>
            <w:r>
              <w:t xml:space="preserve">Terme de recherche PubMed</w:t>
            </w:r>
          </w:p>
        </w:tc>
      </w:tr>
      <w:tr>
        <w:tc>
          <w:tcPr/>
          <w:p>
            <w:pPr>
              <w:pStyle w:val="Compact"/>
              <w:jc w:val="left"/>
            </w:pPr>
            <w:r>
              <w:t xml:space="preserve">Semax</w:t>
            </w:r>
          </w:p>
        </w:tc>
        <w:tc>
          <w:tcPr/>
          <w:p>
            <w:pPr>
              <w:pStyle w:val="Compact"/>
              <w:jc w:val="left"/>
            </w:pPr>
            <w:r>
              <w:rPr>
                <w:rStyle w:val="VerbatimChar"/>
              </w:rPr>
              <w:t xml:space="preserve">semax[tiab]</w:t>
            </w:r>
          </w:p>
        </w:tc>
      </w:tr>
      <w:tr>
        <w:tc>
          <w:tcPr/>
          <w:p>
            <w:pPr>
              <w:pStyle w:val="Compact"/>
              <w:jc w:val="left"/>
            </w:pPr>
            <w:r>
              <w:t xml:space="preserve">Selank</w:t>
            </w:r>
          </w:p>
        </w:tc>
        <w:tc>
          <w:tcPr/>
          <w:p>
            <w:pPr>
              <w:pStyle w:val="Compact"/>
              <w:jc w:val="left"/>
            </w:pPr>
            <w:r>
              <w:rPr>
                <w:rStyle w:val="VerbatimChar"/>
              </w:rPr>
              <w:t xml:space="preserve">selank[tiab]</w:t>
            </w:r>
          </w:p>
        </w:tc>
      </w:tr>
      <w:tr>
        <w:tc>
          <w:tcPr/>
          <w:p>
            <w:pPr>
              <w:pStyle w:val="Compact"/>
              <w:jc w:val="left"/>
            </w:pPr>
            <w:r>
              <w:t xml:space="preserve">Cerebrolysin</w:t>
            </w:r>
          </w:p>
        </w:tc>
        <w:tc>
          <w:tcPr/>
          <w:p>
            <w:pPr>
              <w:pStyle w:val="Compact"/>
              <w:jc w:val="left"/>
            </w:pPr>
            <w:r>
              <w:rPr>
                <w:rStyle w:val="VerbatimChar"/>
              </w:rPr>
              <w:t xml:space="preserve">cerebrolysin[tiab]</w:t>
            </w:r>
          </w:p>
        </w:tc>
      </w:tr>
      <w:tr>
        <w:tc>
          <w:tcPr/>
          <w:p>
            <w:pPr>
              <w:pStyle w:val="Compact"/>
              <w:jc w:val="left"/>
            </w:pPr>
            <w:r>
              <w:t xml:space="preserve">Dihexa</w:t>
            </w:r>
          </w:p>
        </w:tc>
        <w:tc>
          <w:tcPr/>
          <w:p>
            <w:pPr>
              <w:pStyle w:val="Compact"/>
              <w:jc w:val="left"/>
            </w:pPr>
            <w:r>
              <w:rPr>
                <w:rStyle w:val="VerbatimChar"/>
              </w:rPr>
              <w:t xml:space="preserve">dihexa[tiab]</w:t>
            </w:r>
          </w:p>
        </w:tc>
      </w:tr>
      <w:tr>
        <w:tc>
          <w:tcPr/>
          <w:p>
            <w:pPr>
              <w:pStyle w:val="Compact"/>
              <w:jc w:val="left"/>
            </w:pPr>
            <w:r>
              <w:t xml:space="preserve">DSIP</w:t>
            </w:r>
          </w:p>
        </w:tc>
        <w:tc>
          <w:tcPr/>
          <w:p>
            <w:pPr>
              <w:pStyle w:val="Compact"/>
              <w:jc w:val="left"/>
            </w:pPr>
            <w:r>
              <w:rPr>
                <w:rStyle w:val="VerbatimChar"/>
              </w:rPr>
              <w:t xml:space="preserve">delta sleep-inducing peptide[tiab] OR DSIP[tiab]</w:t>
            </w:r>
          </w:p>
        </w:tc>
      </w:tr>
      <w:tr>
        <w:tc>
          <w:tcPr/>
          <w:p>
            <w:pPr>
              <w:pStyle w:val="Compact"/>
              <w:jc w:val="left"/>
            </w:pPr>
            <w:r>
              <w:t xml:space="preserve">Epitalon (Epithalon)</w:t>
            </w:r>
          </w:p>
        </w:tc>
        <w:tc>
          <w:tcPr/>
          <w:p>
            <w:pPr>
              <w:pStyle w:val="Compact"/>
              <w:jc w:val="left"/>
            </w:pPr>
            <w:r>
              <w:rPr>
                <w:rStyle w:val="VerbatimChar"/>
              </w:rPr>
              <w:t xml:space="preserve">epitalon[tiab] OR epithalon[tiab] OR epithalone[tiab]</w:t>
            </w:r>
          </w:p>
        </w:tc>
      </w:tr>
      <w:tr>
        <w:tc>
          <w:tcPr/>
          <w:p>
            <w:pPr>
              <w:pStyle w:val="Compact"/>
              <w:jc w:val="left"/>
            </w:pPr>
            <w:r>
              <w:t xml:space="preserve">Pinealon</w:t>
            </w:r>
          </w:p>
        </w:tc>
        <w:tc>
          <w:tcPr/>
          <w:p>
            <w:pPr>
              <w:pStyle w:val="Compact"/>
              <w:jc w:val="left"/>
            </w:pPr>
            <w:r>
              <w:rPr>
                <w:rStyle w:val="VerbatimChar"/>
              </w:rPr>
              <w:t xml:space="preserve">pinealon[tiab]</w:t>
            </w:r>
          </w:p>
        </w:tc>
      </w:tr>
      <w:tr>
        <w:tc>
          <w:tcPr/>
          <w:p>
            <w:pPr>
              <w:pStyle w:val="Compact"/>
              <w:jc w:val="left"/>
            </w:pPr>
            <w:r>
              <w:t xml:space="preserve">MOTS-c</w:t>
            </w:r>
          </w:p>
        </w:tc>
        <w:tc>
          <w:tcPr/>
          <w:p>
            <w:pPr>
              <w:pStyle w:val="Compact"/>
              <w:jc w:val="left"/>
            </w:pPr>
            <w:r>
              <w:rPr>
                <w:rStyle w:val="VerbatimChar"/>
              </w:rPr>
              <w:t xml:space="preserve">MOTS-c[tiab]</w:t>
            </w:r>
          </w:p>
        </w:tc>
      </w:tr>
      <w:tr>
        <w:tc>
          <w:tcPr/>
          <w:p>
            <w:pPr>
              <w:pStyle w:val="Compact"/>
              <w:jc w:val="left"/>
            </w:pPr>
            <w:r>
              <w:t xml:space="preserve">Humanine</w:t>
            </w:r>
          </w:p>
        </w:tc>
        <w:tc>
          <w:tcPr/>
          <w:p>
            <w:pPr>
              <w:pStyle w:val="Compact"/>
              <w:jc w:val="left"/>
            </w:pPr>
            <w:r>
              <w:rPr>
                <w:rStyle w:val="VerbatimChar"/>
              </w:rPr>
              <w:t xml:space="preserve">humanin[tiab]</w:t>
            </w:r>
          </w:p>
        </w:tc>
      </w:tr>
      <w:tr>
        <w:tc>
          <w:tcPr/>
          <w:p>
            <w:pPr>
              <w:pStyle w:val="Compact"/>
              <w:jc w:val="left"/>
            </w:pPr>
            <w:r>
              <w:t xml:space="preserve">SS-31 (élamipretide)</w:t>
            </w:r>
          </w:p>
        </w:tc>
        <w:tc>
          <w:tcPr/>
          <w:p>
            <w:pPr>
              <w:pStyle w:val="Compact"/>
              <w:jc w:val="left"/>
            </w:pPr>
            <w:r>
              <w:rPr>
                <w:rStyle w:val="VerbatimChar"/>
              </w:rPr>
              <w:t xml:space="preserve">elamipretide[tiab] OR SS-31[tiab]</w:t>
            </w:r>
          </w:p>
        </w:tc>
      </w:tr>
      <w:tr>
        <w:tc>
          <w:tcPr/>
          <w:p>
            <w:pPr>
              <w:pStyle w:val="Compact"/>
              <w:jc w:val="left"/>
            </w:pPr>
            <w:r>
              <w:t xml:space="preserve">FOXO4-DRI</w:t>
            </w:r>
          </w:p>
        </w:tc>
        <w:tc>
          <w:tcPr/>
          <w:p>
            <w:pPr>
              <w:pStyle w:val="Compact"/>
              <w:jc w:val="left"/>
            </w:pPr>
            <w:r>
              <w:rPr>
                <w:rStyle w:val="VerbatimChar"/>
              </w:rPr>
              <w:t xml:space="preserve">FOXO4-DRI[tiab]</w:t>
            </w:r>
          </w:p>
        </w:tc>
      </w:tr>
      <w:tr>
        <w:tc>
          <w:tcPr/>
          <w:p>
            <w:pPr>
              <w:pStyle w:val="Compact"/>
              <w:jc w:val="left"/>
            </w:pPr>
            <w:r>
              <w:t xml:space="preserve">Glutathion</w:t>
            </w:r>
          </w:p>
        </w:tc>
        <w:tc>
          <w:tcPr/>
          <w:p>
            <w:pPr>
              <w:pStyle w:val="Compact"/>
              <w:jc w:val="left"/>
            </w:pPr>
            <w:r>
              <w:rPr>
                <w:rStyle w:val="VerbatimChar"/>
              </w:rPr>
              <w:t xml:space="preserve">glutathione[ti] AND (supplementation[tiab] OR oral[tiab] OR intravenous[tiab])</w:t>
            </w:r>
          </w:p>
        </w:tc>
      </w:tr>
    </w:tbl>
    <w:bookmarkEnd w:id="3003"/>
    <w:bookmarkStart w:id="3004" w:name="e.-hormones-sexualité-et-pigmentation-1"/>
    <w:p>
      <w:pPr>
        <w:pStyle w:val="Heading4"/>
      </w:pPr>
      <w:r>
        <w:t xml:space="preserve">E. Hormones, sexualité et pigmentation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Peptide</w:t>
            </w:r>
          </w:p>
        </w:tc>
        <w:tc>
          <w:tcPr/>
          <w:p>
            <w:pPr>
              <w:pStyle w:val="Compact"/>
              <w:jc w:val="left"/>
            </w:pPr>
            <w:r>
              <w:t xml:space="preserve">Terme de recherche PubMed</w:t>
            </w:r>
          </w:p>
        </w:tc>
      </w:tr>
      <w:tr>
        <w:tc>
          <w:tcPr/>
          <w:p>
            <w:pPr>
              <w:pStyle w:val="Compact"/>
              <w:jc w:val="left"/>
            </w:pPr>
            <w:r>
              <w:t xml:space="preserve">Brémélanotide (PT-141)</w:t>
            </w:r>
          </w:p>
        </w:tc>
        <w:tc>
          <w:tcPr/>
          <w:p>
            <w:pPr>
              <w:pStyle w:val="Compact"/>
              <w:jc w:val="left"/>
            </w:pPr>
            <w:r>
              <w:rPr>
                <w:rStyle w:val="VerbatimChar"/>
              </w:rPr>
              <w:t xml:space="preserve">bremelanotide[tiab] OR PT-141[tiab]</w:t>
            </w:r>
          </w:p>
        </w:tc>
      </w:tr>
      <w:tr>
        <w:tc>
          <w:tcPr/>
          <w:p>
            <w:pPr>
              <w:pStyle w:val="Compact"/>
              <w:jc w:val="left"/>
            </w:pPr>
            <w:r>
              <w:t xml:space="preserve">Melanotan II</w:t>
            </w:r>
          </w:p>
        </w:tc>
        <w:tc>
          <w:tcPr/>
          <w:p>
            <w:pPr>
              <w:pStyle w:val="Compact"/>
              <w:jc w:val="left"/>
            </w:pPr>
            <w:r>
              <w:rPr>
                <w:rStyle w:val="VerbatimChar"/>
              </w:rPr>
              <w:t xml:space="preserve">melanotan[tiab]</w:t>
            </w:r>
          </w:p>
        </w:tc>
      </w:tr>
      <w:tr>
        <w:tc>
          <w:tcPr/>
          <w:p>
            <w:pPr>
              <w:pStyle w:val="Compact"/>
              <w:jc w:val="left"/>
            </w:pPr>
            <w:r>
              <w:t xml:space="preserve">Afamélanotide</w:t>
            </w:r>
          </w:p>
        </w:tc>
        <w:tc>
          <w:tcPr/>
          <w:p>
            <w:pPr>
              <w:pStyle w:val="Compact"/>
              <w:jc w:val="left"/>
            </w:pPr>
            <w:r>
              <w:rPr>
                <w:rStyle w:val="VerbatimChar"/>
              </w:rPr>
              <w:t xml:space="preserve">afamelanotide[tiab]</w:t>
            </w:r>
          </w:p>
        </w:tc>
      </w:tr>
      <w:tr>
        <w:tc>
          <w:tcPr/>
          <w:p>
            <w:pPr>
              <w:pStyle w:val="Compact"/>
              <w:jc w:val="left"/>
            </w:pPr>
            <w:r>
              <w:t xml:space="preserve">Kisspeptine</w:t>
            </w:r>
          </w:p>
        </w:tc>
        <w:tc>
          <w:tcPr/>
          <w:p>
            <w:pPr>
              <w:pStyle w:val="Compact"/>
              <w:jc w:val="left"/>
            </w:pPr>
            <w:r>
              <w:rPr>
                <w:rStyle w:val="VerbatimChar"/>
              </w:rPr>
              <w:t xml:space="preserve">kisspeptin[tiab] AND (administration[tiab] OR infusion[tiab] OR injection[tiab])</w:t>
            </w:r>
          </w:p>
        </w:tc>
      </w:tr>
      <w:tr>
        <w:tc>
          <w:tcPr/>
          <w:p>
            <w:pPr>
              <w:pStyle w:val="Compact"/>
              <w:jc w:val="left"/>
            </w:pPr>
            <w:r>
              <w:t xml:space="preserve">Ocytocine (intranasale)</w:t>
            </w:r>
          </w:p>
        </w:tc>
        <w:tc>
          <w:tcPr/>
          <w:p>
            <w:pPr>
              <w:pStyle w:val="Compact"/>
              <w:jc w:val="left"/>
            </w:pPr>
            <w:r>
              <w:rPr>
                <w:rStyle w:val="VerbatimChar"/>
              </w:rPr>
              <w:t xml:space="preserve">intranasal oxytocin[tiab]</w:t>
            </w:r>
          </w:p>
        </w:tc>
      </w:tr>
      <w:tr>
        <w:tc>
          <w:tcPr/>
          <w:p>
            <w:pPr>
              <w:pStyle w:val="Compact"/>
              <w:jc w:val="left"/>
            </w:pPr>
            <w:r>
              <w:t xml:space="preserve">Gonadoréline</w:t>
            </w:r>
          </w:p>
        </w:tc>
        <w:tc>
          <w:tcPr/>
          <w:p>
            <w:pPr>
              <w:pStyle w:val="Compact"/>
              <w:jc w:val="left"/>
            </w:pPr>
            <w:r>
              <w:rPr>
                <w:rStyle w:val="VerbatimChar"/>
              </w:rPr>
              <w:t xml:space="preserve">gonadorelin[tiab]</w:t>
            </w:r>
          </w:p>
        </w:tc>
      </w:tr>
    </w:tbl>
    <w:bookmarkEnd w:id="3004"/>
    <w:bookmarkStart w:id="3005" w:name="f.-collagène-nutrition-et-cosmétique"/>
    <w:p>
      <w:pPr>
        <w:pStyle w:val="Heading4"/>
      </w:pPr>
      <w:r>
        <w:t xml:space="preserve">F. Collagène, nutrition et cosmétique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Peptide</w:t>
            </w:r>
          </w:p>
        </w:tc>
        <w:tc>
          <w:tcPr/>
          <w:p>
            <w:pPr>
              <w:pStyle w:val="Compact"/>
              <w:jc w:val="left"/>
            </w:pPr>
            <w:r>
              <w:t xml:space="preserve">Terme de recherche PubMed</w:t>
            </w:r>
          </w:p>
        </w:tc>
      </w:tr>
      <w:tr>
        <w:tc>
          <w:tcPr/>
          <w:p>
            <w:pPr>
              <w:pStyle w:val="Compact"/>
              <w:jc w:val="left"/>
            </w:pPr>
            <w:r>
              <w:t xml:space="preserve">Hydrolysat de collagène ou peptides de collagène</w:t>
            </w:r>
          </w:p>
        </w:tc>
        <w:tc>
          <w:tcPr/>
          <w:p>
            <w:pPr>
              <w:pStyle w:val="Compact"/>
              <w:jc w:val="left"/>
            </w:pPr>
            <w:r>
              <w:rPr>
                <w:rStyle w:val="VerbatimChar"/>
              </w:rPr>
              <w:t xml:space="preserve">(collagen hydrolysate[tiab] OR collagen peptide*[tiab]) AND (supplement*[tiab] OR oral[tiab] OR ingestion[tiab])</w:t>
            </w:r>
          </w:p>
        </w:tc>
      </w:tr>
      <w:tr>
        <w:tc>
          <w:tcPr/>
          <w:p>
            <w:pPr>
              <w:pStyle w:val="Compact"/>
              <w:jc w:val="left"/>
            </w:pPr>
            <w:r>
              <w:t xml:space="preserve">Lactotripeptides (VPP/IPP)</w:t>
            </w:r>
          </w:p>
        </w:tc>
        <w:tc>
          <w:tcPr/>
          <w:p>
            <w:pPr>
              <w:pStyle w:val="Compact"/>
              <w:jc w:val="left"/>
            </w:pPr>
            <w:r>
              <w:rPr>
                <w:rStyle w:val="VerbatimChar"/>
              </w:rPr>
              <w:t xml:space="preserve">lactotripeptide*[tiab] OR (valyl-prolyl-proline[tiab])</w:t>
            </w:r>
          </w:p>
        </w:tc>
      </w:tr>
      <w:tr>
        <w:tc>
          <w:tcPr/>
          <w:p>
            <w:pPr>
              <w:pStyle w:val="Compact"/>
              <w:jc w:val="left"/>
            </w:pPr>
            <w:r>
              <w:t xml:space="preserve">Carnosine</w:t>
            </w:r>
          </w:p>
        </w:tc>
        <w:tc>
          <w:tcPr/>
          <w:p>
            <w:pPr>
              <w:pStyle w:val="Compact"/>
              <w:jc w:val="left"/>
            </w:pPr>
            <w:r>
              <w:rPr>
                <w:rStyle w:val="VerbatimChar"/>
              </w:rPr>
              <w:t xml:space="preserve">carnosine[ti] AND (supplementation[tiab] OR oral[tiab])</w:t>
            </w:r>
          </w:p>
        </w:tc>
      </w:tr>
      <w:tr>
        <w:tc>
          <w:tcPr/>
          <w:p>
            <w:pPr>
              <w:pStyle w:val="Compact"/>
              <w:jc w:val="left"/>
            </w:pPr>
            <w:r>
              <w:t xml:space="preserve">GHK-Cu (peptide de cuivre)</w:t>
            </w:r>
          </w:p>
        </w:tc>
        <w:tc>
          <w:tcPr/>
          <w:p>
            <w:pPr>
              <w:pStyle w:val="Compact"/>
              <w:jc w:val="left"/>
            </w:pPr>
            <w:r>
              <w:rPr>
                <w:rStyle w:val="VerbatimChar"/>
              </w:rPr>
              <w:t xml:space="preserve">GHK-Cu[tiab] OR copper tripeptide[tiab] OR copper peptide GHK[tiab]</w:t>
            </w:r>
          </w:p>
        </w:tc>
      </w:tr>
      <w:tr>
        <w:tc>
          <w:tcPr/>
          <w:p>
            <w:pPr>
              <w:pStyle w:val="Compact"/>
              <w:jc w:val="left"/>
            </w:pPr>
            <w:r>
              <w:t xml:space="preserve">Palmitoyl pentapeptide-4 (Matrixyl)</w:t>
            </w:r>
          </w:p>
        </w:tc>
        <w:tc>
          <w:tcPr/>
          <w:p>
            <w:pPr>
              <w:pStyle w:val="Compact"/>
              <w:jc w:val="left"/>
            </w:pPr>
            <w:r>
              <w:rPr>
                <w:rStyle w:val="VerbatimChar"/>
              </w:rPr>
              <w:t xml:space="preserve">palmitoyl pentapeptide[tiab] OR matrixyl[tiab]</w:t>
            </w:r>
          </w:p>
        </w:tc>
      </w:tr>
      <w:tr>
        <w:tc>
          <w:tcPr/>
          <w:p>
            <w:pPr>
              <w:pStyle w:val="Compact"/>
              <w:jc w:val="left"/>
            </w:pPr>
            <w:r>
              <w:t xml:space="preserve">Acétyl hexapeptide-8 (Argireline)</w:t>
            </w:r>
          </w:p>
        </w:tc>
        <w:tc>
          <w:tcPr/>
          <w:p>
            <w:pPr>
              <w:pStyle w:val="Compact"/>
              <w:jc w:val="left"/>
            </w:pPr>
            <w:r>
              <w:rPr>
                <w:rStyle w:val="VerbatimChar"/>
              </w:rPr>
              <w:t xml:space="preserve">acetyl hexapeptide[tiab] OR argireline[tiab]</w:t>
            </w:r>
          </w:p>
        </w:tc>
      </w:tr>
    </w:tbl>
    <w:bookmarkEnd w:id="3005"/>
    <w:bookmarkEnd w:id="3006"/>
    <w:bookmarkStart w:id="3007" w:name="volume-des-résultats"/>
    <w:p>
      <w:pPr>
        <w:pStyle w:val="Heading3"/>
      </w:pPr>
      <w:r>
        <w:t xml:space="preserve">Volume des résultats</w:t>
      </w:r>
    </w:p>
    <w:p>
      <w:pPr>
        <w:pStyle w:val="FirstParagraph"/>
      </w:pPr>
      <w:r>
        <w:t xml:space="preserve">Au total, les 58 interrogations ont donné 3 216 résultats avec le filtre « études chez l’humain » et 1 739 résultats avec le filtre « méta-analyses et revues ». Dans ClinicalTrials.gov, 4 879 inscriptions au registre ont été trouvées. Ces totaux comportent des doubles comptages, car certaines études concernent plusieurs peptides – par exemple les études comparant le sémaglutide et le tirzépatide. Les chiffres par peptide sont indiqués au début de la section « Études chez l’humain » de chaque chapitre.</w:t>
      </w:r>
    </w:p>
    <w:p>
      <w:pPr>
        <w:pStyle w:val="BodyText"/>
      </w:pPr>
      <w:r>
        <w:t xml:space="preserve">La répartition est très inégale : les médicaments GLP-1 autorisés totalisent des centaines d’études chez l’humain, tandis que de nombreux peptides du marché gris n’en comptent aucune ou seulement une poignée.</w:t>
      </w:r>
    </w:p>
    <w:bookmarkEnd w:id="3007"/>
    <w:bookmarkStart w:id="3008" w:name="sélection-et-analyse"/>
    <w:p>
      <w:pPr>
        <w:pStyle w:val="Heading3"/>
      </w:pPr>
      <w:r>
        <w:t xml:space="preserve">Sélection et analyse</w:t>
      </w:r>
    </w:p>
    <w:p>
      <w:pPr>
        <w:pStyle w:val="FirstParagraph"/>
      </w:pPr>
      <w:r>
        <w:t xml:space="preserve">Pour chaque peptide, tous les résultats obtenus avec le filtre « études chez l’humain » ont été consignés sous forme de liste abrégée (titre, année, revue, première autrice ou premier auteur) ; ils constituent la base du répertoire des études en annexe. Les études chez l’humain et les revues les plus importantes selon la pertinence PubMed ont été lues et analysées à partir de leurs résumés, complétées par les travaux recherchés de manière ciblée.</w:t>
      </w:r>
    </w:p>
    <w:p>
      <w:pPr>
        <w:pStyle w:val="BodyText"/>
      </w:pPr>
      <w:r>
        <w:t xml:space="preserve">Pour la présentation dans le texte, les règles suivantes s’appliquent :</w:t>
      </w:r>
    </w:p>
    <w:p>
      <w:pPr>
        <w:numPr>
          <w:ilvl w:val="0"/>
          <w:numId w:val="1374"/>
        </w:numPr>
        <w:pStyle w:val="Compact"/>
      </w:pPr>
      <w:r>
        <w:t xml:space="preserve">Chaque étude citée a été lue à partir de son entrée PubMed ou de son inscription au registre.</w:t>
      </w:r>
    </w:p>
    <w:p>
      <w:pPr>
        <w:numPr>
          <w:ilvl w:val="0"/>
          <w:numId w:val="1374"/>
        </w:numPr>
        <w:pStyle w:val="Compact"/>
      </w:pPr>
      <w:r>
        <w:t xml:space="preserve">Les chiffres – par exemple le nombre de participants, les pourcentages, les variations de poids ou les valeurs p – proviennent exclusivement du résumé de la publication ou de l’inscription au registre. Ce qui n’y est pas étayé n’est pas indiqué sous forme de chiffre.</w:t>
      </w:r>
    </w:p>
    <w:p>
      <w:pPr>
        <w:numPr>
          <w:ilvl w:val="0"/>
          <w:numId w:val="1374"/>
        </w:numPr>
        <w:pStyle w:val="Compact"/>
      </w:pPr>
      <w:r>
        <w:t xml:space="preserve">Les textes intégraux n’ont pas été analysés de manière systématique. Les détails qui ne figurent que dans le texte intégral, par exemple certains taux d’effets indésirables ou certains sous-groupes, manquent donc en partie.</w:t>
      </w:r>
    </w:p>
    <w:p>
      <w:pPr>
        <w:numPr>
          <w:ilvl w:val="0"/>
          <w:numId w:val="1374"/>
        </w:numPr>
        <w:pStyle w:val="Compact"/>
      </w:pPr>
      <w:r>
        <w:t xml:space="preserve">Les résultats animaux et de laboratoire sont expressément signalés comme tels.</w:t>
      </w:r>
    </w:p>
    <w:p>
      <w:pPr>
        <w:numPr>
          <w:ilvl w:val="0"/>
          <w:numId w:val="1374"/>
        </w:numPr>
        <w:pStyle w:val="Compact"/>
      </w:pPr>
      <w:r>
        <w:t xml:space="preserve">Pour les études en cours, seul ce qui figure dans le registre est rapporté. Elles sont désignées comme</w:t>
      </w:r>
      <w:r>
        <w:t xml:space="preserve"> </w:t>
      </w:r>
      <w:r>
        <w:rPr>
          <w:iCs/>
          <w:i/>
        </w:rPr>
        <w:t xml:space="preserve">établies</w:t>
      </w:r>
      <w:r>
        <w:t xml:space="preserve"> </w:t>
      </w:r>
      <w:r>
        <w:t xml:space="preserve">(enregistrées, en cours), les prévisions personnelles comme</w:t>
      </w:r>
      <w:r>
        <w:t xml:space="preserve"> </w:t>
      </w:r>
      <w:r>
        <w:rPr>
          <w:iCs/>
          <w:i/>
        </w:rPr>
        <w:t xml:space="preserve">appréciation</w:t>
      </w:r>
      <w:r>
        <w:t xml:space="preserve">.</w:t>
      </w:r>
    </w:p>
    <w:bookmarkEnd w:id="3008"/>
    <w:bookmarkStart w:id="3009" w:name="niveaux-de-preuve"/>
    <w:p>
      <w:pPr>
        <w:pStyle w:val="Heading3"/>
      </w:pPr>
      <w:r>
        <w:t xml:space="preserve">Niveaux de preuve</w:t>
      </w:r>
    </w:p>
    <w:p>
      <w:pPr>
        <w:pStyle w:val="FirstParagraph"/>
      </w:pPr>
      <w:r>
        <w:t xml:space="preserve">Chaque peptide a reçu un niveau de preuve selon les critères suivants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Niveau</w:t>
            </w:r>
          </w:p>
        </w:tc>
        <w:tc>
          <w:tcPr/>
          <w:p>
            <w:pPr>
              <w:pStyle w:val="Compact"/>
              <w:jc w:val="left"/>
            </w:pPr>
            <w:r>
              <w:t xml:space="preserve">Critère</w:t>
            </w:r>
          </w:p>
        </w:tc>
      </w:tr>
      <w:tr>
        <w:tc>
          <w:tcPr/>
          <w:p>
            <w:pPr>
              <w:pStyle w:val="Compact"/>
              <w:jc w:val="left"/>
            </w:pPr>
            <w:r>
              <w:t xml:space="preserve">A</w:t>
            </w:r>
          </w:p>
        </w:tc>
        <w:tc>
          <w:tcPr/>
          <w:p>
            <w:pPr>
              <w:pStyle w:val="Compact"/>
              <w:jc w:val="left"/>
            </w:pPr>
            <w:r>
              <w:t xml:space="preserve">plusieurs grandes études randomisées chez l’humain, autorisation comme médicament</w:t>
            </w:r>
          </w:p>
        </w:tc>
      </w:tr>
      <w:tr>
        <w:tc>
          <w:tcPr/>
          <w:p>
            <w:pPr>
              <w:pStyle w:val="Compact"/>
              <w:jc w:val="left"/>
            </w:pPr>
            <w:r>
              <w:t xml:space="preserve">B</w:t>
            </w:r>
          </w:p>
        </w:tc>
        <w:tc>
          <w:tcPr/>
          <w:p>
            <w:pPr>
              <w:pStyle w:val="Compact"/>
              <w:jc w:val="left"/>
            </w:pPr>
            <w:r>
              <w:t xml:space="preserve">études randomisées isolées chez l’humain</w:t>
            </w:r>
          </w:p>
        </w:tc>
      </w:tr>
      <w:tr>
        <w:tc>
          <w:tcPr/>
          <w:p>
            <w:pPr>
              <w:pStyle w:val="Compact"/>
              <w:jc w:val="left"/>
            </w:pPr>
            <w:r>
              <w:t xml:space="preserve">C</w:t>
            </w:r>
          </w:p>
        </w:tc>
        <w:tc>
          <w:tcPr/>
          <w:p>
            <w:pPr>
              <w:pStyle w:val="Compact"/>
              <w:jc w:val="left"/>
            </w:pPr>
            <w:r>
              <w:t xml:space="preserve">uniquement de petites études ou des études non contrôlées chez l’humain</w:t>
            </w:r>
          </w:p>
        </w:tc>
      </w:tr>
      <w:tr>
        <w:tc>
          <w:tcPr/>
          <w:p>
            <w:pPr>
              <w:pStyle w:val="Compact"/>
              <w:jc w:val="left"/>
            </w:pPr>
            <w:r>
              <w:t xml:space="preserve">D</w:t>
            </w:r>
          </w:p>
        </w:tc>
        <w:tc>
          <w:tcPr/>
          <w:p>
            <w:pPr>
              <w:pStyle w:val="Compact"/>
              <w:jc w:val="left"/>
            </w:pPr>
            <w:r>
              <w:t xml:space="preserve">uniquement des études animales et de laboratoire</w:t>
            </w:r>
          </w:p>
        </w:tc>
      </w:tr>
    </w:tbl>
    <w:p>
      <w:pPr>
        <w:pStyle w:val="BodyText"/>
      </w:pPr>
      <w:r>
        <w:t xml:space="preserve">Le classement se rapporte à l’ensemble des données chez l’humain et au principal domaine d’utilisation étudié. Il s’agit d’une évaluation de l’auteur fondée sur les études analysées, et non d’une classification officielle.</w:t>
      </w:r>
    </w:p>
    <w:bookmarkEnd w:id="3009"/>
    <w:bookmarkStart w:id="3010" w:name="limites-de-la-méthodologie"/>
    <w:p>
      <w:pPr>
        <w:pStyle w:val="Heading3"/>
      </w:pPr>
      <w:r>
        <w:t xml:space="preserve">Limites de la méthodologie</w:t>
      </w:r>
    </w:p>
    <w:p>
      <w:pPr>
        <w:pStyle w:val="FirstParagraph"/>
      </w:pPr>
      <w:r>
        <w:t xml:space="preserve">Comme toute recherche bibliographique, celle-ci a des limites dont vous devriez tenir compte à la lecture :</w:t>
      </w:r>
    </w:p>
    <w:p>
      <w:pPr>
        <w:pStyle w:val="BodyText"/>
      </w:pPr>
      <w:r>
        <w:rPr>
          <w:bCs/>
          <w:b/>
        </w:rPr>
        <w:t xml:space="preserve">Un résultat n’est pas forcément une étude indépendante.</w:t>
      </w:r>
      <w:r>
        <w:t xml:space="preserve"> </w:t>
      </w:r>
      <w:r>
        <w:t xml:space="preserve">Une grande étude est souvent publiée dans plusieurs articles – résultat principal, sous-groupes, suivi, qualité de vie. Chacun de ces articles constitue un résultat distinct. À l’inverse, plusieurs études peuvent être regroupées dans un même article. Le nombre de résultats reflète donc l’ordre de grandeur de la recherche, et non le nombre exact d’études indépendantes.</w:t>
      </w:r>
    </w:p>
    <w:p>
      <w:pPr>
        <w:pStyle w:val="BodyText"/>
      </w:pPr>
      <w:r>
        <w:rPr>
          <w:bCs/>
          <w:b/>
        </w:rPr>
        <w:t xml:space="preserve">Les types de publication ne sont pas toujours corrects.</w:t>
      </w:r>
      <w:r>
        <w:t xml:space="preserve"> </w:t>
      </w:r>
      <w:r>
        <w:t xml:space="preserve">Le filtre « études chez l’humain » repose sur l’indexation effectuée par PubMed. Certaines études ne sont pas signalées comme études cliniques et manquent donc ; certains travaux signalés comme études cliniques se révèlent, à y regarder de plus près, être des études observationnelles ou des travaux de laboratoire sur du matériel humain. Les articles très récents ne sont souvent pas encore entièrement indexés.</w:t>
      </w:r>
    </w:p>
    <w:p>
      <w:pPr>
        <w:pStyle w:val="BodyText"/>
      </w:pPr>
      <w:r>
        <w:rPr>
          <w:bCs/>
          <w:b/>
        </w:rPr>
        <w:t xml:space="preserve">Les termes de recherche peuvent présenter des lacunes.</w:t>
      </w:r>
      <w:r>
        <w:t xml:space="preserve"> </w:t>
      </w:r>
      <w:r>
        <w:t xml:space="preserve">Un terme de recherche ne trouve que ce qui est décrit avec les mots choisis dans le titre ou le résumé. Les études qui ne désignent une substance que par un nom de code ou une autre orthographe peuvent manquer. À l’inverse, des abréviations ambiguës comme « KPV » ou « SS-31 » peuvent aussi faire apparaître des travaux portant sur des sujets tout à fait différents. Pour les chapitres, les résultats ont donc été examinés et non repris sans vérification.</w:t>
      </w:r>
    </w:p>
    <w:p>
      <w:pPr>
        <w:pStyle w:val="BodyText"/>
      </w:pPr>
      <w:r>
        <w:rPr>
          <w:bCs/>
          <w:b/>
        </w:rPr>
        <w:t xml:space="preserve">Langues.</w:t>
      </w:r>
      <w:r>
        <w:t xml:space="preserve"> </w:t>
      </w:r>
      <w:r>
        <w:t xml:space="preserve">PubMed répertorie principalement des revues anglophones. Les travaux parus uniquement dans d’autres langues et dans des revues non répertoriées manquent en grande partie. Cela concerne en particulier certains peptides étudiés et utilisés surtout en Russie ou dans d’autres pays d’Europe de l’Est, comme le Semax, le Selank, l’Epitalon ou la thymaline. Pour eux, les données réelles sont peut-être plus abondantes, mais difficilement vérifiables pour des lectrices et lecteurs internationaux.</w:t>
      </w:r>
    </w:p>
    <w:p>
      <w:pPr>
        <w:pStyle w:val="BodyText"/>
      </w:pPr>
      <w:r>
        <w:rPr>
          <w:bCs/>
          <w:b/>
        </w:rPr>
        <w:t xml:space="preserve">Études non publiées.</w:t>
      </w:r>
      <w:r>
        <w:t xml:space="preserve"> </w:t>
      </w:r>
      <w:r>
        <w:t xml:space="preserve">Les études qui n’ont jamais été publiées ne figurent pas dans PubMed. Le registre ClinicalTrials.gov aide à repérer ces lacunes, mais ne recense pas toutes les études du monde entier.</w:t>
      </w:r>
    </w:p>
    <w:p>
      <w:pPr>
        <w:pStyle w:val="BodyText"/>
      </w:pPr>
      <w:r>
        <w:rPr>
          <w:bCs/>
          <w:b/>
        </w:rPr>
        <w:t xml:space="preserve">Uniquement des résumés.</w:t>
      </w:r>
      <w:r>
        <w:t xml:space="preserve"> </w:t>
      </w:r>
      <w:r>
        <w:t xml:space="preserve">L’analyse repose sur les résumés. Ceux-ci rendent compte des principaux résultats, mais peuvent présenter de manière abrégée les limites, les effets indésirables ou les faiblesses méthodologiques.</w:t>
      </w:r>
    </w:p>
    <w:p>
      <w:pPr>
        <w:pStyle w:val="BodyText"/>
      </w:pPr>
      <w:r>
        <w:rPr>
          <w:bCs/>
          <w:b/>
        </w:rPr>
        <w:t xml:space="preserve">Instantané.</w:t>
      </w:r>
      <w:r>
        <w:t xml:space="preserve"> </w:t>
      </w:r>
      <w:r>
        <w:t xml:space="preserve">La recherche reflète la situation d’octobre 2026. Dans des domaines en croissance rapide comme celui des médicaments GLP-1, de nouvelles études paraissent chaque semaine.</w:t>
      </w:r>
    </w:p>
    <w:bookmarkEnd w:id="3010"/>
    <w:bookmarkStart w:id="3011" w:name="Xecaa528958b7fd49f802fd47e35b1b73065fe93"/>
    <w:p>
      <w:pPr>
        <w:pStyle w:val="Heading3"/>
      </w:pPr>
      <w:r>
        <w:t xml:space="preserve">Assistance par l’IA et contrôle de la qualité</w:t>
      </w:r>
    </w:p>
    <w:p>
      <w:pPr>
        <w:pStyle w:val="FirstParagraph"/>
      </w:pPr>
      <w:r>
        <w:t xml:space="preserve">Ce livre a été documenté et rédigé avec l’assistance de l’intelligence artificielle, puis revu par l’auteur. L’IA a été utilisée pour les tâches suivantes :</w:t>
      </w:r>
    </w:p>
    <w:p>
      <w:pPr>
        <w:numPr>
          <w:ilvl w:val="0"/>
          <w:numId w:val="1375"/>
        </w:numPr>
        <w:pStyle w:val="Compact"/>
      </w:pPr>
      <w:r>
        <w:t xml:space="preserve">réalisation des interrogations des bases de données via les interfaces citées, à l’aide de programmes auxiliaires écrits spécialement à cet effet,</w:t>
      </w:r>
    </w:p>
    <w:p>
      <w:pPr>
        <w:numPr>
          <w:ilvl w:val="0"/>
          <w:numId w:val="1375"/>
        </w:numPr>
        <w:pStyle w:val="Compact"/>
      </w:pPr>
      <w:r>
        <w:t xml:space="preserve">lecture et analyse des résumés et des inscriptions aux registres,</w:t>
      </w:r>
    </w:p>
    <w:p>
      <w:pPr>
        <w:numPr>
          <w:ilvl w:val="0"/>
          <w:numId w:val="1375"/>
        </w:numPr>
        <w:pStyle w:val="Compact"/>
      </w:pPr>
      <w:r>
        <w:t xml:space="preserve">rédaction de projets de texte selon des règles de style et de travail fixes.</w:t>
      </w:r>
    </w:p>
    <w:p>
      <w:pPr>
        <w:pStyle w:val="FirstParagraph"/>
      </w:pPr>
      <w:r>
        <w:t xml:space="preserve">Pour éviter le risque connu que des systèmes d’IA inventent des sources ou des chiffres, des règles contraignantes s’appliquaient : chaque étude mentionnée dans le texte est citée avec son PMID ou son numéro NCT ; chaque chiffre doit provenir d’un résumé ou d’une inscription au registre effectivement consultés ; les études ne peuvent être citées que si leur entrée a été préalablement consultée et lue.</w:t>
      </w:r>
    </w:p>
    <w:p>
      <w:pPr>
        <w:pStyle w:val="BodyText"/>
      </w:pPr>
      <w:r>
        <w:t xml:space="preserve">En outre, chaque chapitre a été contrôlé à l’aide d’un programme de vérification. Pour chaque PMID et chaque numéro NCT mentionné dans le texte, celui-ci consulte l’entrée dans PubMed ou ClinicalTrials.gov et signale une erreur si un numéro n’existe pas. Il compare aussi la première autrice ou le premier auteur et l’année de publication indiqués dans le texte avant le PMID avec l’entrée de la base de données et signale les divergences. Enfin, il recherche des formulations inadmissibles comme des promesses de guérison, des recommandations de dosage ou des indications de sources d’approvisionnement. Un chapitre n’était considéré comme terminé que lorsque ce contrôle se déroulait sans erreur.</w:t>
      </w:r>
    </w:p>
    <w:p>
      <w:pPr>
        <w:pStyle w:val="BodyText"/>
      </w:pPr>
      <w:r>
        <w:t xml:space="preserve">Ce contrôle garantit que chaque source citée existe et est correctement attribuée. Il ne peut pas exclure entièrement qu’un résultat soit rendu de manière abrégée ou ambiguë dans le texte. C’est pourquoi toutes les sources sont indiquées de manière à ce que vous puissiez les consulter vous-même – la marche à suivre est expliquée dans la section « À propos de ce livre », au début.</w:t>
      </w:r>
    </w:p>
    <w:bookmarkEnd w:id="3011"/>
    <w:bookmarkEnd w:id="3012"/>
    <w:bookmarkStart w:id="3071" w:name="index-des-études"/>
    <w:p>
      <w:pPr>
        <w:pStyle w:val="Heading1"/>
      </w:pPr>
      <w:r>
        <w:t xml:space="preserve">Index des études</w:t>
      </w:r>
    </w:p>
    <w:p>
      <w:pPr>
        <w:pStyle w:val="FirstParagraph"/>
      </w:pPr>
      <w:r>
        <w:t xml:space="preserve">Cet index recense toutes les publications d’études cliniques chez l’humain que la recherche a trouvées dans PubMed pour chaque peptide (requête d’octobre 2026, filtres : voir Méthodologie). Les titres et revues sont donnés dans leur langue d’origine. Chaque étude peut être consultée par son PMID sur pubmed.ncbi.nlm.nih.gov. Toutes les entrées ne correspondent pas à une étude distincte : certaines études ont été analysées et publiées plusieurs fois.</w:t>
      </w:r>
      <w:r>
        <w:t xml:space="preserve"> </w:t>
      </w:r>
      <w:r>
        <w:t xml:space="preserve">Total : 3 216 entrées.</w:t>
      </w:r>
    </w:p>
    <w:bookmarkStart w:id="3013" w:name="exénatide-437"/>
    <w:p>
      <w:pPr>
        <w:pStyle w:val="Heading2"/>
      </w:pPr>
      <w:r>
        <w:t xml:space="preserve">Exénatide (437)</w:t>
      </w:r>
    </w:p>
    <w:p>
      <w:pPr>
        <w:numPr>
          <w:ilvl w:val="0"/>
          <w:numId w:val="1376"/>
        </w:numPr>
        <w:pStyle w:val="Compact"/>
      </w:pPr>
      <w:r>
        <w:t xml:space="preserve">2026 · Retnakaran R ·</w:t>
      </w:r>
      <w:r>
        <w:t xml:space="preserve"> </w:t>
      </w:r>
      <w:r>
        <w:rPr>
          <w:iCs/>
          <w:i/>
        </w:rPr>
        <w:t xml:space="preserve">Am J Physiol Endocrinol Metab</w:t>
      </w:r>
      <w:r>
        <w:t xml:space="preserve"> </w:t>
      </w:r>
      <w:r>
        <w:t xml:space="preserve">· Glucose-lowering in type 2 diabetes may be mediated by improved proinsulin processing without better β-cell compensation. PMID 42721371</w:t>
      </w:r>
    </w:p>
    <w:p>
      <w:pPr>
        <w:numPr>
          <w:ilvl w:val="0"/>
          <w:numId w:val="1376"/>
        </w:numPr>
        <w:pStyle w:val="Compact"/>
      </w:pPr>
      <w:r>
        <w:t xml:space="preserve">2026 · Corey KM ·</w:t>
      </w:r>
      <w:r>
        <w:t xml:space="preserve"> </w:t>
      </w:r>
      <w:r>
        <w:rPr>
          <w:iCs/>
          <w:i/>
        </w:rPr>
        <w:t xml:space="preserve">JCI Insight</w:t>
      </w:r>
      <w:r>
        <w:t xml:space="preserve"> </w:t>
      </w:r>
      <w:r>
        <w:t xml:space="preserve">· A validated, modifiable proteomic score from the EXSCEL trial predicts cardiovascular events in diabetes. PMID 42390946</w:t>
      </w:r>
    </w:p>
    <w:p>
      <w:pPr>
        <w:numPr>
          <w:ilvl w:val="0"/>
          <w:numId w:val="1376"/>
        </w:numPr>
        <w:pStyle w:val="Compact"/>
      </w:pPr>
      <w:r>
        <w:t xml:space="preserve">2026 · Mikkelsen AD ·</w:t>
      </w:r>
      <w:r>
        <w:t xml:space="preserve"> </w:t>
      </w:r>
      <w:r>
        <w:rPr>
          <w:iCs/>
          <w:i/>
        </w:rPr>
        <w:t xml:space="preserve">Acta Anaesthesiol Scand</w:t>
      </w:r>
      <w:r>
        <w:t xml:space="preserve"> </w:t>
      </w:r>
      <w:r>
        <w:t xml:space="preserve">· Glucagon-Like Peptide-1 Agonist vs. Placebo and Pulmonary Decline After Open-Heart Surgery: A Substudy of the GLORIOUS Randomised Clinical Trial. PMID 42318973</w:t>
      </w:r>
    </w:p>
    <w:p>
      <w:pPr>
        <w:numPr>
          <w:ilvl w:val="0"/>
          <w:numId w:val="1376"/>
        </w:numPr>
        <w:pStyle w:val="Compact"/>
      </w:pPr>
      <w:r>
        <w:t xml:space="preserve">2026 · Wu TH ·</w:t>
      </w:r>
      <w:r>
        <w:t xml:space="preserve"> </w:t>
      </w:r>
      <w:r>
        <w:rPr>
          <w:iCs/>
          <w:i/>
        </w:rPr>
        <w:t xml:space="preserve">J Chin Med Assoc</w:t>
      </w:r>
      <w:r>
        <w:t xml:space="preserve"> </w:t>
      </w:r>
      <w:r>
        <w:t xml:space="preserve">· Effects of insulin and exenatide therapy on glycemic control and β-cell function in patients newly diagnosed with type 2 diabetes and severe hyperglycemia. PMID 42290292</w:t>
      </w:r>
    </w:p>
    <w:p>
      <w:pPr>
        <w:numPr>
          <w:ilvl w:val="0"/>
          <w:numId w:val="1376"/>
        </w:numPr>
        <w:pStyle w:val="Compact"/>
      </w:pPr>
      <w:r>
        <w:t xml:space="preserve">2026 · Kittipibul V ·</w:t>
      </w:r>
      <w:r>
        <w:t xml:space="preserve"> </w:t>
      </w:r>
      <w:r>
        <w:rPr>
          <w:iCs/>
          <w:i/>
        </w:rPr>
        <w:t xml:space="preserve">Am Heart J</w:t>
      </w:r>
      <w:r>
        <w:t xml:space="preserve"> </w:t>
      </w:r>
      <w:r>
        <w:t xml:space="preserve">· Serial assessment of NT-proBNP and high-sensitivity cardiac troponin with glucagon-like peptide-1 receptor agonist therapy in type 2 diabetes: Insights from EXSCEL. PMID 42102896</w:t>
      </w:r>
    </w:p>
    <w:p>
      <w:pPr>
        <w:numPr>
          <w:ilvl w:val="0"/>
          <w:numId w:val="1376"/>
        </w:numPr>
        <w:pStyle w:val="Compact"/>
      </w:pPr>
      <w:r>
        <w:t xml:space="preserve">2026 · Parikh M ·</w:t>
      </w:r>
      <w:r>
        <w:t xml:space="preserve"> </w:t>
      </w:r>
      <w:r>
        <w:rPr>
          <w:iCs/>
          <w:i/>
        </w:rPr>
        <w:t xml:space="preserve">J Clin Endocrinol Metab</w:t>
      </w:r>
      <w:r>
        <w:t xml:space="preserve"> </w:t>
      </w:r>
      <w:r>
        <w:t xml:space="preserve">· Exenatide induces an enhanced endogenous glucagon-like peptide-1 secretory response in patients receiving basal insulin. PMID 41604435</w:t>
      </w:r>
    </w:p>
    <w:p>
      <w:pPr>
        <w:numPr>
          <w:ilvl w:val="0"/>
          <w:numId w:val="1376"/>
        </w:numPr>
        <w:pStyle w:val="Compact"/>
      </w:pPr>
      <w:r>
        <w:t xml:space="preserve">2026 · Goodman J ·</w:t>
      </w:r>
      <w:r>
        <w:t xml:space="preserve"> </w:t>
      </w:r>
      <w:r>
        <w:rPr>
          <w:iCs/>
          <w:i/>
        </w:rPr>
        <w:t xml:space="preserve">Br J Clin Pharmacol</w:t>
      </w:r>
      <w:r>
        <w:t xml:space="preserve"> </w:t>
      </w:r>
      <w:r>
        <w:t xml:space="preserve">· An experimental medicine protocol for exploring the haemodynamic effects of dual agonism at the glucagon-like peptide-1 and glucagon receptor in healthy subjects. PMID 41025322</w:t>
      </w:r>
    </w:p>
    <w:p>
      <w:pPr>
        <w:numPr>
          <w:ilvl w:val="0"/>
          <w:numId w:val="1376"/>
        </w:numPr>
        <w:pStyle w:val="Compact"/>
      </w:pPr>
      <w:r>
        <w:t xml:space="preserve">2025 · Almby KE ·</w:t>
      </w:r>
      <w:r>
        <w:t xml:space="preserve"> </w:t>
      </w:r>
      <w:r>
        <w:rPr>
          <w:iCs/>
          <w:i/>
        </w:rPr>
        <w:t xml:space="preserve">Endocrine</w:t>
      </w:r>
      <w:r>
        <w:t xml:space="preserve"> </w:t>
      </w:r>
      <w:r>
        <w:t xml:space="preserve">· Effects of acute GLP-1 analogue infusion on the glycemic and neurohormonal responses to meal test in non- hypoglycemic subjects after gastric bypass. PMID 41071533</w:t>
      </w:r>
    </w:p>
    <w:p>
      <w:pPr>
        <w:numPr>
          <w:ilvl w:val="0"/>
          <w:numId w:val="1376"/>
        </w:numPr>
        <w:pStyle w:val="Compact"/>
      </w:pPr>
      <w:r>
        <w:t xml:space="preserve">2025 · Coleman RL ·</w:t>
      </w:r>
      <w:r>
        <w:t xml:space="preserve"> </w:t>
      </w:r>
      <w:r>
        <w:rPr>
          <w:iCs/>
          <w:i/>
        </w:rPr>
        <w:t xml:space="preserve">Cardiovasc Diabetol</w:t>
      </w:r>
      <w:r>
        <w:t xml:space="preserve"> </w:t>
      </w:r>
      <w:r>
        <w:t xml:space="preserve">· Impact of changes in conventional risk factors induced by once-weekly GLP-1 receptor agonist exenatide on cardiovascular outcomes: an EXSCEL post hoc analysis. PMID 40849664</w:t>
      </w:r>
    </w:p>
    <w:p>
      <w:pPr>
        <w:numPr>
          <w:ilvl w:val="0"/>
          <w:numId w:val="1376"/>
        </w:numPr>
        <w:pStyle w:val="Compact"/>
      </w:pPr>
      <w:r>
        <w:t xml:space="preserve">2025 · Peters AE ·</w:t>
      </w:r>
      <w:r>
        <w:t xml:space="preserve"> </w:t>
      </w:r>
      <w:r>
        <w:rPr>
          <w:iCs/>
          <w:i/>
        </w:rPr>
        <w:t xml:space="preserve">Sci Rep</w:t>
      </w:r>
      <w:r>
        <w:t xml:space="preserve"> </w:t>
      </w:r>
      <w:r>
        <w:t xml:space="preserve">· Proteomic pathways across the ejection fraction spectrum in patients with heart failure and diabetes mellitus: an EXSCEL trial substudy. PMID 40825966</w:t>
      </w:r>
    </w:p>
    <w:p>
      <w:pPr>
        <w:numPr>
          <w:ilvl w:val="0"/>
          <w:numId w:val="1376"/>
        </w:numPr>
        <w:pStyle w:val="Compact"/>
      </w:pPr>
      <w:r>
        <w:t xml:space="preserve">2025 · Hepprich M ·</w:t>
      </w:r>
      <w:r>
        <w:t xml:space="preserve"> </w:t>
      </w:r>
      <w:r>
        <w:rPr>
          <w:iCs/>
          <w:i/>
        </w:rPr>
        <w:t xml:space="preserve">Eur J Endocrinol</w:t>
      </w:r>
      <w:r>
        <w:t xml:space="preserve"> </w:t>
      </w:r>
      <w:r>
        <w:t xml:space="preserve">· Exenatide for diagnosing endogenous hyperinsulinemic hypoglycemia: a randomized placebo-controlled, double-blind, cross-over proof-of-principle study. PMID 40747712</w:t>
      </w:r>
    </w:p>
    <w:p>
      <w:pPr>
        <w:numPr>
          <w:ilvl w:val="0"/>
          <w:numId w:val="1376"/>
        </w:numPr>
        <w:pStyle w:val="Compact"/>
      </w:pPr>
      <w:r>
        <w:t xml:space="preserve">2025 · Vijiaratnam N ·</w:t>
      </w:r>
      <w:r>
        <w:t xml:space="preserve"> </w:t>
      </w:r>
      <w:r>
        <w:rPr>
          <w:iCs/>
          <w:i/>
        </w:rPr>
        <w:t xml:space="preserve">Ann Neurol</w:t>
      </w:r>
      <w:r>
        <w:t xml:space="preserve"> </w:t>
      </w:r>
      <w:r>
        <w:t xml:space="preserve">· Exenatide Once Weekly in the Treatment of Patients with Multiple System Atrophy. PMID 40727970</w:t>
      </w:r>
    </w:p>
    <w:p>
      <w:pPr>
        <w:numPr>
          <w:ilvl w:val="0"/>
          <w:numId w:val="1376"/>
        </w:numPr>
        <w:pStyle w:val="Compact"/>
      </w:pPr>
      <w:r>
        <w:t xml:space="preserve">2025 · Hviid MEB ·</w:t>
      </w:r>
      <w:r>
        <w:t xml:space="preserve"> </w:t>
      </w:r>
      <w:r>
        <w:rPr>
          <w:iCs/>
          <w:i/>
        </w:rPr>
        <w:t xml:space="preserve">Alcohol Clin Exp Res (Hoboken)</w:t>
      </w:r>
      <w:r>
        <w:t xml:space="preserve"> </w:t>
      </w:r>
      <w:r>
        <w:t xml:space="preserve">· Effect of the GLP-1 receptor agonist exenatide on pro-inflammatory and metabolic biomarkers in individuals with alcohol use disorder: Post hoc results from a randomized, double-blinded, placebo-controlled clinical trial. PMID 40630018</w:t>
      </w:r>
    </w:p>
    <w:p>
      <w:pPr>
        <w:numPr>
          <w:ilvl w:val="0"/>
          <w:numId w:val="1376"/>
        </w:numPr>
        <w:pStyle w:val="Compact"/>
      </w:pPr>
      <w:r>
        <w:t xml:space="preserve">2025 · Triplitt C ·</w:t>
      </w:r>
      <w:r>
        <w:t xml:space="preserve"> </w:t>
      </w:r>
      <w:r>
        <w:rPr>
          <w:iCs/>
          <w:i/>
        </w:rPr>
        <w:t xml:space="preserve">Diabetes Care</w:t>
      </w:r>
      <w:r>
        <w:t xml:space="preserve"> </w:t>
      </w:r>
      <w:r>
        <w:t xml:space="preserve">· Changes in β-Cell Function and Insulin Sensitivity During Treatment With Dapagliflozin Alone or in Combination With Exenatide in Type 2 Diabetes. PMID 40627548</w:t>
      </w:r>
    </w:p>
    <w:p>
      <w:pPr>
        <w:numPr>
          <w:ilvl w:val="0"/>
          <w:numId w:val="1376"/>
        </w:numPr>
        <w:pStyle w:val="Compact"/>
      </w:pPr>
      <w:r>
        <w:t xml:space="preserve">2025 · Goodman J ·</w:t>
      </w:r>
      <w:r>
        <w:t xml:space="preserve"> </w:t>
      </w:r>
      <w:r>
        <w:rPr>
          <w:iCs/>
          <w:i/>
        </w:rPr>
        <w:t xml:space="preserve">Sci Rep</w:t>
      </w:r>
      <w:r>
        <w:t xml:space="preserve"> </w:t>
      </w:r>
      <w:r>
        <w:t xml:space="preserve">· Exenatide and glucagon co-infusion increases myocardial glucose uptake and improves markers of diastolic dysfunction in adults with type 2 diabetes. PMID 40593987</w:t>
      </w:r>
    </w:p>
    <w:p>
      <w:pPr>
        <w:numPr>
          <w:ilvl w:val="0"/>
          <w:numId w:val="1376"/>
        </w:numPr>
        <w:pStyle w:val="Compact"/>
      </w:pPr>
      <w:r>
        <w:t xml:space="preserve">2025 · Abdul-Ghani M ·</w:t>
      </w:r>
      <w:r>
        <w:t xml:space="preserve"> </w:t>
      </w:r>
      <w:r>
        <w:rPr>
          <w:iCs/>
          <w:i/>
        </w:rPr>
        <w:t xml:space="preserve">BMJ Open Diabetes Res Care</w:t>
      </w:r>
      <w:r>
        <w:t xml:space="preserve"> </w:t>
      </w:r>
      <w:r>
        <w:t xml:space="preserve">· Glycemic and non-glycemic benefits of initial triple therapy versus sequential add-on therapy in patients with new-onset diabetes: results from the EDICT study. PMID 40288809</w:t>
      </w:r>
    </w:p>
    <w:p>
      <w:pPr>
        <w:numPr>
          <w:ilvl w:val="0"/>
          <w:numId w:val="1376"/>
        </w:numPr>
        <w:pStyle w:val="Compact"/>
      </w:pPr>
      <w:r>
        <w:t xml:space="preserve">2025 · Kjaergaard J ·</w:t>
      </w:r>
      <w:r>
        <w:t xml:space="preserve"> </w:t>
      </w:r>
      <w:r>
        <w:rPr>
          <w:iCs/>
          <w:i/>
        </w:rPr>
        <w:t xml:space="preserve">Circ Cardiovasc Interv</w:t>
      </w:r>
      <w:r>
        <w:t xml:space="preserve"> </w:t>
      </w:r>
      <w:r>
        <w:t xml:space="preserve">· Efficacy of the Glucagon-Like Peptide-1 Agonist Exenatide in Patients Undergoing CABG or Aortic Valve Replacement: A Randomized Double-Blind Clinical Trial. PMID 40265262</w:t>
      </w:r>
    </w:p>
    <w:p>
      <w:pPr>
        <w:numPr>
          <w:ilvl w:val="0"/>
          <w:numId w:val="1376"/>
        </w:numPr>
        <w:pStyle w:val="Compact"/>
      </w:pPr>
      <w:r>
        <w:t xml:space="preserve">2025 · Patino LR ·</w:t>
      </w:r>
      <w:r>
        <w:t xml:space="preserve"> </w:t>
      </w:r>
      <w:r>
        <w:rPr>
          <w:iCs/>
          <w:i/>
        </w:rPr>
        <w:t xml:space="preserve">J Affect Disord</w:t>
      </w:r>
      <w:r>
        <w:t xml:space="preserve"> </w:t>
      </w:r>
      <w:r>
        <w:t xml:space="preserve">· A double-blind, placebo-controlled trial of exenatide for the treatment of olanzapine-related weight gain in obese and overweight adults. PMID 40203970</w:t>
      </w:r>
    </w:p>
    <w:p>
      <w:pPr>
        <w:numPr>
          <w:ilvl w:val="0"/>
          <w:numId w:val="1376"/>
        </w:numPr>
        <w:pStyle w:val="Compact"/>
      </w:pPr>
      <w:r>
        <w:t xml:space="preserve">2025 · Maddaloni E ·</w:t>
      </w:r>
      <w:r>
        <w:t xml:space="preserve"> </w:t>
      </w:r>
      <w:r>
        <w:rPr>
          <w:iCs/>
          <w:i/>
        </w:rPr>
        <w:t xml:space="preserve">Diabetes Res Clin Pract</w:t>
      </w:r>
      <w:r>
        <w:t xml:space="preserve"> </w:t>
      </w:r>
      <w:r>
        <w:t xml:space="preserve">· Risk factors for bone fractures in type 2 diabetes and the impact of once-weekly exenatide: insights from an EXSCEL post-hoc analysis. PMID 40154887</w:t>
      </w:r>
    </w:p>
    <w:p>
      <w:pPr>
        <w:numPr>
          <w:ilvl w:val="0"/>
          <w:numId w:val="1376"/>
        </w:numPr>
        <w:pStyle w:val="Compact"/>
      </w:pPr>
      <w:r>
        <w:t xml:space="preserve">2025 · Jensen ME ·</w:t>
      </w:r>
      <w:r>
        <w:t xml:space="preserve"> </w:t>
      </w:r>
      <w:r>
        <w:rPr>
          <w:iCs/>
          <w:i/>
        </w:rPr>
        <w:t xml:space="preserve">Alcohol Clin Exp Res (Hoboken)</w:t>
      </w:r>
      <w:r>
        <w:t xml:space="preserve"> </w:t>
      </w:r>
      <w:r>
        <w:t xml:space="preserve">· Blood phosphatidylethanol measurements indicate GLP-1 receptor stimulation causes delayed decreases in alcohol consumption. PMID 40123107</w:t>
      </w:r>
    </w:p>
    <w:p>
      <w:pPr>
        <w:numPr>
          <w:ilvl w:val="0"/>
          <w:numId w:val="1376"/>
        </w:numPr>
        <w:pStyle w:val="Compact"/>
      </w:pPr>
      <w:r>
        <w:t xml:space="preserve">2025 · Vijiaratnam N ·</w:t>
      </w:r>
      <w:r>
        <w:t xml:space="preserve"> </w:t>
      </w:r>
      <w:r>
        <w:rPr>
          <w:iCs/>
          <w:i/>
        </w:rPr>
        <w:t xml:space="preserve">Lancet</w:t>
      </w:r>
      <w:r>
        <w:t xml:space="preserve"> </w:t>
      </w:r>
      <w:r>
        <w:t xml:space="preserve">· Exenatide once a week versus placebo as a potential disease-modifying treatment for people with Parkinson’s disease in the UK: a phase 3, multicentre, double-blind, parallel-group, randomised, placebo-controlled trial. PMID 39919773</w:t>
      </w:r>
    </w:p>
    <w:p>
      <w:pPr>
        <w:numPr>
          <w:ilvl w:val="0"/>
          <w:numId w:val="1376"/>
        </w:numPr>
        <w:pStyle w:val="Compact"/>
      </w:pPr>
      <w:r>
        <w:t xml:space="preserve">2025 · Yammine L ·</w:t>
      </w:r>
      <w:r>
        <w:t xml:space="preserve"> </w:t>
      </w:r>
      <w:r>
        <w:rPr>
          <w:iCs/>
          <w:i/>
        </w:rPr>
        <w:t xml:space="preserve">Nicotine Tob Res</w:t>
      </w:r>
      <w:r>
        <w:t xml:space="preserve"> </w:t>
      </w:r>
      <w:r>
        <w:t xml:space="preserve">· Exploring Predictors of Treatment Response to GLP-1 Receptor Agonists for Smoking Cessation. PMID 39780397</w:t>
      </w:r>
    </w:p>
    <w:p>
      <w:pPr>
        <w:numPr>
          <w:ilvl w:val="0"/>
          <w:numId w:val="1376"/>
        </w:numPr>
        <w:pStyle w:val="Compact"/>
      </w:pPr>
      <w:r>
        <w:t xml:space="preserve">2025 · Maddaloni E ·</w:t>
      </w:r>
      <w:r>
        <w:t xml:space="preserve"> </w:t>
      </w:r>
      <w:r>
        <w:rPr>
          <w:iCs/>
          <w:i/>
        </w:rPr>
        <w:t xml:space="preserve">Diabetes Care</w:t>
      </w:r>
      <w:r>
        <w:t xml:space="preserve"> </w:t>
      </w:r>
      <w:r>
        <w:t xml:space="preserve">· Osteoprotegerin, Osteopontin, and Osteocalcin Are Associated With Cardiovascular Events in Type 2 Diabetes: Insights From EXSCEL. PMID 39576722</w:t>
      </w:r>
    </w:p>
    <w:p>
      <w:pPr>
        <w:numPr>
          <w:ilvl w:val="0"/>
          <w:numId w:val="1376"/>
        </w:numPr>
        <w:pStyle w:val="Compact"/>
      </w:pPr>
      <w:r>
        <w:t xml:space="preserve">2025 · Neves JS ·</w:t>
      </w:r>
      <w:r>
        <w:t xml:space="preserve"> </w:t>
      </w:r>
      <w:r>
        <w:rPr>
          <w:iCs/>
          <w:i/>
        </w:rPr>
        <w:t xml:space="preserve">Eur J Heart Fail</w:t>
      </w:r>
      <w:r>
        <w:t xml:space="preserve"> </w:t>
      </w:r>
      <w:r>
        <w:t xml:space="preserve">· Cardiovascular outcomes with exenatide in type 2 diabetes according to ejection fraction: The EXSCEL trial. PMID 39381950</w:t>
      </w:r>
    </w:p>
    <w:p>
      <w:pPr>
        <w:numPr>
          <w:ilvl w:val="0"/>
          <w:numId w:val="1376"/>
        </w:numPr>
        <w:pStyle w:val="Compact"/>
      </w:pPr>
      <w:r>
        <w:t xml:space="preserve">2024 · Koychev I ·</w:t>
      </w:r>
      <w:r>
        <w:t xml:space="preserve"> </w:t>
      </w:r>
      <w:r>
        <w:rPr>
          <w:iCs/>
          <w:i/>
        </w:rPr>
        <w:t xml:space="preserve">Alzheimers Res Ther</w:t>
      </w:r>
      <w:r>
        <w:t xml:space="preserve"> </w:t>
      </w:r>
      <w:r>
        <w:t xml:space="preserve">· Inflammatory proteins associated with Alzheimer’s disease reduced by a GLP1 receptor agonist: a post hoc analysis of the EXSCEL randomized placebo controlled trial. PMID 39358806</w:t>
      </w:r>
    </w:p>
    <w:p>
      <w:pPr>
        <w:numPr>
          <w:ilvl w:val="0"/>
          <w:numId w:val="1376"/>
        </w:numPr>
        <w:pStyle w:val="Compact"/>
      </w:pPr>
      <w:r>
        <w:t xml:space="preserve">2024 · Oulhaj A ·</w:t>
      </w:r>
      <w:r>
        <w:t xml:space="preserve"> </w:t>
      </w:r>
      <w:r>
        <w:rPr>
          <w:iCs/>
          <w:i/>
        </w:rPr>
        <w:t xml:space="preserve">Diabetes Obes Metab</w:t>
      </w:r>
      <w:r>
        <w:t xml:space="preserve"> </w:t>
      </w:r>
      <w:r>
        <w:t xml:space="preserve">· Estimated glomerular filtration rate slope and risk of primary and secondary major adverse cardiovascular events and heart failure hospitalization in people with type 2 diabetes: An analysis of the EXSCEL trial. PMID 39086032</w:t>
      </w:r>
    </w:p>
    <w:p>
      <w:pPr>
        <w:numPr>
          <w:ilvl w:val="0"/>
          <w:numId w:val="1376"/>
        </w:numPr>
        <w:pStyle w:val="Compact"/>
      </w:pPr>
      <w:r>
        <w:t xml:space="preserve">2024 · Gooding KM ·</w:t>
      </w:r>
      <w:r>
        <w:t xml:space="preserve"> </w:t>
      </w:r>
      <w:r>
        <w:rPr>
          <w:iCs/>
          <w:i/>
        </w:rPr>
        <w:t xml:space="preserve">Diabetes Res Clin Pract</w:t>
      </w:r>
      <w:r>
        <w:t xml:space="preserve"> </w:t>
      </w:r>
      <w:r>
        <w:t xml:space="preserve">· Are the cardiovascular properties of GLP-1 receptor agonists differentially modulated by sulfonylureas? Insights from post-hoc analysis of EXSCEL. PMID 38670496</w:t>
      </w:r>
    </w:p>
    <w:p>
      <w:pPr>
        <w:numPr>
          <w:ilvl w:val="0"/>
          <w:numId w:val="1376"/>
        </w:numPr>
        <w:pStyle w:val="Compact"/>
      </w:pPr>
      <w:r>
        <w:t xml:space="preserve">2024 · Dei Cas A ·</w:t>
      </w:r>
      <w:r>
        <w:t xml:space="preserve"> </w:t>
      </w:r>
      <w:r>
        <w:rPr>
          <w:iCs/>
          <w:i/>
        </w:rPr>
        <w:t xml:space="preserve">J Endocrinol Invest</w:t>
      </w:r>
      <w:r>
        <w:t xml:space="preserve"> </w:t>
      </w:r>
      <w:r>
        <w:t xml:space="preserve">· Long-acting exenatide does not prevent cognitive decline in mild cognitive impairment: a proof-of-concept clinical trial. PMID 38565814</w:t>
      </w:r>
    </w:p>
    <w:p>
      <w:pPr>
        <w:numPr>
          <w:ilvl w:val="0"/>
          <w:numId w:val="1376"/>
        </w:numPr>
        <w:pStyle w:val="Compact"/>
      </w:pPr>
      <w:r>
        <w:t xml:space="preserve">2024 · Gatta-Cherifi B ·</w:t>
      </w:r>
      <w:r>
        <w:t xml:space="preserve"> </w:t>
      </w:r>
      <w:r>
        <w:rPr>
          <w:iCs/>
          <w:i/>
        </w:rPr>
        <w:t xml:space="preserve">Eur J Endocrinol</w:t>
      </w:r>
      <w:r>
        <w:t xml:space="preserve"> </w:t>
      </w:r>
      <w:r>
        <w:t xml:space="preserve">· Impact of exenatide on weight loss and eating behavior in adults with craniopharyngioma-related obesity: the CRANIOEXE randomized placebo-controlled trial. PMID 38450721</w:t>
      </w:r>
    </w:p>
    <w:p>
      <w:pPr>
        <w:numPr>
          <w:ilvl w:val="0"/>
          <w:numId w:val="1376"/>
        </w:numPr>
        <w:pStyle w:val="Compact"/>
      </w:pPr>
      <w:r>
        <w:t xml:space="preserve">2024 · Bensignor MO ·</w:t>
      </w:r>
      <w:r>
        <w:t xml:space="preserve"> </w:t>
      </w:r>
      <w:r>
        <w:rPr>
          <w:iCs/>
          <w:i/>
        </w:rPr>
        <w:t xml:space="preserve">Pediatr Obes</w:t>
      </w:r>
      <w:r>
        <w:t xml:space="preserve"> </w:t>
      </w:r>
      <w:r>
        <w:t xml:space="preserve">· Evaluating appetite/satiety hormones and eating behaviours as predictors of weight loss maintenance with GLP-1RA therapy in adolescents with severe obesity. PMID 38339799</w:t>
      </w:r>
    </w:p>
    <w:p>
      <w:pPr>
        <w:numPr>
          <w:ilvl w:val="0"/>
          <w:numId w:val="1376"/>
        </w:numPr>
        <w:pStyle w:val="Compact"/>
      </w:pPr>
      <w:r>
        <w:t xml:space="preserve">2024 · Grech O ·</w:t>
      </w:r>
      <w:r>
        <w:t xml:space="preserve"> </w:t>
      </w:r>
      <w:r>
        <w:rPr>
          <w:iCs/>
          <w:i/>
        </w:rPr>
        <w:t xml:space="preserve">Eye (Lond)</w:t>
      </w:r>
      <w:r>
        <w:t xml:space="preserve"> </w:t>
      </w:r>
      <w:r>
        <w:t xml:space="preserve">· Effect of glucagon like peptide-1 receptor agonist exenatide, used as an intracranial pressure lowering agent, on cognition in Idiopathic Intracranial Hypertension. PMID 38212401</w:t>
      </w:r>
    </w:p>
    <w:p>
      <w:pPr>
        <w:numPr>
          <w:ilvl w:val="0"/>
          <w:numId w:val="1376"/>
        </w:numPr>
        <w:pStyle w:val="Compact"/>
      </w:pPr>
      <w:r>
        <w:t xml:space="preserve">2024 · McGarry A ·</w:t>
      </w:r>
      <w:r>
        <w:t xml:space="preserve"> </w:t>
      </w:r>
      <w:r>
        <w:rPr>
          <w:iCs/>
          <w:i/>
        </w:rPr>
        <w:t xml:space="preserve">Lancet Neurol</w:t>
      </w:r>
      <w:r>
        <w:t xml:space="preserve"> </w:t>
      </w:r>
      <w:r>
        <w:t xml:space="preserve">· Safety, tolerability, and efficacy of NLY01 in early untreated Parkinson’s disease: a randomised, double-blind, placebo-controlled trial. PMID 38101901</w:t>
      </w:r>
    </w:p>
    <w:p>
      <w:pPr>
        <w:numPr>
          <w:ilvl w:val="0"/>
          <w:numId w:val="1376"/>
        </w:numPr>
        <w:pStyle w:val="Compact"/>
      </w:pPr>
      <w:r>
        <w:t xml:space="preserve">2023 · Santos-Pardo I ·</w:t>
      </w:r>
      <w:r>
        <w:t xml:space="preserve"> </w:t>
      </w:r>
      <w:r>
        <w:rPr>
          <w:iCs/>
          <w:i/>
        </w:rPr>
        <w:t xml:space="preserve">Cardiovasc Diabetol</w:t>
      </w:r>
      <w:r>
        <w:t xml:space="preserve"> </w:t>
      </w:r>
      <w:r>
        <w:t xml:space="preserve">· Effects of exenatide on coronary stent’s endothelialization in subjects with type 2 diabetes: a randomized controlled trial. The Rebuild study. PMID 38066597</w:t>
      </w:r>
    </w:p>
    <w:p>
      <w:pPr>
        <w:numPr>
          <w:ilvl w:val="0"/>
          <w:numId w:val="1376"/>
        </w:numPr>
        <w:pStyle w:val="Compact"/>
      </w:pPr>
      <w:r>
        <w:t xml:space="preserve">2023 · Bladin CF ·</w:t>
      </w:r>
      <w:r>
        <w:t xml:space="preserve"> </w:t>
      </w:r>
      <w:r>
        <w:rPr>
          <w:iCs/>
          <w:i/>
        </w:rPr>
        <w:t xml:space="preserve">Stroke</w:t>
      </w:r>
      <w:r>
        <w:t xml:space="preserve"> </w:t>
      </w:r>
      <w:r>
        <w:t xml:space="preserve">· Management of Poststroke Hyperglycemia: Results of the TEXAIS Randomized Clinical Trial. PMID 38011235</w:t>
      </w:r>
    </w:p>
    <w:p>
      <w:pPr>
        <w:numPr>
          <w:ilvl w:val="0"/>
          <w:numId w:val="1376"/>
        </w:numPr>
        <w:pStyle w:val="Compact"/>
      </w:pPr>
      <w:r>
        <w:t xml:space="preserve">2023 · Stenlid R ·</w:t>
      </w:r>
      <w:r>
        <w:t xml:space="preserve"> </w:t>
      </w:r>
      <w:r>
        <w:rPr>
          <w:iCs/>
          <w:i/>
        </w:rPr>
        <w:t xml:space="preserve">Ann Nutr Metab</w:t>
      </w:r>
      <w:r>
        <w:t xml:space="preserve"> </w:t>
      </w:r>
      <w:r>
        <w:t xml:space="preserve">· Screening for Inflammatory Markers Identifies IL-18Rα as a Potential Link between Exenatide and Its Anti-Inflammatory Effect: New Results from the Combat-JUDO Randomized Controlled Trial. PMID 37883939</w:t>
      </w:r>
    </w:p>
    <w:p>
      <w:pPr>
        <w:numPr>
          <w:ilvl w:val="0"/>
          <w:numId w:val="1376"/>
        </w:numPr>
        <w:pStyle w:val="Compact"/>
      </w:pPr>
      <w:r>
        <w:t xml:space="preserve">2023 · Akyay OZ ·</w:t>
      </w:r>
      <w:r>
        <w:t xml:space="preserve"> </w:t>
      </w:r>
      <w:r>
        <w:rPr>
          <w:iCs/>
          <w:i/>
        </w:rPr>
        <w:t xml:space="preserve">Medicine (Baltimore)</w:t>
      </w:r>
      <w:r>
        <w:t xml:space="preserve"> </w:t>
      </w:r>
      <w:r>
        <w:t xml:space="preserve">· The effects of exenatide and insulin glargine treatments on bone turnover markers and bone mineral density in postmenopausal patients with type 2 diabetes mellitus. PMID 37773814</w:t>
      </w:r>
    </w:p>
    <w:p>
      <w:pPr>
        <w:numPr>
          <w:ilvl w:val="0"/>
          <w:numId w:val="1376"/>
        </w:numPr>
        <w:pStyle w:val="Compact"/>
      </w:pPr>
      <w:r>
        <w:t xml:space="preserve">2023 · Liu L ·</w:t>
      </w:r>
      <w:r>
        <w:t xml:space="preserve"> </w:t>
      </w:r>
      <w:r>
        <w:rPr>
          <w:iCs/>
          <w:i/>
        </w:rPr>
        <w:t xml:space="preserve">Exp Clin Endocrinol Diabetes</w:t>
      </w:r>
      <w:r>
        <w:t xml:space="preserve"> </w:t>
      </w:r>
      <w:r>
        <w:t xml:space="preserve">· Insulin Glargine is More Suitable Than Exenatide in Preventing Muscle Loss in Non-Obese Type 2 Diabetic Patients with NAFLD. PMID 37524110</w:t>
      </w:r>
    </w:p>
    <w:p>
      <w:pPr>
        <w:numPr>
          <w:ilvl w:val="0"/>
          <w:numId w:val="1376"/>
        </w:numPr>
        <w:pStyle w:val="Compact"/>
      </w:pPr>
      <w:r>
        <w:t xml:space="preserve">2023 · Retnakaran R ·</w:t>
      </w:r>
      <w:r>
        <w:t xml:space="preserve"> </w:t>
      </w:r>
      <w:r>
        <w:rPr>
          <w:iCs/>
          <w:i/>
        </w:rPr>
        <w:t xml:space="preserve">Diabetes Obes Metab</w:t>
      </w:r>
      <w:r>
        <w:t xml:space="preserve"> </w:t>
      </w:r>
      <w:r>
        <w:t xml:space="preserve">· Baseline determinants of remission of type 2 diabetes in response to short-term insulin-based therapy: The pivotal role of beta-cell function. PMID 37380623</w:t>
      </w:r>
    </w:p>
    <w:p>
      <w:pPr>
        <w:numPr>
          <w:ilvl w:val="0"/>
          <w:numId w:val="1376"/>
        </w:numPr>
        <w:pStyle w:val="Compact"/>
      </w:pPr>
      <w:r>
        <w:t xml:space="preserve">2023 · Mitchell JL ·</w:t>
      </w:r>
      <w:r>
        <w:t xml:space="preserve"> </w:t>
      </w:r>
      <w:r>
        <w:rPr>
          <w:iCs/>
          <w:i/>
        </w:rPr>
        <w:t xml:space="preserve">Brain</w:t>
      </w:r>
      <w:r>
        <w:t xml:space="preserve"> </w:t>
      </w:r>
      <w:r>
        <w:t xml:space="preserve">· The effect of GLP-1RA exenatide on idiopathic intracranial hypertension: a randomized clinical trial. PMID 36907221</w:t>
      </w:r>
    </w:p>
    <w:p>
      <w:pPr>
        <w:numPr>
          <w:ilvl w:val="0"/>
          <w:numId w:val="1376"/>
        </w:numPr>
        <w:pStyle w:val="Compact"/>
      </w:pPr>
      <w:r>
        <w:t xml:space="preserve">2023 · Retnakaran R ·</w:t>
      </w:r>
      <w:r>
        <w:t xml:space="preserve"> </w:t>
      </w:r>
      <w:r>
        <w:rPr>
          <w:iCs/>
          <w:i/>
        </w:rPr>
        <w:t xml:space="preserve">Cardiovasc Diabetol</w:t>
      </w:r>
      <w:r>
        <w:t xml:space="preserve"> </w:t>
      </w:r>
      <w:r>
        <w:t xml:space="preserve">· The vascular function effects of adding exenatide or meal insulin to basal insulin therapy in early type 2 diabetes. PMID 36894921</w:t>
      </w:r>
    </w:p>
    <w:p>
      <w:pPr>
        <w:numPr>
          <w:ilvl w:val="0"/>
          <w:numId w:val="1376"/>
        </w:numPr>
        <w:pStyle w:val="Compact"/>
      </w:pPr>
      <w:r>
        <w:t xml:space="preserve">2023 · van der Aart-van der Beek AB ·</w:t>
      </w:r>
      <w:r>
        <w:t xml:space="preserve"> </w:t>
      </w:r>
      <w:r>
        <w:rPr>
          <w:iCs/>
          <w:i/>
        </w:rPr>
        <w:t xml:space="preserve">Diabetes Obes Metab</w:t>
      </w:r>
      <w:r>
        <w:t xml:space="preserve"> </w:t>
      </w:r>
      <w:r>
        <w:t xml:space="preserve">· Albuminuria-lowering effect of dapagliflozin, exenatide, and their combination in patients with type 2 diabetes: A randomized cross-over clinical study. PMID 36843215</w:t>
      </w:r>
    </w:p>
    <w:p>
      <w:pPr>
        <w:numPr>
          <w:ilvl w:val="0"/>
          <w:numId w:val="1376"/>
        </w:numPr>
        <w:pStyle w:val="Compact"/>
      </w:pPr>
      <w:r>
        <w:t xml:space="preserve">2023 · Green JB ·</w:t>
      </w:r>
      <w:r>
        <w:t xml:space="preserve"> </w:t>
      </w:r>
      <w:r>
        <w:rPr>
          <w:iCs/>
          <w:i/>
        </w:rPr>
        <w:t xml:space="preserve">Diabetes Obes Metab</w:t>
      </w:r>
      <w:r>
        <w:t xml:space="preserve"> </w:t>
      </w:r>
      <w:r>
        <w:t xml:space="preserve">· Sex differences in the complications, care and clinical outcomes of patients with type 2 diabetes in the Exenatide Study of Cardiovascular Event Lowering (EXSCEL). PMID 36700460</w:t>
      </w:r>
    </w:p>
    <w:p>
      <w:pPr>
        <w:numPr>
          <w:ilvl w:val="0"/>
          <w:numId w:val="1376"/>
        </w:numPr>
        <w:pStyle w:val="Compact"/>
      </w:pPr>
      <w:r>
        <w:t xml:space="preserve">2023 · Oulhaj A ·</w:t>
      </w:r>
      <w:r>
        <w:t xml:space="preserve"> </w:t>
      </w:r>
      <w:r>
        <w:rPr>
          <w:iCs/>
          <w:i/>
        </w:rPr>
        <w:t xml:space="preserve">Diabetes Obes Metab</w:t>
      </w:r>
      <w:r>
        <w:t xml:space="preserve"> </w:t>
      </w:r>
      <w:r>
        <w:t xml:space="preserve">· Joint longitudinal and time-to-event modelling compared with standard Cox modelling in patients with type 2 diabetes with and without established cardiovascular disease: An analysis of the EXSCEL trial. PMID 36635232</w:t>
      </w:r>
    </w:p>
    <w:p>
      <w:pPr>
        <w:numPr>
          <w:ilvl w:val="0"/>
          <w:numId w:val="1376"/>
        </w:numPr>
        <w:pStyle w:val="Compact"/>
      </w:pPr>
      <w:r>
        <w:t xml:space="preserve">2022 · Zhang J ·</w:t>
      </w:r>
      <w:r>
        <w:t xml:space="preserve"> </w:t>
      </w:r>
      <w:r>
        <w:rPr>
          <w:iCs/>
          <w:i/>
        </w:rPr>
        <w:t xml:space="preserve">Int J Clin Pract</w:t>
      </w:r>
      <w:r>
        <w:t xml:space="preserve"> </w:t>
      </w:r>
      <w:r>
        <w:t xml:space="preserve">· Efficacy of Exenatide Administered Twice Daily in Body Mass Index Reduction in Patients with Type 2 Diabetes Mellitus. PMID 37214201</w:t>
      </w:r>
    </w:p>
    <w:p>
      <w:pPr>
        <w:numPr>
          <w:ilvl w:val="0"/>
          <w:numId w:val="1376"/>
        </w:numPr>
        <w:pStyle w:val="Compact"/>
      </w:pPr>
      <w:r>
        <w:t xml:space="preserve">2022 · Retnakaran R ·</w:t>
      </w:r>
      <w:r>
        <w:t xml:space="preserve"> </w:t>
      </w:r>
      <w:r>
        <w:rPr>
          <w:iCs/>
          <w:i/>
        </w:rPr>
        <w:t xml:space="preserve">Nat Commun</w:t>
      </w:r>
      <w:r>
        <w:t xml:space="preserve"> </w:t>
      </w:r>
      <w:r>
        <w:t xml:space="preserve">· The metabolic effects of adding exenatide to basal insulin therapy when targeting remission in early type 2 diabetes in a randomized clinical trial. PMID 36244997</w:t>
      </w:r>
    </w:p>
    <w:p>
      <w:pPr>
        <w:numPr>
          <w:ilvl w:val="0"/>
          <w:numId w:val="1376"/>
        </w:numPr>
        <w:pStyle w:val="Compact"/>
      </w:pPr>
      <w:r>
        <w:t xml:space="preserve">2022 · Klausen MK ·</w:t>
      </w:r>
      <w:r>
        <w:t xml:space="preserve"> </w:t>
      </w:r>
      <w:r>
        <w:rPr>
          <w:iCs/>
          <w:i/>
        </w:rPr>
        <w:t xml:space="preserve">JCI Insight</w:t>
      </w:r>
      <w:r>
        <w:t xml:space="preserve"> </w:t>
      </w:r>
      <w:r>
        <w:t xml:space="preserve">· Exenatide once weekly for alcohol use disorder investigated in a randomized, placebo-controlled clinical trial. PMID 36066977</w:t>
      </w:r>
    </w:p>
    <w:p>
      <w:pPr>
        <w:numPr>
          <w:ilvl w:val="0"/>
          <w:numId w:val="1376"/>
        </w:numPr>
        <w:pStyle w:val="Compact"/>
      </w:pPr>
      <w:r>
        <w:t xml:space="preserve">2022 · Akyay OZ ·</w:t>
      </w:r>
      <w:r>
        <w:t xml:space="preserve"> </w:t>
      </w:r>
      <w:r>
        <w:rPr>
          <w:iCs/>
          <w:i/>
        </w:rPr>
        <w:t xml:space="preserve">Niger J Clin Pract</w:t>
      </w:r>
      <w:r>
        <w:t xml:space="preserve"> </w:t>
      </w:r>
      <w:r>
        <w:t xml:space="preserve">· Comparison of the effects of exenatide and insulin glargine on right and left ventricular myocardial deformation as shown by 2D-speckle-tracking echocardiograms. PMID 35859471</w:t>
      </w:r>
    </w:p>
    <w:p>
      <w:pPr>
        <w:numPr>
          <w:ilvl w:val="0"/>
          <w:numId w:val="1376"/>
        </w:numPr>
        <w:pStyle w:val="Compact"/>
      </w:pPr>
      <w:r>
        <w:t xml:space="preserve">2022 · Li R ·</w:t>
      </w:r>
      <w:r>
        <w:t xml:space="preserve"> </w:t>
      </w:r>
      <w:r>
        <w:rPr>
          <w:iCs/>
          <w:i/>
        </w:rPr>
        <w:t xml:space="preserve">Arch Gynecol Obstet</w:t>
      </w:r>
      <w:r>
        <w:t xml:space="preserve"> </w:t>
      </w:r>
      <w:r>
        <w:t xml:space="preserve">· Effect of metformin and exenatide on pregnancy rate and pregnancy outcomes in overweight or obese infertility PCOS women: long-term follow-up of an RCT. PMID 35829765</w:t>
      </w:r>
    </w:p>
    <w:p>
      <w:pPr>
        <w:numPr>
          <w:ilvl w:val="0"/>
          <w:numId w:val="1376"/>
        </w:numPr>
        <w:pStyle w:val="Compact"/>
      </w:pPr>
      <w:r>
        <w:t xml:space="preserve">2022 · Davis TME ·</w:t>
      </w:r>
      <w:r>
        <w:t xml:space="preserve"> </w:t>
      </w:r>
      <w:r>
        <w:rPr>
          <w:iCs/>
          <w:i/>
        </w:rPr>
        <w:t xml:space="preserve">Cardiovasc Diabetol</w:t>
      </w:r>
      <w:r>
        <w:t xml:space="preserve"> </w:t>
      </w:r>
      <w:r>
        <w:t xml:space="preserve">· Effect of race on cardiometabolic responses to once-weekly exenatide: insights from the Exenatide Study of Cardiovascular Event Lowering (EXSCEL). PMID 35761271</w:t>
      </w:r>
    </w:p>
    <w:p>
      <w:pPr>
        <w:numPr>
          <w:ilvl w:val="0"/>
          <w:numId w:val="1376"/>
        </w:numPr>
        <w:pStyle w:val="Compact"/>
      </w:pPr>
      <w:r>
        <w:t xml:space="preserve">2022 · Zhang J ·</w:t>
      </w:r>
      <w:r>
        <w:t xml:space="preserve"> </w:t>
      </w:r>
      <w:r>
        <w:rPr>
          <w:iCs/>
          <w:i/>
        </w:rPr>
        <w:t xml:space="preserve">J Investig Med</w:t>
      </w:r>
      <w:r>
        <w:t xml:space="preserve"> </w:t>
      </w:r>
      <w:r>
        <w:t xml:space="preserve">· Comparing the effects of twice-daily exenatide and insulin on renal function in patients with type 2 diabetes mellitus: secondary analysis of a randomized controlled trial. PMID 35725020</w:t>
      </w:r>
    </w:p>
    <w:p>
      <w:pPr>
        <w:numPr>
          <w:ilvl w:val="0"/>
          <w:numId w:val="1376"/>
        </w:numPr>
        <w:pStyle w:val="Compact"/>
      </w:pPr>
      <w:r>
        <w:t xml:space="preserve">2022 · Samms RJ ·</w:t>
      </w:r>
      <w:r>
        <w:t xml:space="preserve"> </w:t>
      </w:r>
      <w:r>
        <w:rPr>
          <w:iCs/>
          <w:i/>
        </w:rPr>
        <w:t xml:space="preserve">Am J Physiol Endocrinol Metab</w:t>
      </w:r>
      <w:r>
        <w:t xml:space="preserve"> </w:t>
      </w:r>
      <w:r>
        <w:t xml:space="preserve">· FGF21 contributes to metabolic improvements elicited by combination therapy with exenatide and pioglitazone in patients with type 2 diabetes. PMID 35723225</w:t>
      </w:r>
    </w:p>
    <w:p>
      <w:pPr>
        <w:numPr>
          <w:ilvl w:val="0"/>
          <w:numId w:val="1376"/>
        </w:numPr>
        <w:pStyle w:val="Compact"/>
      </w:pPr>
      <w:r>
        <w:t xml:space="preserve">2022 · Tamborlane WV ·</w:t>
      </w:r>
      <w:r>
        <w:t xml:space="preserve"> </w:t>
      </w:r>
      <w:r>
        <w:rPr>
          <w:iCs/>
          <w:i/>
        </w:rPr>
        <w:t xml:space="preserve">Diabetes Care</w:t>
      </w:r>
      <w:r>
        <w:t xml:space="preserve"> </w:t>
      </w:r>
      <w:r>
        <w:t xml:space="preserve">· Once-Weekly Exenatide in Youth With Type 2 Diabetes. PMID 35679098</w:t>
      </w:r>
    </w:p>
    <w:p>
      <w:pPr>
        <w:numPr>
          <w:ilvl w:val="0"/>
          <w:numId w:val="1376"/>
        </w:numPr>
        <w:pStyle w:val="Compact"/>
      </w:pPr>
      <w:r>
        <w:t xml:space="preserve">2022 · van Ruiten CC ·</w:t>
      </w:r>
      <w:r>
        <w:t xml:space="preserve"> </w:t>
      </w:r>
      <w:r>
        <w:rPr>
          <w:iCs/>
          <w:i/>
        </w:rPr>
        <w:t xml:space="preserve">Front Endocrinol (Lausanne)</w:t>
      </w:r>
      <w:r>
        <w:t xml:space="preserve"> </w:t>
      </w:r>
      <w:r>
        <w:t xml:space="preserve">· Brain Activation in Response to Low-Calorie Food Pictures: An Explorative Analysis of a Randomized Trial With Dapagliflozin and Exenatide. PMID 35600575</w:t>
      </w:r>
    </w:p>
    <w:p>
      <w:pPr>
        <w:numPr>
          <w:ilvl w:val="0"/>
          <w:numId w:val="1376"/>
        </w:numPr>
        <w:pStyle w:val="Compact"/>
      </w:pPr>
      <w:r>
        <w:t xml:space="preserve">2022 · Toftgaard Pedersen A ·</w:t>
      </w:r>
      <w:r>
        <w:t xml:space="preserve"> </w:t>
      </w:r>
      <w:r>
        <w:rPr>
          <w:iCs/>
          <w:i/>
        </w:rPr>
        <w:t xml:space="preserve">Scand Cardiovasc J</w:t>
      </w:r>
      <w:r>
        <w:t xml:space="preserve"> </w:t>
      </w:r>
      <w:r>
        <w:t xml:space="preserve">· Association between inflammatory markers and survival in comatose, resuscitated out-of-hospital cardiac arrest patients. PMID 35546563</w:t>
      </w:r>
    </w:p>
    <w:p>
      <w:pPr>
        <w:numPr>
          <w:ilvl w:val="0"/>
          <w:numId w:val="1376"/>
        </w:numPr>
        <w:pStyle w:val="Compact"/>
      </w:pPr>
      <w:r>
        <w:t xml:space="preserve">2022 · van Ruiten CC ·</w:t>
      </w:r>
      <w:r>
        <w:t xml:space="preserve"> </w:t>
      </w:r>
      <w:r>
        <w:rPr>
          <w:iCs/>
          <w:i/>
        </w:rPr>
        <w:t xml:space="preserve">Diabetes Obes Metab</w:t>
      </w:r>
      <w:r>
        <w:t xml:space="preserve"> </w:t>
      </w:r>
      <w:r>
        <w:t xml:space="preserve">· Combination therapy with exenatide decreases the dapagliflozin-induced changes in brain responses to anticipation and consumption of palatable food in patients with type 2 diabetes: A randomized controlled trial. PMID 35491524</w:t>
      </w:r>
    </w:p>
    <w:p>
      <w:pPr>
        <w:numPr>
          <w:ilvl w:val="0"/>
          <w:numId w:val="1376"/>
        </w:numPr>
        <w:pStyle w:val="Compact"/>
      </w:pPr>
      <w:r>
        <w:t xml:space="preserve">2022 · van Ruiten CC ·</w:t>
      </w:r>
      <w:r>
        <w:t xml:space="preserve"> </w:t>
      </w:r>
      <w:r>
        <w:rPr>
          <w:iCs/>
          <w:i/>
        </w:rPr>
        <w:t xml:space="preserve">Cardiovasc Diabetol</w:t>
      </w:r>
      <w:r>
        <w:t xml:space="preserve"> </w:t>
      </w:r>
      <w:r>
        <w:t xml:space="preserve">· Mechanisms underlying the blood pressure lowering effects of dapagliflozin, exenatide, and their combination in people with type 2 diabetes: a secondary analysis of a randomized trial. PMID 35484607</w:t>
      </w:r>
    </w:p>
    <w:p>
      <w:pPr>
        <w:numPr>
          <w:ilvl w:val="0"/>
          <w:numId w:val="1376"/>
        </w:numPr>
        <w:pStyle w:val="Compact"/>
      </w:pPr>
      <w:r>
        <w:t xml:space="preserve">2022 · Fox CK ·</w:t>
      </w:r>
      <w:r>
        <w:t xml:space="preserve"> </w:t>
      </w:r>
      <w:r>
        <w:rPr>
          <w:iCs/>
          <w:i/>
        </w:rPr>
        <w:t xml:space="preserve">Obesity (Silver Spring)</w:t>
      </w:r>
      <w:r>
        <w:t xml:space="preserve"> </w:t>
      </w:r>
      <w:r>
        <w:t xml:space="preserve">· Exenatide for weight-loss maintenance in adolescents with severe obesity: A randomized, placebo-controlled trial. PMID 35403350</w:t>
      </w:r>
    </w:p>
    <w:p>
      <w:pPr>
        <w:numPr>
          <w:ilvl w:val="0"/>
          <w:numId w:val="1376"/>
        </w:numPr>
        <w:pStyle w:val="Compact"/>
      </w:pPr>
      <w:r>
        <w:t xml:space="preserve">2022 · López-Cano C ·</w:t>
      </w:r>
      <w:r>
        <w:t xml:space="preserve"> </w:t>
      </w:r>
      <w:r>
        <w:rPr>
          <w:iCs/>
          <w:i/>
        </w:rPr>
        <w:t xml:space="preserve">Sci Rep</w:t>
      </w:r>
      <w:r>
        <w:t xml:space="preserve"> </w:t>
      </w:r>
      <w:r>
        <w:t xml:space="preserve">· Dapagliflozin plus exenatide on patients with type 2 diabetes awaiting bariatric surgery in the DEXBASU study. PMID 35217772</w:t>
      </w:r>
    </w:p>
    <w:p>
      <w:pPr>
        <w:numPr>
          <w:ilvl w:val="0"/>
          <w:numId w:val="1376"/>
        </w:numPr>
        <w:pStyle w:val="Compact"/>
      </w:pPr>
      <w:r>
        <w:t xml:space="preserve">2022 · van Ruiten CC ·</w:t>
      </w:r>
      <w:r>
        <w:t xml:space="preserve"> </w:t>
      </w:r>
      <w:r>
        <w:rPr>
          <w:iCs/>
          <w:i/>
        </w:rPr>
        <w:t xml:space="preserve">J Clin Endocrinol Metab</w:t>
      </w:r>
      <w:r>
        <w:t xml:space="preserve"> </w:t>
      </w:r>
      <w:r>
        <w:t xml:space="preserve">· Effects of Dapagliflozin and Combination Therapy With Exenatide on Food-Cue Induced Brain Activation in Patients With Type 2 Diabetes. PMID 35134184</w:t>
      </w:r>
    </w:p>
    <w:p>
      <w:pPr>
        <w:numPr>
          <w:ilvl w:val="0"/>
          <w:numId w:val="1376"/>
        </w:numPr>
        <w:pStyle w:val="Compact"/>
      </w:pPr>
      <w:r>
        <w:t xml:space="preserve">2022 · Shoemaker AH ·</w:t>
      </w:r>
      <w:r>
        <w:t xml:space="preserve"> </w:t>
      </w:r>
      <w:r>
        <w:rPr>
          <w:iCs/>
          <w:i/>
        </w:rPr>
        <w:t xml:space="preserve">Int J Obes (Lond)</w:t>
      </w:r>
      <w:r>
        <w:t xml:space="preserve"> </w:t>
      </w:r>
      <w:r>
        <w:t xml:space="preserve">· Energy balance in hypothalamic obesity in response to treatment with a once-weekly GLP-1 receptor agonist. PMID 34975146</w:t>
      </w:r>
    </w:p>
    <w:p>
      <w:pPr>
        <w:numPr>
          <w:ilvl w:val="0"/>
          <w:numId w:val="1376"/>
        </w:numPr>
        <w:pStyle w:val="Compact"/>
      </w:pPr>
      <w:r>
        <w:t xml:space="preserve">2022 · Ruff CT ·</w:t>
      </w:r>
      <w:r>
        <w:t xml:space="preserve"> </w:t>
      </w:r>
      <w:r>
        <w:rPr>
          <w:iCs/>
          <w:i/>
        </w:rPr>
        <w:t xml:space="preserve">Nat Med</w:t>
      </w:r>
      <w:r>
        <w:t xml:space="preserve"> </w:t>
      </w:r>
      <w:r>
        <w:t xml:space="preserve">· Subcutaneous infusion of exenatide and cardiovascular outcomes in type 2 diabetes: a non-inferiority randomized controlled trial. PMID 34873344</w:t>
      </w:r>
    </w:p>
    <w:p>
      <w:pPr>
        <w:numPr>
          <w:ilvl w:val="0"/>
          <w:numId w:val="1376"/>
        </w:numPr>
        <w:pStyle w:val="Compact"/>
      </w:pPr>
      <w:r>
        <w:t xml:space="preserve">2022 · Johansen NJ ·</w:t>
      </w:r>
      <w:r>
        <w:t xml:space="preserve"> </w:t>
      </w:r>
      <w:r>
        <w:rPr>
          <w:iCs/>
          <w:i/>
        </w:rPr>
        <w:t xml:space="preserve">Diabetes Obes Metab</w:t>
      </w:r>
      <w:r>
        <w:t xml:space="preserve"> </w:t>
      </w:r>
      <w:r>
        <w:t xml:space="preserve">· Effects of short-acting exenatide added three times daily to insulin therapy on bone metabolism in type 1 diabetes. PMID 34617375</w:t>
      </w:r>
    </w:p>
    <w:p>
      <w:pPr>
        <w:numPr>
          <w:ilvl w:val="0"/>
          <w:numId w:val="1376"/>
        </w:numPr>
        <w:pStyle w:val="Compact"/>
      </w:pPr>
      <w:r>
        <w:t xml:space="preserve">2021 · Rodgers M ·</w:t>
      </w:r>
      <w:r>
        <w:t xml:space="preserve"> </w:t>
      </w:r>
      <w:r>
        <w:rPr>
          <w:iCs/>
          <w:i/>
        </w:rPr>
        <w:t xml:space="preserve">Front Endocrinol (Lausanne)</w:t>
      </w:r>
      <w:r>
        <w:t xml:space="preserve"> </w:t>
      </w:r>
      <w:r>
        <w:t xml:space="preserve">· Weight Loss Outcomes Among Early High Responders to Exenatide Treatment: A Randomized, Placebo Controlled Study in Overweight and Obese Women. PMID 34867786</w:t>
      </w:r>
    </w:p>
    <w:p>
      <w:pPr>
        <w:numPr>
          <w:ilvl w:val="0"/>
          <w:numId w:val="1376"/>
        </w:numPr>
        <w:pStyle w:val="Compact"/>
      </w:pPr>
      <w:r>
        <w:t xml:space="preserve">2021 · Ma RL ·</w:t>
      </w:r>
      <w:r>
        <w:t xml:space="preserve"> </w:t>
      </w:r>
      <w:r>
        <w:rPr>
          <w:iCs/>
          <w:i/>
        </w:rPr>
        <w:t xml:space="preserve">Chin Med J (Engl)</w:t>
      </w:r>
      <w:r>
        <w:t xml:space="preserve"> </w:t>
      </w:r>
      <w:r>
        <w:t xml:space="preserve">· Short-term combined treatment with exenatide and metformin for overweight/obese women with polycystic ovary syndrome. PMID 34732660</w:t>
      </w:r>
    </w:p>
    <w:p>
      <w:pPr>
        <w:numPr>
          <w:ilvl w:val="0"/>
          <w:numId w:val="1376"/>
        </w:numPr>
        <w:pStyle w:val="Compact"/>
      </w:pPr>
      <w:r>
        <w:t xml:space="preserve">2021 · Kang C ·</w:t>
      </w:r>
      <w:r>
        <w:t xml:space="preserve"> </w:t>
      </w:r>
      <w:r>
        <w:rPr>
          <w:iCs/>
          <w:i/>
        </w:rPr>
        <w:t xml:space="preserve">Sci Rep</w:t>
      </w:r>
      <w:r>
        <w:t xml:space="preserve"> </w:t>
      </w:r>
      <w:r>
        <w:t xml:space="preserve">· Effects of exenatide on urinary albumin in overweight/obese patients with T2DM: a randomized clinical trial. PMID 34625598</w:t>
      </w:r>
    </w:p>
    <w:p>
      <w:pPr>
        <w:numPr>
          <w:ilvl w:val="0"/>
          <w:numId w:val="1376"/>
        </w:numPr>
        <w:pStyle w:val="Compact"/>
      </w:pPr>
      <w:r>
        <w:t xml:space="preserve">2021 · Cai TT ·</w:t>
      </w:r>
      <w:r>
        <w:t xml:space="preserve"> </w:t>
      </w:r>
      <w:r>
        <w:rPr>
          <w:iCs/>
          <w:i/>
        </w:rPr>
        <w:t xml:space="preserve">Biomed Res Int</w:t>
      </w:r>
      <w:r>
        <w:t xml:space="preserve"> </w:t>
      </w:r>
      <w:r>
        <w:t xml:space="preserve">· Effects of GLP-1 Receptor Agonists on Bone Mineral Density in Patients with Type 2 Diabetes Mellitus: A 52-Week Clinical Study. PMID 34580638</w:t>
      </w:r>
    </w:p>
    <w:p>
      <w:pPr>
        <w:numPr>
          <w:ilvl w:val="0"/>
          <w:numId w:val="1376"/>
        </w:numPr>
        <w:pStyle w:val="Compact"/>
      </w:pPr>
      <w:r>
        <w:t xml:space="preserve">2021 · Abdelgani S ·</w:t>
      </w:r>
      <w:r>
        <w:t xml:space="preserve"> </w:t>
      </w:r>
      <w:r>
        <w:rPr>
          <w:iCs/>
          <w:i/>
        </w:rPr>
        <w:t xml:space="preserve">J Clin Endocrinol Metab</w:t>
      </w:r>
      <w:r>
        <w:t xml:space="preserve"> </w:t>
      </w:r>
      <w:r>
        <w:t xml:space="preserve">· Insulin Secretion Predicts the Response to Antidiabetic Therapy in Patients With New-onset Diabetes. PMID 34343296</w:t>
      </w:r>
    </w:p>
    <w:p>
      <w:pPr>
        <w:numPr>
          <w:ilvl w:val="0"/>
          <w:numId w:val="1376"/>
        </w:numPr>
        <w:pStyle w:val="Compact"/>
      </w:pPr>
      <w:r>
        <w:t xml:space="preserve">2021 · Ekinci EI ·</w:t>
      </w:r>
      <w:r>
        <w:t xml:space="preserve"> </w:t>
      </w:r>
      <w:r>
        <w:rPr>
          <w:iCs/>
          <w:i/>
        </w:rPr>
        <w:t xml:space="preserve">Intern Med J</w:t>
      </w:r>
      <w:r>
        <w:t xml:space="preserve"> </w:t>
      </w:r>
      <w:r>
        <w:t xml:space="preserve">· Feasibility of once weekly exenatide-LAR and enhanced diabetes care in Indigenous Australians with type 2 diabetes (Long-acting-Once-Weekly-Exenatide laR-SUGAR,</w:t>
      </w:r>
      <w:r>
        <w:t xml:space="preserve"> </w:t>
      </w:r>
      <w:r>
        <w:t xml:space="preserve">‘</w:t>
      </w:r>
      <w:r>
        <w:t xml:space="preserve">Lower SUGAR</w:t>
      </w:r>
      <w:r>
        <w:t xml:space="preserve">’</w:t>
      </w:r>
      <w:r>
        <w:t xml:space="preserve"> </w:t>
      </w:r>
      <w:r>
        <w:t xml:space="preserve">study). PMID 34142743</w:t>
      </w:r>
    </w:p>
    <w:p>
      <w:pPr>
        <w:numPr>
          <w:ilvl w:val="0"/>
          <w:numId w:val="1376"/>
        </w:numPr>
        <w:pStyle w:val="Compact"/>
      </w:pPr>
      <w:r>
        <w:t xml:space="preserve">2021 · Elkind-Hirsch KE ·</w:t>
      </w:r>
      <w:r>
        <w:t xml:space="preserve"> </w:t>
      </w:r>
      <w:r>
        <w:rPr>
          <w:iCs/>
          <w:i/>
        </w:rPr>
        <w:t xml:space="preserve">J Clin Endocrinol Metab</w:t>
      </w:r>
      <w:r>
        <w:t xml:space="preserve"> </w:t>
      </w:r>
      <w:r>
        <w:t xml:space="preserve">· Exenatide, Dapagliflozin, or Phentermine/Topiramate Differentially Affect Metabolic Profiles in Polycystic Ovary Syndrome. PMID 34097062</w:t>
      </w:r>
    </w:p>
    <w:p>
      <w:pPr>
        <w:numPr>
          <w:ilvl w:val="0"/>
          <w:numId w:val="1376"/>
        </w:numPr>
        <w:pStyle w:val="Compact"/>
      </w:pPr>
      <w:r>
        <w:t xml:space="preserve">2021 · Ponirakis G ·</w:t>
      </w:r>
      <w:r>
        <w:t xml:space="preserve"> </w:t>
      </w:r>
      <w:r>
        <w:rPr>
          <w:iCs/>
          <w:i/>
        </w:rPr>
        <w:t xml:space="preserve">J Diabetes Investig</w:t>
      </w:r>
      <w:r>
        <w:t xml:space="preserve"> </w:t>
      </w:r>
      <w:r>
        <w:t xml:space="preserve">· Insulin resistance limits corneal nerve regeneration in patients with type 2 diabetes undergoing intensive glycemic control. PMID 34002953</w:t>
      </w:r>
    </w:p>
    <w:p>
      <w:pPr>
        <w:numPr>
          <w:ilvl w:val="0"/>
          <w:numId w:val="1376"/>
        </w:numPr>
        <w:pStyle w:val="Compact"/>
      </w:pPr>
      <w:r>
        <w:t xml:space="preserve">2021 · van Ruiten CC ·</w:t>
      </w:r>
      <w:r>
        <w:t xml:space="preserve"> </w:t>
      </w:r>
      <w:r>
        <w:rPr>
          <w:iCs/>
          <w:i/>
        </w:rPr>
        <w:t xml:space="preserve">Diabetes Obes Metab</w:t>
      </w:r>
      <w:r>
        <w:t xml:space="preserve"> </w:t>
      </w:r>
      <w:r>
        <w:t xml:space="preserve">· Effect of exenatide twice daily and dapagliflozin, alone and in combination, on markers of kidney function in obese patients with type 2 diabetes: A prespecified secondary analysis of a randomized controlled clinical trial. PMID 33908691</w:t>
      </w:r>
    </w:p>
    <w:p>
      <w:pPr>
        <w:numPr>
          <w:ilvl w:val="0"/>
          <w:numId w:val="1376"/>
        </w:numPr>
        <w:pStyle w:val="Compact"/>
      </w:pPr>
      <w:r>
        <w:t xml:space="preserve">2021 · Barbery CE ·</w:t>
      </w:r>
      <w:r>
        <w:t xml:space="preserve"> </w:t>
      </w:r>
      <w:r>
        <w:rPr>
          <w:iCs/>
          <w:i/>
        </w:rPr>
        <w:t xml:space="preserve">Am Heart J</w:t>
      </w:r>
      <w:r>
        <w:t xml:space="preserve"> </w:t>
      </w:r>
      <w:r>
        <w:t xml:space="preserve">· Effect of once-weekly exenatide on hospitalization for acute coronary syndrome or coronary revascularization in patients with type 2 diabetes mellitus. PMID 33905751</w:t>
      </w:r>
    </w:p>
    <w:p>
      <w:pPr>
        <w:numPr>
          <w:ilvl w:val="0"/>
          <w:numId w:val="1376"/>
        </w:numPr>
        <w:pStyle w:val="Compact"/>
      </w:pPr>
      <w:r>
        <w:t xml:space="preserve">2021 · Abdelgani S ·</w:t>
      </w:r>
      <w:r>
        <w:t xml:space="preserve"> </w:t>
      </w:r>
      <w:r>
        <w:rPr>
          <w:iCs/>
          <w:i/>
        </w:rPr>
        <w:t xml:space="preserve">Diabetes Obes Metab</w:t>
      </w:r>
      <w:r>
        <w:t xml:space="preserve"> </w:t>
      </w:r>
      <w:r>
        <w:t xml:space="preserve">· Insulin secretion is a strong predictor for need of insulin therapy in patients with new-onset diabetes and HbA1c of more than 10%: A post hoc analysis of the EDICT study. PMID 33852204</w:t>
      </w:r>
    </w:p>
    <w:p>
      <w:pPr>
        <w:numPr>
          <w:ilvl w:val="0"/>
          <w:numId w:val="1376"/>
        </w:numPr>
        <w:pStyle w:val="Compact"/>
      </w:pPr>
      <w:r>
        <w:t xml:space="preserve">2021 · Chen X ·</w:t>
      </w:r>
      <w:r>
        <w:t xml:space="preserve"> </w:t>
      </w:r>
      <w:r>
        <w:rPr>
          <w:iCs/>
          <w:i/>
        </w:rPr>
        <w:t xml:space="preserve">Endocr Pract</w:t>
      </w:r>
      <w:r>
        <w:t xml:space="preserve"> </w:t>
      </w:r>
      <w:r>
        <w:t xml:space="preserve">· Exenatide Twice Daily Plus Glargine Versus Aspart 70/30 Twice Daily in Patients With Type 2 Diabetes With Inadequate Glycemic Control on Premixed Human Insulin and Metformin. PMID 33831552</w:t>
      </w:r>
    </w:p>
    <w:p>
      <w:pPr>
        <w:numPr>
          <w:ilvl w:val="0"/>
          <w:numId w:val="1376"/>
        </w:numPr>
        <w:pStyle w:val="Compact"/>
      </w:pPr>
      <w:r>
        <w:t xml:space="preserve">2021 · Yammine L ·</w:t>
      </w:r>
      <w:r>
        <w:t xml:space="preserve"> </w:t>
      </w:r>
      <w:r>
        <w:rPr>
          <w:iCs/>
          <w:i/>
        </w:rPr>
        <w:t xml:space="preserve">Nicotine Tob Res</w:t>
      </w:r>
      <w:r>
        <w:t xml:space="preserve"> </w:t>
      </w:r>
      <w:r>
        <w:t xml:space="preserve">· Exenatide Adjunct to Nicotine Patch Facilitates Smoking Cessation and May Reduce Post-Cessation Weight Gain: A Pilot Randomized Controlled Trial. PMID 33831213</w:t>
      </w:r>
    </w:p>
    <w:p>
      <w:pPr>
        <w:numPr>
          <w:ilvl w:val="0"/>
          <w:numId w:val="1376"/>
        </w:numPr>
        <w:pStyle w:val="Compact"/>
      </w:pPr>
      <w:r>
        <w:t xml:space="preserve">2021 · Ponirakis G ·</w:t>
      </w:r>
      <w:r>
        <w:t xml:space="preserve"> </w:t>
      </w:r>
      <w:r>
        <w:rPr>
          <w:iCs/>
          <w:i/>
        </w:rPr>
        <w:t xml:space="preserve">J Diabetes Investig</w:t>
      </w:r>
      <w:r>
        <w:t xml:space="preserve"> </w:t>
      </w:r>
      <w:r>
        <w:t xml:space="preserve">· Painful diabetic neuropathy is associated with increased nerve regeneration in patients with type 2 diabetes undergoing intensive glycemic control. PMID 33714226</w:t>
      </w:r>
    </w:p>
    <w:p>
      <w:pPr>
        <w:numPr>
          <w:ilvl w:val="0"/>
          <w:numId w:val="1376"/>
        </w:numPr>
        <w:pStyle w:val="Compact"/>
      </w:pPr>
      <w:r>
        <w:t xml:space="preserve">2021 · Ji L ·</w:t>
      </w:r>
      <w:r>
        <w:t xml:space="preserve"> </w:t>
      </w:r>
      <w:r>
        <w:rPr>
          <w:iCs/>
          <w:i/>
        </w:rPr>
        <w:t xml:space="preserve">Diabetologia</w:t>
      </w:r>
      <w:r>
        <w:t xml:space="preserve"> </w:t>
      </w:r>
      <w:r>
        <w:t xml:space="preserve">· Efficacy and safety of PEGylated exenatide injection (PB-119) in treatment-naive type 2 diabetes mellitus patients: a Phase II randomised, double-blind, parallel, placebo-controlled study. PMID 33687487</w:t>
      </w:r>
    </w:p>
    <w:p>
      <w:pPr>
        <w:numPr>
          <w:ilvl w:val="0"/>
          <w:numId w:val="1376"/>
        </w:numPr>
        <w:pStyle w:val="Compact"/>
      </w:pPr>
      <w:r>
        <w:t xml:space="preserve">2021 · Perez FA ·</w:t>
      </w:r>
      <w:r>
        <w:t xml:space="preserve"> </w:t>
      </w:r>
      <w:r>
        <w:rPr>
          <w:iCs/>
          <w:i/>
        </w:rPr>
        <w:t xml:space="preserve">Diabetes Obes Metab</w:t>
      </w:r>
      <w:r>
        <w:t xml:space="preserve"> </w:t>
      </w:r>
      <w:r>
        <w:t xml:space="preserve">· MRI measures of hypothalamic injury are associated with glucagon-like peptide-1 receptor agonist treatment response in people with hypothalamic obesity. PMID 33651438</w:t>
      </w:r>
    </w:p>
    <w:p>
      <w:pPr>
        <w:numPr>
          <w:ilvl w:val="0"/>
          <w:numId w:val="1376"/>
        </w:numPr>
        <w:pStyle w:val="Compact"/>
      </w:pPr>
      <w:r>
        <w:t xml:space="preserve">2021 · Angarita GA ·</w:t>
      </w:r>
      <w:r>
        <w:t xml:space="preserve"> </w:t>
      </w:r>
      <w:r>
        <w:rPr>
          <w:iCs/>
          <w:i/>
        </w:rPr>
        <w:t xml:space="preserve">Drug Alcohol Depend</w:t>
      </w:r>
      <w:r>
        <w:t xml:space="preserve"> </w:t>
      </w:r>
      <w:r>
        <w:t xml:space="preserve">· Testing the effects of the GLP-1 receptor agonist exenatide on cocaine self-administration and subjective responses in humans with cocaine use disorder. PMID 33621809</w:t>
      </w:r>
    </w:p>
    <w:p>
      <w:pPr>
        <w:numPr>
          <w:ilvl w:val="0"/>
          <w:numId w:val="1376"/>
        </w:numPr>
        <w:pStyle w:val="Compact"/>
      </w:pPr>
      <w:r>
        <w:t xml:space="preserve">2021 · Cui H ·</w:t>
      </w:r>
      <w:r>
        <w:t xml:space="preserve"> </w:t>
      </w:r>
      <w:r>
        <w:rPr>
          <w:iCs/>
          <w:i/>
        </w:rPr>
        <w:t xml:space="preserve">Eur J Drug Metab Pharmacokinet</w:t>
      </w:r>
      <w:r>
        <w:t xml:space="preserve"> </w:t>
      </w:r>
      <w:r>
        <w:t xml:space="preserve">· Safety, Pharmacokinetics and Pharmacodynamics of Multiple Escalating Doses of PEGylated Exenatide (PB-119) in Healthy Volunteers. PMID 33576936</w:t>
      </w:r>
    </w:p>
    <w:p>
      <w:pPr>
        <w:numPr>
          <w:ilvl w:val="0"/>
          <w:numId w:val="1376"/>
        </w:numPr>
        <w:pStyle w:val="Compact"/>
      </w:pPr>
      <w:r>
        <w:t xml:space="preserve">2021 · García Del Blanco B ·</w:t>
      </w:r>
      <w:r>
        <w:t xml:space="preserve"> </w:t>
      </w:r>
      <w:r>
        <w:rPr>
          <w:iCs/>
          <w:i/>
        </w:rPr>
        <w:t xml:space="preserve">Basic Res Cardiol</w:t>
      </w:r>
      <w:r>
        <w:t xml:space="preserve"> </w:t>
      </w:r>
      <w:r>
        <w:t xml:space="preserve">· Effect of COMBinAtion therapy with remote ischemic conditioning and exenatide on the Myocardial Infarct size: a two-by-two factorial randomized trial (COMBAT-MI). PMID 33495853</w:t>
      </w:r>
    </w:p>
    <w:p>
      <w:pPr>
        <w:numPr>
          <w:ilvl w:val="0"/>
          <w:numId w:val="1376"/>
        </w:numPr>
        <w:pStyle w:val="Compact"/>
      </w:pPr>
      <w:r>
        <w:t xml:space="preserve">2021 · Koska J ·</w:t>
      </w:r>
      <w:r>
        <w:t xml:space="preserve"> </w:t>
      </w:r>
      <w:r>
        <w:rPr>
          <w:iCs/>
          <w:i/>
        </w:rPr>
        <w:t xml:space="preserve">Diabetes Care</w:t>
      </w:r>
      <w:r>
        <w:t xml:space="preserve"> </w:t>
      </w:r>
      <w:r>
        <w:t xml:space="preserve">· The Effect of Exenatide Once Weekly on Carotid Atherosclerosis in Individuals With Type 2 Diabetes: An 18-Month Randomized Placebo-Controlled Study. PMID 33495294</w:t>
      </w:r>
    </w:p>
    <w:p>
      <w:pPr>
        <w:numPr>
          <w:ilvl w:val="0"/>
          <w:numId w:val="1376"/>
        </w:numPr>
        <w:pStyle w:val="Compact"/>
      </w:pPr>
      <w:r>
        <w:t xml:space="preserve">2021 · Harreiter J ·</w:t>
      </w:r>
      <w:r>
        <w:t xml:space="preserve"> </w:t>
      </w:r>
      <w:r>
        <w:rPr>
          <w:iCs/>
          <w:i/>
        </w:rPr>
        <w:t xml:space="preserve">Diabetes Obes Metab</w:t>
      </w:r>
      <w:r>
        <w:t xml:space="preserve"> </w:t>
      </w:r>
      <w:r>
        <w:t xml:space="preserve">· Combined exenatide and dapagliflozin has no additive effects on reduction of hepatocellular lipids despite better glycaemic control in patients with type 2 diabetes mellitus treated with metformin: EXENDA, a 24-week, prospective, randomized, placebo-controlled pilot trial. PMID 33464703</w:t>
      </w:r>
    </w:p>
    <w:p>
      <w:pPr>
        <w:numPr>
          <w:ilvl w:val="0"/>
          <w:numId w:val="1376"/>
        </w:numPr>
        <w:pStyle w:val="Compact"/>
      </w:pPr>
      <w:r>
        <w:t xml:space="preserve">2021 · Yang K ·</w:t>
      </w:r>
      <w:r>
        <w:t xml:space="preserve"> </w:t>
      </w:r>
      <w:r>
        <w:rPr>
          <w:iCs/>
          <w:i/>
        </w:rPr>
        <w:t xml:space="preserve">Acta Diabetol</w:t>
      </w:r>
      <w:r>
        <w:t xml:space="preserve"> </w:t>
      </w:r>
      <w:r>
        <w:t xml:space="preserve">· High baseline FGF21 levels are associated with poor glucose-lowering efficacy of exenatide in patients with type 2 diabetes. PMID 33452595</w:t>
      </w:r>
    </w:p>
    <w:p>
      <w:pPr>
        <w:numPr>
          <w:ilvl w:val="0"/>
          <w:numId w:val="1376"/>
        </w:numPr>
        <w:pStyle w:val="Compact"/>
      </w:pPr>
      <w:r>
        <w:t xml:space="preserve">2021 · Abdul-Ghani M ·</w:t>
      </w:r>
      <w:r>
        <w:t xml:space="preserve"> </w:t>
      </w:r>
      <w:r>
        <w:rPr>
          <w:iCs/>
          <w:i/>
        </w:rPr>
        <w:t xml:space="preserve">Diabetes Care</w:t>
      </w:r>
      <w:r>
        <w:t xml:space="preserve"> </w:t>
      </w:r>
      <w:r>
        <w:t xml:space="preserve">· Durability of Triple Combination Therapy Versus Stepwise Addition Therapy in Patients With New-Onset T2DM: 3-Year Follow-up of EDICT. PMID 33273042</w:t>
      </w:r>
    </w:p>
    <w:p>
      <w:pPr>
        <w:numPr>
          <w:ilvl w:val="0"/>
          <w:numId w:val="1376"/>
        </w:numPr>
        <w:pStyle w:val="Compact"/>
      </w:pPr>
      <w:r>
        <w:t xml:space="preserve">2021 · Östlund Papadogeorgos N ·</w:t>
      </w:r>
      <w:r>
        <w:t xml:space="preserve"> </w:t>
      </w:r>
      <w:r>
        <w:rPr>
          <w:iCs/>
          <w:i/>
        </w:rPr>
        <w:t xml:space="preserve">Microcirculation</w:t>
      </w:r>
      <w:r>
        <w:t xml:space="preserve"> </w:t>
      </w:r>
      <w:r>
        <w:t xml:space="preserve">· Effects of exenatide on microvascular reactivity in patients with type 2 diabetes and coronary artery disease: A randomized controlled study. PMID 33151597</w:t>
      </w:r>
    </w:p>
    <w:p>
      <w:pPr>
        <w:numPr>
          <w:ilvl w:val="0"/>
          <w:numId w:val="1376"/>
        </w:numPr>
        <w:pStyle w:val="Compact"/>
      </w:pPr>
      <w:r>
        <w:t xml:space="preserve">2021 · Joubert M ·</w:t>
      </w:r>
      <w:r>
        <w:t xml:space="preserve"> </w:t>
      </w:r>
      <w:r>
        <w:rPr>
          <w:iCs/>
          <w:i/>
        </w:rPr>
        <w:t xml:space="preserve">Diabetes Obes Metab</w:t>
      </w:r>
      <w:r>
        <w:t xml:space="preserve"> </w:t>
      </w:r>
      <w:r>
        <w:t xml:space="preserve">· Efficacy and safety of exenatide as add-on therapy for patients with type 2 diabetes with an intensive insulin regimen: A randomized double-blind trial. PMID 33043591</w:t>
      </w:r>
    </w:p>
    <w:p>
      <w:pPr>
        <w:numPr>
          <w:ilvl w:val="0"/>
          <w:numId w:val="1376"/>
        </w:numPr>
        <w:pStyle w:val="Compact"/>
      </w:pPr>
      <w:r>
        <w:t xml:space="preserve">2021 · Roth CL ·</w:t>
      </w:r>
      <w:r>
        <w:t xml:space="preserve"> </w:t>
      </w:r>
      <w:r>
        <w:rPr>
          <w:iCs/>
          <w:i/>
        </w:rPr>
        <w:t xml:space="preserve">Diabetes Obes Metab</w:t>
      </w:r>
      <w:r>
        <w:t xml:space="preserve"> </w:t>
      </w:r>
      <w:r>
        <w:t xml:space="preserve">· A phase 3 randomized clinical trial using a once-weekly glucagon-like peptide-1 receptor agonist in adolescents and young adults with hypothalamic obesity. PMID 33026160</w:t>
      </w:r>
    </w:p>
    <w:p>
      <w:pPr>
        <w:numPr>
          <w:ilvl w:val="0"/>
          <w:numId w:val="1376"/>
        </w:numPr>
        <w:pStyle w:val="Compact"/>
      </w:pPr>
      <w:r>
        <w:t xml:space="preserve">2021 · Tao T ·</w:t>
      </w:r>
      <w:r>
        <w:t xml:space="preserve"> </w:t>
      </w:r>
      <w:r>
        <w:rPr>
          <w:iCs/>
          <w:i/>
        </w:rPr>
        <w:t xml:space="preserve">J Clin Endocrinol Metab</w:t>
      </w:r>
      <w:r>
        <w:t xml:space="preserve"> </w:t>
      </w:r>
      <w:r>
        <w:t xml:space="preserve">· Exenatide, Metformin, or Both for Prediabetes in PCOS: A Randomized, Open-label, Parallel-group Controlled Study. PMID 32995892</w:t>
      </w:r>
    </w:p>
    <w:p>
      <w:pPr>
        <w:numPr>
          <w:ilvl w:val="0"/>
          <w:numId w:val="1376"/>
        </w:numPr>
        <w:pStyle w:val="Compact"/>
      </w:pPr>
      <w:r>
        <w:t xml:space="preserve">2020 · Wysham CH ·</w:t>
      </w:r>
      <w:r>
        <w:t xml:space="preserve"> </w:t>
      </w:r>
      <w:r>
        <w:rPr>
          <w:iCs/>
          <w:i/>
        </w:rPr>
        <w:t xml:space="preserve">BMJ Open Diabetes Res Care</w:t>
      </w:r>
      <w:r>
        <w:t xml:space="preserve"> </w:t>
      </w:r>
      <w:r>
        <w:t xml:space="preserve">· Further improvement in glycemic control after switching from exenatide two times per day to exenatide once-weekly autoinjected suspension in patients with type 2 diabetes: 52-week results from the DURATION-NEO-1 study. PMID 33037036</w:t>
      </w:r>
    </w:p>
    <w:p>
      <w:pPr>
        <w:numPr>
          <w:ilvl w:val="0"/>
          <w:numId w:val="1376"/>
        </w:numPr>
        <w:pStyle w:val="Compact"/>
      </w:pPr>
      <w:r>
        <w:t xml:space="preserve">2020 · Wang X ·</w:t>
      </w:r>
      <w:r>
        <w:t xml:space="preserve"> </w:t>
      </w:r>
      <w:r>
        <w:rPr>
          <w:iCs/>
          <w:i/>
        </w:rPr>
        <w:t xml:space="preserve">Am J Nephrol</w:t>
      </w:r>
      <w:r>
        <w:t xml:space="preserve"> </w:t>
      </w:r>
      <w:r>
        <w:t xml:space="preserve">· Exenatide and Renal Outcomes in Patients with Type 2 Diabetes and Diabetic Kidney Disease. PMID 32966971</w:t>
      </w:r>
    </w:p>
    <w:p>
      <w:pPr>
        <w:numPr>
          <w:ilvl w:val="0"/>
          <w:numId w:val="1376"/>
        </w:numPr>
        <w:pStyle w:val="Compact"/>
      </w:pPr>
      <w:r>
        <w:t xml:space="preserve">2020 · Jabbour SA ·</w:t>
      </w:r>
      <w:r>
        <w:t xml:space="preserve"> </w:t>
      </w:r>
      <w:r>
        <w:rPr>
          <w:iCs/>
          <w:i/>
        </w:rPr>
        <w:t xml:space="preserve">Diabetes Care</w:t>
      </w:r>
      <w:r>
        <w:t xml:space="preserve"> </w:t>
      </w:r>
      <w:r>
        <w:t xml:space="preserve">· Efficacy and Safety Over 2 Years of Exenatide Plus Dapagliflozin in the DURATION-8 Study: A Multicenter, Double-Blind, Phase 3, Randomized Controlled Trial. PMID 32816874</w:t>
      </w:r>
    </w:p>
    <w:p>
      <w:pPr>
        <w:numPr>
          <w:ilvl w:val="0"/>
          <w:numId w:val="1376"/>
        </w:numPr>
        <w:pStyle w:val="Compact"/>
      </w:pPr>
      <w:r>
        <w:t xml:space="preserve">2020 · Abdul-Ghani M ·</w:t>
      </w:r>
      <w:r>
        <w:t xml:space="preserve"> </w:t>
      </w:r>
      <w:r>
        <w:rPr>
          <w:iCs/>
          <w:i/>
        </w:rPr>
        <w:t xml:space="preserve">Diabetes Obes Metab</w:t>
      </w:r>
      <w:r>
        <w:t xml:space="preserve"> </w:t>
      </w:r>
      <w:r>
        <w:t xml:space="preserve">· Combination therapy with pioglitazone/exenatide improves beta-cell function and produces superior glycaemic control compared with basal/bolus insulin in poorly controlled type 2 diabetes: A 3-year follow-up of the Qatar study. PMID 32729222</w:t>
      </w:r>
    </w:p>
    <w:p>
      <w:pPr>
        <w:numPr>
          <w:ilvl w:val="0"/>
          <w:numId w:val="1376"/>
        </w:numPr>
        <w:pStyle w:val="Compact"/>
      </w:pPr>
      <w:r>
        <w:t xml:space="preserve">2020 · Ponirakis G ·</w:t>
      </w:r>
      <w:r>
        <w:t xml:space="preserve"> </w:t>
      </w:r>
      <w:r>
        <w:rPr>
          <w:iCs/>
          <w:i/>
        </w:rPr>
        <w:t xml:space="preserve">BMJ Open Diabetes Res Care</w:t>
      </w:r>
      <w:r>
        <w:t xml:space="preserve"> </w:t>
      </w:r>
      <w:r>
        <w:t xml:space="preserve">· Effect of treatment with exenatide and pioglitazone or basal-bolus insulin on diabetic neuropathy: a substudy of the Qatar Study. PMID 32576561</w:t>
      </w:r>
    </w:p>
    <w:p>
      <w:pPr>
        <w:numPr>
          <w:ilvl w:val="0"/>
          <w:numId w:val="1376"/>
        </w:numPr>
        <w:pStyle w:val="Compact"/>
      </w:pPr>
      <w:r>
        <w:t xml:space="preserve">2020 · Herold KC ·</w:t>
      </w:r>
      <w:r>
        <w:t xml:space="preserve"> </w:t>
      </w:r>
      <w:r>
        <w:rPr>
          <w:iCs/>
          <w:i/>
        </w:rPr>
        <w:t xml:space="preserve">Diabetes Obes Metab</w:t>
      </w:r>
      <w:r>
        <w:t xml:space="preserve"> </w:t>
      </w:r>
      <w:r>
        <w:t xml:space="preserve">· Exenatide extended release in patients with type 1 diabetes with and without residual insulin production. PMID 32573927</w:t>
      </w:r>
    </w:p>
    <w:p>
      <w:pPr>
        <w:numPr>
          <w:ilvl w:val="0"/>
          <w:numId w:val="1376"/>
        </w:numPr>
        <w:pStyle w:val="Compact"/>
      </w:pPr>
      <w:r>
        <w:t xml:space="preserve">2020 · Wang X ·</w:t>
      </w:r>
      <w:r>
        <w:t xml:space="preserve"> </w:t>
      </w:r>
      <w:r>
        <w:rPr>
          <w:iCs/>
          <w:i/>
        </w:rPr>
        <w:t xml:space="preserve">J Diabetes Res</w:t>
      </w:r>
      <w:r>
        <w:t xml:space="preserve"> </w:t>
      </w:r>
      <w:r>
        <w:t xml:space="preserve">· Effects of Exenatide and Humalog Mix25 on Fat Distribution, Insulin Sensitivity, and β-Cell Function in Normal BMI Patients with Type 2 Diabetes and Visceral Adiposity. PMID 32566685</w:t>
      </w:r>
    </w:p>
    <w:p>
      <w:pPr>
        <w:numPr>
          <w:ilvl w:val="0"/>
          <w:numId w:val="1376"/>
        </w:numPr>
        <w:pStyle w:val="Compact"/>
      </w:pPr>
      <w:r>
        <w:t xml:space="preserve">2020 · Johansen NJ ·</w:t>
      </w:r>
      <w:r>
        <w:t xml:space="preserve"> </w:t>
      </w:r>
      <w:r>
        <w:rPr>
          <w:iCs/>
          <w:i/>
        </w:rPr>
        <w:t xml:space="preserve">Diabetes Obes Metab</w:t>
      </w:r>
      <w:r>
        <w:t xml:space="preserve"> </w:t>
      </w:r>
      <w:r>
        <w:t xml:space="preserve">· Effect of short-acting exenatide administered three times daily on markers of cardiovascular disease in type 1 diabetes: A randomized double-blind placebo-controlled trial. PMID 32543021</w:t>
      </w:r>
    </w:p>
    <w:p>
      <w:pPr>
        <w:numPr>
          <w:ilvl w:val="0"/>
          <w:numId w:val="1376"/>
        </w:numPr>
        <w:pStyle w:val="Compact"/>
      </w:pPr>
      <w:r>
        <w:t xml:space="preserve">2020 · Li B ·</w:t>
      </w:r>
      <w:r>
        <w:t xml:space="preserve"> </w:t>
      </w:r>
      <w:r>
        <w:rPr>
          <w:iCs/>
          <w:i/>
        </w:rPr>
        <w:t xml:space="preserve">BMC Pharmacol Toxicol</w:t>
      </w:r>
      <w:r>
        <w:t xml:space="preserve"> </w:t>
      </w:r>
      <w:r>
        <w:t xml:space="preserve">· The effect of exenatide on fasting bile acids in newly diagnosed type 2 diabetes mellitus patients, a pilot study. PMID 32539783</w:t>
      </w:r>
    </w:p>
    <w:p>
      <w:pPr>
        <w:numPr>
          <w:ilvl w:val="0"/>
          <w:numId w:val="1376"/>
        </w:numPr>
        <w:pStyle w:val="Compact"/>
      </w:pPr>
      <w:r>
        <w:t xml:space="preserve">2020 · Zhang J ·</w:t>
      </w:r>
      <w:r>
        <w:t xml:space="preserve"> </w:t>
      </w:r>
      <w:r>
        <w:rPr>
          <w:iCs/>
          <w:i/>
        </w:rPr>
        <w:t xml:space="preserve">Cardiovasc Diabetol</w:t>
      </w:r>
      <w:r>
        <w:t xml:space="preserve"> </w:t>
      </w:r>
      <w:r>
        <w:t xml:space="preserve">· Comparison of the effects of twice-daily exenatide and insulin on carotid intima-media thickness in type 2 diabetes mellitus patients: a 52-week randomized, open-label, controlled trial. PMID 32334592</w:t>
      </w:r>
    </w:p>
    <w:p>
      <w:pPr>
        <w:numPr>
          <w:ilvl w:val="0"/>
          <w:numId w:val="1376"/>
        </w:numPr>
        <w:pStyle w:val="Compact"/>
      </w:pPr>
      <w:r>
        <w:t xml:space="preserve">2020 · van der Aart-van der Beek AB ·</w:t>
      </w:r>
      <w:r>
        <w:t xml:space="preserve"> </w:t>
      </w:r>
      <w:r>
        <w:rPr>
          <w:iCs/>
          <w:i/>
        </w:rPr>
        <w:t xml:space="preserve">Diabetes Obes Metab</w:t>
      </w:r>
      <w:r>
        <w:t xml:space="preserve"> </w:t>
      </w:r>
      <w:r>
        <w:t xml:space="preserve">· Exenatide once weekly decreases urinary albumin excretion in patients with type 2 diabetes and elevated albuminuria: Pooled analysis of randomized active controlled clinical trials. PMID 32329160</w:t>
      </w:r>
    </w:p>
    <w:p>
      <w:pPr>
        <w:numPr>
          <w:ilvl w:val="0"/>
          <w:numId w:val="1376"/>
        </w:numPr>
        <w:pStyle w:val="Compact"/>
      </w:pPr>
      <w:r>
        <w:t xml:space="preserve">2020 · Hamidi V ·</w:t>
      </w:r>
      <w:r>
        <w:t xml:space="preserve"> </w:t>
      </w:r>
      <w:r>
        <w:rPr>
          <w:iCs/>
          <w:i/>
        </w:rPr>
        <w:t xml:space="preserve">Metab Syndr Relat Disord</w:t>
      </w:r>
      <w:r>
        <w:t xml:space="preserve"> </w:t>
      </w:r>
      <w:r>
        <w:t xml:space="preserve">· Acute Exenatide Therapy Attenuates Postprandial Vasodilation in Humans with Prediabetes: A Randomized Controlled Trial. PMID 32228379</w:t>
      </w:r>
    </w:p>
    <w:p>
      <w:pPr>
        <w:numPr>
          <w:ilvl w:val="0"/>
          <w:numId w:val="1376"/>
        </w:numPr>
        <w:pStyle w:val="Compact"/>
      </w:pPr>
      <w:r>
        <w:t xml:space="preserve">2020 · Yang J ·</w:t>
      </w:r>
      <w:r>
        <w:t xml:space="preserve"> </w:t>
      </w:r>
      <w:r>
        <w:rPr>
          <w:iCs/>
          <w:i/>
        </w:rPr>
        <w:t xml:space="preserve">Acta Diabetol</w:t>
      </w:r>
      <w:r>
        <w:t xml:space="preserve"> </w:t>
      </w:r>
      <w:r>
        <w:t xml:space="preserve">· Efficacy and safety of generic exenatide injection in Chinese patients with type 2 diabetes: a multicenter, randomized, controlled, non-inferiority trial. PMID 32206903</w:t>
      </w:r>
    </w:p>
    <w:p>
      <w:pPr>
        <w:numPr>
          <w:ilvl w:val="0"/>
          <w:numId w:val="1376"/>
        </w:numPr>
        <w:pStyle w:val="Compact"/>
      </w:pPr>
      <w:r>
        <w:t xml:space="preserve">2020 · Johansen NJ ·</w:t>
      </w:r>
      <w:r>
        <w:t xml:space="preserve"> </w:t>
      </w:r>
      <w:r>
        <w:rPr>
          <w:iCs/>
          <w:i/>
        </w:rPr>
        <w:t xml:space="preserve">Lancet Diabetes Endocrinol</w:t>
      </w:r>
      <w:r>
        <w:t xml:space="preserve"> </w:t>
      </w:r>
      <w:r>
        <w:t xml:space="preserve">· Efficacy and safety of meal-time administration of short-acting exenatide for glycaemic control in type 1 diabetes (MAG1C): a randomised, double-blind, placebo-controlled trial. PMID 32135138</w:t>
      </w:r>
    </w:p>
    <w:p>
      <w:pPr>
        <w:numPr>
          <w:ilvl w:val="0"/>
          <w:numId w:val="1376"/>
        </w:numPr>
        <w:pStyle w:val="Compact"/>
      </w:pPr>
      <w:r>
        <w:t xml:space="preserve">2020 · Bethel MA ·</w:t>
      </w:r>
      <w:r>
        <w:t xml:space="preserve"> </w:t>
      </w:r>
      <w:r>
        <w:rPr>
          <w:iCs/>
          <w:i/>
        </w:rPr>
        <w:t xml:space="preserve">Circulation</w:t>
      </w:r>
      <w:r>
        <w:t xml:space="preserve"> </w:t>
      </w:r>
      <w:r>
        <w:t xml:space="preserve">· Exploring the Possible Impact of Unbalanced Open-Label Drop-In of Glucose-Lowering Medications on EXSCEL Outcomes. PMID 32098501</w:t>
      </w:r>
    </w:p>
    <w:p>
      <w:pPr>
        <w:numPr>
          <w:ilvl w:val="0"/>
          <w:numId w:val="1376"/>
        </w:numPr>
        <w:pStyle w:val="Compact"/>
      </w:pPr>
      <w:r>
        <w:t xml:space="preserve">2020 · Siskind D ·</w:t>
      </w:r>
      <w:r>
        <w:t xml:space="preserve"> </w:t>
      </w:r>
      <w:r>
        <w:rPr>
          <w:iCs/>
          <w:i/>
        </w:rPr>
        <w:t xml:space="preserve">J Psychiatr Res</w:t>
      </w:r>
      <w:r>
        <w:t xml:space="preserve"> </w:t>
      </w:r>
      <w:r>
        <w:t xml:space="preserve">· Metabolic measures 12 months after a randomised controlled trial of treatment of clozapine associated obesity and diabetes with exenatide (CODEX). PMID 32087425</w:t>
      </w:r>
    </w:p>
    <w:p>
      <w:pPr>
        <w:numPr>
          <w:ilvl w:val="0"/>
          <w:numId w:val="1376"/>
        </w:numPr>
        <w:pStyle w:val="Compact"/>
      </w:pPr>
      <w:r>
        <w:t xml:space="preserve">2020 · Weghuber D ·</w:t>
      </w:r>
      <w:r>
        <w:t xml:space="preserve"> </w:t>
      </w:r>
      <w:r>
        <w:rPr>
          <w:iCs/>
          <w:i/>
        </w:rPr>
        <w:t xml:space="preserve">Pediatr Obes</w:t>
      </w:r>
      <w:r>
        <w:t xml:space="preserve"> </w:t>
      </w:r>
      <w:r>
        <w:t xml:space="preserve">· A 6-month randomized, double-blind, placebo-controlled trial of weekly exenatide in adolescents with obesity. PMID 32062862</w:t>
      </w:r>
    </w:p>
    <w:p>
      <w:pPr>
        <w:numPr>
          <w:ilvl w:val="0"/>
          <w:numId w:val="1376"/>
        </w:numPr>
        <w:pStyle w:val="Compact"/>
      </w:pPr>
      <w:r>
        <w:t xml:space="preserve">2020 · Cui H ·</w:t>
      </w:r>
      <w:r>
        <w:t xml:space="preserve"> </w:t>
      </w:r>
      <w:r>
        <w:rPr>
          <w:iCs/>
          <w:i/>
        </w:rPr>
        <w:t xml:space="preserve">Eur J Drug Metab Pharmacokinet</w:t>
      </w:r>
      <w:r>
        <w:t xml:space="preserve"> </w:t>
      </w:r>
      <w:r>
        <w:t xml:space="preserve">· Safety, Tolerability and Pharmacokinetics of Single Dose Polyethylene Glycolated Exenatide Injection (PB-119) in Healthy Volunteers. PMID 32006325</w:t>
      </w:r>
    </w:p>
    <w:p>
      <w:pPr>
        <w:numPr>
          <w:ilvl w:val="0"/>
          <w:numId w:val="1376"/>
        </w:numPr>
        <w:pStyle w:val="Compact"/>
      </w:pPr>
      <w:r>
        <w:t xml:space="preserve">2020 · Janssen LGM ·</w:t>
      </w:r>
      <w:r>
        <w:t xml:space="preserve"> </w:t>
      </w:r>
      <w:r>
        <w:rPr>
          <w:iCs/>
          <w:i/>
        </w:rPr>
        <w:t xml:space="preserve">Metabolism</w:t>
      </w:r>
      <w:r>
        <w:t xml:space="preserve"> </w:t>
      </w:r>
      <w:r>
        <w:t xml:space="preserve">· Twelve weeks of exenatide treatment increases [(18)F]fluorodeoxyglucose uptake by brown adipose tissue without affecting oxidative resting energy expenditure in nondiabetic males. PMID 31982480</w:t>
      </w:r>
    </w:p>
    <w:p>
      <w:pPr>
        <w:numPr>
          <w:ilvl w:val="0"/>
          <w:numId w:val="1376"/>
        </w:numPr>
        <w:pStyle w:val="Compact"/>
      </w:pPr>
      <w:r>
        <w:t xml:space="preserve">2020 · Liu L ·</w:t>
      </w:r>
      <w:r>
        <w:t xml:space="preserve"> </w:t>
      </w:r>
      <w:r>
        <w:rPr>
          <w:iCs/>
          <w:i/>
        </w:rPr>
        <w:t xml:space="preserve">Diabetes Metab Res Rev</w:t>
      </w:r>
      <w:r>
        <w:t xml:space="preserve"> </w:t>
      </w:r>
      <w:r>
        <w:t xml:space="preserve">· Efficacy of exenatide and insulin glargine on nonalcoholic fatty liver disease in patients with type 2 diabetes. PMID 31955491</w:t>
      </w:r>
    </w:p>
    <w:p>
      <w:pPr>
        <w:numPr>
          <w:ilvl w:val="0"/>
          <w:numId w:val="1376"/>
        </w:numPr>
        <w:pStyle w:val="Compact"/>
      </w:pPr>
      <w:r>
        <w:t xml:space="preserve">2020 · Idzerda NMA ·</w:t>
      </w:r>
      <w:r>
        <w:t xml:space="preserve"> </w:t>
      </w:r>
      <w:r>
        <w:rPr>
          <w:iCs/>
          <w:i/>
        </w:rPr>
        <w:t xml:space="preserve">Diabetes Obes Metab</w:t>
      </w:r>
      <w:r>
        <w:t xml:space="preserve"> </w:t>
      </w:r>
      <w:r>
        <w:t xml:space="preserve">· Prediction and validation of exenatide risk marker effects on progression of renal disease: Insights from EXSCEL. PMID 31912603</w:t>
      </w:r>
    </w:p>
    <w:p>
      <w:pPr>
        <w:numPr>
          <w:ilvl w:val="0"/>
          <w:numId w:val="1376"/>
        </w:numPr>
        <w:pStyle w:val="Compact"/>
      </w:pPr>
      <w:r>
        <w:t xml:space="preserve">2020 · Jones KL ·</w:t>
      </w:r>
      <w:r>
        <w:t xml:space="preserve"> </w:t>
      </w:r>
      <w:r>
        <w:rPr>
          <w:iCs/>
          <w:i/>
        </w:rPr>
        <w:t xml:space="preserve">Diabetes Obes Metab</w:t>
      </w:r>
      <w:r>
        <w:t xml:space="preserve"> </w:t>
      </w:r>
      <w:r>
        <w:t xml:space="preserve">· Exenatide once weekly slows gastric emptying of solids and liquids in healthy, overweight people at steady-state concentrations. PMID 31903712</w:t>
      </w:r>
    </w:p>
    <w:p>
      <w:pPr>
        <w:numPr>
          <w:ilvl w:val="0"/>
          <w:numId w:val="1376"/>
        </w:numPr>
        <w:pStyle w:val="Compact"/>
      </w:pPr>
      <w:r>
        <w:t xml:space="preserve">2020 · Standl E ·</w:t>
      </w:r>
      <w:r>
        <w:t xml:space="preserve"> </w:t>
      </w:r>
      <w:r>
        <w:rPr>
          <w:iCs/>
          <w:i/>
        </w:rPr>
        <w:t xml:space="preserve">Diabetes Care</w:t>
      </w:r>
      <w:r>
        <w:t xml:space="preserve"> </w:t>
      </w:r>
      <w:r>
        <w:t xml:space="preserve">· Confirming the Bidirectional Nature of the Association Between Severe Hypoglycemic and Cardiovascular Events in Type 2 Diabetes: Insights From EXSCEL. PMID 31882409</w:t>
      </w:r>
    </w:p>
    <w:p>
      <w:pPr>
        <w:numPr>
          <w:ilvl w:val="0"/>
          <w:numId w:val="1376"/>
        </w:numPr>
        <w:pStyle w:val="Compact"/>
      </w:pPr>
      <w:r>
        <w:t xml:space="preserve">2020 · Reed SD ·</w:t>
      </w:r>
      <w:r>
        <w:t xml:space="preserve"> </w:t>
      </w:r>
      <w:r>
        <w:rPr>
          <w:iCs/>
          <w:i/>
        </w:rPr>
        <w:t xml:space="preserve">Diabetes Care</w:t>
      </w:r>
      <w:r>
        <w:t xml:space="preserve"> </w:t>
      </w:r>
      <w:r>
        <w:t xml:space="preserve">· Within-Trial Evaluation of Medical Resources, Costs, and Quality of Life Among Patients With Type 2 Diabetes Participating in the Exenatide Study of Cardiovascular Event Lowering (EXSCEL). PMID 31806653</w:t>
      </w:r>
    </w:p>
    <w:p>
      <w:pPr>
        <w:numPr>
          <w:ilvl w:val="0"/>
          <w:numId w:val="1376"/>
        </w:numPr>
        <w:pStyle w:val="Compact"/>
      </w:pPr>
      <w:r>
        <w:t xml:space="preserve">2020 · DeSouza C ·</w:t>
      </w:r>
      <w:r>
        <w:t xml:space="preserve"> </w:t>
      </w:r>
      <w:r>
        <w:rPr>
          <w:iCs/>
          <w:i/>
        </w:rPr>
        <w:t xml:space="preserve">J Clin Endocrinol Metab</w:t>
      </w:r>
      <w:r>
        <w:t xml:space="preserve"> </w:t>
      </w:r>
      <w:r>
        <w:t xml:space="preserve">· Efficacy and Safety of Semaglutide for Type 2 Diabetes by Race and Ethnicity: A Post Hoc Analysis of the SUSTAIN Trials. PMID 31769496</w:t>
      </w:r>
    </w:p>
    <w:p>
      <w:pPr>
        <w:numPr>
          <w:ilvl w:val="0"/>
          <w:numId w:val="1376"/>
        </w:numPr>
        <w:pStyle w:val="Compact"/>
      </w:pPr>
      <w:r>
        <w:t xml:space="preserve">2020 · Bethel MA ·</w:t>
      </w:r>
      <w:r>
        <w:t xml:space="preserve"> </w:t>
      </w:r>
      <w:r>
        <w:rPr>
          <w:iCs/>
          <w:i/>
        </w:rPr>
        <w:t xml:space="preserve">Diabetes Care</w:t>
      </w:r>
      <w:r>
        <w:t xml:space="preserve"> </w:t>
      </w:r>
      <w:r>
        <w:t xml:space="preserve">· Microvascular and Cardiovascular Outcomes According to Renal Function in Patients Treated With Once-Weekly Exenatide: Insights From the EXSCEL Trial. PMID 31757838</w:t>
      </w:r>
    </w:p>
    <w:p>
      <w:pPr>
        <w:numPr>
          <w:ilvl w:val="0"/>
          <w:numId w:val="1376"/>
        </w:numPr>
        <w:pStyle w:val="Compact"/>
      </w:pPr>
      <w:r>
        <w:t xml:space="preserve">2020 · Gastaldelli A ·</w:t>
      </w:r>
      <w:r>
        <w:t xml:space="preserve"> </w:t>
      </w:r>
      <w:r>
        <w:rPr>
          <w:iCs/>
          <w:i/>
        </w:rPr>
        <w:t xml:space="preserve">Diabetes Obes Metab</w:t>
      </w:r>
      <w:r>
        <w:t xml:space="preserve"> </w:t>
      </w:r>
      <w:r>
        <w:t xml:space="preserve">· Exenatide and dapagliflozin combination improves markers of liver steatosis and fibrosis in patients with type 2 diabetes. PMID 31692226</w:t>
      </w:r>
    </w:p>
    <w:p>
      <w:pPr>
        <w:numPr>
          <w:ilvl w:val="0"/>
          <w:numId w:val="1376"/>
        </w:numPr>
        <w:pStyle w:val="Compact"/>
      </w:pPr>
      <w:r>
        <w:t xml:space="preserve">2020 · Watanabe Y ·</w:t>
      </w:r>
      <w:r>
        <w:t xml:space="preserve"> </w:t>
      </w:r>
      <w:r>
        <w:rPr>
          <w:iCs/>
          <w:i/>
        </w:rPr>
        <w:t xml:space="preserve">J Diabetes Investig</w:t>
      </w:r>
      <w:r>
        <w:t xml:space="preserve"> </w:t>
      </w:r>
      <w:r>
        <w:t xml:space="preserve">· Efficacy and safety of once-weekly exenatide after switching from twice-daily exenatide in patients with type 2 diabetes. PMID 31518492</w:t>
      </w:r>
    </w:p>
    <w:p>
      <w:pPr>
        <w:numPr>
          <w:ilvl w:val="0"/>
          <w:numId w:val="1376"/>
        </w:numPr>
        <w:pStyle w:val="Compact"/>
      </w:pPr>
      <w:r>
        <w:t xml:space="preserve">2020 · Ferrannini E ·</w:t>
      </w:r>
      <w:r>
        <w:t xml:space="preserve"> </w:t>
      </w:r>
      <w:r>
        <w:rPr>
          <w:iCs/>
          <w:i/>
        </w:rPr>
        <w:t xml:space="preserve">Diabetes Obes Metab</w:t>
      </w:r>
      <w:r>
        <w:t xml:space="preserve"> </w:t>
      </w:r>
      <w:r>
        <w:t xml:space="preserve">· Hormone-substrate changes with exenatide plus dapagliflozin versus each drug alone: The randomized, active-controlled DURATION-8 study. PMID 31469220</w:t>
      </w:r>
    </w:p>
    <w:p>
      <w:pPr>
        <w:numPr>
          <w:ilvl w:val="0"/>
          <w:numId w:val="1376"/>
        </w:numPr>
        <w:pStyle w:val="Compact"/>
      </w:pPr>
      <w:r>
        <w:t xml:space="preserve">2019 · Badjatiya A ·</w:t>
      </w:r>
      <w:r>
        <w:t xml:space="preserve"> </w:t>
      </w:r>
      <w:r>
        <w:rPr>
          <w:iCs/>
          <w:i/>
        </w:rPr>
        <w:t xml:space="preserve">Circ Cardiovasc Interv</w:t>
      </w:r>
      <w:r>
        <w:t xml:space="preserve"> </w:t>
      </w:r>
      <w:r>
        <w:t xml:space="preserve">· Clinical Outcomes in Patients With Type 2 Diabetes Mellitus and Peripheral Artery Disease: Results From the EXSCEL Trial. PMID 31752517</w:t>
      </w:r>
    </w:p>
    <w:p>
      <w:pPr>
        <w:numPr>
          <w:ilvl w:val="0"/>
          <w:numId w:val="1376"/>
        </w:numPr>
        <w:pStyle w:val="Compact"/>
      </w:pPr>
      <w:r>
        <w:t xml:space="preserve">2019 · Blonde L ·</w:t>
      </w:r>
      <w:r>
        <w:t xml:space="preserve"> </w:t>
      </w:r>
      <w:r>
        <w:rPr>
          <w:iCs/>
          <w:i/>
        </w:rPr>
        <w:t xml:space="preserve">Diabetes Care</w:t>
      </w:r>
      <w:r>
        <w:t xml:space="preserve"> </w:t>
      </w:r>
      <w:r>
        <w:t xml:space="preserve">· Switching to iGlarLixi Versus Continuing Daily or Weekly GLP-1 RA in Type 2 Diabetes Inadequately Controlled by GLP-1 RA and Oral Antihyperglycemic Therapy: The LixiLan-G Randomized Clinical Trial. PMID 31530665</w:t>
      </w:r>
    </w:p>
    <w:p>
      <w:pPr>
        <w:numPr>
          <w:ilvl w:val="0"/>
          <w:numId w:val="1376"/>
        </w:numPr>
        <w:pStyle w:val="Compact"/>
      </w:pPr>
      <w:r>
        <w:t xml:space="preserve">2019 · Larsson M ·</w:t>
      </w:r>
      <w:r>
        <w:t xml:space="preserve"> </w:t>
      </w:r>
      <w:r>
        <w:rPr>
          <w:iCs/>
          <w:i/>
        </w:rPr>
        <w:t xml:space="preserve">Acta Neurol Scand</w:t>
      </w:r>
      <w:r>
        <w:t xml:space="preserve"> </w:t>
      </w:r>
      <w:r>
        <w:t xml:space="preserve">· Prehospital exenatide in hyperglycemic stroke-A randomized trial. PMID 31518433</w:t>
      </w:r>
    </w:p>
    <w:p>
      <w:pPr>
        <w:numPr>
          <w:ilvl w:val="0"/>
          <w:numId w:val="1376"/>
        </w:numPr>
        <w:pStyle w:val="Compact"/>
      </w:pPr>
      <w:r>
        <w:t xml:space="preserve">2019 · Mullins RJ ·</w:t>
      </w:r>
      <w:r>
        <w:t xml:space="preserve"> </w:t>
      </w:r>
      <w:r>
        <w:rPr>
          <w:iCs/>
          <w:i/>
        </w:rPr>
        <w:t xml:space="preserve">Curr Alzheimer Res</w:t>
      </w:r>
      <w:r>
        <w:t xml:space="preserve"> </w:t>
      </w:r>
      <w:r>
        <w:t xml:space="preserve">· A Pilot Study of Exenatide Actions in Alzheimer’s Disease. PMID 31518224</w:t>
      </w:r>
    </w:p>
    <w:p>
      <w:pPr>
        <w:numPr>
          <w:ilvl w:val="0"/>
          <w:numId w:val="1376"/>
        </w:numPr>
        <w:pStyle w:val="Compact"/>
      </w:pPr>
      <w:r>
        <w:t xml:space="preserve">2019 · Muskiet MHA ·</w:t>
      </w:r>
      <w:r>
        <w:t xml:space="preserve"> </w:t>
      </w:r>
      <w:r>
        <w:rPr>
          <w:iCs/>
          <w:i/>
        </w:rPr>
        <w:t xml:space="preserve">Microcirculation</w:t>
      </w:r>
      <w:r>
        <w:t xml:space="preserve"> </w:t>
      </w:r>
      <w:r>
        <w:t xml:space="preserve">· Assessment of real-time and quantitative changes in renal hemodynamics in healthy overweight males: Contrast-enhanced ultrasonography vs para-aminohippuric acid clearance. PMID 31313410</w:t>
      </w:r>
    </w:p>
    <w:p>
      <w:pPr>
        <w:numPr>
          <w:ilvl w:val="0"/>
          <w:numId w:val="1376"/>
        </w:numPr>
        <w:pStyle w:val="Compact"/>
      </w:pPr>
      <w:r>
        <w:t xml:space="preserve">2019 · Aung MM ·</w:t>
      </w:r>
      <w:r>
        <w:t xml:space="preserve"> </w:t>
      </w:r>
      <w:r>
        <w:rPr>
          <w:iCs/>
          <w:i/>
        </w:rPr>
        <w:t xml:space="preserve">Diabetologia</w:t>
      </w:r>
      <w:r>
        <w:t xml:space="preserve"> </w:t>
      </w:r>
      <w:r>
        <w:t xml:space="preserve">· Locally delivered GLP-1 analogues liraglutide and exenatide enhance microvascular perfusion in individuals with and without type 2 diabetes. PMID 31203378</w:t>
      </w:r>
    </w:p>
    <w:p>
      <w:pPr>
        <w:numPr>
          <w:ilvl w:val="0"/>
          <w:numId w:val="1376"/>
        </w:numPr>
        <w:pStyle w:val="Compact"/>
      </w:pPr>
      <w:r>
        <w:t xml:space="preserve">2019 · Almby KE ·</w:t>
      </w:r>
      <w:r>
        <w:t xml:space="preserve"> </w:t>
      </w:r>
      <w:r>
        <w:rPr>
          <w:iCs/>
          <w:i/>
        </w:rPr>
        <w:t xml:space="preserve">Eur J Endocrinol</w:t>
      </w:r>
      <w:r>
        <w:t xml:space="preserve"> </w:t>
      </w:r>
      <w:r>
        <w:t xml:space="preserve">· Effects of GLP-1 on counter-regulatory responses during hypoglycemia after GBP surgery. PMID 31176298</w:t>
      </w:r>
    </w:p>
    <w:p>
      <w:pPr>
        <w:numPr>
          <w:ilvl w:val="0"/>
          <w:numId w:val="1376"/>
        </w:numPr>
        <w:pStyle w:val="Compact"/>
      </w:pPr>
      <w:r>
        <w:t xml:space="preserve">2019 · Muskiet MHA ·</w:t>
      </w:r>
      <w:r>
        <w:t xml:space="preserve"> </w:t>
      </w:r>
      <w:r>
        <w:rPr>
          <w:iCs/>
          <w:i/>
        </w:rPr>
        <w:t xml:space="preserve">Diabetes Res Clin Pract</w:t>
      </w:r>
      <w:r>
        <w:t xml:space="preserve"> </w:t>
      </w:r>
      <w:r>
        <w:t xml:space="preserve">· Exenatide twice-daily does not affect renal function or albuminuria compared to titrated insulin glargine in patients with type 2 diabetes mellitus: A post-hoc analysis of a 52-week randomised trial. PMID 31078666</w:t>
      </w:r>
    </w:p>
    <w:p>
      <w:pPr>
        <w:numPr>
          <w:ilvl w:val="0"/>
          <w:numId w:val="1376"/>
        </w:numPr>
        <w:pStyle w:val="Compact"/>
      </w:pPr>
      <w:r>
        <w:t xml:space="preserve">2019 · Bethel MA ·</w:t>
      </w:r>
      <w:r>
        <w:t xml:space="preserve"> </w:t>
      </w:r>
      <w:r>
        <w:rPr>
          <w:iCs/>
          <w:i/>
        </w:rPr>
        <w:t xml:space="preserve">Diabetes Care</w:t>
      </w:r>
      <w:r>
        <w:t xml:space="preserve"> </w:t>
      </w:r>
      <w:r>
        <w:t xml:space="preserve">· Changes in Serum Calcitonin Concentrations, Incidence of Medullary Thyroid Carcinoma, and Impact of Routine Calcitonin Concentration Monitoring in the EXenatide Study of Cardiovascular Event Lowering (EXSCEL). PMID 31010875</w:t>
      </w:r>
    </w:p>
    <w:p>
      <w:pPr>
        <w:numPr>
          <w:ilvl w:val="0"/>
          <w:numId w:val="1376"/>
        </w:numPr>
        <w:pStyle w:val="Compact"/>
      </w:pPr>
      <w:r>
        <w:t xml:space="preserve">2019 · Carlson AL ·</w:t>
      </w:r>
      <w:r>
        <w:t xml:space="preserve"> </w:t>
      </w:r>
      <w:r>
        <w:rPr>
          <w:iCs/>
          <w:i/>
        </w:rPr>
        <w:t xml:space="preserve">Endocr Pract</w:t>
      </w:r>
      <w:r>
        <w:t xml:space="preserve"> </w:t>
      </w:r>
      <w:r>
        <w:t xml:space="preserve">· EVALUATION OF INSULIN GLARGINE AND EXENATIDE ALONE AND IN COMBINATION: A RANDOMIZED CLINICAL TRIAL WITH CONTINUOUS GLUCOSE MONITORING AND AMBULATORY GLUCOSE PROFILE ANALYSIS. PMID 30995433</w:t>
      </w:r>
    </w:p>
    <w:p>
      <w:pPr>
        <w:numPr>
          <w:ilvl w:val="0"/>
          <w:numId w:val="1376"/>
        </w:numPr>
        <w:pStyle w:val="Compact"/>
      </w:pPr>
      <w:r>
        <w:t xml:space="preserve">2019 · Zheng S ·</w:t>
      </w:r>
      <w:r>
        <w:t xml:space="preserve"> </w:t>
      </w:r>
      <w:r>
        <w:rPr>
          <w:iCs/>
          <w:i/>
        </w:rPr>
        <w:t xml:space="preserve">Endocr J</w:t>
      </w:r>
      <w:r>
        <w:t xml:space="preserve"> </w:t>
      </w:r>
      <w:r>
        <w:t xml:space="preserve">· Circulating zinc-α2-glycoprotein is reduced in women with polycystic ovary syndrome, but can be increased by exenatide or metformin treatment. PMID 30918134</w:t>
      </w:r>
    </w:p>
    <w:p>
      <w:pPr>
        <w:numPr>
          <w:ilvl w:val="0"/>
          <w:numId w:val="1376"/>
        </w:numPr>
        <w:pStyle w:val="Compact"/>
      </w:pPr>
      <w:r>
        <w:t xml:space="preserve">2019 · Liu J ·</w:t>
      </w:r>
      <w:r>
        <w:t xml:space="preserve"> </w:t>
      </w:r>
      <w:r>
        <w:rPr>
          <w:iCs/>
          <w:i/>
        </w:rPr>
        <w:t xml:space="preserve">EBioMedicine</w:t>
      </w:r>
      <w:r>
        <w:t xml:space="preserve"> </w:t>
      </w:r>
      <w:r>
        <w:t xml:space="preserve">· Liver-derived fibroblast growth factor 21 mediates effects of glucagon-like peptide-1 in attenuating hepatic glucose output. PMID 30827929</w:t>
      </w:r>
    </w:p>
    <w:p>
      <w:pPr>
        <w:numPr>
          <w:ilvl w:val="0"/>
          <w:numId w:val="1376"/>
        </w:numPr>
        <w:pStyle w:val="Compact"/>
      </w:pPr>
      <w:r>
        <w:t xml:space="preserve">2019 · Fayfman M ·</w:t>
      </w:r>
      <w:r>
        <w:t xml:space="preserve"> </w:t>
      </w:r>
      <w:r>
        <w:rPr>
          <w:iCs/>
          <w:i/>
        </w:rPr>
        <w:t xml:space="preserve">Diabetes Care</w:t>
      </w:r>
      <w:r>
        <w:t xml:space="preserve"> </w:t>
      </w:r>
      <w:r>
        <w:t xml:space="preserve">· A Randomized Controlled Trial on the Safety and Efficacy of Exenatide Therapy for the Inpatient Management of General Medicine and Surgery Patients With Type 2 Diabetes. PMID 30679302</w:t>
      </w:r>
    </w:p>
    <w:p>
      <w:pPr>
        <w:numPr>
          <w:ilvl w:val="0"/>
          <w:numId w:val="1376"/>
        </w:numPr>
        <w:pStyle w:val="Compact"/>
      </w:pPr>
      <w:r>
        <w:t xml:space="preserve">2019 · Athauda D ·</w:t>
      </w:r>
      <w:r>
        <w:t xml:space="preserve"> </w:t>
      </w:r>
      <w:r>
        <w:rPr>
          <w:iCs/>
          <w:i/>
        </w:rPr>
        <w:t xml:space="preserve">JAMA Neurol</w:t>
      </w:r>
      <w:r>
        <w:t xml:space="preserve"> </w:t>
      </w:r>
      <w:r>
        <w:t xml:space="preserve">· Utility of Neuronal-Derived Exosomes to Examine Molecular Mechanisms That Affect Motor Function in Patients With Parkinson Disease: A Secondary Analysis of the Exenatide-PD Trial. PMID 30640362</w:t>
      </w:r>
    </w:p>
    <w:p>
      <w:pPr>
        <w:numPr>
          <w:ilvl w:val="0"/>
          <w:numId w:val="1376"/>
        </w:numPr>
        <w:pStyle w:val="Compact"/>
      </w:pPr>
      <w:r>
        <w:t xml:space="preserve">2019 · Philis-Tsimikas A ·</w:t>
      </w:r>
      <w:r>
        <w:t xml:space="preserve"> </w:t>
      </w:r>
      <w:r>
        <w:rPr>
          <w:iCs/>
          <w:i/>
        </w:rPr>
        <w:t xml:space="preserve">J Diabetes Complications</w:t>
      </w:r>
      <w:r>
        <w:t xml:space="preserve"> </w:t>
      </w:r>
      <w:r>
        <w:t xml:space="preserve">· Efficacy and tolerability of exenatide once weekly over 7 years in patients with type 2 diabetes: An open-label extension of the DURATION-1 study. PMID 30600137</w:t>
      </w:r>
    </w:p>
    <w:p>
      <w:pPr>
        <w:numPr>
          <w:ilvl w:val="0"/>
          <w:numId w:val="1376"/>
        </w:numPr>
        <w:pStyle w:val="Compact"/>
      </w:pPr>
      <w:r>
        <w:t xml:space="preserve">2019 · Clegg LE ·</w:t>
      </w:r>
      <w:r>
        <w:t xml:space="preserve"> </w:t>
      </w:r>
      <w:r>
        <w:rPr>
          <w:iCs/>
          <w:i/>
        </w:rPr>
        <w:t xml:space="preserve">Diabetes Care</w:t>
      </w:r>
      <w:r>
        <w:t xml:space="preserve"> </w:t>
      </w:r>
      <w:r>
        <w:t xml:space="preserve">· Reduction of Cardiovascular Risk and Improved Estimated Glomerular Filtration Rate by SGLT2 Inhibitors, Including Dapagliflozin, Is Consistent Across the Class: An Analysis of the Placebo Arm of EXSCEL. PMID 30523029</w:t>
      </w:r>
    </w:p>
    <w:p>
      <w:pPr>
        <w:numPr>
          <w:ilvl w:val="0"/>
          <w:numId w:val="1376"/>
        </w:numPr>
        <w:pStyle w:val="Compact"/>
      </w:pPr>
      <w:r>
        <w:t xml:space="preserve">2019 · Guerci B ·</w:t>
      </w:r>
      <w:r>
        <w:t xml:space="preserve"> </w:t>
      </w:r>
      <w:r>
        <w:rPr>
          <w:iCs/>
          <w:i/>
        </w:rPr>
        <w:t xml:space="preserve">Diabetes Obes Metab</w:t>
      </w:r>
      <w:r>
        <w:t xml:space="preserve"> </w:t>
      </w:r>
      <w:r>
        <w:t xml:space="preserve">· Predictive factors associated with three years of response to HbA1c goals with exenatide QW or insulin glargine: Post-hoc analysis of the DURATION-3 study. PMID 30520252</w:t>
      </w:r>
    </w:p>
    <w:p>
      <w:pPr>
        <w:numPr>
          <w:ilvl w:val="0"/>
          <w:numId w:val="1376"/>
        </w:numPr>
        <w:pStyle w:val="Compact"/>
      </w:pPr>
      <w:r>
        <w:t xml:space="preserve">2019 · Deng H ·</w:t>
      </w:r>
      <w:r>
        <w:t xml:space="preserve"> </w:t>
      </w:r>
      <w:r>
        <w:rPr>
          <w:iCs/>
          <w:i/>
        </w:rPr>
        <w:t xml:space="preserve">J Diabetes</w:t>
      </w:r>
      <w:r>
        <w:t xml:space="preserve"> </w:t>
      </w:r>
      <w:r>
        <w:t xml:space="preserve">· Effect of baseline body mass index on glycemic control and weight change with exenatide monotherapy in Chinese drug-naïve type 2 diabetic patients. PMID 30520243</w:t>
      </w:r>
    </w:p>
    <w:p>
      <w:pPr>
        <w:numPr>
          <w:ilvl w:val="0"/>
          <w:numId w:val="1376"/>
        </w:numPr>
        <w:pStyle w:val="Compact"/>
      </w:pPr>
      <w:r>
        <w:t xml:space="preserve">2019 · Geyer MC ·</w:t>
      </w:r>
      <w:r>
        <w:t xml:space="preserve"> </w:t>
      </w:r>
      <w:r>
        <w:rPr>
          <w:iCs/>
          <w:i/>
        </w:rPr>
        <w:t xml:space="preserve">Diabetes Obes Metab</w:t>
      </w:r>
      <w:r>
        <w:t xml:space="preserve"> </w:t>
      </w:r>
      <w:r>
        <w:t xml:space="preserve">· Exenatide corrects postprandial hyperglycaemia in young people with cystic fibrosis and impaired glucose tolerance: A randomized crossover trial. PMID 30259623</w:t>
      </w:r>
    </w:p>
    <w:p>
      <w:pPr>
        <w:numPr>
          <w:ilvl w:val="0"/>
          <w:numId w:val="1376"/>
        </w:numPr>
        <w:pStyle w:val="Compact"/>
      </w:pPr>
      <w:r>
        <w:t xml:space="preserve">2019 · Overgaard RV ·</w:t>
      </w:r>
      <w:r>
        <w:t xml:space="preserve"> </w:t>
      </w:r>
      <w:r>
        <w:rPr>
          <w:iCs/>
          <w:i/>
        </w:rPr>
        <w:t xml:space="preserve">Diabetes Obes Metab</w:t>
      </w:r>
      <w:r>
        <w:t xml:space="preserve"> </w:t>
      </w:r>
      <w:r>
        <w:t xml:space="preserve">· Impact on HbA1c and body weight of switching from other GLP-1 receptor agonists to semaglutide: A model-based approach. PMID 30047216</w:t>
      </w:r>
    </w:p>
    <w:p>
      <w:pPr>
        <w:numPr>
          <w:ilvl w:val="0"/>
          <w:numId w:val="1376"/>
        </w:numPr>
        <w:pStyle w:val="Compact"/>
      </w:pPr>
      <w:r>
        <w:t xml:space="preserve">2018 · Besch G ·</w:t>
      </w:r>
      <w:r>
        <w:t xml:space="preserve"> </w:t>
      </w:r>
      <w:r>
        <w:rPr>
          <w:iCs/>
          <w:i/>
        </w:rPr>
        <w:t xml:space="preserve">Cardiovasc Diabetol</w:t>
      </w:r>
      <w:r>
        <w:t xml:space="preserve"> </w:t>
      </w:r>
      <w:r>
        <w:t xml:space="preserve">· Impact of intravenous exenatide infusion for perioperative blood glucose control on myocardial ischemia-reperfusion injuries after coronary artery bypass graft surgery: sub study of the phase II/III ExSTRESS randomized trial. PMID 30384842</w:t>
      </w:r>
    </w:p>
    <w:p>
      <w:pPr>
        <w:numPr>
          <w:ilvl w:val="0"/>
          <w:numId w:val="1376"/>
        </w:numPr>
        <w:pStyle w:val="Compact"/>
      </w:pPr>
      <w:r>
        <w:t xml:space="preserve">2018 · Mentz RJ ·</w:t>
      </w:r>
      <w:r>
        <w:t xml:space="preserve"> </w:t>
      </w:r>
      <w:r>
        <w:rPr>
          <w:iCs/>
          <w:i/>
        </w:rPr>
        <w:t xml:space="preserve">J Am Heart Assoc</w:t>
      </w:r>
      <w:r>
        <w:t xml:space="preserve"> </w:t>
      </w:r>
      <w:r>
        <w:t xml:space="preserve">· Effect of Once-Weekly Exenatide on Clinical Outcomes According to Baseline Risk in Patients With Type 2 Diabetes Mellitus: Insights From the EXSCEL Trial. PMID 30371301</w:t>
      </w:r>
    </w:p>
    <w:p>
      <w:pPr>
        <w:numPr>
          <w:ilvl w:val="0"/>
          <w:numId w:val="1376"/>
        </w:numPr>
        <w:pStyle w:val="Compact"/>
      </w:pPr>
      <w:r>
        <w:t xml:space="preserve">2018 · Fifer S ·</w:t>
      </w:r>
      <w:r>
        <w:t xml:space="preserve"> </w:t>
      </w:r>
      <w:r>
        <w:rPr>
          <w:iCs/>
          <w:i/>
        </w:rPr>
        <w:t xml:space="preserve">BMC Health Serv Res</w:t>
      </w:r>
      <w:r>
        <w:t xml:space="preserve"> </w:t>
      </w:r>
      <w:r>
        <w:t xml:space="preserve">· Valuing injection frequency and other attributes of type 2 diabetes treatments in Australia: a discrete choice experiment. PMID 30165844</w:t>
      </w:r>
    </w:p>
    <w:p>
      <w:pPr>
        <w:numPr>
          <w:ilvl w:val="0"/>
          <w:numId w:val="1376"/>
        </w:numPr>
        <w:pStyle w:val="Compact"/>
      </w:pPr>
      <w:r>
        <w:t xml:space="preserve">2018 · Jabbour SA ·</w:t>
      </w:r>
      <w:r>
        <w:t xml:space="preserve"> </w:t>
      </w:r>
      <w:r>
        <w:rPr>
          <w:iCs/>
          <w:i/>
        </w:rPr>
        <w:t xml:space="preserve">Diabetes Care</w:t>
      </w:r>
      <w:r>
        <w:t xml:space="preserve"> </w:t>
      </w:r>
      <w:r>
        <w:t xml:space="preserve">· Safety and Efficacy of Exenatide Once Weekly Plus Dapagliflozin Once Daily Versus Exenatide or Dapagliflozin Alone in Patients With Type 2 Diabetes Inadequately Controlled With Metformin Monotherapy: 52-Week Results of the DURATION-8 Randomized Controlled Trial. PMID 30082326</w:t>
      </w:r>
    </w:p>
    <w:p>
      <w:pPr>
        <w:numPr>
          <w:ilvl w:val="0"/>
          <w:numId w:val="1376"/>
        </w:numPr>
        <w:pStyle w:val="Compact"/>
      </w:pPr>
      <w:r>
        <w:t xml:space="preserve">2018 · Muller C ·</w:t>
      </w:r>
      <w:r>
        <w:t xml:space="preserve"> </w:t>
      </w:r>
      <w:r>
        <w:rPr>
          <w:iCs/>
          <w:i/>
        </w:rPr>
        <w:t xml:space="preserve">Int J Stroke</w:t>
      </w:r>
      <w:r>
        <w:t xml:space="preserve"> </w:t>
      </w:r>
      <w:r>
        <w:t xml:space="preserve">· Treatment with exenatide in acute ischemic stroke trial protocol: A prospective, randomized, open label, blinded end-point study of exenatide vs. standard care in post stroke hyperglycemia. PMID 30019627</w:t>
      </w:r>
    </w:p>
    <w:p>
      <w:pPr>
        <w:numPr>
          <w:ilvl w:val="0"/>
          <w:numId w:val="1376"/>
        </w:numPr>
        <w:pStyle w:val="Compact"/>
      </w:pPr>
      <w:r>
        <w:t xml:space="preserve">2018 · Liu J ·</w:t>
      </w:r>
      <w:r>
        <w:t xml:space="preserve"> </w:t>
      </w:r>
      <w:r>
        <w:rPr>
          <w:iCs/>
          <w:i/>
        </w:rPr>
        <w:t xml:space="preserve">Peptides</w:t>
      </w:r>
      <w:r>
        <w:t xml:space="preserve"> </w:t>
      </w:r>
      <w:r>
        <w:t xml:space="preserve">· GLP-1 receptor agonists stimulate ANGPTL8 production through the PI3K/Akt pathway in a GLP-1 receptor-dependent manner. PMID 30003931</w:t>
      </w:r>
    </w:p>
    <w:p>
      <w:pPr>
        <w:numPr>
          <w:ilvl w:val="0"/>
          <w:numId w:val="1376"/>
        </w:numPr>
        <w:pStyle w:val="Compact"/>
      </w:pPr>
      <w:r>
        <w:t xml:space="preserve">2018 · Athauda D ·</w:t>
      </w:r>
      <w:r>
        <w:t xml:space="preserve"> </w:t>
      </w:r>
      <w:r>
        <w:rPr>
          <w:iCs/>
          <w:i/>
        </w:rPr>
        <w:t xml:space="preserve">J Parkinsons Dis</w:t>
      </w:r>
      <w:r>
        <w:t xml:space="preserve"> </w:t>
      </w:r>
      <w:r>
        <w:t xml:space="preserve">· What Effects Might Exenatide have on Non-Motor Symptoms in Parkinson’s Disease: A Post Hoc Analysis. PMID 29843254</w:t>
      </w:r>
    </w:p>
    <w:p>
      <w:pPr>
        <w:numPr>
          <w:ilvl w:val="0"/>
          <w:numId w:val="1376"/>
        </w:numPr>
        <w:pStyle w:val="Compact"/>
      </w:pPr>
      <w:r>
        <w:t xml:space="preserve">2018 · Ahrén B ·</w:t>
      </w:r>
      <w:r>
        <w:t xml:space="preserve"> </w:t>
      </w:r>
      <w:r>
        <w:rPr>
          <w:iCs/>
          <w:i/>
        </w:rPr>
        <w:t xml:space="preserve">Diabetes Obes Metab</w:t>
      </w:r>
      <w:r>
        <w:t xml:space="preserve"> </w:t>
      </w:r>
      <w:r>
        <w:t xml:space="preserve">· Semaglutide induces weight loss in subjects with type 2 diabetes regardless of baseline BMI or gastrointestinal adverse events in the SUSTAIN 1 to 5 trials. PMID 29766634</w:t>
      </w:r>
    </w:p>
    <w:p>
      <w:pPr>
        <w:numPr>
          <w:ilvl w:val="0"/>
          <w:numId w:val="1376"/>
        </w:numPr>
        <w:pStyle w:val="Compact"/>
      </w:pPr>
      <w:r>
        <w:t xml:space="preserve">2018 · Warren M ·</w:t>
      </w:r>
      <w:r>
        <w:t xml:space="preserve"> </w:t>
      </w:r>
      <w:r>
        <w:rPr>
          <w:iCs/>
          <w:i/>
        </w:rPr>
        <w:t xml:space="preserve">Diabetes Obes Metab</w:t>
      </w:r>
      <w:r>
        <w:t xml:space="preserve"> </w:t>
      </w:r>
      <w:r>
        <w:t xml:space="preserve">· Semaglutide as a therapeutic option for elderly patients with type 2 diabetes: Pooled analysis of the SUSTAIN 1-5 trials. PMID 29687620</w:t>
      </w:r>
    </w:p>
    <w:p>
      <w:pPr>
        <w:numPr>
          <w:ilvl w:val="0"/>
          <w:numId w:val="1376"/>
        </w:numPr>
        <w:pStyle w:val="Compact"/>
      </w:pPr>
      <w:r>
        <w:t xml:space="preserve">2018 · Basolo A ·</w:t>
      </w:r>
      <w:r>
        <w:t xml:space="preserve"> </w:t>
      </w:r>
      <w:r>
        <w:rPr>
          <w:iCs/>
          <w:i/>
        </w:rPr>
        <w:t xml:space="preserve">Metabolism</w:t>
      </w:r>
      <w:r>
        <w:t xml:space="preserve"> </w:t>
      </w:r>
      <w:r>
        <w:t xml:space="preserve">· Exenatide has a pronounced effect on energy intake but not energy expenditure in non-diabetic subjects with obesity: A randomized, double-blind, placebo-controlled trial. PMID 29596853</w:t>
      </w:r>
    </w:p>
    <w:p>
      <w:pPr>
        <w:numPr>
          <w:ilvl w:val="0"/>
          <w:numId w:val="1376"/>
        </w:numPr>
        <w:pStyle w:val="Compact"/>
      </w:pPr>
      <w:r>
        <w:t xml:space="preserve">2018 · Frías JP ·</w:t>
      </w:r>
      <w:r>
        <w:t xml:space="preserve"> </w:t>
      </w:r>
      <w:r>
        <w:rPr>
          <w:iCs/>
          <w:i/>
        </w:rPr>
        <w:t xml:space="preserve">Diabetes Obes Metab</w:t>
      </w:r>
      <w:r>
        <w:t xml:space="preserve"> </w:t>
      </w:r>
      <w:r>
        <w:t xml:space="preserve">· Effects of exenatide once weekly plus dapagliflozin, exenatide once weekly alone, or dapagliflozin alone added to metformin monotherapy in subgroups of patients with type 2 diabetes in the DURATION-8 randomized controlled trial. PMID 29573139</w:t>
      </w:r>
    </w:p>
    <w:p>
      <w:pPr>
        <w:numPr>
          <w:ilvl w:val="0"/>
          <w:numId w:val="1376"/>
        </w:numPr>
        <w:pStyle w:val="Compact"/>
      </w:pPr>
      <w:r>
        <w:t xml:space="preserve">2018 · Du X ·</w:t>
      </w:r>
      <w:r>
        <w:t xml:space="preserve"> </w:t>
      </w:r>
      <w:r>
        <w:rPr>
          <w:iCs/>
          <w:i/>
        </w:rPr>
        <w:t xml:space="preserve">J Diabetes Res</w:t>
      </w:r>
      <w:r>
        <w:t xml:space="preserve"> </w:t>
      </w:r>
      <w:r>
        <w:t xml:space="preserve">· Exenatide with Metformin Ameliorated Visceral Adiposity and Insulin Resistance. PMID 29541641</w:t>
      </w:r>
    </w:p>
    <w:p>
      <w:pPr>
        <w:numPr>
          <w:ilvl w:val="0"/>
          <w:numId w:val="1376"/>
        </w:numPr>
        <w:pStyle w:val="Compact"/>
      </w:pPr>
      <w:r>
        <w:t xml:space="preserve">2018 · Chedid V ·</w:t>
      </w:r>
      <w:r>
        <w:t xml:space="preserve"> </w:t>
      </w:r>
      <w:r>
        <w:rPr>
          <w:iCs/>
          <w:i/>
        </w:rPr>
        <w:t xml:space="preserve">Neurogastroenterol Motil</w:t>
      </w:r>
      <w:r>
        <w:t xml:space="preserve"> </w:t>
      </w:r>
      <w:r>
        <w:t xml:space="preserve">· Allelic variant in the glucagon-like peptide 1 receptor gene associated with greater effect of liraglutide and exenatide on gastric emptying: A pilot pharmacogenetics study. PMID 29488276</w:t>
      </w:r>
    </w:p>
    <w:p>
      <w:pPr>
        <w:numPr>
          <w:ilvl w:val="0"/>
          <w:numId w:val="1376"/>
        </w:numPr>
        <w:pStyle w:val="Compact"/>
      </w:pPr>
      <w:r>
        <w:t xml:space="preserve">2018 · Yammine L ·</w:t>
      </w:r>
      <w:r>
        <w:t xml:space="preserve"> </w:t>
      </w:r>
      <w:r>
        <w:rPr>
          <w:iCs/>
          <w:i/>
        </w:rPr>
        <w:t xml:space="preserve">Medicine (Baltimore)</w:t>
      </w:r>
      <w:r>
        <w:t xml:space="preserve"> </w:t>
      </w:r>
      <w:r>
        <w:t xml:space="preserve">· Exenatide once weekly for smoking cessation: study protocol for a randomized clinical trial. PMID 29480848</w:t>
      </w:r>
    </w:p>
    <w:p>
      <w:pPr>
        <w:numPr>
          <w:ilvl w:val="0"/>
          <w:numId w:val="1376"/>
        </w:numPr>
        <w:pStyle w:val="Compact"/>
      </w:pPr>
      <w:r>
        <w:t xml:space="preserve">2018 · Guja C ·</w:t>
      </w:r>
      <w:r>
        <w:t xml:space="preserve"> </w:t>
      </w:r>
      <w:r>
        <w:rPr>
          <w:iCs/>
          <w:i/>
        </w:rPr>
        <w:t xml:space="preserve">Diabetes Obes Metab</w:t>
      </w:r>
      <w:r>
        <w:t xml:space="preserve"> </w:t>
      </w:r>
      <w:r>
        <w:t xml:space="preserve">· Effect of exenatide QW or placebo, both added to titrated insulin glargine, in uncontrolled type 2 diabetes: The DURATION-7 randomized study. PMID 29473704</w:t>
      </w:r>
    </w:p>
    <w:p>
      <w:pPr>
        <w:numPr>
          <w:ilvl w:val="0"/>
          <w:numId w:val="1376"/>
        </w:numPr>
        <w:pStyle w:val="Compact"/>
      </w:pPr>
      <w:r>
        <w:t xml:space="preserve">2018 · Kaneko M ·</w:t>
      </w:r>
      <w:r>
        <w:t xml:space="preserve"> </w:t>
      </w:r>
      <w:r>
        <w:rPr>
          <w:iCs/>
          <w:i/>
        </w:rPr>
        <w:t xml:space="preserve">Ann Pharmacother</w:t>
      </w:r>
      <w:r>
        <w:t xml:space="preserve"> </w:t>
      </w:r>
      <w:r>
        <w:t xml:space="preserve">· Assessment of Cardiovascular Risk With Glucagon-Like Peptide 1 Receptor Agonists in Patients With Type 2 Diabetes Using an Alternative Measure to the Hazard Ratio. PMID 29424239</w:t>
      </w:r>
    </w:p>
    <w:p>
      <w:pPr>
        <w:numPr>
          <w:ilvl w:val="0"/>
          <w:numId w:val="1376"/>
        </w:numPr>
        <w:pStyle w:val="Compact"/>
      </w:pPr>
      <w:r>
        <w:t xml:space="preserve">2018 · Dandona P ·</w:t>
      </w:r>
      <w:r>
        <w:t xml:space="preserve"> </w:t>
      </w:r>
      <w:r>
        <w:rPr>
          <w:iCs/>
          <w:i/>
        </w:rPr>
        <w:t xml:space="preserve">J Clin Endocrinol Metab</w:t>
      </w:r>
      <w:r>
        <w:t xml:space="preserve"> </w:t>
      </w:r>
      <w:r>
        <w:t xml:space="preserve">· Exenatide Increases IL-1RA Concentration and Induces Nrf-2‒Keap-1‒Regulated Antioxidant Enzymes: Relevance to β-Cell Function. PMID 29346597</w:t>
      </w:r>
    </w:p>
    <w:p>
      <w:pPr>
        <w:numPr>
          <w:ilvl w:val="0"/>
          <w:numId w:val="1376"/>
        </w:numPr>
        <w:pStyle w:val="Compact"/>
      </w:pPr>
      <w:r>
        <w:t xml:space="preserve">2018 · Tonneijck L ·</w:t>
      </w:r>
      <w:r>
        <w:t xml:space="preserve"> </w:t>
      </w:r>
      <w:r>
        <w:rPr>
          <w:iCs/>
          <w:i/>
        </w:rPr>
        <w:t xml:space="preserve">Diabetes Obes Metab</w:t>
      </w:r>
      <w:r>
        <w:t xml:space="preserve"> </w:t>
      </w:r>
      <w:r>
        <w:t xml:space="preserve">· Effect of immediate and prolonged GLP-1 receptor agonist administration on uric acid and kidney clearance: Post-hoc analyses of four clinical trials. PMID 29341461</w:t>
      </w:r>
    </w:p>
    <w:p>
      <w:pPr>
        <w:numPr>
          <w:ilvl w:val="0"/>
          <w:numId w:val="1376"/>
        </w:numPr>
        <w:pStyle w:val="Compact"/>
      </w:pPr>
      <w:r>
        <w:t xml:space="preserve">2018 · Jabbour SA ·</w:t>
      </w:r>
      <w:r>
        <w:t xml:space="preserve"> </w:t>
      </w:r>
      <w:r>
        <w:rPr>
          <w:iCs/>
          <w:i/>
        </w:rPr>
        <w:t xml:space="preserve">Diabetes Obes Metab</w:t>
      </w:r>
      <w:r>
        <w:t xml:space="preserve"> </w:t>
      </w:r>
      <w:r>
        <w:t xml:space="preserve">· Effects of exenatide once weekly plus dapagliflozin, exenatide once weekly, or dapagliflozin, added to metformin monotherapy, on body weight, systolic blood pressure, and triglycerides in patients with type 2 diabetes in the DURATION-8 study. PMID 29316164</w:t>
      </w:r>
    </w:p>
    <w:p>
      <w:pPr>
        <w:numPr>
          <w:ilvl w:val="0"/>
          <w:numId w:val="1376"/>
        </w:numPr>
        <w:pStyle w:val="Compact"/>
      </w:pPr>
      <w:r>
        <w:t xml:space="preserve">2018 · Henry RR ·</w:t>
      </w:r>
      <w:r>
        <w:t xml:space="preserve"> </w:t>
      </w:r>
      <w:r>
        <w:rPr>
          <w:iCs/>
          <w:i/>
        </w:rPr>
        <w:t xml:space="preserve">Diabetes Care</w:t>
      </w:r>
      <w:r>
        <w:t xml:space="preserve"> </w:t>
      </w:r>
      <w:r>
        <w:t xml:space="preserve">· Clinical Impact of ITCA 650, a Novel Drug-Device GLP-1 Receptor Agonist, in Uncontrolled Type 2 Diabetes and Very High Baseline HbA(1c): The FREEDOM-1 HBL (High Baseline) Study. PMID 29301824</w:t>
      </w:r>
    </w:p>
    <w:p>
      <w:pPr>
        <w:numPr>
          <w:ilvl w:val="0"/>
          <w:numId w:val="1376"/>
        </w:numPr>
        <w:pStyle w:val="Compact"/>
      </w:pPr>
      <w:r>
        <w:t xml:space="preserve">2018 · Ahmann AJ ·</w:t>
      </w:r>
      <w:r>
        <w:t xml:space="preserve"> </w:t>
      </w:r>
      <w:r>
        <w:rPr>
          <w:iCs/>
          <w:i/>
        </w:rPr>
        <w:t xml:space="preserve">Diabetes Care</w:t>
      </w:r>
      <w:r>
        <w:t xml:space="preserve"> </w:t>
      </w:r>
      <w:r>
        <w:t xml:space="preserve">· Efficacy and Safety of Once-Weekly Semaglutide Versus Exenatide ER in Subjects With Type 2 Diabetes (SUSTAIN 3): A 56-Week, Open-Label, Randomized Clinical Trial. PMID 29246950</w:t>
      </w:r>
    </w:p>
    <w:p>
      <w:pPr>
        <w:numPr>
          <w:ilvl w:val="0"/>
          <w:numId w:val="1376"/>
        </w:numPr>
        <w:pStyle w:val="Compact"/>
      </w:pPr>
      <w:r>
        <w:t xml:space="preserve">2018 · Rosenstock J ·</w:t>
      </w:r>
      <w:r>
        <w:t xml:space="preserve"> </w:t>
      </w:r>
      <w:r>
        <w:rPr>
          <w:iCs/>
          <w:i/>
        </w:rPr>
        <w:t xml:space="preserve">Diabetes Care</w:t>
      </w:r>
      <w:r>
        <w:t xml:space="preserve"> </w:t>
      </w:r>
      <w:r>
        <w:t xml:space="preserve">· Efficacy and Safety of ITCA 650, a Novel Drug-Device GLP-1 Receptor Agonist, in Type 2 Diabetes Uncontrolled With Oral Antidiabetes Drugs: The FREEDOM-1 Trial. PMID 29242349</w:t>
      </w:r>
    </w:p>
    <w:p>
      <w:pPr>
        <w:numPr>
          <w:ilvl w:val="0"/>
          <w:numId w:val="1376"/>
        </w:numPr>
        <w:pStyle w:val="Compact"/>
      </w:pPr>
      <w:r>
        <w:t xml:space="preserve">2018 · Abdul-Ghani M ·</w:t>
      </w:r>
      <w:r>
        <w:t xml:space="preserve"> </w:t>
      </w:r>
      <w:r>
        <w:rPr>
          <w:iCs/>
          <w:i/>
        </w:rPr>
        <w:t xml:space="preserve">Diabetes Obes Metab</w:t>
      </w:r>
      <w:r>
        <w:t xml:space="preserve"> </w:t>
      </w:r>
      <w:r>
        <w:t xml:space="preserve">· Insulin secretion predicts the response to therapy with exenatide plus pioglitazone, but not to basal/bolus insulin in poorly controlled T2DM patients: Results from the Qatar study. PMID 29227578</w:t>
      </w:r>
    </w:p>
    <w:p>
      <w:pPr>
        <w:numPr>
          <w:ilvl w:val="0"/>
          <w:numId w:val="1376"/>
        </w:numPr>
        <w:pStyle w:val="Compact"/>
      </w:pPr>
      <w:r>
        <w:t xml:space="preserve">2018 · Siskind DJ ·</w:t>
      </w:r>
      <w:r>
        <w:t xml:space="preserve"> </w:t>
      </w:r>
      <w:r>
        <w:rPr>
          <w:iCs/>
          <w:i/>
        </w:rPr>
        <w:t xml:space="preserve">Diabetes Obes Metab</w:t>
      </w:r>
      <w:r>
        <w:t xml:space="preserve"> </w:t>
      </w:r>
      <w:r>
        <w:t xml:space="preserve">· Treatment of clozapine-associated obesity and diabetes with exenatide in adults with schizophrenia: A randomized controlled trial (CODEX). PMID 29194917</w:t>
      </w:r>
    </w:p>
    <w:p>
      <w:pPr>
        <w:numPr>
          <w:ilvl w:val="0"/>
          <w:numId w:val="1376"/>
        </w:numPr>
        <w:pStyle w:val="Compact"/>
      </w:pPr>
      <w:r>
        <w:t xml:space="preserve">2018 · Wiberg S ·</w:t>
      </w:r>
      <w:r>
        <w:t xml:space="preserve"> </w:t>
      </w:r>
      <w:r>
        <w:rPr>
          <w:iCs/>
          <w:i/>
        </w:rPr>
        <w:t xml:space="preserve">Crit Care Med</w:t>
      </w:r>
      <w:r>
        <w:t xml:space="preserve"> </w:t>
      </w:r>
      <w:r>
        <w:t xml:space="preserve">· The Glucagon-Like Peptide-1 Analog Exenatide Increases Blood Glucose Clearance, Lactate Clearance, and Heart Rate in Comatose Patients After Out-of-Hospital Cardiac Arrest. PMID 29189347</w:t>
      </w:r>
    </w:p>
    <w:p>
      <w:pPr>
        <w:numPr>
          <w:ilvl w:val="0"/>
          <w:numId w:val="1376"/>
        </w:numPr>
        <w:pStyle w:val="Compact"/>
      </w:pPr>
      <w:r>
        <w:t xml:space="preserve">2018 · Tzanetakos C ·</w:t>
      </w:r>
      <w:r>
        <w:t xml:space="preserve"> </w:t>
      </w:r>
      <w:r>
        <w:rPr>
          <w:iCs/>
          <w:i/>
        </w:rPr>
        <w:t xml:space="preserve">Clin Drug Investig</w:t>
      </w:r>
      <w:r>
        <w:t xml:space="preserve"> </w:t>
      </w:r>
      <w:r>
        <w:t xml:space="preserve">· Cost Effectiveness of Exenatide Once Weekly Versus Insulin Glargine and Liraglutide for the Treatment of Type 2 Diabetes Mellitus in Greece. PMID 29080210</w:t>
      </w:r>
    </w:p>
    <w:p>
      <w:pPr>
        <w:numPr>
          <w:ilvl w:val="0"/>
          <w:numId w:val="1376"/>
        </w:numPr>
        <w:pStyle w:val="Compact"/>
      </w:pPr>
      <w:r>
        <w:t xml:space="preserve">2018 · Henry R ·</w:t>
      </w:r>
      <w:r>
        <w:t xml:space="preserve"> </w:t>
      </w:r>
      <w:r>
        <w:rPr>
          <w:iCs/>
          <w:i/>
        </w:rPr>
        <w:t xml:space="preserve">Diabetes Obes Metab</w:t>
      </w:r>
      <w:r>
        <w:t xml:space="preserve"> </w:t>
      </w:r>
      <w:r>
        <w:t xml:space="preserve">· Treatment satisfaction with ITCA 650, a novel drug-device delivering continuous exenatide, versus twice-daily injections of exenatide in type 2 diabetics using metformin. PMID 29053202</w:t>
      </w:r>
    </w:p>
    <w:p>
      <w:pPr>
        <w:numPr>
          <w:ilvl w:val="0"/>
          <w:numId w:val="1376"/>
        </w:numPr>
        <w:pStyle w:val="Compact"/>
      </w:pPr>
      <w:r>
        <w:t xml:space="preserve">2018 · Jiang LL ·</w:t>
      </w:r>
      <w:r>
        <w:t xml:space="preserve"> </w:t>
      </w:r>
      <w:r>
        <w:rPr>
          <w:iCs/>
          <w:i/>
        </w:rPr>
        <w:t xml:space="preserve">J Endocrinol Invest</w:t>
      </w:r>
      <w:r>
        <w:t xml:space="preserve"> </w:t>
      </w:r>
      <w:r>
        <w:t xml:space="preserve">· The effects of add-on exenatide to insulin on glycemic variability and hypoglycemia in patients with type 1 diabetes mellitus. PMID 29032494</w:t>
      </w:r>
    </w:p>
    <w:p>
      <w:pPr>
        <w:numPr>
          <w:ilvl w:val="0"/>
          <w:numId w:val="1376"/>
        </w:numPr>
        <w:pStyle w:val="Compact"/>
      </w:pPr>
      <w:r>
        <w:t xml:space="preserve">2018 · Wysham CH ·</w:t>
      </w:r>
      <w:r>
        <w:t xml:space="preserve"> </w:t>
      </w:r>
      <w:r>
        <w:rPr>
          <w:iCs/>
          <w:i/>
        </w:rPr>
        <w:t xml:space="preserve">Diabetes Obes Metab</w:t>
      </w:r>
      <w:r>
        <w:t xml:space="preserve"> </w:t>
      </w:r>
      <w:r>
        <w:t xml:space="preserve">· Efficacy and tolerability of the new autoinjected suspension of exenatide once weekly versus exenatide twice daily in patients with type 2 diabetes. PMID 28685973</w:t>
      </w:r>
    </w:p>
    <w:p>
      <w:pPr>
        <w:numPr>
          <w:ilvl w:val="0"/>
          <w:numId w:val="1376"/>
        </w:numPr>
        <w:pStyle w:val="Compact"/>
      </w:pPr>
      <w:r>
        <w:t xml:space="preserve">2018 · Su K ·</w:t>
      </w:r>
      <w:r>
        <w:t xml:space="preserve"> </w:t>
      </w:r>
      <w:r>
        <w:rPr>
          <w:iCs/>
          <w:i/>
        </w:rPr>
        <w:t xml:space="preserve">Am J Ther</w:t>
      </w:r>
      <w:r>
        <w:t xml:space="preserve"> </w:t>
      </w:r>
      <w:r>
        <w:t xml:space="preserve">· Phase III Study on Efficacy and Safety of Triple Combination (Exenatide/Metformin/Biphasic Insulin Aspart) Therapy for Type 2 Diabetes Mellitus. PMID 26844723</w:t>
      </w:r>
    </w:p>
    <w:p>
      <w:pPr>
        <w:numPr>
          <w:ilvl w:val="0"/>
          <w:numId w:val="1376"/>
        </w:numPr>
        <w:pStyle w:val="Compact"/>
      </w:pPr>
      <w:r>
        <w:t xml:space="preserve">2017 · Wang Y ·</w:t>
      </w:r>
      <w:r>
        <w:t xml:space="preserve"> </w:t>
      </w:r>
      <w:r>
        <w:rPr>
          <w:iCs/>
          <w:i/>
        </w:rPr>
        <w:t xml:space="preserve">Clin Drug Investig</w:t>
      </w:r>
      <w:r>
        <w:t xml:space="preserve"> </w:t>
      </w:r>
      <w:r>
        <w:t xml:space="preserve">· Pharmacokinetics and Preliminary Pharmacodynamics of Single- and Multiple-dose Lyophilized Recombinant Glucagon-like Peptide-1 Receptor Agonist (rE-4) in Chinese Patients with Type 2 Diabetes Mellitus. PMID 28932995</w:t>
      </w:r>
    </w:p>
    <w:p>
      <w:pPr>
        <w:numPr>
          <w:ilvl w:val="0"/>
          <w:numId w:val="1376"/>
        </w:numPr>
        <w:pStyle w:val="Compact"/>
      </w:pPr>
      <w:r>
        <w:t xml:space="preserve">2017 · Holman RR ·</w:t>
      </w:r>
      <w:r>
        <w:t xml:space="preserve"> </w:t>
      </w:r>
      <w:r>
        <w:rPr>
          <w:iCs/>
          <w:i/>
        </w:rPr>
        <w:t xml:space="preserve">N Engl J Med</w:t>
      </w:r>
      <w:r>
        <w:t xml:space="preserve"> </w:t>
      </w:r>
      <w:r>
        <w:t xml:space="preserve">· Effects of Once-Weekly Exenatide on Cardiovascular Outcomes in Type 2 Diabetes. PMID 28910237</w:t>
      </w:r>
    </w:p>
    <w:p>
      <w:pPr>
        <w:numPr>
          <w:ilvl w:val="0"/>
          <w:numId w:val="1376"/>
        </w:numPr>
        <w:pStyle w:val="Compact"/>
      </w:pPr>
      <w:r>
        <w:t xml:space="preserve">2017 · Liu X ·</w:t>
      </w:r>
      <w:r>
        <w:t xml:space="preserve"> </w:t>
      </w:r>
      <w:r>
        <w:rPr>
          <w:iCs/>
          <w:i/>
        </w:rPr>
        <w:t xml:space="preserve">Clin Endocrinol (Oxf)</w:t>
      </w:r>
      <w:r>
        <w:t xml:space="preserve"> </w:t>
      </w:r>
      <w:r>
        <w:t xml:space="preserve">· Efficacy of exenatide on weight loss, metabolic parameters and pregnancy in overweight/obese polycystic ovary syndrome. PMID 28834553</w:t>
      </w:r>
    </w:p>
    <w:p>
      <w:pPr>
        <w:numPr>
          <w:ilvl w:val="0"/>
          <w:numId w:val="1376"/>
        </w:numPr>
        <w:pStyle w:val="Compact"/>
      </w:pPr>
      <w:r>
        <w:t xml:space="preserve">2017 · Besch G ·</w:t>
      </w:r>
      <w:r>
        <w:t xml:space="preserve"> </w:t>
      </w:r>
      <w:r>
        <w:rPr>
          <w:iCs/>
          <w:i/>
        </w:rPr>
        <w:t xml:space="preserve">Anesthesiology</w:t>
      </w:r>
      <w:r>
        <w:t xml:space="preserve"> </w:t>
      </w:r>
      <w:r>
        <w:t xml:space="preserve">· Clinical Effectiveness of Intravenous Exenatide Infusion in Perioperative Glycemic Control after Coronary Artery Bypass Graft Surgery: A Phase II/III Randomized Trial. PMID 28820780</w:t>
      </w:r>
    </w:p>
    <w:p>
      <w:pPr>
        <w:numPr>
          <w:ilvl w:val="0"/>
          <w:numId w:val="1376"/>
        </w:numPr>
        <w:pStyle w:val="Compact"/>
      </w:pPr>
      <w:r>
        <w:t xml:space="preserve">2017 · Athauda D ·</w:t>
      </w:r>
      <w:r>
        <w:t xml:space="preserve"> </w:t>
      </w:r>
      <w:r>
        <w:rPr>
          <w:iCs/>
          <w:i/>
        </w:rPr>
        <w:t xml:space="preserve">Lancet</w:t>
      </w:r>
      <w:r>
        <w:t xml:space="preserve"> </w:t>
      </w:r>
      <w:r>
        <w:t xml:space="preserve">· Exenatide once weekly versus placebo in Parkinson’s disease: a randomised, double-blind, placebo-controlled trial. PMID 28781108</w:t>
      </w:r>
    </w:p>
    <w:p>
      <w:pPr>
        <w:numPr>
          <w:ilvl w:val="0"/>
          <w:numId w:val="1376"/>
        </w:numPr>
        <w:pStyle w:val="Compact"/>
      </w:pPr>
      <w:r>
        <w:t xml:space="preserve">2017 · Lipš M ·</w:t>
      </w:r>
      <w:r>
        <w:t xml:space="preserve"> </w:t>
      </w:r>
      <w:r>
        <w:rPr>
          <w:iCs/>
          <w:i/>
        </w:rPr>
        <w:t xml:space="preserve">Diabetes Obes Metab</w:t>
      </w:r>
      <w:r>
        <w:t xml:space="preserve"> </w:t>
      </w:r>
      <w:r>
        <w:t xml:space="preserve">· Effect of continuous exenatide infusion on cardiac function and peri-operative glucose control in patients undergoing cardiac surgery: A single-blind, randomized controlled trial. PMID 28581209</w:t>
      </w:r>
    </w:p>
    <w:p>
      <w:pPr>
        <w:numPr>
          <w:ilvl w:val="0"/>
          <w:numId w:val="1376"/>
        </w:numPr>
        <w:pStyle w:val="Compact"/>
      </w:pPr>
      <w:r>
        <w:t xml:space="preserve">2017 · Cirincione B ·</w:t>
      </w:r>
      <w:r>
        <w:t xml:space="preserve"> </w:t>
      </w:r>
      <w:r>
        <w:rPr>
          <w:iCs/>
          <w:i/>
        </w:rPr>
        <w:t xml:space="preserve">J Clin Pharmacol</w:t>
      </w:r>
      <w:r>
        <w:t xml:space="preserve"> </w:t>
      </w:r>
      <w:r>
        <w:t xml:space="preserve">· Model-Based Evaluation of Exenatide Effects on the QT Interval in Healthy Subjects Following Continuous IV Infusion. PMID 28543393</w:t>
      </w:r>
    </w:p>
    <w:p>
      <w:pPr>
        <w:numPr>
          <w:ilvl w:val="0"/>
          <w:numId w:val="1376"/>
        </w:numPr>
        <w:pStyle w:val="Compact"/>
      </w:pPr>
      <w:r>
        <w:t xml:space="preserve">2017 · Shaddinger BC ·</w:t>
      </w:r>
      <w:r>
        <w:t xml:space="preserve"> </w:t>
      </w:r>
      <w:r>
        <w:rPr>
          <w:iCs/>
          <w:i/>
        </w:rPr>
        <w:t xml:space="preserve">J Clin Pharmacol</w:t>
      </w:r>
      <w:r>
        <w:t xml:space="preserve"> </w:t>
      </w:r>
      <w:r>
        <w:t xml:space="preserve">· Effect of Albiglutide on Cholecystokinin-Induced Gallbladder Emptying in Healthy Individuals: A Randomized Crossover Study. PMID 28543352</w:t>
      </w:r>
    </w:p>
    <w:p>
      <w:pPr>
        <w:numPr>
          <w:ilvl w:val="0"/>
          <w:numId w:val="1376"/>
        </w:numPr>
        <w:pStyle w:val="Compact"/>
      </w:pPr>
      <w:r>
        <w:t xml:space="preserve">2017 · Shi X ·</w:t>
      </w:r>
      <w:r>
        <w:t xml:space="preserve"> </w:t>
      </w:r>
      <w:r>
        <w:rPr>
          <w:iCs/>
          <w:i/>
        </w:rPr>
        <w:t xml:space="preserve">Sci Rep</w:t>
      </w:r>
      <w:r>
        <w:t xml:space="preserve"> </w:t>
      </w:r>
      <w:r>
        <w:t xml:space="preserve">· Effect of exenatide after short-time intensive insulin therapy on glycaemic remission maintenance in type 2 diabetes patients: a randomized controlled trial. PMID 28539618</w:t>
      </w:r>
    </w:p>
    <w:p>
      <w:pPr>
        <w:numPr>
          <w:ilvl w:val="0"/>
          <w:numId w:val="1376"/>
        </w:numPr>
        <w:pStyle w:val="Compact"/>
      </w:pPr>
      <w:r>
        <w:t xml:space="preserve">2017 · Chen WJY ·</w:t>
      </w:r>
      <w:r>
        <w:t xml:space="preserve"> </w:t>
      </w:r>
      <w:r>
        <w:rPr>
          <w:iCs/>
          <w:i/>
        </w:rPr>
        <w:t xml:space="preserve">Cardiovasc Diabetol</w:t>
      </w:r>
      <w:r>
        <w:t xml:space="preserve"> </w:t>
      </w:r>
      <w:r>
        <w:t xml:space="preserve">· Effects of exenatide on cardiac function, perfusion, and energetics in type 2 diabetic patients with cardiomyopathy: a randomized controlled trial against insulin glargine. PMID 28526033</w:t>
      </w:r>
    </w:p>
    <w:p>
      <w:pPr>
        <w:numPr>
          <w:ilvl w:val="0"/>
          <w:numId w:val="1376"/>
        </w:numPr>
        <w:pStyle w:val="Compact"/>
      </w:pPr>
      <w:r>
        <w:t xml:space="preserve">2017 · Mentz RJ ·</w:t>
      </w:r>
      <w:r>
        <w:t xml:space="preserve"> </w:t>
      </w:r>
      <w:r>
        <w:rPr>
          <w:iCs/>
          <w:i/>
        </w:rPr>
        <w:t xml:space="preserve">Am Heart J</w:t>
      </w:r>
      <w:r>
        <w:t xml:space="preserve"> </w:t>
      </w:r>
      <w:r>
        <w:t xml:space="preserve">· Baseline characteristics of patients enrolled in the Exenatide Study of Cardiovascular Event Lowering (EXSCEL). PMID 28454792</w:t>
      </w:r>
    </w:p>
    <w:p>
      <w:pPr>
        <w:numPr>
          <w:ilvl w:val="0"/>
          <w:numId w:val="1376"/>
        </w:numPr>
        <w:pStyle w:val="Compact"/>
      </w:pPr>
      <w:r>
        <w:t xml:space="preserve">2017 · Wang X ·</w:t>
      </w:r>
      <w:r>
        <w:t xml:space="preserve"> </w:t>
      </w:r>
      <w:r>
        <w:rPr>
          <w:iCs/>
          <w:i/>
        </w:rPr>
        <w:t xml:space="preserve">Lipids Health Dis</w:t>
      </w:r>
      <w:r>
        <w:t xml:space="preserve"> </w:t>
      </w:r>
      <w:r>
        <w:t xml:space="preserve">· New association of bone morphogenetic protein 4 concentrations with fat distribution in obesity and Exenatide intervention on it. PMID 28376799</w:t>
      </w:r>
    </w:p>
    <w:p>
      <w:pPr>
        <w:numPr>
          <w:ilvl w:val="0"/>
          <w:numId w:val="1376"/>
        </w:numPr>
        <w:pStyle w:val="Compact"/>
      </w:pPr>
      <w:r>
        <w:t xml:space="preserve">2017 · Lundkvist P ·</w:t>
      </w:r>
      <w:r>
        <w:t xml:space="preserve"> </w:t>
      </w:r>
      <w:r>
        <w:rPr>
          <w:iCs/>
          <w:i/>
        </w:rPr>
        <w:t xml:space="preserve">Diabetes Obes Metab</w:t>
      </w:r>
      <w:r>
        <w:t xml:space="preserve"> </w:t>
      </w:r>
      <w:r>
        <w:t xml:space="preserve">· Dapagliflozin once daily plus exenatide once weekly in obese adults without diabetes: Sustained reductions in body weight, glycaemia and blood pressure over 1 year. PMID 28345814</w:t>
      </w:r>
    </w:p>
    <w:p>
      <w:pPr>
        <w:numPr>
          <w:ilvl w:val="0"/>
          <w:numId w:val="1376"/>
        </w:numPr>
        <w:pStyle w:val="Compact"/>
      </w:pPr>
      <w:r>
        <w:t xml:space="preserve">2017 · Abdul-Ghani M ·</w:t>
      </w:r>
      <w:r>
        <w:t xml:space="preserve"> </w:t>
      </w:r>
      <w:r>
        <w:rPr>
          <w:iCs/>
          <w:i/>
        </w:rPr>
        <w:t xml:space="preserve">J Clin Endocrinol Metab</w:t>
      </w:r>
      <w:r>
        <w:t xml:space="preserve"> </w:t>
      </w:r>
      <w:r>
        <w:t xml:space="preserve">· Efficacy of Exenatide Plus Pioglitazone Vs Basal/Bolus Insulin in T2DM Patients With Very High HbA1c. PMID 28324038</w:t>
      </w:r>
    </w:p>
    <w:p>
      <w:pPr>
        <w:numPr>
          <w:ilvl w:val="0"/>
          <w:numId w:val="1376"/>
        </w:numPr>
        <w:pStyle w:val="Compact"/>
      </w:pPr>
      <w:r>
        <w:t xml:space="preserve">2017 · Ishøy PL ·</w:t>
      </w:r>
      <w:r>
        <w:t xml:space="preserve"> </w:t>
      </w:r>
      <w:r>
        <w:rPr>
          <w:iCs/>
          <w:i/>
        </w:rPr>
        <w:t xml:space="preserve">Acta Psychiatr Scand</w:t>
      </w:r>
      <w:r>
        <w:t xml:space="preserve"> </w:t>
      </w:r>
      <w:r>
        <w:t xml:space="preserve">· No cognitive-enhancing effect of GLP-1 receptor agonism in antipsychotic-treated, obese patients with schizophrenia. PMID 28260235</w:t>
      </w:r>
    </w:p>
    <w:p>
      <w:pPr>
        <w:numPr>
          <w:ilvl w:val="0"/>
          <w:numId w:val="1376"/>
        </w:numPr>
        <w:pStyle w:val="Compact"/>
      </w:pPr>
      <w:r>
        <w:t xml:space="preserve">2017 · Bremholm L ·</w:t>
      </w:r>
      <w:r>
        <w:t xml:space="preserve"> </w:t>
      </w:r>
      <w:r>
        <w:rPr>
          <w:iCs/>
          <w:i/>
        </w:rPr>
        <w:t xml:space="preserve">Physiol Rep</w:t>
      </w:r>
      <w:r>
        <w:t xml:space="preserve"> </w:t>
      </w:r>
      <w:r>
        <w:t xml:space="preserve">· Acute effects of glucagon-like peptide-1, GLP-1(9-36 amide), and exenatide on mesenteric blood flow, cardiovascular parameters, and biomarkers in healthy volunteers. PMID 28235974</w:t>
      </w:r>
    </w:p>
    <w:p>
      <w:pPr>
        <w:numPr>
          <w:ilvl w:val="0"/>
          <w:numId w:val="1376"/>
        </w:numPr>
        <w:pStyle w:val="Compact"/>
      </w:pPr>
      <w:r>
        <w:t xml:space="preserve">2017 · Gadde KM ·</w:t>
      </w:r>
      <w:r>
        <w:t xml:space="preserve"> </w:t>
      </w:r>
      <w:r>
        <w:rPr>
          <w:iCs/>
          <w:i/>
        </w:rPr>
        <w:t xml:space="preserve">Diabetes Obes Metab</w:t>
      </w:r>
      <w:r>
        <w:t xml:space="preserve"> </w:t>
      </w:r>
      <w:r>
        <w:t xml:space="preserve">· Efficacy and safety of autoinjected exenatide once-weekly suspension versus sitagliptin or placebo with metformin in patients with type 2 diabetes: The DURATION-NEO-2 randomized clinical study. PMID 28205322</w:t>
      </w:r>
    </w:p>
    <w:p>
      <w:pPr>
        <w:numPr>
          <w:ilvl w:val="0"/>
          <w:numId w:val="1376"/>
        </w:numPr>
        <w:pStyle w:val="Compact"/>
      </w:pPr>
      <w:r>
        <w:t xml:space="preserve">2017 · Shi L ·</w:t>
      </w:r>
      <w:r>
        <w:t xml:space="preserve"> </w:t>
      </w:r>
      <w:r>
        <w:rPr>
          <w:iCs/>
          <w:i/>
        </w:rPr>
        <w:t xml:space="preserve">Obes Res Clin Pract</w:t>
      </w:r>
      <w:r>
        <w:t xml:space="preserve"> </w:t>
      </w:r>
      <w:r>
        <w:t xml:space="preserve">· Comparison of exenatide and acarbose on intra-abdominal fat content in patients with obesity and type-2 diabetes: A randomized controlled trial. PMID 28161303</w:t>
      </w:r>
    </w:p>
    <w:p>
      <w:pPr>
        <w:numPr>
          <w:ilvl w:val="0"/>
          <w:numId w:val="1376"/>
        </w:numPr>
        <w:pStyle w:val="Compact"/>
      </w:pPr>
      <w:r>
        <w:t xml:space="preserve">2017 · Abdul-Ghani M ·</w:t>
      </w:r>
      <w:r>
        <w:t xml:space="preserve"> </w:t>
      </w:r>
      <w:r>
        <w:rPr>
          <w:iCs/>
          <w:i/>
        </w:rPr>
        <w:t xml:space="preserve">Diabetes Care</w:t>
      </w:r>
      <w:r>
        <w:t xml:space="preserve"> </w:t>
      </w:r>
      <w:r>
        <w:t xml:space="preserve">· Combination Therapy With Exenatide Plus Pioglitazone Versus Basal/Bolus Insulin in Patients With Poorly Controlled Type 2 Diabetes on Sulfonylurea Plus Metformin: The Qatar Study. PMID 28096223</w:t>
      </w:r>
    </w:p>
    <w:p>
      <w:pPr>
        <w:numPr>
          <w:ilvl w:val="0"/>
          <w:numId w:val="1376"/>
        </w:numPr>
        <w:pStyle w:val="Compact"/>
      </w:pPr>
      <w:r>
        <w:t xml:space="preserve">2017 · Smits MM ·</w:t>
      </w:r>
      <w:r>
        <w:t xml:space="preserve"> </w:t>
      </w:r>
      <w:r>
        <w:rPr>
          <w:iCs/>
          <w:i/>
        </w:rPr>
        <w:t xml:space="preserve">Diabetes Res Clin Pract</w:t>
      </w:r>
      <w:r>
        <w:t xml:space="preserve"> </w:t>
      </w:r>
      <w:r>
        <w:t xml:space="preserve">· The effects of GLP-1 based therapies on postprandial haemodynamics: Two randomised, placebo-controlled trials in overweight type 2 diabetes patients. PMID 28086201</w:t>
      </w:r>
    </w:p>
    <w:p>
      <w:pPr>
        <w:numPr>
          <w:ilvl w:val="0"/>
          <w:numId w:val="1376"/>
        </w:numPr>
        <w:pStyle w:val="Compact"/>
      </w:pPr>
      <w:r>
        <w:t xml:space="preserve">2017 · Horowitz M ·</w:t>
      </w:r>
      <w:r>
        <w:t xml:space="preserve"> </w:t>
      </w:r>
      <w:r>
        <w:rPr>
          <w:iCs/>
          <w:i/>
        </w:rPr>
        <w:t xml:space="preserve">Diabetes Obes Metab</w:t>
      </w:r>
      <w:r>
        <w:t xml:space="preserve"> </w:t>
      </w:r>
      <w:r>
        <w:t xml:space="preserve">· Upper and/or lower gastrointestinal adverse events with glucagon-like peptide-1 receptor agonists: Incidence and consequences. PMID 28058769</w:t>
      </w:r>
    </w:p>
    <w:p>
      <w:pPr>
        <w:numPr>
          <w:ilvl w:val="0"/>
          <w:numId w:val="1376"/>
        </w:numPr>
        <w:pStyle w:val="Compact"/>
      </w:pPr>
      <w:r>
        <w:t xml:space="preserve">2017 · Thazhath SS ·</w:t>
      </w:r>
      <w:r>
        <w:t xml:space="preserve"> </w:t>
      </w:r>
      <w:r>
        <w:rPr>
          <w:iCs/>
          <w:i/>
        </w:rPr>
        <w:t xml:space="preserve">Diab Vasc Dis Res</w:t>
      </w:r>
      <w:r>
        <w:t xml:space="preserve"> </w:t>
      </w:r>
      <w:r>
        <w:t xml:space="preserve">· Acute effects of the glucagon-like peptide-1 receptor agonist, exenatide, on blood pressure and heart rate responses to intraduodenal glucose infusion in type 2 diabetes. PMID 27941058</w:t>
      </w:r>
    </w:p>
    <w:p>
      <w:pPr>
        <w:numPr>
          <w:ilvl w:val="0"/>
          <w:numId w:val="1376"/>
        </w:numPr>
        <w:pStyle w:val="Compact"/>
      </w:pPr>
      <w:r>
        <w:t xml:space="preserve">2017 · Camastra S ·</w:t>
      </w:r>
      <w:r>
        <w:t xml:space="preserve"> </w:t>
      </w:r>
      <w:r>
        <w:rPr>
          <w:iCs/>
          <w:i/>
        </w:rPr>
        <w:t xml:space="preserve">Diabetes Obes Metab</w:t>
      </w:r>
      <w:r>
        <w:t xml:space="preserve"> </w:t>
      </w:r>
      <w:r>
        <w:t xml:space="preserve">· Effect of exenatide on postprandial glucose fluxes, lipolysis, and ß-cell function in non-diabetic, morbidly obese patients. PMID 27898183</w:t>
      </w:r>
    </w:p>
    <w:p>
      <w:pPr>
        <w:numPr>
          <w:ilvl w:val="0"/>
          <w:numId w:val="1376"/>
        </w:numPr>
        <w:pStyle w:val="Compact"/>
      </w:pPr>
      <w:r>
        <w:t xml:space="preserve">2017 · Chaudhuri A ·</w:t>
      </w:r>
      <w:r>
        <w:t xml:space="preserve"> </w:t>
      </w:r>
      <w:r>
        <w:rPr>
          <w:iCs/>
          <w:i/>
        </w:rPr>
        <w:t xml:space="preserve">Diabetes Obes Metab</w:t>
      </w:r>
      <w:r>
        <w:t xml:space="preserve"> </w:t>
      </w:r>
      <w:r>
        <w:t xml:space="preserve">· Exenatide induces an increase in vasodilatory and a decrease in vasoconstrictive mediators. PMID 27891769</w:t>
      </w:r>
    </w:p>
    <w:p>
      <w:pPr>
        <w:numPr>
          <w:ilvl w:val="0"/>
          <w:numId w:val="1376"/>
        </w:numPr>
        <w:pStyle w:val="Compact"/>
      </w:pPr>
      <w:r>
        <w:t xml:space="preserve">2017 · Scalzo RL ·</w:t>
      </w:r>
      <w:r>
        <w:t xml:space="preserve"> </w:t>
      </w:r>
      <w:r>
        <w:rPr>
          <w:iCs/>
          <w:i/>
        </w:rPr>
        <w:t xml:space="preserve">J Diabetes Complications</w:t>
      </w:r>
      <w:r>
        <w:t xml:space="preserve"> </w:t>
      </w:r>
      <w:r>
        <w:t xml:space="preserve">· Exenatide improves diastolic function and attenuates arterial stiffness but does not alter exercise capacity in individuals with type 2 diabetes. PMID 27884660</w:t>
      </w:r>
    </w:p>
    <w:p>
      <w:pPr>
        <w:numPr>
          <w:ilvl w:val="0"/>
          <w:numId w:val="1376"/>
        </w:numPr>
        <w:pStyle w:val="Compact"/>
      </w:pPr>
      <w:r>
        <w:t xml:space="preserve">2017 · Smits MM ·</w:t>
      </w:r>
      <w:r>
        <w:t xml:space="preserve"> </w:t>
      </w:r>
      <w:r>
        <w:rPr>
          <w:iCs/>
          <w:i/>
        </w:rPr>
        <w:t xml:space="preserve">Eur J Endocrinol</w:t>
      </w:r>
      <w:r>
        <w:t xml:space="preserve"> </w:t>
      </w:r>
      <w:r>
        <w:t xml:space="preserve">· Heart rate acceleration with GLP-1 receptor agonists in type 2 diabetes patients: an acute and 12-week randomised, double-blind, placebo-controlled trial. PMID 27777261</w:t>
      </w:r>
    </w:p>
    <w:p>
      <w:pPr>
        <w:numPr>
          <w:ilvl w:val="0"/>
          <w:numId w:val="1376"/>
        </w:numPr>
        <w:pStyle w:val="Compact"/>
      </w:pPr>
      <w:r>
        <w:t xml:space="preserve">2017 · Ishøy PL ·</w:t>
      </w:r>
      <w:r>
        <w:t xml:space="preserve"> </w:t>
      </w:r>
      <w:r>
        <w:rPr>
          <w:iCs/>
          <w:i/>
        </w:rPr>
        <w:t xml:space="preserve">Diabetes Obes Metab</w:t>
      </w:r>
      <w:r>
        <w:t xml:space="preserve"> </w:t>
      </w:r>
      <w:r>
        <w:t xml:space="preserve">· Effect of GLP-1 receptor agonist treatment on body weight in obese antipsychotic-treated patients with schizophrenia: a randomized, placebo-controlled trial. PMID 27717222</w:t>
      </w:r>
    </w:p>
    <w:p>
      <w:pPr>
        <w:numPr>
          <w:ilvl w:val="0"/>
          <w:numId w:val="1376"/>
        </w:numPr>
        <w:pStyle w:val="Compact"/>
      </w:pPr>
      <w:r>
        <w:t xml:space="preserve">2017 · Lundkvist P ·</w:t>
      </w:r>
      <w:r>
        <w:t xml:space="preserve"> </w:t>
      </w:r>
      <w:r>
        <w:rPr>
          <w:iCs/>
          <w:i/>
        </w:rPr>
        <w:t xml:space="preserve">Diabetes Obes Metab</w:t>
      </w:r>
      <w:r>
        <w:t xml:space="preserve"> </w:t>
      </w:r>
      <w:r>
        <w:t xml:space="preserve">· Dapagliflozin once-daily and exenatide once-weekly dual therapy: A 24-week randomized, placebo-controlled, phase II study examining effects on body weight and prediabetes in obese adults without diabetes. PMID 27550386</w:t>
      </w:r>
    </w:p>
    <w:p>
      <w:pPr>
        <w:numPr>
          <w:ilvl w:val="0"/>
          <w:numId w:val="1376"/>
        </w:numPr>
        <w:pStyle w:val="Compact"/>
      </w:pPr>
      <w:r>
        <w:t xml:space="preserve">2017 · Salehi P ·</w:t>
      </w:r>
      <w:r>
        <w:t xml:space="preserve"> </w:t>
      </w:r>
      <w:r>
        <w:rPr>
          <w:iCs/>
          <w:i/>
        </w:rPr>
        <w:t xml:space="preserve">Pediatr Obes</w:t>
      </w:r>
      <w:r>
        <w:t xml:space="preserve"> </w:t>
      </w:r>
      <w:r>
        <w:t xml:space="preserve">· Effects of exenatide on weight and appetite in overweight adolescents and young adults with Prader-Willi syndrome. PMID 27071367</w:t>
      </w:r>
    </w:p>
    <w:p>
      <w:pPr>
        <w:numPr>
          <w:ilvl w:val="0"/>
          <w:numId w:val="1376"/>
        </w:numPr>
        <w:pStyle w:val="Compact"/>
      </w:pPr>
      <w:r>
        <w:t xml:space="preserve">2016 · Wiberg S ·</w:t>
      </w:r>
      <w:r>
        <w:t xml:space="preserve"> </w:t>
      </w:r>
      <w:r>
        <w:rPr>
          <w:iCs/>
          <w:i/>
        </w:rPr>
        <w:t xml:space="preserve">Circulation</w:t>
      </w:r>
      <w:r>
        <w:t xml:space="preserve"> </w:t>
      </w:r>
      <w:r>
        <w:t xml:space="preserve">· Neuroprotective Effects of the Glucagon-Like Peptide-1 Analog Exenatide After Out-of-Hospital Cardiac Arrest: A Randomized Controlled Trial. PMID 27838646</w:t>
      </w:r>
    </w:p>
    <w:p>
      <w:pPr>
        <w:numPr>
          <w:ilvl w:val="0"/>
          <w:numId w:val="1376"/>
        </w:numPr>
        <w:pStyle w:val="Compact"/>
      </w:pPr>
      <w:r>
        <w:t xml:space="preserve">2016 · de Lapertosa SB ·</w:t>
      </w:r>
      <w:r>
        <w:t xml:space="preserve"> </w:t>
      </w:r>
      <w:r>
        <w:rPr>
          <w:iCs/>
          <w:i/>
        </w:rPr>
        <w:t xml:space="preserve">Diabetes Res Clin Pract</w:t>
      </w:r>
      <w:r>
        <w:t xml:space="preserve"> </w:t>
      </w:r>
      <w:r>
        <w:t xml:space="preserve">· The effects of exenatide twice daily compared to insulin lispro added to basal insulin in Latin American patients with type 2 diabetes: A retrospective analysis of the 4B trial. PMID 27776251</w:t>
      </w:r>
    </w:p>
    <w:p>
      <w:pPr>
        <w:numPr>
          <w:ilvl w:val="0"/>
          <w:numId w:val="1376"/>
        </w:numPr>
        <w:pStyle w:val="Compact"/>
      </w:pPr>
      <w:r>
        <w:t xml:space="preserve">2016 · Frías JP ·</w:t>
      </w:r>
      <w:r>
        <w:t xml:space="preserve"> </w:t>
      </w:r>
      <w:r>
        <w:rPr>
          <w:iCs/>
          <w:i/>
        </w:rPr>
        <w:t xml:space="preserve">Lancet Diabetes Endocrinol</w:t>
      </w:r>
      <w:r>
        <w:t xml:space="preserve"> </w:t>
      </w:r>
      <w:r>
        <w:t xml:space="preserve">· Exenatide once weekly plus dapagliflozin once daily versus exenatide or dapagliflozin alone in patients with type 2 diabetes inadequately controlled with metformin monotherapy (DURATION-8): a 28 week, multicentre, double-blind, phase 3, randomised controlled trial. PMID 27651331</w:t>
      </w:r>
    </w:p>
    <w:p>
      <w:pPr>
        <w:numPr>
          <w:ilvl w:val="0"/>
          <w:numId w:val="1376"/>
        </w:numPr>
        <w:pStyle w:val="Compact"/>
      </w:pPr>
      <w:r>
        <w:t xml:space="preserve">2016 · Gastaldelli A ·</w:t>
      </w:r>
      <w:r>
        <w:t xml:space="preserve"> </w:t>
      </w:r>
      <w:r>
        <w:rPr>
          <w:iCs/>
          <w:i/>
        </w:rPr>
        <w:t xml:space="preserve">Hepatology</w:t>
      </w:r>
      <w:r>
        <w:t xml:space="preserve"> </w:t>
      </w:r>
      <w:r>
        <w:t xml:space="preserve">· Exenatide improves both hepatic and adipose tissue insulin resistance: A dynamic positron emission tomography study. PMID 27639082</w:t>
      </w:r>
    </w:p>
    <w:p>
      <w:pPr>
        <w:numPr>
          <w:ilvl w:val="0"/>
          <w:numId w:val="1376"/>
        </w:numPr>
        <w:pStyle w:val="Compact"/>
      </w:pPr>
      <w:r>
        <w:t xml:space="preserve">2016 · Smits MM ·</w:t>
      </w:r>
      <w:r>
        <w:t xml:space="preserve"> </w:t>
      </w:r>
      <w:r>
        <w:rPr>
          <w:iCs/>
          <w:i/>
        </w:rPr>
        <w:t xml:space="preserve">Arterioscler Thromb Vasc Biol</w:t>
      </w:r>
      <w:r>
        <w:t xml:space="preserve"> </w:t>
      </w:r>
      <w:r>
        <w:t xml:space="preserve">· GLP-1-Based Therapies Have No Microvascular Effects in Type 2 Diabetes Mellitus: An Acute and 12-Week Randomized, Double-Blind, Placebo-Controlled Trial. PMID 27562916</w:t>
      </w:r>
    </w:p>
    <w:p>
      <w:pPr>
        <w:numPr>
          <w:ilvl w:val="0"/>
          <w:numId w:val="1376"/>
        </w:numPr>
        <w:pStyle w:val="Compact"/>
      </w:pPr>
      <w:r>
        <w:t xml:space="preserve">2016 · Henry RR ·</w:t>
      </w:r>
      <w:r>
        <w:t xml:space="preserve"> </w:t>
      </w:r>
      <w:r>
        <w:rPr>
          <w:iCs/>
          <w:i/>
        </w:rPr>
        <w:t xml:space="preserve">Diabetes Technol Ther</w:t>
      </w:r>
      <w:r>
        <w:t xml:space="preserve"> </w:t>
      </w:r>
      <w:r>
        <w:t xml:space="preserve">· Efficacy and Tolerability of Exenatide Once Weekly Over 6 Years in Patients with Type 2 Diabetes: An Uncontrolled Open-Label Extension of the DURATION-1 Study. PMID 27525540</w:t>
      </w:r>
    </w:p>
    <w:p>
      <w:pPr>
        <w:numPr>
          <w:ilvl w:val="0"/>
          <w:numId w:val="1376"/>
        </w:numPr>
        <w:pStyle w:val="Compact"/>
      </w:pPr>
      <w:r>
        <w:t xml:space="preserve">2016 · van Raalte DH ·</w:t>
      </w:r>
      <w:r>
        <w:t xml:space="preserve"> </w:t>
      </w:r>
      <w:r>
        <w:rPr>
          <w:iCs/>
          <w:i/>
        </w:rPr>
        <w:t xml:space="preserve">Eur J Endocrinol</w:t>
      </w:r>
      <w:r>
        <w:t xml:space="preserve"> </w:t>
      </w:r>
      <w:r>
        <w:t xml:space="preserve">· Exenatide improves β-cell function up to 3 years of treatment in patients with type 2 diabetes: a randomised controlled trial. PMID 27466218</w:t>
      </w:r>
    </w:p>
    <w:p>
      <w:pPr>
        <w:numPr>
          <w:ilvl w:val="0"/>
          <w:numId w:val="1376"/>
        </w:numPr>
        <w:pStyle w:val="Compact"/>
      </w:pPr>
      <w:r>
        <w:t xml:space="preserve">2016 · Wysham CH ·</w:t>
      </w:r>
      <w:r>
        <w:t xml:space="preserve"> </w:t>
      </w:r>
      <w:r>
        <w:rPr>
          <w:iCs/>
          <w:i/>
        </w:rPr>
        <w:t xml:space="preserve">Diabetes Care</w:t>
      </w:r>
      <w:r>
        <w:t xml:space="preserve"> </w:t>
      </w:r>
      <w:r>
        <w:t xml:space="preserve">· Efficacy and Safety of Multiple Doses of Exenatide Once-Monthly Suspension in Patients With Type 2 Diabetes: A Phase II Randomized Clinical Trial. PMID 27436275</w:t>
      </w:r>
    </w:p>
    <w:p>
      <w:pPr>
        <w:numPr>
          <w:ilvl w:val="0"/>
          <w:numId w:val="1376"/>
        </w:numPr>
        <w:pStyle w:val="Compact"/>
      </w:pPr>
      <w:r>
        <w:t xml:space="preserve">2016 · Roos ST ·</w:t>
      </w:r>
      <w:r>
        <w:t xml:space="preserve"> </w:t>
      </w:r>
      <w:r>
        <w:rPr>
          <w:iCs/>
          <w:i/>
        </w:rPr>
        <w:t xml:space="preserve">Int J Cardiol</w:t>
      </w:r>
      <w:r>
        <w:t xml:space="preserve"> </w:t>
      </w:r>
      <w:r>
        <w:t xml:space="preserve">· No benefit of additional treatment with exenatide in patients with an acute myocardial infarction. PMID 27394978</w:t>
      </w:r>
    </w:p>
    <w:p>
      <w:pPr>
        <w:numPr>
          <w:ilvl w:val="0"/>
          <w:numId w:val="1376"/>
        </w:numPr>
        <w:pStyle w:val="Compact"/>
      </w:pPr>
      <w:r>
        <w:t xml:space="preserve">2016 · Wiberg S ·</w:t>
      </w:r>
      <w:r>
        <w:t xml:space="preserve"> </w:t>
      </w:r>
      <w:r>
        <w:rPr>
          <w:iCs/>
          <w:i/>
        </w:rPr>
        <w:t xml:space="preserve">Trials</w:t>
      </w:r>
      <w:r>
        <w:t xml:space="preserve"> </w:t>
      </w:r>
      <w:r>
        <w:t xml:space="preserve">· GLP-1 analogues for neuroprotection after out-of-hospital cardiac arrest: study protocol for a randomized controlled trial. PMID 27363489</w:t>
      </w:r>
    </w:p>
    <w:p>
      <w:pPr>
        <w:numPr>
          <w:ilvl w:val="0"/>
          <w:numId w:val="1376"/>
        </w:numPr>
        <w:pStyle w:val="Compact"/>
      </w:pPr>
      <w:r>
        <w:t xml:space="preserve">2016 · Zoso A ·</w:t>
      </w:r>
      <w:r>
        <w:t xml:space="preserve"> </w:t>
      </w:r>
      <w:r>
        <w:rPr>
          <w:iCs/>
          <w:i/>
        </w:rPr>
        <w:t xml:space="preserve">PLoS One</w:t>
      </w:r>
      <w:r>
        <w:t xml:space="preserve"> </w:t>
      </w:r>
      <w:r>
        <w:t xml:space="preserve">· G-CSF and Exenatide Might Be Associated with Increased Long-Term Survival of Allogeneic Pancreatic Islet Grafts. PMID 27285580</w:t>
      </w:r>
    </w:p>
    <w:p>
      <w:pPr>
        <w:numPr>
          <w:ilvl w:val="0"/>
          <w:numId w:val="1376"/>
        </w:numPr>
        <w:pStyle w:val="Compact"/>
      </w:pPr>
      <w:r>
        <w:t xml:space="preserve">2016 · FLAT-SUGAR Trial Investigators ·</w:t>
      </w:r>
      <w:r>
        <w:t xml:space="preserve"> </w:t>
      </w:r>
      <w:r>
        <w:rPr>
          <w:iCs/>
          <w:i/>
        </w:rPr>
        <w:t xml:space="preserve">Diabetes Care</w:t>
      </w:r>
      <w:r>
        <w:t xml:space="preserve"> </w:t>
      </w:r>
      <w:r>
        <w:t xml:space="preserve">· Glucose Variability in a 26-Week Randomized Comparison of Mealtime Treatment With Rapid-Acting Insulin Versus GLP-1 Agonist in Participants With Type 2 Diabetes at High Cardiovascular Risk. PMID 27208320</w:t>
      </w:r>
    </w:p>
    <w:p>
      <w:pPr>
        <w:numPr>
          <w:ilvl w:val="0"/>
          <w:numId w:val="1376"/>
        </w:numPr>
        <w:pStyle w:val="Compact"/>
      </w:pPr>
      <w:r>
        <w:t xml:space="preserve">2016 · Dutour A ·</w:t>
      </w:r>
      <w:r>
        <w:t xml:space="preserve"> </w:t>
      </w:r>
      <w:r>
        <w:rPr>
          <w:iCs/>
          <w:i/>
        </w:rPr>
        <w:t xml:space="preserve">Diabetes Obes Metab</w:t>
      </w:r>
      <w:r>
        <w:t xml:space="preserve"> </w:t>
      </w:r>
      <w:r>
        <w:t xml:space="preserve">· Exenatide decreases liver fat content and epicardial adipose tissue in patients with obesity and type 2 diabetes: a prospective randomized clinical trial using magnetic resonance imaging and spectroscopy. PMID 27106272</w:t>
      </w:r>
    </w:p>
    <w:p>
      <w:pPr>
        <w:numPr>
          <w:ilvl w:val="0"/>
          <w:numId w:val="1376"/>
        </w:numPr>
        <w:pStyle w:val="Compact"/>
      </w:pPr>
      <w:r>
        <w:t xml:space="preserve">2016 · Shankar SS ·</w:t>
      </w:r>
      <w:r>
        <w:t xml:space="preserve"> </w:t>
      </w:r>
      <w:r>
        <w:rPr>
          <w:iCs/>
          <w:i/>
        </w:rPr>
        <w:t xml:space="preserve">Am J Physiol Endocrinol Metab</w:t>
      </w:r>
      <w:r>
        <w:t xml:space="preserve"> </w:t>
      </w:r>
      <w:r>
        <w:t xml:space="preserve">· Linearity of β-cell response across the metabolic spectrum and to pharmacology: insights from a graded glucose infusion-based investigation series. PMID 27072496</w:t>
      </w:r>
    </w:p>
    <w:p>
      <w:pPr>
        <w:numPr>
          <w:ilvl w:val="0"/>
          <w:numId w:val="1376"/>
        </w:numPr>
        <w:pStyle w:val="Compact"/>
      </w:pPr>
      <w:r>
        <w:t xml:space="preserve">2016 · Wei R ·</w:t>
      </w:r>
      <w:r>
        <w:t xml:space="preserve"> </w:t>
      </w:r>
      <w:r>
        <w:rPr>
          <w:iCs/>
          <w:i/>
        </w:rPr>
        <w:t xml:space="preserve">Am J Physiol Endocrinol Metab</w:t>
      </w:r>
      <w:r>
        <w:t xml:space="preserve"> </w:t>
      </w:r>
      <w:r>
        <w:t xml:space="preserve">· Exenatide exerts direct protective effects on endothelial cells through the AMPK/Akt/eNOS pathway in a GLP-1 receptor-dependent manner. PMID 27072494</w:t>
      </w:r>
    </w:p>
    <w:p>
      <w:pPr>
        <w:numPr>
          <w:ilvl w:val="0"/>
          <w:numId w:val="1376"/>
        </w:numPr>
        <w:pStyle w:val="Compact"/>
      </w:pPr>
      <w:r>
        <w:t xml:space="preserve">2016 · Tonneijck L ·</w:t>
      </w:r>
      <w:r>
        <w:t xml:space="preserve"> </w:t>
      </w:r>
      <w:r>
        <w:rPr>
          <w:iCs/>
          <w:i/>
        </w:rPr>
        <w:t xml:space="preserve">Diabetologia</w:t>
      </w:r>
      <w:r>
        <w:t xml:space="preserve"> </w:t>
      </w:r>
      <w:r>
        <w:t xml:space="preserve">· Acute renal effects of the GLP-1 receptor agonist exenatide in overweight type 2 diabetes patients: a randomised, double-blind, placebo-controlled trial. PMID 27038451</w:t>
      </w:r>
    </w:p>
    <w:p>
      <w:pPr>
        <w:numPr>
          <w:ilvl w:val="0"/>
          <w:numId w:val="1376"/>
        </w:numPr>
        <w:pStyle w:val="Compact"/>
      </w:pPr>
      <w:r>
        <w:t xml:space="preserve">2016 · Xu S ·</w:t>
      </w:r>
      <w:r>
        <w:t xml:space="preserve"> </w:t>
      </w:r>
      <w:r>
        <w:rPr>
          <w:iCs/>
          <w:i/>
        </w:rPr>
        <w:t xml:space="preserve">Trials</w:t>
      </w:r>
      <w:r>
        <w:t xml:space="preserve"> </w:t>
      </w:r>
      <w:r>
        <w:t xml:space="preserve">· Comparison of exenatide with biphasic insulin aspart 30 on glucose variability in type 2 diabetes: study protocol for a randomized controlled trial. PMID 27009108</w:t>
      </w:r>
    </w:p>
    <w:p>
      <w:pPr>
        <w:numPr>
          <w:ilvl w:val="0"/>
          <w:numId w:val="1376"/>
        </w:numPr>
        <w:pStyle w:val="Compact"/>
      </w:pPr>
      <w:r>
        <w:t xml:space="preserve">2016 · Topyildiz F ·</w:t>
      </w:r>
      <w:r>
        <w:t xml:space="preserve"> </w:t>
      </w:r>
      <w:r>
        <w:rPr>
          <w:iCs/>
          <w:i/>
        </w:rPr>
        <w:t xml:space="preserve">J Diabetes Res</w:t>
      </w:r>
      <w:r>
        <w:t xml:space="preserve"> </w:t>
      </w:r>
      <w:r>
        <w:t xml:space="preserve">· Exenatide Treatment Causes Suppression of Serum Ghrelin Levels following Mixed Meal Test in Obese Diabetic Women. PMID 26998491</w:t>
      </w:r>
    </w:p>
    <w:p>
      <w:pPr>
        <w:numPr>
          <w:ilvl w:val="0"/>
          <w:numId w:val="1376"/>
        </w:numPr>
        <w:pStyle w:val="Compact"/>
      </w:pPr>
      <w:r>
        <w:t xml:space="preserve">2016 · Holman RR ·</w:t>
      </w:r>
      <w:r>
        <w:t xml:space="preserve"> </w:t>
      </w:r>
      <w:r>
        <w:rPr>
          <w:iCs/>
          <w:i/>
        </w:rPr>
        <w:t xml:space="preserve">Am Heart J</w:t>
      </w:r>
      <w:r>
        <w:t xml:space="preserve"> </w:t>
      </w:r>
      <w:r>
        <w:t xml:space="preserve">· Rationale and design of the EXenatide Study of Cardiovascular Event Lowering (EXSCEL) trial. PMID 26995376</w:t>
      </w:r>
    </w:p>
    <w:p>
      <w:pPr>
        <w:numPr>
          <w:ilvl w:val="0"/>
          <w:numId w:val="1376"/>
        </w:numPr>
        <w:pStyle w:val="Compact"/>
      </w:pPr>
      <w:r>
        <w:t xml:space="preserve">2016 · McGrath RT ·</w:t>
      </w:r>
      <w:r>
        <w:t xml:space="preserve"> </w:t>
      </w:r>
      <w:r>
        <w:rPr>
          <w:iCs/>
          <w:i/>
        </w:rPr>
        <w:t xml:space="preserve">BMJ Open</w:t>
      </w:r>
      <w:r>
        <w:t xml:space="preserve"> </w:t>
      </w:r>
      <w:r>
        <w:t xml:space="preserve">· Rationale and design of Short-Term EXenatide therapy in Acute ischaemic Stroke (STEXAS): a randomised, open-label, parallel-group study. PMID 26911582</w:t>
      </w:r>
    </w:p>
    <w:p>
      <w:pPr>
        <w:numPr>
          <w:ilvl w:val="0"/>
          <w:numId w:val="1376"/>
        </w:numPr>
        <w:pStyle w:val="Compact"/>
      </w:pPr>
      <w:r>
        <w:t xml:space="preserve">2016 · Quan H ·</w:t>
      </w:r>
      <w:r>
        <w:t xml:space="preserve"> </w:t>
      </w:r>
      <w:r>
        <w:rPr>
          <w:iCs/>
          <w:i/>
        </w:rPr>
        <w:t xml:space="preserve">J Diabetes Complications</w:t>
      </w:r>
      <w:r>
        <w:t xml:space="preserve"> </w:t>
      </w:r>
      <w:r>
        <w:t xml:space="preserve">· Gender-related different effects of a combined therapy of Exenatide and Metformin on overweight or obesity patients with type 2 diabetes mellitus. PMID 26873871</w:t>
      </w:r>
    </w:p>
    <w:p>
      <w:pPr>
        <w:numPr>
          <w:ilvl w:val="0"/>
          <w:numId w:val="1376"/>
        </w:numPr>
        <w:pStyle w:val="Compact"/>
      </w:pPr>
      <w:r>
        <w:t xml:space="preserve">2016 · Milicevic Z ·</w:t>
      </w:r>
      <w:r>
        <w:t xml:space="preserve"> </w:t>
      </w:r>
      <w:r>
        <w:rPr>
          <w:iCs/>
          <w:i/>
        </w:rPr>
        <w:t xml:space="preserve">Diabetes Obes Metab</w:t>
      </w:r>
      <w:r>
        <w:t xml:space="preserve"> </w:t>
      </w:r>
      <w:r>
        <w:t xml:space="preserve">· Low incidence of anti-drug antibodies in patients with type 2 diabetes treated with once-weekly glucagon-like peptide-1 receptor agonist dulaglutide. PMID 26847401</w:t>
      </w:r>
    </w:p>
    <w:p>
      <w:pPr>
        <w:numPr>
          <w:ilvl w:val="0"/>
          <w:numId w:val="1376"/>
        </w:numPr>
        <w:pStyle w:val="Compact"/>
      </w:pPr>
      <w:r>
        <w:t xml:space="preserve">2016 · Sheu WH ·</w:t>
      </w:r>
      <w:r>
        <w:t xml:space="preserve"> </w:t>
      </w:r>
      <w:r>
        <w:rPr>
          <w:iCs/>
          <w:i/>
        </w:rPr>
        <w:t xml:space="preserve">Diabetes Res Clin Pract</w:t>
      </w:r>
      <w:r>
        <w:t xml:space="preserve"> </w:t>
      </w:r>
      <w:r>
        <w:t xml:space="preserve">· Efficacy and tolerability of exenatide twice daily and exenatide once weekly in Asian versus White patients with type 2 diabetes mellitus: A pooled analysis. PMID 26827116</w:t>
      </w:r>
    </w:p>
    <w:p>
      <w:pPr>
        <w:numPr>
          <w:ilvl w:val="0"/>
          <w:numId w:val="1376"/>
        </w:numPr>
        <w:pStyle w:val="Compact"/>
      </w:pPr>
      <w:r>
        <w:t xml:space="preserve">2016 · Savvidou S ·</w:t>
      </w:r>
      <w:r>
        <w:t xml:space="preserve"> </w:t>
      </w:r>
      <w:r>
        <w:rPr>
          <w:iCs/>
          <w:i/>
        </w:rPr>
        <w:t xml:space="preserve">Diabetes Res Clin Pract</w:t>
      </w:r>
      <w:r>
        <w:t xml:space="preserve"> </w:t>
      </w:r>
      <w:r>
        <w:t xml:space="preserve">· Circulating adiponectin levels in type 2 diabetes mellitus patients with or without non-alcoholic fatty liver disease: Results of a small, open-label, randomized controlled intervention trial in a subgroup receiving short-term exenatide. PMID 26803355</w:t>
      </w:r>
    </w:p>
    <w:p>
      <w:pPr>
        <w:numPr>
          <w:ilvl w:val="0"/>
          <w:numId w:val="1376"/>
        </w:numPr>
        <w:pStyle w:val="Compact"/>
      </w:pPr>
      <w:r>
        <w:t xml:space="preserve">2016 · Nagakura J ·</w:t>
      </w:r>
      <w:r>
        <w:t xml:space="preserve"> </w:t>
      </w:r>
      <w:r>
        <w:rPr>
          <w:iCs/>
          <w:i/>
        </w:rPr>
        <w:t xml:space="preserve">Endocr J</w:t>
      </w:r>
      <w:r>
        <w:t xml:space="preserve"> </w:t>
      </w:r>
      <w:r>
        <w:t xml:space="preserve">· Effects of exenatide and liraglutide on 24-hour glucose fluctuations in type 2 diabetes. PMID 26743240</w:t>
      </w:r>
    </w:p>
    <w:p>
      <w:pPr>
        <w:numPr>
          <w:ilvl w:val="0"/>
          <w:numId w:val="1376"/>
        </w:numPr>
        <w:pStyle w:val="Compact"/>
      </w:pPr>
      <w:r>
        <w:t xml:space="preserve">2016 · Yu M ·</w:t>
      </w:r>
      <w:r>
        <w:t xml:space="preserve"> </w:t>
      </w:r>
      <w:r>
        <w:rPr>
          <w:iCs/>
          <w:i/>
        </w:rPr>
        <w:t xml:space="preserve">Diabetes Obes Metab</w:t>
      </w:r>
      <w:r>
        <w:t xml:space="preserve"> </w:t>
      </w:r>
      <w:r>
        <w:t xml:space="preserve">· Patient-reported outcome results in patients with type 2 diabetes treated with once-weekly dulaglutide: data from the AWARD phase III clinical trial programme. PMID 26691396</w:t>
      </w:r>
    </w:p>
    <w:p>
      <w:pPr>
        <w:numPr>
          <w:ilvl w:val="0"/>
          <w:numId w:val="1376"/>
        </w:numPr>
        <w:pStyle w:val="Compact"/>
      </w:pPr>
      <w:r>
        <w:t xml:space="preserve">2016 · Nathan BM ·</w:t>
      </w:r>
      <w:r>
        <w:t xml:space="preserve"> </w:t>
      </w:r>
      <w:r>
        <w:rPr>
          <w:iCs/>
          <w:i/>
        </w:rPr>
        <w:t xml:space="preserve">Clin Obes</w:t>
      </w:r>
      <w:r>
        <w:t xml:space="preserve"> </w:t>
      </w:r>
      <w:r>
        <w:t xml:space="preserve">· Predictors of weight-loss response with glucagon-like peptide-1 receptor agonist treatment among adolescents with severe obesity. PMID 26683756</w:t>
      </w:r>
    </w:p>
    <w:p>
      <w:pPr>
        <w:numPr>
          <w:ilvl w:val="0"/>
          <w:numId w:val="1376"/>
        </w:numPr>
        <w:pStyle w:val="Compact"/>
      </w:pPr>
      <w:r>
        <w:t xml:space="preserve">2016 · Smits MM ·</w:t>
      </w:r>
      <w:r>
        <w:t xml:space="preserve"> </w:t>
      </w:r>
      <w:r>
        <w:rPr>
          <w:iCs/>
          <w:i/>
        </w:rPr>
        <w:t xml:space="preserve">Diabetes Obes Metab</w:t>
      </w:r>
      <w:r>
        <w:t xml:space="preserve"> </w:t>
      </w:r>
      <w:r>
        <w:t xml:space="preserve">· Glucagon-like peptide-1 receptor agonist exenatide has no acute effect on MRI-measured exocrine pancreatic function in patients with type 2 diabetes: a randomized trial. PMID 26640129</w:t>
      </w:r>
    </w:p>
    <w:p>
      <w:pPr>
        <w:numPr>
          <w:ilvl w:val="0"/>
          <w:numId w:val="1376"/>
        </w:numPr>
        <w:pStyle w:val="Compact"/>
      </w:pPr>
      <w:r>
        <w:t xml:space="preserve">2016 · Muskiet MH ·</w:t>
      </w:r>
      <w:r>
        <w:t xml:space="preserve"> </w:t>
      </w:r>
      <w:r>
        <w:rPr>
          <w:iCs/>
          <w:i/>
        </w:rPr>
        <w:t xml:space="preserve">Diabetes Obes Metab</w:t>
      </w:r>
      <w:r>
        <w:t xml:space="preserve"> </w:t>
      </w:r>
      <w:r>
        <w:t xml:space="preserve">· Acute renal haemodynamic effects of glucagon-like peptide-1 receptor agonist exenatide in healthy overweight men. PMID 26636423</w:t>
      </w:r>
    </w:p>
    <w:p>
      <w:pPr>
        <w:numPr>
          <w:ilvl w:val="0"/>
          <w:numId w:val="1376"/>
        </w:numPr>
        <w:pStyle w:val="Compact"/>
      </w:pPr>
      <w:r>
        <w:t xml:space="preserve">2016 · Smits MM ·</w:t>
      </w:r>
      <w:r>
        <w:t xml:space="preserve"> </w:t>
      </w:r>
      <w:r>
        <w:rPr>
          <w:iCs/>
          <w:i/>
        </w:rPr>
        <w:t xml:space="preserve">Br J Clin Pharmacol</w:t>
      </w:r>
      <w:r>
        <w:t xml:space="preserve"> </w:t>
      </w:r>
      <w:r>
        <w:t xml:space="preserve">· Exenatide acutely increases heart rate in parallel with augmented sympathetic nervous system activation in healthy overweight males. PMID 26609792</w:t>
      </w:r>
    </w:p>
    <w:p>
      <w:pPr>
        <w:numPr>
          <w:ilvl w:val="0"/>
          <w:numId w:val="1376"/>
        </w:numPr>
        <w:pStyle w:val="Compact"/>
      </w:pPr>
      <w:r>
        <w:t xml:space="preserve">2016 · Thazhath SS ·</w:t>
      </w:r>
      <w:r>
        <w:t xml:space="preserve"> </w:t>
      </w:r>
      <w:r>
        <w:rPr>
          <w:iCs/>
          <w:i/>
        </w:rPr>
        <w:t xml:space="preserve">Diabetes</w:t>
      </w:r>
      <w:r>
        <w:t xml:space="preserve"> </w:t>
      </w:r>
      <w:r>
        <w:t xml:space="preserve">· The Glucagon-Like Peptide 1 Receptor Agonist Exenatide Inhibits Small Intestinal Motility, Flow, Transit, and Absorption of Glucose in Healthy Subjects and Patients With Type 2 Diabetes: A Randomized Controlled Trial. PMID 26470783</w:t>
      </w:r>
    </w:p>
    <w:p>
      <w:pPr>
        <w:numPr>
          <w:ilvl w:val="0"/>
          <w:numId w:val="1376"/>
        </w:numPr>
        <w:pStyle w:val="Compact"/>
      </w:pPr>
      <w:r>
        <w:t xml:space="preserve">2015 · Lin CH ·</w:t>
      </w:r>
      <w:r>
        <w:t xml:space="preserve"> </w:t>
      </w:r>
      <w:r>
        <w:rPr>
          <w:iCs/>
          <w:i/>
        </w:rPr>
        <w:t xml:space="preserve">Sci Rep</w:t>
      </w:r>
      <w:r>
        <w:t xml:space="preserve"> </w:t>
      </w:r>
      <w:r>
        <w:t xml:space="preserve">· Glucose Variability and β- Cell Response by GLP-1 Analogue added-on CSII for Patients with Poorly Controlled Type 2 Diabetes. PMID 26607841</w:t>
      </w:r>
    </w:p>
    <w:p>
      <w:pPr>
        <w:numPr>
          <w:ilvl w:val="0"/>
          <w:numId w:val="1376"/>
        </w:numPr>
        <w:pStyle w:val="Compact"/>
      </w:pPr>
      <w:r>
        <w:t xml:space="preserve">2015 · Smits MM ·</w:t>
      </w:r>
      <w:r>
        <w:t xml:space="preserve"> </w:t>
      </w:r>
      <w:r>
        <w:rPr>
          <w:iCs/>
          <w:i/>
        </w:rPr>
        <w:t xml:space="preserve">BMJ Open</w:t>
      </w:r>
      <w:r>
        <w:t xml:space="preserve"> </w:t>
      </w:r>
      <w:r>
        <w:t xml:space="preserve">· Cardiovascular, renal and gastrointestinal effects of incretin-based therapies: an acute and 12-week randomised, double-blind, placebo-controlled, mechanistic intervention trial in type 2 diabetes. PMID 26586327</w:t>
      </w:r>
    </w:p>
    <w:p>
      <w:pPr>
        <w:numPr>
          <w:ilvl w:val="0"/>
          <w:numId w:val="1376"/>
        </w:numPr>
        <w:pStyle w:val="Compact"/>
      </w:pPr>
      <w:r>
        <w:t xml:space="preserve">2015 · Chen WR ·</w:t>
      </w:r>
      <w:r>
        <w:t xml:space="preserve"> </w:t>
      </w:r>
      <w:r>
        <w:rPr>
          <w:iCs/>
          <w:i/>
        </w:rPr>
        <w:t xml:space="preserve">Am Heart J</w:t>
      </w:r>
      <w:r>
        <w:t xml:space="preserve"> </w:t>
      </w:r>
      <w:r>
        <w:t xml:space="preserve">· Effects of liraglutide on left ventricular function in patients with ST-segment elevation myocardial infarction undergoing primary percutaneous coronary intervention. PMID 26542491</w:t>
      </w:r>
    </w:p>
    <w:p>
      <w:pPr>
        <w:numPr>
          <w:ilvl w:val="0"/>
          <w:numId w:val="1376"/>
        </w:numPr>
        <w:pStyle w:val="Compact"/>
      </w:pPr>
      <w:r>
        <w:t xml:space="preserve">2015 · Wang XH ·</w:t>
      </w:r>
      <w:r>
        <w:t xml:space="preserve"> </w:t>
      </w:r>
      <w:r>
        <w:rPr>
          <w:iCs/>
          <w:i/>
        </w:rPr>
        <w:t xml:space="preserve">Sichuan Da Xue Xue Bao Yi Xue Ban</w:t>
      </w:r>
      <w:r>
        <w:t xml:space="preserve"> </w:t>
      </w:r>
      <w:r>
        <w:t xml:space="preserve">· [Effects of GLP-1 Agonist Exenatide on Cardiac Diastolic Function and Vascular Endothelial Function in Diabetic Patients]. PMID 26480664</w:t>
      </w:r>
    </w:p>
    <w:p>
      <w:pPr>
        <w:numPr>
          <w:ilvl w:val="0"/>
          <w:numId w:val="1376"/>
        </w:numPr>
        <w:pStyle w:val="Compact"/>
      </w:pPr>
      <w:r>
        <w:t xml:space="preserve">2015 · Simó R ·</w:t>
      </w:r>
      <w:r>
        <w:t xml:space="preserve"> </w:t>
      </w:r>
      <w:r>
        <w:rPr>
          <w:iCs/>
          <w:i/>
        </w:rPr>
        <w:t xml:space="preserve">Cardiovasc Diabetol</w:t>
      </w:r>
      <w:r>
        <w:t xml:space="preserve"> </w:t>
      </w:r>
      <w:r>
        <w:t xml:space="preserve">· Long-term changes in cardiovascular risk markers during administration of exenatide twice daily or glimepiride: results from the European exenatide study. PMID 26338040</w:t>
      </w:r>
    </w:p>
    <w:p>
      <w:pPr>
        <w:numPr>
          <w:ilvl w:val="0"/>
          <w:numId w:val="1376"/>
        </w:numPr>
        <w:pStyle w:val="Compact"/>
      </w:pPr>
      <w:r>
        <w:t xml:space="preserve">2015 · van Bloemendaal L ·</w:t>
      </w:r>
      <w:r>
        <w:t xml:space="preserve"> </w:t>
      </w:r>
      <w:r>
        <w:rPr>
          <w:iCs/>
          <w:i/>
        </w:rPr>
        <w:t xml:space="preserve">Obesity (Silver Spring)</w:t>
      </w:r>
      <w:r>
        <w:t xml:space="preserve"> </w:t>
      </w:r>
      <w:r>
        <w:t xml:space="preserve">· Emotional eating is associated with increased brain responses to food-cues and reduced sensitivity to GLP-1 receptor activation. PMID 26331843</w:t>
      </w:r>
    </w:p>
    <w:p>
      <w:pPr>
        <w:numPr>
          <w:ilvl w:val="0"/>
          <w:numId w:val="1376"/>
        </w:numPr>
        <w:pStyle w:val="Compact"/>
      </w:pPr>
      <w:r>
        <w:t xml:space="preserve">2015 · Jaiswal M ·</w:t>
      </w:r>
      <w:r>
        <w:t xml:space="preserve"> </w:t>
      </w:r>
      <w:r>
        <w:rPr>
          <w:iCs/>
          <w:i/>
        </w:rPr>
        <w:t xml:space="preserve">J Diabetes Complications</w:t>
      </w:r>
      <w:r>
        <w:t xml:space="preserve"> </w:t>
      </w:r>
      <w:r>
        <w:t xml:space="preserve">· Effects of exenatide on measures of diabetic neuropathy in subjects with type 2 diabetes: results from an 18-month proof-of-concept open-label randomized study. PMID 26264399</w:t>
      </w:r>
    </w:p>
    <w:p>
      <w:pPr>
        <w:numPr>
          <w:ilvl w:val="0"/>
          <w:numId w:val="1376"/>
        </w:numPr>
        <w:pStyle w:val="Compact"/>
      </w:pPr>
      <w:r>
        <w:t xml:space="preserve">2015 · Li R ·</w:t>
      </w:r>
      <w:r>
        <w:t xml:space="preserve"> </w:t>
      </w:r>
      <w:r>
        <w:rPr>
          <w:iCs/>
          <w:i/>
        </w:rPr>
        <w:t xml:space="preserve">Acta Diabetol</w:t>
      </w:r>
      <w:r>
        <w:t xml:space="preserve"> </w:t>
      </w:r>
      <w:r>
        <w:t xml:space="preserve">· Effect of exenatide, insulin and pioglitazone on bone metabolism in patients with newly diagnosed type 2 diabetes. PMID 26249206</w:t>
      </w:r>
    </w:p>
    <w:p>
      <w:pPr>
        <w:numPr>
          <w:ilvl w:val="0"/>
          <w:numId w:val="1376"/>
        </w:numPr>
        <w:pStyle w:val="Compact"/>
      </w:pPr>
      <w:r>
        <w:t xml:space="preserve">2015 · Vlasakakis G ·</w:t>
      </w:r>
      <w:r>
        <w:t xml:space="preserve"> </w:t>
      </w:r>
      <w:r>
        <w:rPr>
          <w:iCs/>
          <w:i/>
        </w:rPr>
        <w:t xml:space="preserve">Adv Ther</w:t>
      </w:r>
      <w:r>
        <w:t xml:space="preserve"> </w:t>
      </w:r>
      <w:r>
        <w:t xml:space="preserve">· Pharmacokinetics and Tolerability of Exenatide Delivered by 7-Day Continuous Subcutaneous Infusion in Healthy Volunteers. PMID 26160357</w:t>
      </w:r>
    </w:p>
    <w:p>
      <w:pPr>
        <w:numPr>
          <w:ilvl w:val="0"/>
          <w:numId w:val="1376"/>
        </w:numPr>
        <w:pStyle w:val="Compact"/>
      </w:pPr>
      <w:r>
        <w:t xml:space="preserve">2015 · Daniele G ·</w:t>
      </w:r>
      <w:r>
        <w:t xml:space="preserve"> </w:t>
      </w:r>
      <w:r>
        <w:rPr>
          <w:iCs/>
          <w:i/>
        </w:rPr>
        <w:t xml:space="preserve">Diabetes</w:t>
      </w:r>
      <w:r>
        <w:t xml:space="preserve"> </w:t>
      </w:r>
      <w:r>
        <w:t xml:space="preserve">· Exenatide Regulates Cerebral Glucose Metabolism in Brain Areas Associated With Glucose Homeostasis and Reward System. PMID 26116695</w:t>
      </w:r>
    </w:p>
    <w:p>
      <w:pPr>
        <w:numPr>
          <w:ilvl w:val="0"/>
          <w:numId w:val="1376"/>
        </w:numPr>
        <w:pStyle w:val="Compact"/>
      </w:pPr>
      <w:r>
        <w:t xml:space="preserve">2015 · Reaney M ·</w:t>
      </w:r>
      <w:r>
        <w:t xml:space="preserve"> </w:t>
      </w:r>
      <w:r>
        <w:rPr>
          <w:iCs/>
          <w:i/>
        </w:rPr>
        <w:t xml:space="preserve">Diabetes Obes Metab</w:t>
      </w:r>
      <w:r>
        <w:t xml:space="preserve"> </w:t>
      </w:r>
      <w:r>
        <w:t xml:space="preserve">· Treatment satisfaction in people with type 2 diabetes mellitus treated with once-weekly dulaglutide: data from the AWARD-1 and AWARD-3 clinical trials. PMID 26095190</w:t>
      </w:r>
    </w:p>
    <w:p>
      <w:pPr>
        <w:numPr>
          <w:ilvl w:val="0"/>
          <w:numId w:val="1376"/>
        </w:numPr>
        <w:pStyle w:val="Compact"/>
      </w:pPr>
      <w:r>
        <w:t xml:space="preserve">2015 · van Bloemendaal L ·</w:t>
      </w:r>
      <w:r>
        <w:t xml:space="preserve"> </w:t>
      </w:r>
      <w:r>
        <w:rPr>
          <w:iCs/>
          <w:i/>
        </w:rPr>
        <w:t xml:space="preserve">Diabetes Obes Metab</w:t>
      </w:r>
      <w:r>
        <w:t xml:space="preserve"> </w:t>
      </w:r>
      <w:r>
        <w:t xml:space="preserve">· Brain reward-system activation in response to anticipation and consumption of palatable food is altered by glucagon-like peptide-1 receptor activation in humans. PMID 26094857</w:t>
      </w:r>
    </w:p>
    <w:p>
      <w:pPr>
        <w:numPr>
          <w:ilvl w:val="0"/>
          <w:numId w:val="1376"/>
        </w:numPr>
        <w:pStyle w:val="Compact"/>
      </w:pPr>
      <w:r>
        <w:t xml:space="preserve">2015 · Schernthaner G ·</w:t>
      </w:r>
      <w:r>
        <w:t xml:space="preserve"> </w:t>
      </w:r>
      <w:r>
        <w:rPr>
          <w:iCs/>
          <w:i/>
        </w:rPr>
        <w:t xml:space="preserve">Diabetes Obes Metab</w:t>
      </w:r>
      <w:r>
        <w:t xml:space="preserve"> </w:t>
      </w:r>
      <w:r>
        <w:t xml:space="preserve">· Treatment escalation options for patients with type 2 diabetes after failure of exenatide twice daily or glimepiride added to metformin: results from the prospective European Exenatide (EUREXA) study. PMID 25846577</w:t>
      </w:r>
    </w:p>
    <w:p>
      <w:pPr>
        <w:numPr>
          <w:ilvl w:val="0"/>
          <w:numId w:val="1376"/>
        </w:numPr>
        <w:pStyle w:val="Compact"/>
      </w:pPr>
      <w:r>
        <w:t xml:space="preserve">2015 · Wysham CH ·</w:t>
      </w:r>
      <w:r>
        <w:t xml:space="preserve"> </w:t>
      </w:r>
      <w:r>
        <w:rPr>
          <w:iCs/>
          <w:i/>
        </w:rPr>
        <w:t xml:space="preserve">Mayo Clin Proc</w:t>
      </w:r>
      <w:r>
        <w:t xml:space="preserve"> </w:t>
      </w:r>
      <w:r>
        <w:t xml:space="preserve">· Five-year efficacy and safety data of exenatide once weekly: long-term results from the DURATION-1 randomized clinical trial. PMID 25744115</w:t>
      </w:r>
    </w:p>
    <w:p>
      <w:pPr>
        <w:numPr>
          <w:ilvl w:val="0"/>
          <w:numId w:val="1376"/>
        </w:numPr>
        <w:pStyle w:val="Compact"/>
      </w:pPr>
      <w:r>
        <w:t xml:space="preserve">2015 · Koska J ·</w:t>
      </w:r>
      <w:r>
        <w:t xml:space="preserve"> </w:t>
      </w:r>
      <w:r>
        <w:rPr>
          <w:iCs/>
          <w:i/>
        </w:rPr>
        <w:t xml:space="preserve">Diabetes</w:t>
      </w:r>
      <w:r>
        <w:t xml:space="preserve"> </w:t>
      </w:r>
      <w:r>
        <w:t xml:space="preserve">· Exenatide Protects Against Glucose- and Lipid-Induced Endothelial Dysfunction: Evidence for Direct Vasodilation Effect of GLP-1 Receptor Agonists in Humans. PMID 25720388</w:t>
      </w:r>
    </w:p>
    <w:p>
      <w:pPr>
        <w:numPr>
          <w:ilvl w:val="0"/>
          <w:numId w:val="1376"/>
        </w:numPr>
        <w:pStyle w:val="Compact"/>
      </w:pPr>
      <w:r>
        <w:t xml:space="preserve">2015 · Blonde L ·</w:t>
      </w:r>
      <w:r>
        <w:t xml:space="preserve"> </w:t>
      </w:r>
      <w:r>
        <w:rPr>
          <w:iCs/>
          <w:i/>
        </w:rPr>
        <w:t xml:space="preserve">Cardiovasc Diabetol</w:t>
      </w:r>
      <w:r>
        <w:t xml:space="preserve"> </w:t>
      </w:r>
      <w:r>
        <w:t xml:space="preserve">· Association among weight change, glycemic control, and markers of cardiovascular risk with exenatide once weekly: a pooled analysis of patients with type 2 diabetes. PMID 25645567</w:t>
      </w:r>
    </w:p>
    <w:p>
      <w:pPr>
        <w:numPr>
          <w:ilvl w:val="0"/>
          <w:numId w:val="1376"/>
        </w:numPr>
        <w:pStyle w:val="Compact"/>
      </w:pPr>
      <w:r>
        <w:t xml:space="preserve">2015 · Iglesias P ·</w:t>
      </w:r>
      <w:r>
        <w:t xml:space="preserve"> </w:t>
      </w:r>
      <w:r>
        <w:rPr>
          <w:iCs/>
          <w:i/>
        </w:rPr>
        <w:t xml:space="preserve">Obes Surg</w:t>
      </w:r>
      <w:r>
        <w:t xml:space="preserve"> </w:t>
      </w:r>
      <w:r>
        <w:t xml:space="preserve">· Clinical effectiveness of exenatide in diabetic patients waiting for bariatric surgery. PMID 25589020</w:t>
      </w:r>
    </w:p>
    <w:p>
      <w:pPr>
        <w:numPr>
          <w:ilvl w:val="0"/>
          <w:numId w:val="1376"/>
        </w:numPr>
        <w:pStyle w:val="Compact"/>
      </w:pPr>
      <w:r>
        <w:t xml:space="preserve">2015 · Abdul-Ghani MA ·</w:t>
      </w:r>
      <w:r>
        <w:t xml:space="preserve"> </w:t>
      </w:r>
      <w:r>
        <w:rPr>
          <w:iCs/>
          <w:i/>
        </w:rPr>
        <w:t xml:space="preserve">Diabetes Obes Metab</w:t>
      </w:r>
      <w:r>
        <w:t xml:space="preserve"> </w:t>
      </w:r>
      <w:r>
        <w:t xml:space="preserve">· Initial combination therapy with metformin, pioglitazone and exenatide is more effective than sequential add-on therapy in subjects with new-onset diabetes. Results from the Efficacy and Durability of Initial Combination Therapy for Type 2 Diabetes (EDICT): a randomized trial. PMID 25425451</w:t>
      </w:r>
    </w:p>
    <w:p>
      <w:pPr>
        <w:numPr>
          <w:ilvl w:val="0"/>
          <w:numId w:val="1376"/>
        </w:numPr>
        <w:pStyle w:val="Compact"/>
      </w:pPr>
      <w:r>
        <w:t xml:space="preserve">2015 · Xu W ·</w:t>
      </w:r>
      <w:r>
        <w:t xml:space="preserve"> </w:t>
      </w:r>
      <w:r>
        <w:rPr>
          <w:iCs/>
          <w:i/>
        </w:rPr>
        <w:t xml:space="preserve">J Intern Med</w:t>
      </w:r>
      <w:r>
        <w:t xml:space="preserve"> </w:t>
      </w:r>
      <w:r>
        <w:t xml:space="preserve">· Comparison of the effects on glycaemic control and β-cell function in newly diagnosed type 2 diabetes patients of treatment with exenatide, insulin or pioglitazone: a multicentre randomized parallel-group trial (the CONFIDENCE study). PMID 25039675</w:t>
      </w:r>
    </w:p>
    <w:p>
      <w:pPr>
        <w:numPr>
          <w:ilvl w:val="0"/>
          <w:numId w:val="1376"/>
        </w:numPr>
        <w:pStyle w:val="Compact"/>
      </w:pPr>
      <w:r>
        <w:t xml:space="preserve">2014 · Gurkan E ·</w:t>
      </w:r>
      <w:r>
        <w:t xml:space="preserve"> </w:t>
      </w:r>
      <w:r>
        <w:rPr>
          <w:iCs/>
          <w:i/>
        </w:rPr>
        <w:t xml:space="preserve">Diabetes Res Clin Pract</w:t>
      </w:r>
      <w:r>
        <w:t xml:space="preserve"> </w:t>
      </w:r>
      <w:r>
        <w:t xml:space="preserve">· Evaluation of exenatide versus insulin glargine for the impact on endothelial functions and cardiovascular risk markers. PMID 25458329</w:t>
      </w:r>
    </w:p>
    <w:p>
      <w:pPr>
        <w:numPr>
          <w:ilvl w:val="0"/>
          <w:numId w:val="1376"/>
        </w:numPr>
        <w:pStyle w:val="Compact"/>
      </w:pPr>
      <w:r>
        <w:t xml:space="preserve">2014 · Voukali M ·</w:t>
      </w:r>
      <w:r>
        <w:t xml:space="preserve"> </w:t>
      </w:r>
      <w:r>
        <w:rPr>
          <w:iCs/>
          <w:i/>
        </w:rPr>
        <w:t xml:space="preserve">J Diabetes Res</w:t>
      </w:r>
      <w:r>
        <w:t xml:space="preserve"> </w:t>
      </w:r>
      <w:r>
        <w:t xml:space="preserve">· Study of postprandial lipaemia in type 2 diabetes mellitus: exenatide versus liraglutide. PMID 25165723</w:t>
      </w:r>
    </w:p>
    <w:p>
      <w:pPr>
        <w:numPr>
          <w:ilvl w:val="0"/>
          <w:numId w:val="1376"/>
        </w:numPr>
        <w:pStyle w:val="Compact"/>
      </w:pPr>
      <w:r>
        <w:t xml:space="preserve">2014 · Bi Y ·</w:t>
      </w:r>
      <w:r>
        <w:t xml:space="preserve"> </w:t>
      </w:r>
      <w:r>
        <w:rPr>
          <w:iCs/>
          <w:i/>
        </w:rPr>
        <w:t xml:space="preserve">Acta Diabetol</w:t>
      </w:r>
      <w:r>
        <w:t xml:space="preserve"> </w:t>
      </w:r>
      <w:r>
        <w:t xml:space="preserve">· Effects of exenatide, insulin, and pioglitazone on liver fat content and body fat distributions in drug-naive subjects with type 2 diabetes. PMID 25118999</w:t>
      </w:r>
    </w:p>
    <w:p>
      <w:pPr>
        <w:numPr>
          <w:ilvl w:val="0"/>
          <w:numId w:val="1376"/>
        </w:numPr>
        <w:pStyle w:val="Compact"/>
      </w:pPr>
      <w:r>
        <w:t xml:space="preserve">2014 · van Bloemendaal L ·</w:t>
      </w:r>
      <w:r>
        <w:t xml:space="preserve"> </w:t>
      </w:r>
      <w:r>
        <w:rPr>
          <w:iCs/>
          <w:i/>
        </w:rPr>
        <w:t xml:space="preserve">Diabetes</w:t>
      </w:r>
      <w:r>
        <w:t xml:space="preserve"> </w:t>
      </w:r>
      <w:r>
        <w:t xml:space="preserve">· GLP-1 receptor activation modulates appetite- and reward-related brain areas in humans. PMID 25071023</w:t>
      </w:r>
    </w:p>
    <w:p>
      <w:pPr>
        <w:numPr>
          <w:ilvl w:val="0"/>
          <w:numId w:val="1376"/>
        </w:numPr>
        <w:pStyle w:val="Compact"/>
      </w:pPr>
      <w:r>
        <w:t xml:space="preserve">2014 · Qi M ·</w:t>
      </w:r>
      <w:r>
        <w:t xml:space="preserve"> </w:t>
      </w:r>
      <w:r>
        <w:rPr>
          <w:iCs/>
          <w:i/>
        </w:rPr>
        <w:t xml:space="preserve">Acta Diabetol</w:t>
      </w:r>
      <w:r>
        <w:t xml:space="preserve"> </w:t>
      </w:r>
      <w:r>
        <w:t xml:space="preserve">· Five-year follow-up of patients with type 1 diabetes transplanted with allogeneic islets: the UIC experience. PMID 25034311</w:t>
      </w:r>
    </w:p>
    <w:p>
      <w:pPr>
        <w:numPr>
          <w:ilvl w:val="0"/>
          <w:numId w:val="1376"/>
        </w:numPr>
        <w:pStyle w:val="Compact"/>
      </w:pPr>
      <w:r>
        <w:t xml:space="preserve">2014 · Renukuntla VS ·</w:t>
      </w:r>
      <w:r>
        <w:t xml:space="preserve"> </w:t>
      </w:r>
      <w:r>
        <w:rPr>
          <w:iCs/>
          <w:i/>
        </w:rPr>
        <w:t xml:space="preserve">J Diabetes Sci Technol</w:t>
      </w:r>
      <w:r>
        <w:t xml:space="preserve"> </w:t>
      </w:r>
      <w:r>
        <w:t xml:space="preserve">· Role of glucagon-like peptide-1 analogue versus amylin as an adjuvant therapy in type 1 diabetes in a closed loop setting with ePID algorithm. PMID 25030181</w:t>
      </w:r>
    </w:p>
    <w:p>
      <w:pPr>
        <w:numPr>
          <w:ilvl w:val="0"/>
          <w:numId w:val="1376"/>
        </w:numPr>
        <w:pStyle w:val="Compact"/>
      </w:pPr>
      <w:r>
        <w:t xml:space="preserve">2014 · Diamant M ·</w:t>
      </w:r>
      <w:r>
        <w:t xml:space="preserve"> </w:t>
      </w:r>
      <w:r>
        <w:rPr>
          <w:iCs/>
          <w:i/>
        </w:rPr>
        <w:t xml:space="preserve">Diabetes Care</w:t>
      </w:r>
      <w:r>
        <w:t xml:space="preserve"> </w:t>
      </w:r>
      <w:r>
        <w:t xml:space="preserve">· Glucagon-like peptide 1 receptor agonist or bolus insulin with optimized basal insulin in type 2 diabetes. PMID 25011946</w:t>
      </w:r>
    </w:p>
    <w:p>
      <w:pPr>
        <w:numPr>
          <w:ilvl w:val="0"/>
          <w:numId w:val="1376"/>
        </w:numPr>
        <w:pStyle w:val="Compact"/>
      </w:pPr>
      <w:r>
        <w:t xml:space="preserve">2014 · Gudipaty L ·</w:t>
      </w:r>
      <w:r>
        <w:t xml:space="preserve"> </w:t>
      </w:r>
      <w:r>
        <w:rPr>
          <w:iCs/>
          <w:i/>
        </w:rPr>
        <w:t xml:space="preserve">Diabetes Care</w:t>
      </w:r>
      <w:r>
        <w:t xml:space="preserve"> </w:t>
      </w:r>
      <w:r>
        <w:t xml:space="preserve">· Effect of exenatide, sitagliptin, or glimepiride on β-cell secretory capacity in early type 2 diabetes. PMID 24969577</w:t>
      </w:r>
    </w:p>
    <w:p>
      <w:pPr>
        <w:numPr>
          <w:ilvl w:val="0"/>
          <w:numId w:val="1376"/>
        </w:numPr>
        <w:pStyle w:val="Compact"/>
      </w:pPr>
      <w:r>
        <w:t xml:space="preserve">2014 · Wysham C ·</w:t>
      </w:r>
      <w:r>
        <w:t xml:space="preserve"> </w:t>
      </w:r>
      <w:r>
        <w:rPr>
          <w:iCs/>
          <w:i/>
        </w:rPr>
        <w:t xml:space="preserve">Diabetes Care</w:t>
      </w:r>
      <w:r>
        <w:t xml:space="preserve"> </w:t>
      </w:r>
      <w:r>
        <w:t xml:space="preserve">· Efficacy and safety of dulaglutide added onto pioglitazone and metformin versus exenatide in type 2 diabetes in a randomized controlled trial (AWARD-1). PMID 24879836</w:t>
      </w:r>
    </w:p>
    <w:p>
      <w:pPr>
        <w:numPr>
          <w:ilvl w:val="0"/>
          <w:numId w:val="1376"/>
        </w:numPr>
        <w:pStyle w:val="Compact"/>
      </w:pPr>
      <w:r>
        <w:t xml:space="preserve">2014 · Holmberg FE ·</w:t>
      </w:r>
      <w:r>
        <w:t xml:space="preserve"> </w:t>
      </w:r>
      <w:r>
        <w:rPr>
          <w:iCs/>
          <w:i/>
        </w:rPr>
        <w:t xml:space="preserve">Scand Cardiovasc J</w:t>
      </w:r>
      <w:r>
        <w:t xml:space="preserve"> </w:t>
      </w:r>
      <w:r>
        <w:t xml:space="preserve">· Conditioning techniques and ischemic reperfusion injury in relation to on-pump cardiac surgery. PMID 24852515</w:t>
      </w:r>
    </w:p>
    <w:p>
      <w:pPr>
        <w:numPr>
          <w:ilvl w:val="0"/>
          <w:numId w:val="1376"/>
        </w:numPr>
        <w:pStyle w:val="Compact"/>
      </w:pPr>
      <w:r>
        <w:t xml:space="preserve">2014 · Shao N ·</w:t>
      </w:r>
      <w:r>
        <w:t xml:space="preserve"> </w:t>
      </w:r>
      <w:r>
        <w:rPr>
          <w:iCs/>
          <w:i/>
        </w:rPr>
        <w:t xml:space="preserve">Diabetes Metab Res Rev</w:t>
      </w:r>
      <w:r>
        <w:t xml:space="preserve"> </w:t>
      </w:r>
      <w:r>
        <w:t xml:space="preserve">· Benefits of exenatide on obesity and non-alcoholic fatty liver disease with elevated liver enzymes in patients with type 2 diabetes. PMID 24823873</w:t>
      </w:r>
    </w:p>
    <w:p>
      <w:pPr>
        <w:numPr>
          <w:ilvl w:val="0"/>
          <w:numId w:val="1376"/>
        </w:numPr>
        <w:pStyle w:val="Compact"/>
      </w:pPr>
      <w:r>
        <w:t xml:space="preserve">2014 · Diamant M ·</w:t>
      </w:r>
      <w:r>
        <w:t xml:space="preserve"> </w:t>
      </w:r>
      <w:r>
        <w:rPr>
          <w:iCs/>
          <w:i/>
        </w:rPr>
        <w:t xml:space="preserve">Lancet Diabetes Endocrinol</w:t>
      </w:r>
      <w:r>
        <w:t xml:space="preserve"> </w:t>
      </w:r>
      <w:r>
        <w:t xml:space="preserve">· Exenatide once weekly versus insulin glargine for type 2 diabetes (DURATION-3): 3-year results of an open-label randomised trial. PMID 24731672</w:t>
      </w:r>
    </w:p>
    <w:p>
      <w:pPr>
        <w:numPr>
          <w:ilvl w:val="0"/>
          <w:numId w:val="1376"/>
        </w:numPr>
        <w:pStyle w:val="Compact"/>
      </w:pPr>
      <w:r>
        <w:t xml:space="preserve">2014 · Aviles-Olmos I ·</w:t>
      </w:r>
      <w:r>
        <w:t xml:space="preserve"> </w:t>
      </w:r>
      <w:r>
        <w:rPr>
          <w:iCs/>
          <w:i/>
        </w:rPr>
        <w:t xml:space="preserve">J Parkinsons Dis</w:t>
      </w:r>
      <w:r>
        <w:t xml:space="preserve"> </w:t>
      </w:r>
      <w:r>
        <w:t xml:space="preserve">· Motor and cognitive advantages persist 12 months after exenatide exposure in Parkinson’s disease. PMID 24662192</w:t>
      </w:r>
    </w:p>
    <w:p>
      <w:pPr>
        <w:numPr>
          <w:ilvl w:val="0"/>
          <w:numId w:val="1376"/>
        </w:numPr>
        <w:pStyle w:val="Compact"/>
      </w:pPr>
      <w:r>
        <w:t xml:space="preserve">2014 · Henry RR ·</w:t>
      </w:r>
      <w:r>
        <w:t xml:space="preserve"> </w:t>
      </w:r>
      <w:r>
        <w:rPr>
          <w:iCs/>
          <w:i/>
        </w:rPr>
        <w:t xml:space="preserve">J Diabetes Complications</w:t>
      </w:r>
      <w:r>
        <w:t xml:space="preserve"> </w:t>
      </w:r>
      <w:r>
        <w:t xml:space="preserve">· Continuous subcutaneous delivery of exenatide via ITCA 650 leads to sustained glycemic control and weight loss for 48 weeks in metformin-treated subjects with type 2 diabetes. PMID 24631129</w:t>
      </w:r>
    </w:p>
    <w:p>
      <w:pPr>
        <w:numPr>
          <w:ilvl w:val="0"/>
          <w:numId w:val="1376"/>
        </w:numPr>
        <w:pStyle w:val="Compact"/>
      </w:pPr>
      <w:r>
        <w:t xml:space="preserve">2014 · Buse JB ·</w:t>
      </w:r>
      <w:r>
        <w:t xml:space="preserve"> </w:t>
      </w:r>
      <w:r>
        <w:rPr>
          <w:iCs/>
          <w:i/>
        </w:rPr>
        <w:t xml:space="preserve">Curr Med Res Opin</w:t>
      </w:r>
      <w:r>
        <w:t xml:space="preserve"> </w:t>
      </w:r>
      <w:r>
        <w:t xml:space="preserve">· Addition of exenatide BID to insulin glargine: a post-hoc analysis of the effect on glycemia and weight across a range of insulin titration. PMID 24621255</w:t>
      </w:r>
    </w:p>
    <w:p>
      <w:pPr>
        <w:numPr>
          <w:ilvl w:val="0"/>
          <w:numId w:val="1376"/>
        </w:numPr>
        <w:pStyle w:val="Compact"/>
      </w:pPr>
      <w:r>
        <w:t xml:space="preserve">2014 · Lønborg J ·</w:t>
      </w:r>
      <w:r>
        <w:t xml:space="preserve"> </w:t>
      </w:r>
      <w:r>
        <w:rPr>
          <w:iCs/>
          <w:i/>
        </w:rPr>
        <w:t xml:space="preserve">Diabetes</w:t>
      </w:r>
      <w:r>
        <w:t xml:space="preserve"> </w:t>
      </w:r>
      <w:r>
        <w:t xml:space="preserve">· Impact of acute hyperglycemia on myocardial infarct size, area at risk, and salvage in patients with STEMI and the association with exenatide treatment: results from a randomized study. PMID 24584550</w:t>
      </w:r>
    </w:p>
    <w:p>
      <w:pPr>
        <w:numPr>
          <w:ilvl w:val="0"/>
          <w:numId w:val="1376"/>
        </w:numPr>
        <w:pStyle w:val="Compact"/>
      </w:pPr>
      <w:r>
        <w:t xml:space="preserve">2014 · Ishøy PL ·</w:t>
      </w:r>
      <w:r>
        <w:t xml:space="preserve"> </w:t>
      </w:r>
      <w:r>
        <w:rPr>
          <w:iCs/>
          <w:i/>
        </w:rPr>
        <w:t xml:space="preserve">BMJ Open</w:t>
      </w:r>
      <w:r>
        <w:t xml:space="preserve"> </w:t>
      </w:r>
      <w:r>
        <w:t xml:space="preserve">· Treatment of antipsychotic-associated obesity with a GLP-1 receptor agonist–protocol for an investigator-initiated prospective, randomised, placebo-controlled, double-blinded intervention study: the TAO study protocol. PMID 24401727</w:t>
      </w:r>
    </w:p>
    <w:p>
      <w:pPr>
        <w:numPr>
          <w:ilvl w:val="0"/>
          <w:numId w:val="1376"/>
        </w:numPr>
        <w:pStyle w:val="Compact"/>
      </w:pPr>
      <w:r>
        <w:t xml:space="preserve">2014 · Gu N ·</w:t>
      </w:r>
      <w:r>
        <w:t xml:space="preserve"> </w:t>
      </w:r>
      <w:r>
        <w:rPr>
          <w:iCs/>
          <w:i/>
        </w:rPr>
        <w:t xml:space="preserve">Clin Ther</w:t>
      </w:r>
      <w:r>
        <w:t xml:space="preserve"> </w:t>
      </w:r>
      <w:r>
        <w:t xml:space="preserve">· Pharmacokinetic properties and effects of PT302 after repeated oral glucose loading tests in a dose-escalating study. PMID 24373998</w:t>
      </w:r>
    </w:p>
    <w:p>
      <w:pPr>
        <w:numPr>
          <w:ilvl w:val="0"/>
          <w:numId w:val="1376"/>
        </w:numPr>
        <w:pStyle w:val="Compact"/>
      </w:pPr>
      <w:r>
        <w:t xml:space="preserve">2014 · Arakaki RF ·</w:t>
      </w:r>
      <w:r>
        <w:t xml:space="preserve"> </w:t>
      </w:r>
      <w:r>
        <w:rPr>
          <w:iCs/>
          <w:i/>
        </w:rPr>
        <w:t xml:space="preserve">Diabetes Obes Metab</w:t>
      </w:r>
      <w:r>
        <w:t xml:space="preserve"> </w:t>
      </w:r>
      <w:r>
        <w:t xml:space="preserve">· Comparison of insulin lispro protamine suspension versus insulin glargine once daily added to oral antihyperglycaemic medications and exenatide in type 2 diabetes: a prospective randomized open-label trial. PMID 24298995</w:t>
      </w:r>
    </w:p>
    <w:p>
      <w:pPr>
        <w:numPr>
          <w:ilvl w:val="0"/>
          <w:numId w:val="1376"/>
        </w:numPr>
        <w:pStyle w:val="Compact"/>
      </w:pPr>
      <w:r>
        <w:t xml:space="preserve">2014 · Sarkar G ·</w:t>
      </w:r>
      <w:r>
        <w:t xml:space="preserve"> </w:t>
      </w:r>
      <w:r>
        <w:rPr>
          <w:iCs/>
          <w:i/>
        </w:rPr>
        <w:t xml:space="preserve">Diabetes Care</w:t>
      </w:r>
      <w:r>
        <w:t xml:space="preserve"> </w:t>
      </w:r>
      <w:r>
        <w:t xml:space="preserve">· Exenatide treatment for 6 months improves insulin sensitivity in adults with type 1 diabetes. PMID 24194508</w:t>
      </w:r>
    </w:p>
    <w:p>
      <w:pPr>
        <w:numPr>
          <w:ilvl w:val="0"/>
          <w:numId w:val="1376"/>
        </w:numPr>
        <w:pStyle w:val="Compact"/>
      </w:pPr>
      <w:r>
        <w:t xml:space="preserve">2014 · Ghazi T ·</w:t>
      </w:r>
      <w:r>
        <w:t xml:space="preserve"> </w:t>
      </w:r>
      <w:r>
        <w:rPr>
          <w:iCs/>
          <w:i/>
        </w:rPr>
        <w:t xml:space="preserve">Diabetes Care</w:t>
      </w:r>
      <w:r>
        <w:t xml:space="preserve"> </w:t>
      </w:r>
      <w:r>
        <w:t xml:space="preserve">· Acute metabolic effects of exenatide in patients with type 1 diabetes with and without residual insulin to oral and intravenous glucose challenges. PMID 23939544</w:t>
      </w:r>
    </w:p>
    <w:p>
      <w:pPr>
        <w:numPr>
          <w:ilvl w:val="0"/>
          <w:numId w:val="1376"/>
        </w:numPr>
        <w:pStyle w:val="Compact"/>
      </w:pPr>
      <w:r>
        <w:t xml:space="preserve">2014 · Gastaldelli A ·</w:t>
      </w:r>
      <w:r>
        <w:t xml:space="preserve"> </w:t>
      </w:r>
      <w:r>
        <w:rPr>
          <w:iCs/>
          <w:i/>
        </w:rPr>
        <w:t xml:space="preserve">Diabetes Obes Metab</w:t>
      </w:r>
      <w:r>
        <w:t xml:space="preserve"> </w:t>
      </w:r>
      <w:r>
        <w:t xml:space="preserve">· A direct comparison of long- and short-acting GLP-1 receptor agonists (taspoglutide once weekly and exenatide twice daily) on postprandial metabolism after 24 weeks of treatment. PMID 23911196</w:t>
      </w:r>
    </w:p>
    <w:p>
      <w:pPr>
        <w:numPr>
          <w:ilvl w:val="0"/>
          <w:numId w:val="1376"/>
        </w:numPr>
        <w:pStyle w:val="Compact"/>
      </w:pPr>
      <w:r>
        <w:t xml:space="preserve">2014 · Gastaldelli A ·</w:t>
      </w:r>
      <w:r>
        <w:t xml:space="preserve"> </w:t>
      </w:r>
      <w:r>
        <w:rPr>
          <w:iCs/>
          <w:i/>
        </w:rPr>
        <w:t xml:space="preserve">Clin Endocrinol (Oxf)</w:t>
      </w:r>
      <w:r>
        <w:t xml:space="preserve"> </w:t>
      </w:r>
      <w:r>
        <w:t xml:space="preserve">· The effect of chronic twice daily exenatide treatment on β-cell function in new onset type 2 diabetes. PMID 23574529</w:t>
      </w:r>
    </w:p>
    <w:p>
      <w:pPr>
        <w:numPr>
          <w:ilvl w:val="0"/>
          <w:numId w:val="1376"/>
        </w:numPr>
        <w:pStyle w:val="Compact"/>
      </w:pPr>
      <w:r>
        <w:t xml:space="preserve">2013 · Fan H ·</w:t>
      </w:r>
      <w:r>
        <w:t xml:space="preserve"> </w:t>
      </w:r>
      <w:r>
        <w:rPr>
          <w:iCs/>
          <w:i/>
        </w:rPr>
        <w:t xml:space="preserve">Arq Bras Endocrinol Metabol</w:t>
      </w:r>
      <w:r>
        <w:t xml:space="preserve"> </w:t>
      </w:r>
      <w:r>
        <w:t xml:space="preserve">· Exenatide improves type 2 diabetes concomitant with non-alcoholic fatty liver disease. PMID 24402015</w:t>
      </w:r>
    </w:p>
    <w:p>
      <w:pPr>
        <w:numPr>
          <w:ilvl w:val="0"/>
          <w:numId w:val="1376"/>
        </w:numPr>
        <w:pStyle w:val="Compact"/>
      </w:pPr>
      <w:r>
        <w:t xml:space="preserve">2013 · Matyjaszek-Matuszek B ·</w:t>
      </w:r>
      <w:r>
        <w:t xml:space="preserve"> </w:t>
      </w:r>
      <w:r>
        <w:rPr>
          <w:iCs/>
          <w:i/>
        </w:rPr>
        <w:t xml:space="preserve">Endokrynol Pol</w:t>
      </w:r>
      <w:r>
        <w:t xml:space="preserve"> </w:t>
      </w:r>
      <w:r>
        <w:t xml:space="preserve">· Exenatide twice daily versus insulin glargine for the treatment of type 2 diabetes in Poland - subgroup data from a randomised multinational trial GWAA. PMID 24186595</w:t>
      </w:r>
    </w:p>
    <w:p>
      <w:pPr>
        <w:numPr>
          <w:ilvl w:val="0"/>
          <w:numId w:val="1376"/>
        </w:numPr>
        <w:pStyle w:val="Compact"/>
      </w:pPr>
      <w:r>
        <w:t xml:space="preserve">2013 · Grimm M ·</w:t>
      </w:r>
      <w:r>
        <w:t xml:space="preserve"> </w:t>
      </w:r>
      <w:r>
        <w:rPr>
          <w:iCs/>
          <w:i/>
        </w:rPr>
        <w:t xml:space="preserve">Postgrad Med</w:t>
      </w:r>
      <w:r>
        <w:t xml:space="preserve"> </w:t>
      </w:r>
      <w:r>
        <w:t xml:space="preserve">· Exenatide once weekly versus daily basal insulin as add-on treatment to metformin with or without a sulfonylurea: a retrospective pooled analysis in patients with poor glycemic control. PMID 24113668</w:t>
      </w:r>
    </w:p>
    <w:p>
      <w:pPr>
        <w:numPr>
          <w:ilvl w:val="0"/>
          <w:numId w:val="1376"/>
        </w:numPr>
        <w:pStyle w:val="Compact"/>
      </w:pPr>
      <w:r>
        <w:t xml:space="preserve">2013 · Daly SC ·</w:t>
      </w:r>
      <w:r>
        <w:t xml:space="preserve"> </w:t>
      </w:r>
      <w:r>
        <w:rPr>
          <w:iCs/>
          <w:i/>
        </w:rPr>
        <w:t xml:space="preserve">Int J Stroke</w:t>
      </w:r>
      <w:r>
        <w:t xml:space="preserve"> </w:t>
      </w:r>
      <w:r>
        <w:t xml:space="preserve">· Exenatide in acute ischemic stroke. PMID 24024920</w:t>
      </w:r>
    </w:p>
    <w:p>
      <w:pPr>
        <w:numPr>
          <w:ilvl w:val="0"/>
          <w:numId w:val="1376"/>
        </w:numPr>
        <w:pStyle w:val="Compact"/>
      </w:pPr>
      <w:r>
        <w:t xml:space="preserve">2013 · Derosa G ·</w:t>
      </w:r>
      <w:r>
        <w:t xml:space="preserve"> </w:t>
      </w:r>
      <w:r>
        <w:rPr>
          <w:iCs/>
          <w:i/>
        </w:rPr>
        <w:t xml:space="preserve">Can J Physiol Pharmacol</w:t>
      </w:r>
      <w:r>
        <w:t xml:space="preserve"> </w:t>
      </w:r>
      <w:r>
        <w:t xml:space="preserve">· Effects of exenatide and metformin in combination on some adipocytokine levels: a comparison with metformin monotherapy. PMID 23984793</w:t>
      </w:r>
    </w:p>
    <w:p>
      <w:pPr>
        <w:numPr>
          <w:ilvl w:val="0"/>
          <w:numId w:val="1376"/>
        </w:numPr>
        <w:pStyle w:val="Compact"/>
      </w:pPr>
      <w:r>
        <w:t xml:space="preserve">2013 · Woo JS ·</w:t>
      </w:r>
      <w:r>
        <w:t xml:space="preserve"> </w:t>
      </w:r>
      <w:r>
        <w:rPr>
          <w:iCs/>
          <w:i/>
        </w:rPr>
        <w:t xml:space="preserve">Arterioscler Thromb Vasc Biol</w:t>
      </w:r>
      <w:r>
        <w:t xml:space="preserve"> </w:t>
      </w:r>
      <w:r>
        <w:t xml:space="preserve">· Cardioprotective effects of exenatide in patients with ST-segment-elevation myocardial infarction undergoing primary percutaneous coronary intervention: results of exenatide myocardial protection in revascularization study. PMID 23868944</w:t>
      </w:r>
    </w:p>
    <w:p>
      <w:pPr>
        <w:numPr>
          <w:ilvl w:val="0"/>
          <w:numId w:val="1376"/>
        </w:numPr>
        <w:pStyle w:val="Compact"/>
      </w:pPr>
      <w:r>
        <w:t xml:space="preserve">2013 · Malloy J ·</w:t>
      </w:r>
      <w:r>
        <w:t xml:space="preserve"> </w:t>
      </w:r>
      <w:r>
        <w:rPr>
          <w:iCs/>
          <w:i/>
        </w:rPr>
        <w:t xml:space="preserve">Postgrad Med</w:t>
      </w:r>
      <w:r>
        <w:t xml:space="preserve"> </w:t>
      </w:r>
      <w:r>
        <w:t xml:space="preserve">· Efficacy and tolerability of exenatide once weekly versus sitagliptin in patients with type 2 diabetes mellitus: a retrospective analysis of pooled clinical trial data. PMID 23748507</w:t>
      </w:r>
    </w:p>
    <w:p>
      <w:pPr>
        <w:numPr>
          <w:ilvl w:val="0"/>
          <w:numId w:val="1376"/>
        </w:numPr>
        <w:pStyle w:val="Compact"/>
      </w:pPr>
      <w:r>
        <w:t xml:space="preserve">2013 · Grimm M ·</w:t>
      </w:r>
      <w:r>
        <w:t xml:space="preserve"> </w:t>
      </w:r>
      <w:r>
        <w:rPr>
          <w:iCs/>
          <w:i/>
        </w:rPr>
        <w:t xml:space="preserve">Postgrad Med</w:t>
      </w:r>
      <w:r>
        <w:t xml:space="preserve"> </w:t>
      </w:r>
      <w:r>
        <w:t xml:space="preserve">· Efficacy, safety, and tolerability of exenatide once weekly in patients with type 2 diabetes mellitus: an integrated analysis of the DURATION trials. PMID 23748506</w:t>
      </w:r>
    </w:p>
    <w:p>
      <w:pPr>
        <w:numPr>
          <w:ilvl w:val="0"/>
          <w:numId w:val="1376"/>
        </w:numPr>
        <w:pStyle w:val="Compact"/>
      </w:pPr>
      <w:r>
        <w:t xml:space="preserve">2013 · Derosa G ·</w:t>
      </w:r>
      <w:r>
        <w:t xml:space="preserve"> </w:t>
      </w:r>
      <w:r>
        <w:rPr>
          <w:iCs/>
          <w:i/>
        </w:rPr>
        <w:t xml:space="preserve">Pharmacotherapy</w:t>
      </w:r>
      <w:r>
        <w:t xml:space="preserve"> </w:t>
      </w:r>
      <w:r>
        <w:t xml:space="preserve">· Variation in inflammatory markers and glycemic parameters after 12 months of exenatide plus metformin treatment compared with metformin alone: a randomized placebo-controlled trial. PMID 23744726</w:t>
      </w:r>
    </w:p>
    <w:p>
      <w:pPr>
        <w:numPr>
          <w:ilvl w:val="0"/>
          <w:numId w:val="1376"/>
        </w:numPr>
        <w:pStyle w:val="Compact"/>
      </w:pPr>
      <w:r>
        <w:t xml:space="preserve">2013 · Aviles-Olmos I ·</w:t>
      </w:r>
      <w:r>
        <w:t xml:space="preserve"> </w:t>
      </w:r>
      <w:r>
        <w:rPr>
          <w:iCs/>
          <w:i/>
        </w:rPr>
        <w:t xml:space="preserve">J Clin Invest</w:t>
      </w:r>
      <w:r>
        <w:t xml:space="preserve"> </w:t>
      </w:r>
      <w:r>
        <w:t xml:space="preserve">· Exenatide and the treatment of patients with Parkinson’s disease. PMID 23728174</w:t>
      </w:r>
    </w:p>
    <w:p>
      <w:pPr>
        <w:numPr>
          <w:ilvl w:val="0"/>
          <w:numId w:val="1376"/>
        </w:numPr>
        <w:pStyle w:val="Compact"/>
      </w:pPr>
      <w:r>
        <w:t xml:space="preserve">2013 · Liang Z ·</w:t>
      </w:r>
      <w:r>
        <w:t xml:space="preserve"> </w:t>
      </w:r>
      <w:r>
        <w:rPr>
          <w:iCs/>
          <w:i/>
        </w:rPr>
        <w:t xml:space="preserve">Diabetes Res Clin Pract</w:t>
      </w:r>
      <w:r>
        <w:t xml:space="preserve"> </w:t>
      </w:r>
      <w:r>
        <w:t xml:space="preserve">· Effect of laparoscopic Roux-en-Y gastric bypass surgery on type 2 diabetes mellitus with hypertension: a randomized controlled trial. PMID 23706413</w:t>
      </w:r>
    </w:p>
    <w:p>
      <w:pPr>
        <w:numPr>
          <w:ilvl w:val="0"/>
          <w:numId w:val="1376"/>
        </w:numPr>
        <w:pStyle w:val="Compact"/>
      </w:pPr>
      <w:r>
        <w:t xml:space="preserve">2013 · Rosenstock J ·</w:t>
      </w:r>
      <w:r>
        <w:t xml:space="preserve"> </w:t>
      </w:r>
      <w:r>
        <w:rPr>
          <w:iCs/>
          <w:i/>
        </w:rPr>
        <w:t xml:space="preserve">Diabetes Care</w:t>
      </w:r>
      <w:r>
        <w:t xml:space="preserve"> </w:t>
      </w:r>
      <w:r>
        <w:t xml:space="preserve">· Efficacy and safety of lixisenatide once daily versus exenatide twice daily in type 2 diabetes inadequately controlled on metformin: a 24-week, randomized, open-label, active-controlled study (GetGoal-X). PMID 23698396</w:t>
      </w:r>
    </w:p>
    <w:p>
      <w:pPr>
        <w:numPr>
          <w:ilvl w:val="0"/>
          <w:numId w:val="1376"/>
        </w:numPr>
        <w:pStyle w:val="Compact"/>
      </w:pPr>
      <w:r>
        <w:t xml:space="preserve">2013 · Henry RR ·</w:t>
      </w:r>
      <w:r>
        <w:t xml:space="preserve"> </w:t>
      </w:r>
      <w:r>
        <w:rPr>
          <w:iCs/>
          <w:i/>
        </w:rPr>
        <w:t xml:space="preserve">Diabetes Care</w:t>
      </w:r>
      <w:r>
        <w:t xml:space="preserve"> </w:t>
      </w:r>
      <w:r>
        <w:t xml:space="preserve">· Randomized trial of continuous subcutaneous delivery of exenatide by ITCA 650 versus twice-daily exenatide injections in metformin-treated type 2 diabetes. PMID 23645886</w:t>
      </w:r>
    </w:p>
    <w:p>
      <w:pPr>
        <w:numPr>
          <w:ilvl w:val="0"/>
          <w:numId w:val="1376"/>
        </w:numPr>
        <w:pStyle w:val="Compact"/>
      </w:pPr>
      <w:r>
        <w:t xml:space="preserve">2013 · Karagianni P ·</w:t>
      </w:r>
      <w:r>
        <w:t xml:space="preserve"> </w:t>
      </w:r>
      <w:r>
        <w:rPr>
          <w:iCs/>
          <w:i/>
        </w:rPr>
        <w:t xml:space="preserve">Adv Med Sci</w:t>
      </w:r>
      <w:r>
        <w:t xml:space="preserve"> </w:t>
      </w:r>
      <w:r>
        <w:t xml:space="preserve">· Comparative efficacy of exenatide versus insulin glargine on glycemic control in type 2 diabetes mellitus patients inadequately treated with metformin monotherapy. PMID 23640946</w:t>
      </w:r>
    </w:p>
    <w:p>
      <w:pPr>
        <w:numPr>
          <w:ilvl w:val="0"/>
          <w:numId w:val="1376"/>
        </w:numPr>
        <w:pStyle w:val="Compact"/>
      </w:pPr>
      <w:r>
        <w:t xml:space="preserve">2013 · Henry RR ·</w:t>
      </w:r>
      <w:r>
        <w:t xml:space="preserve"> </w:t>
      </w:r>
      <w:r>
        <w:rPr>
          <w:iCs/>
          <w:i/>
        </w:rPr>
        <w:t xml:space="preserve">Clin Ther</w:t>
      </w:r>
      <w:r>
        <w:t xml:space="preserve"> </w:t>
      </w:r>
      <w:r>
        <w:t xml:space="preserve">· A randomized, open-label, multicenter, 4-week study to evaluate the tolerability and pharmacokinetics of ITCA 650 in patients with type 2 diabetes. PMID 23578605</w:t>
      </w:r>
    </w:p>
    <w:p>
      <w:pPr>
        <w:numPr>
          <w:ilvl w:val="0"/>
          <w:numId w:val="1376"/>
        </w:numPr>
        <w:pStyle w:val="Compact"/>
      </w:pPr>
      <w:r>
        <w:t xml:space="preserve">2013 · Meloni AR ·</w:t>
      </w:r>
      <w:r>
        <w:t xml:space="preserve"> </w:t>
      </w:r>
      <w:r>
        <w:rPr>
          <w:iCs/>
          <w:i/>
        </w:rPr>
        <w:t xml:space="preserve">Cardiovasc Diabetol</w:t>
      </w:r>
      <w:r>
        <w:t xml:space="preserve"> </w:t>
      </w:r>
      <w:r>
        <w:t xml:space="preserve">· Treatment of patients with type 2 diabetes with exenatide once weekly versus oral glucose-lowering medications or insulin glargine: achievement of glycemic and cardiovascular goals. PMID 23522121</w:t>
      </w:r>
    </w:p>
    <w:p>
      <w:pPr>
        <w:numPr>
          <w:ilvl w:val="0"/>
          <w:numId w:val="1376"/>
        </w:numPr>
        <w:pStyle w:val="Compact"/>
      </w:pPr>
      <w:r>
        <w:t xml:space="preserve">2013 · Hari Kumar KV ·</w:t>
      </w:r>
      <w:r>
        <w:t xml:space="preserve"> </w:t>
      </w:r>
      <w:r>
        <w:rPr>
          <w:iCs/>
          <w:i/>
        </w:rPr>
        <w:t xml:space="preserve">Diabetes Res Clin Pract</w:t>
      </w:r>
      <w:r>
        <w:t xml:space="preserve"> </w:t>
      </w:r>
      <w:r>
        <w:t xml:space="preserve">· Addition of exenatide or sitagliptin to insulin in new onset type 1 diabetes: a randomized, open label study. PMID 23490599</w:t>
      </w:r>
    </w:p>
    <w:p>
      <w:pPr>
        <w:numPr>
          <w:ilvl w:val="0"/>
          <w:numId w:val="1376"/>
        </w:numPr>
        <w:pStyle w:val="Compact"/>
      </w:pPr>
      <w:r>
        <w:t xml:space="preserve">2013 · Lu CH ·</w:t>
      </w:r>
      <w:r>
        <w:t xml:space="preserve"> </w:t>
      </w:r>
      <w:r>
        <w:rPr>
          <w:iCs/>
          <w:i/>
        </w:rPr>
        <w:t xml:space="preserve">J Formos Med Assoc</w:t>
      </w:r>
      <w:r>
        <w:t xml:space="preserve"> </w:t>
      </w:r>
      <w:r>
        <w:t xml:space="preserve">· Safety and efficacy of twice-daily exenatide in Taiwanese patients with inadequately controlled type 2 diabetes mellitus. PMID 23473527</w:t>
      </w:r>
    </w:p>
    <w:p>
      <w:pPr>
        <w:numPr>
          <w:ilvl w:val="0"/>
          <w:numId w:val="1376"/>
        </w:numPr>
        <w:pStyle w:val="Compact"/>
      </w:pPr>
      <w:r>
        <w:t xml:space="preserve">2013 · Schlögl H ·</w:t>
      </w:r>
      <w:r>
        <w:t xml:space="preserve"> </w:t>
      </w:r>
      <w:r>
        <w:rPr>
          <w:iCs/>
          <w:i/>
        </w:rPr>
        <w:t xml:space="preserve">Diabetes Care</w:t>
      </w:r>
      <w:r>
        <w:t xml:space="preserve"> </w:t>
      </w:r>
      <w:r>
        <w:t xml:space="preserve">· Exenatide-induced reduction in energy intake is associated with increase in hypothalamic connectivity. PMID 23462665</w:t>
      </w:r>
    </w:p>
    <w:p>
      <w:pPr>
        <w:numPr>
          <w:ilvl w:val="0"/>
          <w:numId w:val="1376"/>
        </w:numPr>
        <w:pStyle w:val="Compact"/>
      </w:pPr>
      <w:r>
        <w:t xml:space="preserve">2013 · Kelly AS ·</w:t>
      </w:r>
      <w:r>
        <w:t xml:space="preserve"> </w:t>
      </w:r>
      <w:r>
        <w:rPr>
          <w:iCs/>
          <w:i/>
        </w:rPr>
        <w:t xml:space="preserve">JAMA Pediatr</w:t>
      </w:r>
      <w:r>
        <w:t xml:space="preserve"> </w:t>
      </w:r>
      <w:r>
        <w:t xml:space="preserve">· The effect of glucagon-like peptide-1 receptor agonist therapy on body mass index in adolescents with severe obesity: a randomized, placebo-controlled, clinical trial. PMID 23380890</w:t>
      </w:r>
    </w:p>
    <w:p>
      <w:pPr>
        <w:numPr>
          <w:ilvl w:val="0"/>
          <w:numId w:val="1376"/>
        </w:numPr>
        <w:pStyle w:val="Compact"/>
      </w:pPr>
      <w:r>
        <w:t xml:space="preserve">2013 · Davies M ·</w:t>
      </w:r>
      <w:r>
        <w:t xml:space="preserve"> </w:t>
      </w:r>
      <w:r>
        <w:rPr>
          <w:iCs/>
          <w:i/>
        </w:rPr>
        <w:t xml:space="preserve">Diabetes Care</w:t>
      </w:r>
      <w:r>
        <w:t xml:space="preserve"> </w:t>
      </w:r>
      <w:r>
        <w:t xml:space="preserve">· Once-weekly exenatide versus once- or twice-daily insulin detemir: randomized, open-label, clinical trial of efficacy and safety in patients with type 2 diabetes treated with metformin alone or in combination with sulfonylureas. PMID 23275363</w:t>
      </w:r>
    </w:p>
    <w:p>
      <w:pPr>
        <w:numPr>
          <w:ilvl w:val="0"/>
          <w:numId w:val="1376"/>
        </w:numPr>
        <w:pStyle w:val="Compact"/>
      </w:pPr>
      <w:r>
        <w:t xml:space="preserve">2013 · Buse JB ·</w:t>
      </w:r>
      <w:r>
        <w:t xml:space="preserve"> </w:t>
      </w:r>
      <w:r>
        <w:rPr>
          <w:iCs/>
          <w:i/>
        </w:rPr>
        <w:t xml:space="preserve">Lancet</w:t>
      </w:r>
      <w:r>
        <w:t xml:space="preserve"> </w:t>
      </w:r>
      <w:r>
        <w:t xml:space="preserve">· Exenatide once weekly versus liraglutide once daily in patients with type 2 diabetes (DURATION-6): a randomised, open-label study. PMID 23141817</w:t>
      </w:r>
    </w:p>
    <w:p>
      <w:pPr>
        <w:numPr>
          <w:ilvl w:val="0"/>
          <w:numId w:val="1376"/>
        </w:numPr>
        <w:pStyle w:val="Compact"/>
      </w:pPr>
      <w:r>
        <w:t xml:space="preserve">2013 · Rosenstock J ·</w:t>
      </w:r>
      <w:r>
        <w:t xml:space="preserve"> </w:t>
      </w:r>
      <w:r>
        <w:rPr>
          <w:iCs/>
          <w:i/>
        </w:rPr>
        <w:t xml:space="preserve">Diabetes Care</w:t>
      </w:r>
      <w:r>
        <w:t xml:space="preserve"> </w:t>
      </w:r>
      <w:r>
        <w:t xml:space="preserve">· The fate of taspoglutide, a weekly GLP-1 receptor agonist, versus twice-daily exenatide for type 2 diabetes: the T-emerge 2 trial. PMID 23139373</w:t>
      </w:r>
    </w:p>
    <w:p>
      <w:pPr>
        <w:numPr>
          <w:ilvl w:val="0"/>
          <w:numId w:val="1376"/>
        </w:numPr>
        <w:pStyle w:val="Compact"/>
      </w:pPr>
      <w:r>
        <w:t xml:space="preserve">2013 · Bernink FJ ·</w:t>
      </w:r>
      <w:r>
        <w:t xml:space="preserve"> </w:t>
      </w:r>
      <w:r>
        <w:rPr>
          <w:iCs/>
          <w:i/>
        </w:rPr>
        <w:t xml:space="preserve">Int J Cardiol</w:t>
      </w:r>
      <w:r>
        <w:t xml:space="preserve"> </w:t>
      </w:r>
      <w:r>
        <w:t xml:space="preserve">· Effect of additional treatment with EXenatide in patients with an Acute Myocardial Infarction: the EXAMI study. PMID 23084550</w:t>
      </w:r>
    </w:p>
    <w:p>
      <w:pPr>
        <w:numPr>
          <w:ilvl w:val="0"/>
          <w:numId w:val="1376"/>
        </w:numPr>
        <w:pStyle w:val="Compact"/>
      </w:pPr>
      <w:r>
        <w:t xml:space="preserve">2013 · Darpö B ·</w:t>
      </w:r>
      <w:r>
        <w:t xml:space="preserve"> </w:t>
      </w:r>
      <w:r>
        <w:rPr>
          <w:iCs/>
          <w:i/>
        </w:rPr>
        <w:t xml:space="preserve">Br J Clin Pharmacol</w:t>
      </w:r>
      <w:r>
        <w:t xml:space="preserve"> </w:t>
      </w:r>
      <w:r>
        <w:t xml:space="preserve">· Exenatide at therapeutic and supratherapeutic concentrations does not prolong the QTc interval in healthy subjects. PMID 22882281</w:t>
      </w:r>
    </w:p>
    <w:p>
      <w:pPr>
        <w:numPr>
          <w:ilvl w:val="0"/>
          <w:numId w:val="1376"/>
        </w:numPr>
        <w:pStyle w:val="Compact"/>
      </w:pPr>
      <w:r>
        <w:t xml:space="preserve">2013 · Niswender K ·</w:t>
      </w:r>
      <w:r>
        <w:t xml:space="preserve"> </w:t>
      </w:r>
      <w:r>
        <w:rPr>
          <w:iCs/>
          <w:i/>
        </w:rPr>
        <w:t xml:space="preserve">Diabetes Obes Metab</w:t>
      </w:r>
      <w:r>
        <w:t xml:space="preserve"> </w:t>
      </w:r>
      <w:r>
        <w:t xml:space="preserve">· Weight change with liraglutide and comparator therapies: an analysis of seven phase 3 trials from the liraglutide diabetes development programme. PMID 22862847</w:t>
      </w:r>
    </w:p>
    <w:p>
      <w:pPr>
        <w:numPr>
          <w:ilvl w:val="0"/>
          <w:numId w:val="1376"/>
        </w:numPr>
        <w:pStyle w:val="Compact"/>
      </w:pPr>
      <w:r>
        <w:t xml:space="preserve">2013 · Irace C ·</w:t>
      </w:r>
      <w:r>
        <w:t xml:space="preserve"> </w:t>
      </w:r>
      <w:r>
        <w:rPr>
          <w:iCs/>
          <w:i/>
        </w:rPr>
        <w:t xml:space="preserve">Diab Vasc Dis Res</w:t>
      </w:r>
      <w:r>
        <w:t xml:space="preserve"> </w:t>
      </w:r>
      <w:r>
        <w:t xml:space="preserve">· Exenatide improves endothelial function assessed by flow mediated dilation technique in subjects with type 2 diabetes: results from an observational research. PMID 22732108</w:t>
      </w:r>
    </w:p>
    <w:p>
      <w:pPr>
        <w:numPr>
          <w:ilvl w:val="0"/>
          <w:numId w:val="1376"/>
        </w:numPr>
        <w:pStyle w:val="Compact"/>
      </w:pPr>
      <w:r>
        <w:t xml:space="preserve">2013 · Idris I ·</w:t>
      </w:r>
      <w:r>
        <w:t xml:space="preserve"> </w:t>
      </w:r>
      <w:r>
        <w:rPr>
          <w:iCs/>
          <w:i/>
        </w:rPr>
        <w:t xml:space="preserve">J Sleep Res</w:t>
      </w:r>
      <w:r>
        <w:t xml:space="preserve"> </w:t>
      </w:r>
      <w:r>
        <w:t xml:space="preserve">· Exenatide improves excessive daytime sleepiness and wakefulness in obese patients with type 2 diabetes without obstructive sleep apnoea. PMID 22716195</w:t>
      </w:r>
    </w:p>
    <w:p>
      <w:pPr>
        <w:numPr>
          <w:ilvl w:val="0"/>
          <w:numId w:val="1376"/>
        </w:numPr>
        <w:pStyle w:val="Compact"/>
      </w:pPr>
      <w:r>
        <w:t xml:space="preserve">2012 · Chiquette E ·</w:t>
      </w:r>
      <w:r>
        <w:t xml:space="preserve"> </w:t>
      </w:r>
      <w:r>
        <w:rPr>
          <w:iCs/>
          <w:i/>
        </w:rPr>
        <w:t xml:space="preserve">Vasc Health Risk Manag</w:t>
      </w:r>
      <w:r>
        <w:t xml:space="preserve"> </w:t>
      </w:r>
      <w:r>
        <w:t xml:space="preserve">· Treatment with exenatide once weekly or twice daily for 30 weeks is associated with changes in several cardiovascular risk markers. PMID 23166441</w:t>
      </w:r>
    </w:p>
    <w:p>
      <w:pPr>
        <w:numPr>
          <w:ilvl w:val="0"/>
          <w:numId w:val="1376"/>
        </w:numPr>
        <w:pStyle w:val="Compact"/>
      </w:pPr>
      <w:r>
        <w:t xml:space="preserve">2012 · Shakhmatova EI ·</w:t>
      </w:r>
      <w:r>
        <w:t xml:space="preserve"> </w:t>
      </w:r>
      <w:r>
        <w:rPr>
          <w:iCs/>
          <w:i/>
        </w:rPr>
        <w:t xml:space="preserve">Ross Fiziol Zh Im I M Sechenova</w:t>
      </w:r>
      <w:r>
        <w:t xml:space="preserve"> </w:t>
      </w:r>
      <w:r>
        <w:t xml:space="preserve">· [Exenatide stimulated solute-free water excretion by human kidney]. PMID 23155627</w:t>
      </w:r>
    </w:p>
    <w:p>
      <w:pPr>
        <w:numPr>
          <w:ilvl w:val="0"/>
          <w:numId w:val="1376"/>
        </w:numPr>
        <w:pStyle w:val="Compact"/>
      </w:pPr>
      <w:r>
        <w:t xml:space="preserve">2012 · Norwood P ·</w:t>
      </w:r>
      <w:r>
        <w:t xml:space="preserve"> </w:t>
      </w:r>
      <w:r>
        <w:rPr>
          <w:iCs/>
          <w:i/>
        </w:rPr>
        <w:t xml:space="preserve">Clin Ther</w:t>
      </w:r>
      <w:r>
        <w:t xml:space="preserve"> </w:t>
      </w:r>
      <w:r>
        <w:t xml:space="preserve">· Safety of exenatide once weekly in patients with type 2 diabetes mellitus treated with a thiazolidinedione alone or in combination with metformin for 2 years. PMID 23031623</w:t>
      </w:r>
    </w:p>
    <w:p>
      <w:pPr>
        <w:numPr>
          <w:ilvl w:val="0"/>
          <w:numId w:val="1376"/>
        </w:numPr>
        <w:pStyle w:val="Compact"/>
      </w:pPr>
      <w:r>
        <w:t xml:space="preserve">2012 · Keller J ·</w:t>
      </w:r>
      <w:r>
        <w:t xml:space="preserve"> </w:t>
      </w:r>
      <w:r>
        <w:rPr>
          <w:iCs/>
          <w:i/>
        </w:rPr>
        <w:t xml:space="preserve">Regul Pept</w:t>
      </w:r>
      <w:r>
        <w:t xml:space="preserve"> </w:t>
      </w:r>
      <w:r>
        <w:t xml:space="preserve">· Effect of exenatide on cholecystokinin-induced gallbladder emptying in fasting healthy subjects. PMID 22960288</w:t>
      </w:r>
    </w:p>
    <w:p>
      <w:pPr>
        <w:numPr>
          <w:ilvl w:val="0"/>
          <w:numId w:val="1376"/>
        </w:numPr>
        <w:pStyle w:val="Compact"/>
      </w:pPr>
      <w:r>
        <w:t xml:space="preserve">2012 · Yuan GH ·</w:t>
      </w:r>
      <w:r>
        <w:t xml:space="preserve"> </w:t>
      </w:r>
      <w:r>
        <w:rPr>
          <w:iCs/>
          <w:i/>
        </w:rPr>
        <w:t xml:space="preserve">Chin Med J (Engl)</w:t>
      </w:r>
      <w:r>
        <w:t xml:space="preserve"> </w:t>
      </w:r>
      <w:r>
        <w:t xml:space="preserve">· Efficacy and tolerability of exenatide monotherapy in obese patients with newly diagnosed type 2 diabetes: a randomized, 26 weeks metformin-controlled, parallel-group study. PMID 22931974</w:t>
      </w:r>
    </w:p>
    <w:p>
      <w:pPr>
        <w:numPr>
          <w:ilvl w:val="0"/>
          <w:numId w:val="1376"/>
        </w:numPr>
        <w:pStyle w:val="Compact"/>
      </w:pPr>
      <w:r>
        <w:t xml:space="preserve">2012 · Inagaki N ·</w:t>
      </w:r>
      <w:r>
        <w:t xml:space="preserve"> </w:t>
      </w:r>
      <w:r>
        <w:rPr>
          <w:iCs/>
          <w:i/>
        </w:rPr>
        <w:t xml:space="preserve">Clin Ther</w:t>
      </w:r>
      <w:r>
        <w:t xml:space="preserve"> </w:t>
      </w:r>
      <w:r>
        <w:t xml:space="preserve">· Efficacy and safety profile of exenatide once weekly compared with insulin once daily in Japanese patients with type 2 diabetes treated with oral antidiabetes drug(s): results from a 26-week, randomized, open-label, parallel-group, multicenter, noninferiority study. PMID 22884767</w:t>
      </w:r>
    </w:p>
    <w:p>
      <w:pPr>
        <w:numPr>
          <w:ilvl w:val="0"/>
          <w:numId w:val="1376"/>
        </w:numPr>
        <w:pStyle w:val="Compact"/>
      </w:pPr>
      <w:r>
        <w:t xml:space="preserve">2012 · Bradley DP ·</w:t>
      </w:r>
      <w:r>
        <w:t xml:space="preserve"> </w:t>
      </w:r>
      <w:r>
        <w:rPr>
          <w:iCs/>
          <w:i/>
        </w:rPr>
        <w:t xml:space="preserve">Appl Physiol Nutr Metab</w:t>
      </w:r>
      <w:r>
        <w:t xml:space="preserve"> </w:t>
      </w:r>
      <w:r>
        <w:t xml:space="preserve">· Alterations in energy balance following exenatide administration. PMID 22735035</w:t>
      </w:r>
    </w:p>
    <w:p>
      <w:pPr>
        <w:numPr>
          <w:ilvl w:val="0"/>
          <w:numId w:val="1376"/>
        </w:numPr>
        <w:pStyle w:val="Compact"/>
      </w:pPr>
      <w:r>
        <w:t xml:space="preserve">2012 · Zhang H ·</w:t>
      </w:r>
      <w:r>
        <w:t xml:space="preserve"> </w:t>
      </w:r>
      <w:r>
        <w:rPr>
          <w:iCs/>
          <w:i/>
        </w:rPr>
        <w:t xml:space="preserve">Kidney Blood Press Res</w:t>
      </w:r>
      <w:r>
        <w:t xml:space="preserve"> </w:t>
      </w:r>
      <w:r>
        <w:t xml:space="preserve">· Exenatide reduces urinary transforming growth factor-β1 and type IV collagen excretion in patients with type 2 diabetes and microalbuminuria. PMID 22687869</w:t>
      </w:r>
    </w:p>
    <w:p>
      <w:pPr>
        <w:numPr>
          <w:ilvl w:val="0"/>
          <w:numId w:val="1376"/>
        </w:numPr>
        <w:pStyle w:val="Compact"/>
      </w:pPr>
      <w:r>
        <w:t xml:space="preserve">2012 · Gallwitz B ·</w:t>
      </w:r>
      <w:r>
        <w:t xml:space="preserve"> </w:t>
      </w:r>
      <w:r>
        <w:rPr>
          <w:iCs/>
          <w:i/>
        </w:rPr>
        <w:t xml:space="preserve">Lancet</w:t>
      </w:r>
      <w:r>
        <w:t xml:space="preserve"> </w:t>
      </w:r>
      <w:r>
        <w:t xml:space="preserve">· Exenatide twice daily versus glimepiride for prevention of glycaemic deterioration in patients with type 2 diabetes with metformin failure (EUREXA): an open-label, randomised controlled trial. PMID 22683137</w:t>
      </w:r>
    </w:p>
    <w:p>
      <w:pPr>
        <w:numPr>
          <w:ilvl w:val="0"/>
          <w:numId w:val="1376"/>
        </w:numPr>
        <w:pStyle w:val="Compact"/>
      </w:pPr>
      <w:r>
        <w:t xml:space="preserve">2012 · Kelly AS ·</w:t>
      </w:r>
      <w:r>
        <w:t xml:space="preserve"> </w:t>
      </w:r>
      <w:r>
        <w:rPr>
          <w:iCs/>
          <w:i/>
        </w:rPr>
        <w:t xml:space="preserve">Cardiovasc Diabetol</w:t>
      </w:r>
      <w:r>
        <w:t xml:space="preserve"> </w:t>
      </w:r>
      <w:r>
        <w:t xml:space="preserve">· Effects of exenatide vs. metformin on endothelial function in obese patients with pre-diabetes: a randomized trial. PMID 22681705</w:t>
      </w:r>
    </w:p>
    <w:p>
      <w:pPr>
        <w:numPr>
          <w:ilvl w:val="0"/>
          <w:numId w:val="1376"/>
        </w:numPr>
        <w:pStyle w:val="Compact"/>
      </w:pPr>
      <w:r>
        <w:t xml:space="preserve">2012 · Iványi T ·</w:t>
      </w:r>
      <w:r>
        <w:t xml:space="preserve"> </w:t>
      </w:r>
      <w:r>
        <w:rPr>
          <w:iCs/>
          <w:i/>
        </w:rPr>
        <w:t xml:space="preserve">Clin Ther</w:t>
      </w:r>
      <w:r>
        <w:t xml:space="preserve"> </w:t>
      </w:r>
      <w:r>
        <w:t xml:space="preserve">· Long-term effects of adding exenatide to a regimen of metformin and/or sulfonylurea in type 2 diabetes: an uncontrolled, open-label trial in Hungary. PMID 22608106</w:t>
      </w:r>
    </w:p>
    <w:p>
      <w:pPr>
        <w:numPr>
          <w:ilvl w:val="0"/>
          <w:numId w:val="1376"/>
        </w:numPr>
        <w:pStyle w:val="Compact"/>
      </w:pPr>
      <w:r>
        <w:t xml:space="preserve">2012 · Gejl M ·</w:t>
      </w:r>
      <w:r>
        <w:t xml:space="preserve"> </w:t>
      </w:r>
      <w:r>
        <w:rPr>
          <w:iCs/>
          <w:i/>
        </w:rPr>
        <w:t xml:space="preserve">J Clin Endocrinol Metab</w:t>
      </w:r>
      <w:r>
        <w:t xml:space="preserve"> </w:t>
      </w:r>
      <w:r>
        <w:t xml:space="preserve">· Exenatide alters myocardial glucose transport and uptake depending on insulin resistance and increases myocardial blood flow in patients with type 2 diabetes. PMID 22544917</w:t>
      </w:r>
    </w:p>
    <w:p>
      <w:pPr>
        <w:numPr>
          <w:ilvl w:val="0"/>
          <w:numId w:val="1376"/>
        </w:numPr>
        <w:pStyle w:val="Compact"/>
      </w:pPr>
      <w:r>
        <w:t xml:space="preserve">2012 · Derosa G ·</w:t>
      </w:r>
      <w:r>
        <w:t xml:space="preserve"> </w:t>
      </w:r>
      <w:r>
        <w:rPr>
          <w:iCs/>
          <w:i/>
        </w:rPr>
        <w:t xml:space="preserve">Diabet Med</w:t>
      </w:r>
      <w:r>
        <w:t xml:space="preserve"> </w:t>
      </w:r>
      <w:r>
        <w:t xml:space="preserve">· Exenatide plus metformin compared with metformin alone on β-cell function in patients with Type 2 diabetes. PMID 22540883</w:t>
      </w:r>
    </w:p>
    <w:p>
      <w:pPr>
        <w:numPr>
          <w:ilvl w:val="0"/>
          <w:numId w:val="1376"/>
        </w:numPr>
        <w:pStyle w:val="Compact"/>
      </w:pPr>
      <w:r>
        <w:t xml:space="preserve">2012 · Paul S ·</w:t>
      </w:r>
      <w:r>
        <w:t xml:space="preserve"> </w:t>
      </w:r>
      <w:r>
        <w:rPr>
          <w:iCs/>
          <w:i/>
        </w:rPr>
        <w:t xml:space="preserve">Diabetes Obes Metab</w:t>
      </w:r>
      <w:r>
        <w:t xml:space="preserve"> </w:t>
      </w:r>
      <w:r>
        <w:t xml:space="preserve">· Effects of HbA1c and weight reduction on blood pressure in patients with type 2 diabetes mellitus treated with exenatide*. PMID 22510305</w:t>
      </w:r>
    </w:p>
    <w:p>
      <w:pPr>
        <w:numPr>
          <w:ilvl w:val="0"/>
          <w:numId w:val="1376"/>
        </w:numPr>
        <w:pStyle w:val="Compact"/>
      </w:pPr>
      <w:r>
        <w:t xml:space="preserve">2012 · Lønborg J ·</w:t>
      </w:r>
      <w:r>
        <w:t xml:space="preserve"> </w:t>
      </w:r>
      <w:r>
        <w:rPr>
          <w:iCs/>
          <w:i/>
        </w:rPr>
        <w:t xml:space="preserve">Circ Cardiovasc Interv</w:t>
      </w:r>
      <w:r>
        <w:t xml:space="preserve"> </w:t>
      </w:r>
      <w:r>
        <w:t xml:space="preserve">· Exenatide reduces final infarct size in patients with ST-segment-elevation myocardial infarction and short-duration of ischemia. PMID 22496084</w:t>
      </w:r>
    </w:p>
    <w:p>
      <w:pPr>
        <w:numPr>
          <w:ilvl w:val="0"/>
          <w:numId w:val="1376"/>
        </w:numPr>
        <w:pStyle w:val="Compact"/>
      </w:pPr>
      <w:r>
        <w:t xml:space="preserve">2012 · Xiao C ·</w:t>
      </w:r>
      <w:r>
        <w:t xml:space="preserve"> </w:t>
      </w:r>
      <w:r>
        <w:rPr>
          <w:iCs/>
          <w:i/>
        </w:rPr>
        <w:t xml:space="preserve">Arterioscler Thromb Vasc Biol</w:t>
      </w:r>
      <w:r>
        <w:t xml:space="preserve"> </w:t>
      </w:r>
      <w:r>
        <w:t xml:space="preserve">· Exenatide, a glucagon-like peptide-1 receptor agonist, acutely inhibits intestinal lipoprotein production in healthy humans. PMID 22492091</w:t>
      </w:r>
    </w:p>
    <w:p>
      <w:pPr>
        <w:numPr>
          <w:ilvl w:val="0"/>
          <w:numId w:val="1376"/>
        </w:numPr>
        <w:pStyle w:val="Compact"/>
      </w:pPr>
      <w:r>
        <w:t xml:space="preserve">2012 · Rosenstock J ·</w:t>
      </w:r>
      <w:r>
        <w:t xml:space="preserve"> </w:t>
      </w:r>
      <w:r>
        <w:rPr>
          <w:iCs/>
          <w:i/>
        </w:rPr>
        <w:t xml:space="preserve">Diabetes Care</w:t>
      </w:r>
      <w:r>
        <w:t xml:space="preserve"> </w:t>
      </w:r>
      <w:r>
        <w:t xml:space="preserve">· Baseline factors associated with glycemic control and weight loss when exenatide twice daily is added to optimized insulin glargine in patients with type 2 diabetes. PMID 22432107</w:t>
      </w:r>
    </w:p>
    <w:p>
      <w:pPr>
        <w:numPr>
          <w:ilvl w:val="0"/>
          <w:numId w:val="1376"/>
        </w:numPr>
        <w:pStyle w:val="Compact"/>
      </w:pPr>
      <w:r>
        <w:t xml:space="preserve">2012 · Kothare PA ·</w:t>
      </w:r>
      <w:r>
        <w:t xml:space="preserve"> </w:t>
      </w:r>
      <w:r>
        <w:rPr>
          <w:iCs/>
          <w:i/>
        </w:rPr>
        <w:t xml:space="preserve">BMC Clin Pharmacol</w:t>
      </w:r>
      <w:r>
        <w:t xml:space="preserve"> </w:t>
      </w:r>
      <w:r>
        <w:t xml:space="preserve">· Effect of exenatide on the pharmacokinetics of a combination oral contraceptive in healthy women: an open-label, randomised, crossover trial. PMID 22429273</w:t>
      </w:r>
    </w:p>
    <w:p>
      <w:pPr>
        <w:numPr>
          <w:ilvl w:val="0"/>
          <w:numId w:val="1376"/>
        </w:numPr>
        <w:pStyle w:val="Compact"/>
      </w:pPr>
      <w:r>
        <w:t xml:space="preserve">2012 · Violante R ·</w:t>
      </w:r>
      <w:r>
        <w:t xml:space="preserve"> </w:t>
      </w:r>
      <w:r>
        <w:rPr>
          <w:iCs/>
          <w:i/>
        </w:rPr>
        <w:t xml:space="preserve">Diabet Med</w:t>
      </w:r>
      <w:r>
        <w:t xml:space="preserve"> </w:t>
      </w:r>
      <w:r>
        <w:t xml:space="preserve">· A randomized non-inferiority study comparing the addition of exenatide twice daily to sitagliptin or switching from sitagliptin to exenatide twice daily in patients with type 2 diabetes experiencing inadequate glycaemic control on metformin and sitagliptin. PMID 22375612</w:t>
      </w:r>
    </w:p>
    <w:p>
      <w:pPr>
        <w:numPr>
          <w:ilvl w:val="0"/>
          <w:numId w:val="1376"/>
        </w:numPr>
        <w:pStyle w:val="Compact"/>
      </w:pPr>
      <w:r>
        <w:t xml:space="preserve">2012 · Diamant M ·</w:t>
      </w:r>
      <w:r>
        <w:t xml:space="preserve"> </w:t>
      </w:r>
      <w:r>
        <w:rPr>
          <w:iCs/>
          <w:i/>
        </w:rPr>
        <w:t xml:space="preserve">Diabetes Care</w:t>
      </w:r>
      <w:r>
        <w:t xml:space="preserve"> </w:t>
      </w:r>
      <w:r>
        <w:t xml:space="preserve">· Safety and efficacy of once-weekly exenatide compared with insulin glargine titrated to target in patients with type 2 diabetes over 84 weeks. PMID 22357185</w:t>
      </w:r>
    </w:p>
    <w:p>
      <w:pPr>
        <w:numPr>
          <w:ilvl w:val="0"/>
          <w:numId w:val="1376"/>
        </w:numPr>
        <w:pStyle w:val="Compact"/>
      </w:pPr>
      <w:r>
        <w:t xml:space="preserve">2012 · Yoon SB ·</w:t>
      </w:r>
      <w:r>
        <w:t xml:space="preserve"> </w:t>
      </w:r>
      <w:r>
        <w:rPr>
          <w:iCs/>
          <w:i/>
        </w:rPr>
        <w:t xml:space="preserve">Digestion</w:t>
      </w:r>
      <w:r>
        <w:t xml:space="preserve"> </w:t>
      </w:r>
      <w:r>
        <w:t xml:space="preserve">· The effect of exenatide and erythromycin on postprandial symptoms and their relation to gastric functions. PMID 22354133</w:t>
      </w:r>
    </w:p>
    <w:p>
      <w:pPr>
        <w:numPr>
          <w:ilvl w:val="0"/>
          <w:numId w:val="1376"/>
        </w:numPr>
        <w:pStyle w:val="Compact"/>
      </w:pPr>
      <w:r>
        <w:t xml:space="preserve">2012 · Shi S ·</w:t>
      </w:r>
      <w:r>
        <w:t xml:space="preserve"> </w:t>
      </w:r>
      <w:r>
        <w:rPr>
          <w:iCs/>
          <w:i/>
        </w:rPr>
        <w:t xml:space="preserve">Arzneimittelforschung</w:t>
      </w:r>
      <w:r>
        <w:t xml:space="preserve"> </w:t>
      </w:r>
      <w:r>
        <w:t xml:space="preserve">· Pharmacokinetics, pharmacodynamics, and tolerability of a generic formulation of exenatide: a randomized, open-label, single- and multiple-dose study in healthy Chinese volunteers. PMID 22344551</w:t>
      </w:r>
    </w:p>
    <w:p>
      <w:pPr>
        <w:numPr>
          <w:ilvl w:val="0"/>
          <w:numId w:val="1376"/>
        </w:numPr>
        <w:pStyle w:val="Compact"/>
      </w:pPr>
      <w:r>
        <w:t xml:space="preserve">2012 · Mendis B ·</w:t>
      </w:r>
      <w:r>
        <w:t xml:space="preserve"> </w:t>
      </w:r>
      <w:r>
        <w:rPr>
          <w:iCs/>
          <w:i/>
        </w:rPr>
        <w:t xml:space="preserve">Br J Clin Pharmacol</w:t>
      </w:r>
      <w:r>
        <w:t xml:space="preserve"> </w:t>
      </w:r>
      <w:r>
        <w:t xml:space="preserve">· Investigation of the haemodynamic effects of exenatide in healthy male subjects. PMID 22320349</w:t>
      </w:r>
    </w:p>
    <w:p>
      <w:pPr>
        <w:numPr>
          <w:ilvl w:val="0"/>
          <w:numId w:val="1376"/>
        </w:numPr>
        <w:pStyle w:val="Compact"/>
      </w:pPr>
      <w:r>
        <w:t xml:space="preserve">2012 · Nathanson D ·</w:t>
      </w:r>
      <w:r>
        <w:t xml:space="preserve"> </w:t>
      </w:r>
      <w:r>
        <w:rPr>
          <w:iCs/>
          <w:i/>
        </w:rPr>
        <w:t xml:space="preserve">Diabetologia</w:t>
      </w:r>
      <w:r>
        <w:t xml:space="preserve"> </w:t>
      </w:r>
      <w:r>
        <w:t xml:space="preserve">· Effects of intravenous exenatide in type 2 diabetic patients with congestive heart failure: a double-blind, randomised controlled clinical trial of efficacy and safety. PMID 22246377</w:t>
      </w:r>
    </w:p>
    <w:p>
      <w:pPr>
        <w:numPr>
          <w:ilvl w:val="0"/>
          <w:numId w:val="1376"/>
        </w:numPr>
        <w:pStyle w:val="Compact"/>
      </w:pPr>
      <w:r>
        <w:t xml:space="preserve">2012 · Levin P ·</w:t>
      </w:r>
      <w:r>
        <w:t xml:space="preserve"> </w:t>
      </w:r>
      <w:r>
        <w:rPr>
          <w:iCs/>
          <w:i/>
        </w:rPr>
        <w:t xml:space="preserve">Curr Med Res Opin</w:t>
      </w:r>
      <w:r>
        <w:t xml:space="preserve"> </w:t>
      </w:r>
      <w:r>
        <w:t xml:space="preserve">· Combination therapy with insulin glargine and exenatide: real-world outcomes in patients with type 2 diabetes. PMID 22216894</w:t>
      </w:r>
    </w:p>
    <w:p>
      <w:pPr>
        <w:numPr>
          <w:ilvl w:val="0"/>
          <w:numId w:val="1376"/>
        </w:numPr>
        <w:pStyle w:val="Compact"/>
      </w:pPr>
      <w:r>
        <w:t xml:space="preserve">2012 · Russell-Jones D ·</w:t>
      </w:r>
      <w:r>
        <w:t xml:space="preserve"> </w:t>
      </w:r>
      <w:r>
        <w:rPr>
          <w:iCs/>
          <w:i/>
        </w:rPr>
        <w:t xml:space="preserve">Diabetes Care</w:t>
      </w:r>
      <w:r>
        <w:t xml:space="preserve"> </w:t>
      </w:r>
      <w:r>
        <w:t xml:space="preserve">· Efficacy and safety of exenatide once weekly versus metformin, pioglitazone, and sitagliptin used as monotherapy in drug-naive patients with type 2 diabetes (DURATION-4): a 26-week double-blind study. PMID 22210563</w:t>
      </w:r>
    </w:p>
    <w:p>
      <w:pPr>
        <w:numPr>
          <w:ilvl w:val="0"/>
          <w:numId w:val="1376"/>
        </w:numPr>
        <w:pStyle w:val="Compact"/>
      </w:pPr>
      <w:r>
        <w:t xml:space="preserve">2012 · Pujante Alarcón P ·</w:t>
      </w:r>
      <w:r>
        <w:t xml:space="preserve"> </w:t>
      </w:r>
      <w:r>
        <w:rPr>
          <w:iCs/>
          <w:i/>
        </w:rPr>
        <w:t xml:space="preserve">Med Clin (Barc)</w:t>
      </w:r>
      <w:r>
        <w:t xml:space="preserve"> </w:t>
      </w:r>
      <w:r>
        <w:t xml:space="preserve">· [Metabolic control and weight loss in patients with obesity and type 2 diabetes mellitus, treated with exenatide]. PMID 22209597</w:t>
      </w:r>
    </w:p>
    <w:p>
      <w:pPr>
        <w:numPr>
          <w:ilvl w:val="0"/>
          <w:numId w:val="1376"/>
        </w:numPr>
        <w:pStyle w:val="Compact"/>
      </w:pPr>
      <w:r>
        <w:t xml:space="preserve">2012 · Ha SJ ·</w:t>
      </w:r>
      <w:r>
        <w:t xml:space="preserve"> </w:t>
      </w:r>
      <w:r>
        <w:rPr>
          <w:iCs/>
          <w:i/>
        </w:rPr>
        <w:t xml:space="preserve">Arterioscler Thromb Vasc Biol</w:t>
      </w:r>
      <w:r>
        <w:t xml:space="preserve"> </w:t>
      </w:r>
      <w:r>
        <w:t xml:space="preserve">· Preventive effects of exenatide on endothelial dysfunction induced by ischemia-reperfusion injury via KATP channels. PMID 22155457</w:t>
      </w:r>
    </w:p>
    <w:p>
      <w:pPr>
        <w:numPr>
          <w:ilvl w:val="0"/>
          <w:numId w:val="1376"/>
        </w:numPr>
        <w:pStyle w:val="Compact"/>
      </w:pPr>
      <w:r>
        <w:t xml:space="preserve">2012 · Kelly AS ·</w:t>
      </w:r>
      <w:r>
        <w:t xml:space="preserve"> </w:t>
      </w:r>
      <w:r>
        <w:rPr>
          <w:iCs/>
          <w:i/>
        </w:rPr>
        <w:t xml:space="preserve">Obesity (Silver Spring)</w:t>
      </w:r>
      <w:r>
        <w:t xml:space="preserve"> </w:t>
      </w:r>
      <w:r>
        <w:t xml:space="preserve">· Exenatide as a weight-loss therapy in extreme pediatric obesity: a randomized, controlled pilot study. PMID 22076596</w:t>
      </w:r>
    </w:p>
    <w:p>
      <w:pPr>
        <w:numPr>
          <w:ilvl w:val="0"/>
          <w:numId w:val="1376"/>
        </w:numPr>
        <w:pStyle w:val="Compact"/>
      </w:pPr>
      <w:r>
        <w:t xml:space="preserve">2012 · Dushay J ·</w:t>
      </w:r>
      <w:r>
        <w:t xml:space="preserve"> </w:t>
      </w:r>
      <w:r>
        <w:rPr>
          <w:iCs/>
          <w:i/>
        </w:rPr>
        <w:t xml:space="preserve">Diabetes Care</w:t>
      </w:r>
      <w:r>
        <w:t xml:space="preserve"> </w:t>
      </w:r>
      <w:r>
        <w:t xml:space="preserve">· Short-term exenatide treatment leads to significant weight loss in a subset of obese women without diabetes. PMID 22040840</w:t>
      </w:r>
    </w:p>
    <w:p>
      <w:pPr>
        <w:numPr>
          <w:ilvl w:val="0"/>
          <w:numId w:val="1376"/>
        </w:numPr>
        <w:pStyle w:val="Compact"/>
      </w:pPr>
      <w:r>
        <w:t xml:space="preserve">2012 · Chaudhuri A ·</w:t>
      </w:r>
      <w:r>
        <w:t xml:space="preserve"> </w:t>
      </w:r>
      <w:r>
        <w:rPr>
          <w:iCs/>
          <w:i/>
        </w:rPr>
        <w:t xml:space="preserve">J Clin Endocrinol Metab</w:t>
      </w:r>
      <w:r>
        <w:t xml:space="preserve"> </w:t>
      </w:r>
      <w:r>
        <w:t xml:space="preserve">· Exenatide exerts a potent antiinflammatory effect. PMID 22013105</w:t>
      </w:r>
    </w:p>
    <w:p>
      <w:pPr>
        <w:numPr>
          <w:ilvl w:val="0"/>
          <w:numId w:val="1376"/>
        </w:numPr>
        <w:pStyle w:val="Compact"/>
      </w:pPr>
      <w:r>
        <w:t xml:space="preserve">2012 · Lønborg J ·</w:t>
      </w:r>
      <w:r>
        <w:t xml:space="preserve"> </w:t>
      </w:r>
      <w:r>
        <w:rPr>
          <w:iCs/>
          <w:i/>
        </w:rPr>
        <w:t xml:space="preserve">Eur Heart J</w:t>
      </w:r>
      <w:r>
        <w:t xml:space="preserve"> </w:t>
      </w:r>
      <w:r>
        <w:t xml:space="preserve">· Exenatide reduces reperfusion injury in patients with ST-segment elevation myocardial infarction. PMID 21920963</w:t>
      </w:r>
    </w:p>
    <w:p>
      <w:pPr>
        <w:numPr>
          <w:ilvl w:val="0"/>
          <w:numId w:val="1376"/>
        </w:numPr>
        <w:pStyle w:val="Compact"/>
      </w:pPr>
      <w:r>
        <w:t xml:space="preserve">2011 · Bergenstal RM ·</w:t>
      </w:r>
      <w:r>
        <w:t xml:space="preserve"> </w:t>
      </w:r>
      <w:r>
        <w:rPr>
          <w:iCs/>
          <w:i/>
        </w:rPr>
        <w:t xml:space="preserve">Curr Med Res Opin</w:t>
      </w:r>
      <w:r>
        <w:t xml:space="preserve"> </w:t>
      </w:r>
      <w:r>
        <w:t xml:space="preserve">· Exenatide BID Observational Study (ExOS): results for primary and secondary endpoints of a prospective research study to evaluate the clinical effectiveness of exenatide BID use in patients with type 2 diabetes in a real-world setting. PMID 22085180</w:t>
      </w:r>
    </w:p>
    <w:p>
      <w:pPr>
        <w:numPr>
          <w:ilvl w:val="0"/>
          <w:numId w:val="1376"/>
        </w:numPr>
        <w:pStyle w:val="Compact"/>
      </w:pPr>
      <w:r>
        <w:t xml:space="preserve">2011 · Scholte M ·</w:t>
      </w:r>
      <w:r>
        <w:t xml:space="preserve"> </w:t>
      </w:r>
      <w:r>
        <w:rPr>
          <w:iCs/>
          <w:i/>
        </w:rPr>
        <w:t xml:space="preserve">Trials</w:t>
      </w:r>
      <w:r>
        <w:t xml:space="preserve"> </w:t>
      </w:r>
      <w:r>
        <w:t xml:space="preserve">· Effect of additional treatment with EXenatide in patients with an Acute Myocardial Infarction (EXAMI): study protocol for a randomized controlled trial. PMID 22067476</w:t>
      </w:r>
    </w:p>
    <w:p>
      <w:pPr>
        <w:numPr>
          <w:ilvl w:val="0"/>
          <w:numId w:val="1376"/>
        </w:numPr>
        <w:pStyle w:val="Compact"/>
      </w:pPr>
      <w:r>
        <w:t xml:space="preserve">2011 · Linnebjerg H ·</w:t>
      </w:r>
      <w:r>
        <w:t xml:space="preserve"> </w:t>
      </w:r>
      <w:r>
        <w:rPr>
          <w:iCs/>
          <w:i/>
        </w:rPr>
        <w:t xml:space="preserve">Int J Clin Pharmacol Ther</w:t>
      </w:r>
      <w:r>
        <w:t xml:space="preserve"> </w:t>
      </w:r>
      <w:r>
        <w:t xml:space="preserve">· A thorough QT study to evaluate the effects of singledose exenatide 10 μg on cardiac repolarization in healthy subjects. PMID 21961484</w:t>
      </w:r>
    </w:p>
    <w:p>
      <w:pPr>
        <w:numPr>
          <w:ilvl w:val="0"/>
          <w:numId w:val="1376"/>
        </w:numPr>
        <w:pStyle w:val="Compact"/>
      </w:pPr>
      <w:r>
        <w:t xml:space="preserve">2011 · Samson SL ·</w:t>
      </w:r>
      <w:r>
        <w:t xml:space="preserve"> </w:t>
      </w:r>
      <w:r>
        <w:rPr>
          <w:iCs/>
          <w:i/>
        </w:rPr>
        <w:t xml:space="preserve">Diabetologia</w:t>
      </w:r>
      <w:r>
        <w:t xml:space="preserve"> </w:t>
      </w:r>
      <w:r>
        <w:t xml:space="preserve">· Exenatide decreases hepatic fibroblast growth factor 21 resistance in non-alcoholic fatty liver disease in a mouse model of obesity and in a randomised controlled trial. PMID 21956711</w:t>
      </w:r>
    </w:p>
    <w:p>
      <w:pPr>
        <w:numPr>
          <w:ilvl w:val="0"/>
          <w:numId w:val="1376"/>
        </w:numPr>
        <w:pStyle w:val="Compact"/>
      </w:pPr>
      <w:r>
        <w:t xml:space="preserve">2011 · Bunck MC ·</w:t>
      </w:r>
      <w:r>
        <w:t xml:space="preserve"> </w:t>
      </w:r>
      <w:r>
        <w:rPr>
          <w:iCs/>
          <w:i/>
        </w:rPr>
        <w:t xml:space="preserve">Diabetes Care</w:t>
      </w:r>
      <w:r>
        <w:t xml:space="preserve"> </w:t>
      </w:r>
      <w:r>
        <w:t xml:space="preserve">· Effects of exenatide on measures of β-cell function after 3 years in metformin-treated patients with type 2 diabetes. PMID 21868779</w:t>
      </w:r>
    </w:p>
    <w:p>
      <w:pPr>
        <w:numPr>
          <w:ilvl w:val="0"/>
          <w:numId w:val="1376"/>
        </w:numPr>
        <w:pStyle w:val="Compact"/>
      </w:pPr>
      <w:r>
        <w:t xml:space="preserve">2011 · Irace C ·</w:t>
      </w:r>
      <w:r>
        <w:t xml:space="preserve"> </w:t>
      </w:r>
      <w:r>
        <w:rPr>
          <w:iCs/>
          <w:i/>
        </w:rPr>
        <w:t xml:space="preserve">Diabetes Technol Ther</w:t>
      </w:r>
      <w:r>
        <w:t xml:space="preserve"> </w:t>
      </w:r>
      <w:r>
        <w:t xml:space="preserve">· Exenatide improves glycemic variability assessed by continuous glucose monitoring in subjects with type 2 diabetes. PMID 21751893</w:t>
      </w:r>
    </w:p>
    <w:p>
      <w:pPr>
        <w:numPr>
          <w:ilvl w:val="0"/>
          <w:numId w:val="1376"/>
        </w:numPr>
        <w:pStyle w:val="Compact"/>
      </w:pPr>
      <w:r>
        <w:t xml:space="preserve">2011 · Sathyanarayana P ·</w:t>
      </w:r>
      <w:r>
        <w:t xml:space="preserve"> </w:t>
      </w:r>
      <w:r>
        <w:rPr>
          <w:iCs/>
          <w:i/>
        </w:rPr>
        <w:t xml:space="preserve">Obesity (Silver Spring)</w:t>
      </w:r>
      <w:r>
        <w:t xml:space="preserve"> </w:t>
      </w:r>
      <w:r>
        <w:t xml:space="preserve">· Effects of combined exenatide and pioglitazone therapy on hepatic fat content in type 2 diabetes. PMID 21660077</w:t>
      </w:r>
    </w:p>
    <w:p>
      <w:pPr>
        <w:numPr>
          <w:ilvl w:val="0"/>
          <w:numId w:val="1376"/>
        </w:numPr>
        <w:pStyle w:val="Compact"/>
      </w:pPr>
      <w:r>
        <w:t xml:space="preserve">2011 · Derosa G ·</w:t>
      </w:r>
      <w:r>
        <w:t xml:space="preserve"> </w:t>
      </w:r>
      <w:r>
        <w:rPr>
          <w:iCs/>
          <w:i/>
        </w:rPr>
        <w:t xml:space="preserve">Eur J Pharmacol</w:t>
      </w:r>
      <w:r>
        <w:t xml:space="preserve"> </w:t>
      </w:r>
      <w:r>
        <w:t xml:space="preserve">· Exenatide or glimepiride added to metformin on metabolic control and on insulin resistance in type 2 diabetic patients. PMID 21645507</w:t>
      </w:r>
    </w:p>
    <w:p>
      <w:pPr>
        <w:numPr>
          <w:ilvl w:val="0"/>
          <w:numId w:val="1376"/>
        </w:numPr>
        <w:pStyle w:val="Compact"/>
      </w:pPr>
      <w:r>
        <w:t xml:space="preserve">2011 · Sze L ·</w:t>
      </w:r>
      <w:r>
        <w:t xml:space="preserve"> </w:t>
      </w:r>
      <w:r>
        <w:rPr>
          <w:iCs/>
          <w:i/>
        </w:rPr>
        <w:t xml:space="preserve">J Clin Endocrinol Metab</w:t>
      </w:r>
      <w:r>
        <w:t xml:space="preserve"> </w:t>
      </w:r>
      <w:r>
        <w:t xml:space="preserve">· Effects of a single dose of exenatide on appetite, gut hormones, and glucose homeostasis in adults with Prader-Willi syndrome. PMID 21632815</w:t>
      </w:r>
    </w:p>
    <w:p>
      <w:pPr>
        <w:numPr>
          <w:ilvl w:val="0"/>
          <w:numId w:val="1376"/>
        </w:numPr>
        <w:pStyle w:val="Compact"/>
      </w:pPr>
      <w:r>
        <w:t xml:space="preserve">2011 · Berg JK ·</w:t>
      </w:r>
      <w:r>
        <w:t xml:space="preserve"> </w:t>
      </w:r>
      <w:r>
        <w:rPr>
          <w:iCs/>
          <w:i/>
        </w:rPr>
        <w:t xml:space="preserve">Diabetes Obes Metab</w:t>
      </w:r>
      <w:r>
        <w:t xml:space="preserve"> </w:t>
      </w:r>
      <w:r>
        <w:t xml:space="preserve">· Effects of exenatide twice daily versus sitagliptin on 24-h glucose, glucoregulatory and hormonal measures: a randomized, double-blind, crossover study. PMID 21615670</w:t>
      </w:r>
    </w:p>
    <w:p>
      <w:pPr>
        <w:numPr>
          <w:ilvl w:val="0"/>
          <w:numId w:val="1376"/>
        </w:numPr>
        <w:pStyle w:val="Compact"/>
      </w:pPr>
      <w:r>
        <w:t xml:space="preserve">2011 · Grant P ·</w:t>
      </w:r>
      <w:r>
        <w:t xml:space="preserve"> </w:t>
      </w:r>
      <w:r>
        <w:rPr>
          <w:iCs/>
          <w:i/>
        </w:rPr>
        <w:t xml:space="preserve">J Diabetes Complications</w:t>
      </w:r>
      <w:r>
        <w:t xml:space="preserve"> </w:t>
      </w:r>
      <w:r>
        <w:t xml:space="preserve">· Psychological and quality of life changes in patients using GLP-1 analogues. PMID 21601480</w:t>
      </w:r>
    </w:p>
    <w:p>
      <w:pPr>
        <w:numPr>
          <w:ilvl w:val="0"/>
          <w:numId w:val="1376"/>
        </w:numPr>
        <w:pStyle w:val="Compact"/>
      </w:pPr>
      <w:r>
        <w:t xml:space="preserve">2011 · Fadini GP ·</w:t>
      </w:r>
      <w:r>
        <w:t xml:space="preserve"> </w:t>
      </w:r>
      <w:r>
        <w:rPr>
          <w:iCs/>
          <w:i/>
        </w:rPr>
        <w:t xml:space="preserve">Acta Diabetol</w:t>
      </w:r>
      <w:r>
        <w:t xml:space="preserve"> </w:t>
      </w:r>
      <w:r>
        <w:t xml:space="preserve">· The metabolic syndrome influences the response to incretin-based therapies. PMID 21574000</w:t>
      </w:r>
    </w:p>
    <w:p>
      <w:pPr>
        <w:numPr>
          <w:ilvl w:val="0"/>
          <w:numId w:val="1376"/>
        </w:numPr>
        <w:pStyle w:val="Compact"/>
      </w:pPr>
      <w:r>
        <w:t xml:space="preserve">2011 · Buse JB ·</w:t>
      </w:r>
      <w:r>
        <w:t xml:space="preserve"> </w:t>
      </w:r>
      <w:r>
        <w:rPr>
          <w:iCs/>
          <w:i/>
        </w:rPr>
        <w:t xml:space="preserve">J Clin Endocrinol Metab</w:t>
      </w:r>
      <w:r>
        <w:t xml:space="preserve"> </w:t>
      </w:r>
      <w:r>
        <w:t xml:space="preserve">· Liraglutide treatment is associated with a low frequency and magnitude of antibody formation with no apparent impact on glycemic response or increased frequency of adverse events: results from the Liraglutide Effect and Action in Diabetes (LEAD) trials. PMID 21450987</w:t>
      </w:r>
    </w:p>
    <w:p>
      <w:pPr>
        <w:numPr>
          <w:ilvl w:val="0"/>
          <w:numId w:val="1376"/>
        </w:numPr>
        <w:pStyle w:val="Compact"/>
      </w:pPr>
      <w:r>
        <w:t xml:space="preserve">2011 · Wysham C ·</w:t>
      </w:r>
      <w:r>
        <w:t xml:space="preserve"> </w:t>
      </w:r>
      <w:r>
        <w:rPr>
          <w:iCs/>
          <w:i/>
        </w:rPr>
        <w:t xml:space="preserve">Diabet Med</w:t>
      </w:r>
      <w:r>
        <w:t xml:space="preserve"> </w:t>
      </w:r>
      <w:r>
        <w:t xml:space="preserve">· DURATION-2: efficacy and safety of switching from maximum daily sitagliptin or pioglitazone to once-weekly exenatide. PMID 21434995</w:t>
      </w:r>
    </w:p>
    <w:p>
      <w:pPr>
        <w:numPr>
          <w:ilvl w:val="0"/>
          <w:numId w:val="1376"/>
        </w:numPr>
        <w:pStyle w:val="Compact"/>
      </w:pPr>
      <w:r>
        <w:t xml:space="preserve">2011 · Schmidt WE ·</w:t>
      </w:r>
      <w:r>
        <w:t xml:space="preserve"> </w:t>
      </w:r>
      <w:r>
        <w:rPr>
          <w:iCs/>
          <w:i/>
        </w:rPr>
        <w:t xml:space="preserve">Diabet Med</w:t>
      </w:r>
      <w:r>
        <w:t xml:space="preserve"> </w:t>
      </w:r>
      <w:r>
        <w:t xml:space="preserve">· Patient-reported outcomes are superior in patients with Type 2 diabetes treated with liraglutide as compared with exenatide, when added to metformin, sulphonylurea or both: results from a randomized, open-label study. PMID 21388442</w:t>
      </w:r>
    </w:p>
    <w:p>
      <w:pPr>
        <w:numPr>
          <w:ilvl w:val="0"/>
          <w:numId w:val="1376"/>
        </w:numPr>
        <w:pStyle w:val="Compact"/>
      </w:pPr>
      <w:r>
        <w:t xml:space="preserve">2011 · Blevins T ·</w:t>
      </w:r>
      <w:r>
        <w:t xml:space="preserve"> </w:t>
      </w:r>
      <w:r>
        <w:rPr>
          <w:iCs/>
          <w:i/>
        </w:rPr>
        <w:t xml:space="preserve">J Clin Endocrinol Metab</w:t>
      </w:r>
      <w:r>
        <w:t xml:space="preserve"> </w:t>
      </w:r>
      <w:r>
        <w:t xml:space="preserve">· DURATION-5: exenatide once weekly resulted in greater improvements in glycemic control compared with exenatide twice daily in patients with type 2 diabetes. PMID 21307137</w:t>
      </w:r>
    </w:p>
    <w:p>
      <w:pPr>
        <w:numPr>
          <w:ilvl w:val="0"/>
          <w:numId w:val="1376"/>
        </w:numPr>
        <w:pStyle w:val="Compact"/>
      </w:pPr>
      <w:r>
        <w:t xml:space="preserve">2011 · Gallwitz B ·</w:t>
      </w:r>
      <w:r>
        <w:t xml:space="preserve"> </w:t>
      </w:r>
      <w:r>
        <w:rPr>
          <w:iCs/>
          <w:i/>
        </w:rPr>
        <w:t xml:space="preserve">Diabetes Care</w:t>
      </w:r>
      <w:r>
        <w:t xml:space="preserve"> </w:t>
      </w:r>
      <w:r>
        <w:t xml:space="preserve">· Exenatide twice daily versus premixed insulin aspart 70/30 in metformin-treated patients with type 2 diabetes: a randomized 26-week study on glycemic control and hypoglycemia. PMID 21285388</w:t>
      </w:r>
    </w:p>
    <w:p>
      <w:pPr>
        <w:numPr>
          <w:ilvl w:val="0"/>
          <w:numId w:val="1376"/>
        </w:numPr>
        <w:pStyle w:val="Compact"/>
      </w:pPr>
      <w:r>
        <w:t xml:space="preserve">2011 · Wu JD ·</w:t>
      </w:r>
      <w:r>
        <w:t xml:space="preserve"> </w:t>
      </w:r>
      <w:r>
        <w:rPr>
          <w:iCs/>
          <w:i/>
        </w:rPr>
        <w:t xml:space="preserve">Diabetes Technol Ther</w:t>
      </w:r>
      <w:r>
        <w:t xml:space="preserve"> </w:t>
      </w:r>
      <w:r>
        <w:t xml:space="preserve">· Effect of exenatide on inflammatory and oxidative stress markers in patients with type 2 diabetes mellitus. PMID 21284481</w:t>
      </w:r>
    </w:p>
    <w:p>
      <w:pPr>
        <w:numPr>
          <w:ilvl w:val="0"/>
          <w:numId w:val="1376"/>
        </w:numPr>
        <w:pStyle w:val="Compact"/>
      </w:pPr>
      <w:r>
        <w:t xml:space="preserve">2011 · Best JH ·</w:t>
      </w:r>
      <w:r>
        <w:t xml:space="preserve"> </w:t>
      </w:r>
      <w:r>
        <w:rPr>
          <w:iCs/>
          <w:i/>
        </w:rPr>
        <w:t xml:space="preserve">Diabetes Care</w:t>
      </w:r>
      <w:r>
        <w:t xml:space="preserve"> </w:t>
      </w:r>
      <w:r>
        <w:t xml:space="preserve">· Weight-related quality of life, health utility, psychological well-being, and satisfaction with exenatide once weekly compared with sitagliptin or pioglitazone after 26 weeks of treatment. PMID 21270189</w:t>
      </w:r>
    </w:p>
    <w:p>
      <w:pPr>
        <w:numPr>
          <w:ilvl w:val="0"/>
          <w:numId w:val="1376"/>
        </w:numPr>
        <w:pStyle w:val="Compact"/>
      </w:pPr>
      <w:r>
        <w:t xml:space="preserve">2011 · Linnebjerg H ·</w:t>
      </w:r>
      <w:r>
        <w:t xml:space="preserve"> </w:t>
      </w:r>
      <w:r>
        <w:rPr>
          <w:iCs/>
          <w:i/>
        </w:rPr>
        <w:t xml:space="preserve">Int J Clin Pharmacol Ther</w:t>
      </w:r>
      <w:r>
        <w:t xml:space="preserve"> </w:t>
      </w:r>
      <w:r>
        <w:t xml:space="preserve">· Exenatide - pharmacokinetics, pharmacodynamics, safety and tolerability in patients ≥ 75 years of age with Type 2 diabetes. PMID 21255526</w:t>
      </w:r>
    </w:p>
    <w:p>
      <w:pPr>
        <w:numPr>
          <w:ilvl w:val="0"/>
          <w:numId w:val="1376"/>
        </w:numPr>
        <w:pStyle w:val="Compact"/>
      </w:pPr>
      <w:r>
        <w:t xml:space="preserve">2011 · van Raalte DH ·</w:t>
      </w:r>
      <w:r>
        <w:t xml:space="preserve"> </w:t>
      </w:r>
      <w:r>
        <w:rPr>
          <w:iCs/>
          <w:i/>
        </w:rPr>
        <w:t xml:space="preserve">Diabetes Care</w:t>
      </w:r>
      <w:r>
        <w:t xml:space="preserve"> </w:t>
      </w:r>
      <w:r>
        <w:t xml:space="preserve">· Glucagon-like peptide-1 receptor agonist treatment prevents glucocorticoid-induced glucose intolerance and islet-cell dysfunction in humans. PMID 21216851</w:t>
      </w:r>
    </w:p>
    <w:p>
      <w:pPr>
        <w:numPr>
          <w:ilvl w:val="0"/>
          <w:numId w:val="1376"/>
        </w:numPr>
        <w:pStyle w:val="Compact"/>
      </w:pPr>
      <w:r>
        <w:t xml:space="preserve">2011 · Buse JB ·</w:t>
      </w:r>
      <w:r>
        <w:t xml:space="preserve"> </w:t>
      </w:r>
      <w:r>
        <w:rPr>
          <w:iCs/>
          <w:i/>
        </w:rPr>
        <w:t xml:space="preserve">Ann Intern Med</w:t>
      </w:r>
      <w:r>
        <w:t xml:space="preserve"> </w:t>
      </w:r>
      <w:r>
        <w:t xml:space="preserve">· Use of twice-daily exenatide in Basal insulin-treated patients with type 2 diabetes: a randomized, controlled trial. PMID 21138825</w:t>
      </w:r>
    </w:p>
    <w:p>
      <w:pPr>
        <w:numPr>
          <w:ilvl w:val="0"/>
          <w:numId w:val="1376"/>
        </w:numPr>
        <w:pStyle w:val="Compact"/>
      </w:pPr>
      <w:r>
        <w:t xml:space="preserve">2011 · González-Ortiz M ·</w:t>
      </w:r>
      <w:r>
        <w:t xml:space="preserve"> </w:t>
      </w:r>
      <w:r>
        <w:rPr>
          <w:iCs/>
          <w:i/>
        </w:rPr>
        <w:t xml:space="preserve">Metab Syndr Relat Disord</w:t>
      </w:r>
      <w:r>
        <w:t xml:space="preserve"> </w:t>
      </w:r>
      <w:r>
        <w:t xml:space="preserve">· Effect of exenatide on fat deposition and a metabolic profile in patients with metabolic syndrome. PMID 20874425</w:t>
      </w:r>
    </w:p>
    <w:p>
      <w:pPr>
        <w:numPr>
          <w:ilvl w:val="0"/>
          <w:numId w:val="1376"/>
        </w:numPr>
        <w:pStyle w:val="Compact"/>
      </w:pPr>
      <w:r>
        <w:t xml:space="preserve">2011 · Pinelli NR ·</w:t>
      </w:r>
      <w:r>
        <w:t xml:space="preserve"> </w:t>
      </w:r>
      <w:r>
        <w:rPr>
          <w:iCs/>
          <w:i/>
        </w:rPr>
        <w:t xml:space="preserve">J Clin Pharmacol</w:t>
      </w:r>
      <w:r>
        <w:t xml:space="preserve"> </w:t>
      </w:r>
      <w:r>
        <w:t xml:space="preserve">· Effect of administration time of exenatide on satiety responses, blood glucose, and adverse events in healthy volunteers. PMID 20484613</w:t>
      </w:r>
    </w:p>
    <w:p>
      <w:pPr>
        <w:numPr>
          <w:ilvl w:val="0"/>
          <w:numId w:val="1376"/>
        </w:numPr>
        <w:pStyle w:val="Compact"/>
      </w:pPr>
      <w:r>
        <w:t xml:space="preserve">2010 · Liutkus J ·</w:t>
      </w:r>
      <w:r>
        <w:t xml:space="preserve"> </w:t>
      </w:r>
      <w:r>
        <w:rPr>
          <w:iCs/>
          <w:i/>
        </w:rPr>
        <w:t xml:space="preserve">Diabetes Obes Metab</w:t>
      </w:r>
      <w:r>
        <w:t xml:space="preserve"> </w:t>
      </w:r>
      <w:r>
        <w:t xml:space="preserve">· A placebo-controlled trial of exenatide twice-daily added to thiazolidinediones alone or in combination with metformin. PMID 20977576</w:t>
      </w:r>
    </w:p>
    <w:p>
      <w:pPr>
        <w:numPr>
          <w:ilvl w:val="0"/>
          <w:numId w:val="1376"/>
        </w:numPr>
        <w:pStyle w:val="Compact"/>
      </w:pPr>
      <w:r>
        <w:t xml:space="preserve">2010 · Ellero C ·</w:t>
      </w:r>
      <w:r>
        <w:t xml:space="preserve"> </w:t>
      </w:r>
      <w:r>
        <w:rPr>
          <w:iCs/>
          <w:i/>
        </w:rPr>
        <w:t xml:space="preserve">Diabet Med</w:t>
      </w:r>
      <w:r>
        <w:t xml:space="preserve"> </w:t>
      </w:r>
      <w:r>
        <w:t xml:space="preserve">· Prophylactic use of anti-emetic medications reduced nausea and vomiting associated with exenatide treatment: a retrospective analysis of an open-label, parallel-group, single-dose study in healthy subjects. PMID 20854385</w:t>
      </w:r>
    </w:p>
    <w:p>
      <w:pPr>
        <w:numPr>
          <w:ilvl w:val="0"/>
          <w:numId w:val="1376"/>
        </w:numPr>
        <w:pStyle w:val="Compact"/>
      </w:pPr>
      <w:r>
        <w:t xml:space="preserve">2010 · Mecott GA ·</w:t>
      </w:r>
      <w:r>
        <w:t xml:space="preserve"> </w:t>
      </w:r>
      <w:r>
        <w:rPr>
          <w:iCs/>
          <w:i/>
        </w:rPr>
        <w:t xml:space="preserve">Crit Care</w:t>
      </w:r>
      <w:r>
        <w:t xml:space="preserve"> </w:t>
      </w:r>
      <w:r>
        <w:t xml:space="preserve">· The use of exenatide in severely burned pediatric patients. PMID 20701787</w:t>
      </w:r>
    </w:p>
    <w:p>
      <w:pPr>
        <w:numPr>
          <w:ilvl w:val="0"/>
          <w:numId w:val="1376"/>
        </w:numPr>
        <w:pStyle w:val="Compact"/>
      </w:pPr>
      <w:r>
        <w:t xml:space="preserve">2010 · Diamant M ·</w:t>
      </w:r>
      <w:r>
        <w:t xml:space="preserve"> </w:t>
      </w:r>
      <w:r>
        <w:rPr>
          <w:iCs/>
          <w:i/>
        </w:rPr>
        <w:t xml:space="preserve">Lancet</w:t>
      </w:r>
      <w:r>
        <w:t xml:space="preserve"> </w:t>
      </w:r>
      <w:r>
        <w:t xml:space="preserve">· Once weekly exenatide compared with insulin glargine titrated to target in patients with type 2 diabetes (DURATION-3): an open-label randomised trial. PMID 20609969</w:t>
      </w:r>
    </w:p>
    <w:p>
      <w:pPr>
        <w:numPr>
          <w:ilvl w:val="0"/>
          <w:numId w:val="1376"/>
        </w:numPr>
        <w:pStyle w:val="Compact"/>
      </w:pPr>
      <w:r>
        <w:t xml:space="preserve">2010 · Schernthaner G ·</w:t>
      </w:r>
      <w:r>
        <w:t xml:space="preserve"> </w:t>
      </w:r>
      <w:r>
        <w:rPr>
          <w:iCs/>
          <w:i/>
        </w:rPr>
        <w:t xml:space="preserve">Diabetes Metab</w:t>
      </w:r>
      <w:r>
        <w:t xml:space="preserve"> </w:t>
      </w:r>
      <w:r>
        <w:t xml:space="preserve">· Impact of postprandial and fasting glucose concentrations on HbA1c in patients with type 2 diabetes. PMID 20598608</w:t>
      </w:r>
    </w:p>
    <w:p>
      <w:pPr>
        <w:numPr>
          <w:ilvl w:val="0"/>
          <w:numId w:val="1376"/>
        </w:numPr>
        <w:pStyle w:val="Compact"/>
      </w:pPr>
      <w:r>
        <w:t xml:space="preserve">2010 · Bergenstal RM ·</w:t>
      </w:r>
      <w:r>
        <w:t xml:space="preserve"> </w:t>
      </w:r>
      <w:r>
        <w:rPr>
          <w:iCs/>
          <w:i/>
        </w:rPr>
        <w:t xml:space="preserve">Lancet</w:t>
      </w:r>
      <w:r>
        <w:t xml:space="preserve"> </w:t>
      </w:r>
      <w:r>
        <w:t xml:space="preserve">· Efficacy and safety of exenatide once weekly versus sitagliptin or pioglitazone as an adjunct to metformin for treatment of type 2 diabetes (DURATION-2): a randomised trial. PMID 20580422</w:t>
      </w:r>
    </w:p>
    <w:p>
      <w:pPr>
        <w:numPr>
          <w:ilvl w:val="0"/>
          <w:numId w:val="1376"/>
        </w:numPr>
        <w:pStyle w:val="Compact"/>
      </w:pPr>
      <w:r>
        <w:t xml:space="preserve">2010 · Schwartz EA ·</w:t>
      </w:r>
      <w:r>
        <w:t xml:space="preserve"> </w:t>
      </w:r>
      <w:r>
        <w:rPr>
          <w:iCs/>
          <w:i/>
        </w:rPr>
        <w:t xml:space="preserve">Atherosclerosis</w:t>
      </w:r>
      <w:r>
        <w:t xml:space="preserve"> </w:t>
      </w:r>
      <w:r>
        <w:t xml:space="preserve">· Exenatide suppresses postprandial elevations in lipids and lipoproteins in individuals with impaired glucose tolerance and recent onset type 2 diabetes mellitus. PMID 20557887</w:t>
      </w:r>
    </w:p>
    <w:p>
      <w:pPr>
        <w:numPr>
          <w:ilvl w:val="0"/>
          <w:numId w:val="1376"/>
        </w:numPr>
        <w:pStyle w:val="Compact"/>
      </w:pPr>
      <w:r>
        <w:t xml:space="preserve">2010 · Bunck MC ·</w:t>
      </w:r>
      <w:r>
        <w:t xml:space="preserve"> </w:t>
      </w:r>
      <w:r>
        <w:rPr>
          <w:iCs/>
          <w:i/>
        </w:rPr>
        <w:t xml:space="preserve">Atherosclerosis</w:t>
      </w:r>
      <w:r>
        <w:t xml:space="preserve"> </w:t>
      </w:r>
      <w:r>
        <w:t xml:space="preserve">· One-year treatment with exenatide vs. insulin glargine: effects on postprandial glycemia, lipid profiles, and oxidative stress. PMID 20494360</w:t>
      </w:r>
    </w:p>
    <w:p>
      <w:pPr>
        <w:numPr>
          <w:ilvl w:val="0"/>
          <w:numId w:val="1376"/>
        </w:numPr>
        <w:pStyle w:val="Compact"/>
      </w:pPr>
      <w:r>
        <w:t xml:space="preserve">2010 · Bunck MC ·</w:t>
      </w:r>
      <w:r>
        <w:t xml:space="preserve"> </w:t>
      </w:r>
      <w:r>
        <w:rPr>
          <w:iCs/>
          <w:i/>
        </w:rPr>
        <w:t xml:space="preserve">Diabetes Care</w:t>
      </w:r>
      <w:r>
        <w:t xml:space="preserve"> </w:t>
      </w:r>
      <w:r>
        <w:t xml:space="preserve">· Exenatide affects circulating cardiovascular risk biomarkers independently of changes in body composition. PMID 20424219</w:t>
      </w:r>
    </w:p>
    <w:p>
      <w:pPr>
        <w:numPr>
          <w:ilvl w:val="0"/>
          <w:numId w:val="1376"/>
        </w:numPr>
        <w:pStyle w:val="Compact"/>
      </w:pPr>
      <w:r>
        <w:t xml:space="preserve">2010 · Apovian CM ·</w:t>
      </w:r>
      <w:r>
        <w:t xml:space="preserve"> </w:t>
      </w:r>
      <w:r>
        <w:rPr>
          <w:iCs/>
          <w:i/>
        </w:rPr>
        <w:t xml:space="preserve">Am J Med</w:t>
      </w:r>
      <w:r>
        <w:t xml:space="preserve"> </w:t>
      </w:r>
      <w:r>
        <w:t xml:space="preserve">· Effects of exenatide combined with lifestyle modification in patients with type 2 diabetes. PMID 20399326</w:t>
      </w:r>
    </w:p>
    <w:p>
      <w:pPr>
        <w:numPr>
          <w:ilvl w:val="0"/>
          <w:numId w:val="1376"/>
        </w:numPr>
        <w:pStyle w:val="Compact"/>
      </w:pPr>
      <w:r>
        <w:t xml:space="preserve">2010 · Arnolds S ·</w:t>
      </w:r>
      <w:r>
        <w:t xml:space="preserve"> </w:t>
      </w:r>
      <w:r>
        <w:rPr>
          <w:iCs/>
          <w:i/>
        </w:rPr>
        <w:t xml:space="preserve">Diabetes Care</w:t>
      </w:r>
      <w:r>
        <w:t xml:space="preserve"> </w:t>
      </w:r>
      <w:r>
        <w:t xml:space="preserve">· Further improvement in postprandial glucose control with addition of exenatide or sitagliptin to combination therapy with insulin glargine and metformin: a proof-of-concept study. PMID 20357372</w:t>
      </w:r>
    </w:p>
    <w:p>
      <w:pPr>
        <w:numPr>
          <w:ilvl w:val="0"/>
          <w:numId w:val="1376"/>
        </w:numPr>
        <w:pStyle w:val="Compact"/>
      </w:pPr>
      <w:r>
        <w:t xml:space="preserve">2010 · Raman VS ·</w:t>
      </w:r>
      <w:r>
        <w:t xml:space="preserve"> </w:t>
      </w:r>
      <w:r>
        <w:rPr>
          <w:iCs/>
          <w:i/>
        </w:rPr>
        <w:t xml:space="preserve">Diabetes Care</w:t>
      </w:r>
      <w:r>
        <w:t xml:space="preserve"> </w:t>
      </w:r>
      <w:r>
        <w:t xml:space="preserve">· The role of adjunctive exenatide therapy in pediatric type 1 diabetes. PMID 20332358</w:t>
      </w:r>
    </w:p>
    <w:p>
      <w:pPr>
        <w:numPr>
          <w:ilvl w:val="0"/>
          <w:numId w:val="1376"/>
        </w:numPr>
        <w:pStyle w:val="Compact"/>
      </w:pPr>
      <w:r>
        <w:t xml:space="preserve">2010 · Rosenstock J ·</w:t>
      </w:r>
      <w:r>
        <w:t xml:space="preserve"> </w:t>
      </w:r>
      <w:r>
        <w:rPr>
          <w:iCs/>
          <w:i/>
        </w:rPr>
        <w:t xml:space="preserve">Diabetes Care</w:t>
      </w:r>
      <w:r>
        <w:t xml:space="preserve"> </w:t>
      </w:r>
      <w:r>
        <w:t xml:space="preserve">· Effects of exenatide and lifestyle modification on body weight and glucose tolerance in obese subjects with and without pre-diabetes. PMID 20332357</w:t>
      </w:r>
    </w:p>
    <w:p>
      <w:pPr>
        <w:numPr>
          <w:ilvl w:val="0"/>
          <w:numId w:val="1376"/>
        </w:numPr>
        <w:pStyle w:val="Compact"/>
      </w:pPr>
      <w:r>
        <w:t xml:space="preserve">2010 · Buse JB ·</w:t>
      </w:r>
      <w:r>
        <w:t xml:space="preserve"> </w:t>
      </w:r>
      <w:r>
        <w:rPr>
          <w:iCs/>
          <w:i/>
        </w:rPr>
        <w:t xml:space="preserve">Diabetes Care</w:t>
      </w:r>
      <w:r>
        <w:t xml:space="preserve"> </w:t>
      </w:r>
      <w:r>
        <w:t xml:space="preserve">· Switching to once-daily liraglutide from twice-daily exenatide further improves glycemic control in patients with type 2 diabetes using oral agents. PMID 20332351</w:t>
      </w:r>
    </w:p>
    <w:p>
      <w:pPr>
        <w:numPr>
          <w:ilvl w:val="0"/>
          <w:numId w:val="1376"/>
        </w:numPr>
        <w:pStyle w:val="Compact"/>
      </w:pPr>
      <w:r>
        <w:t xml:space="preserve">2010 · Buse JB ·</w:t>
      </w:r>
      <w:r>
        <w:t xml:space="preserve"> </w:t>
      </w:r>
      <w:r>
        <w:rPr>
          <w:iCs/>
          <w:i/>
        </w:rPr>
        <w:t xml:space="preserve">Diabetes Care</w:t>
      </w:r>
      <w:r>
        <w:t xml:space="preserve"> </w:t>
      </w:r>
      <w:r>
        <w:t xml:space="preserve">· DURATION-1: exenatide once weekly produces sustained glycemic control and weight loss over 52 weeks. PMID 20215461</w:t>
      </w:r>
    </w:p>
    <w:p>
      <w:pPr>
        <w:numPr>
          <w:ilvl w:val="0"/>
          <w:numId w:val="1376"/>
        </w:numPr>
        <w:pStyle w:val="Compact"/>
      </w:pPr>
      <w:r>
        <w:t xml:space="preserve">2010 · Koska J ·</w:t>
      </w:r>
      <w:r>
        <w:t xml:space="preserve"> </w:t>
      </w:r>
      <w:r>
        <w:rPr>
          <w:iCs/>
          <w:i/>
        </w:rPr>
        <w:t xml:space="preserve">Diabetes Care</w:t>
      </w:r>
      <w:r>
        <w:t xml:space="preserve"> </w:t>
      </w:r>
      <w:r>
        <w:t xml:space="preserve">· Improvement of postprandial endothelial function after a single dose of exenatide in individuals with impaired glucose tolerance and recent-onset type 2 diabetes. PMID 20200309</w:t>
      </w:r>
    </w:p>
    <w:p>
      <w:pPr>
        <w:numPr>
          <w:ilvl w:val="0"/>
          <w:numId w:val="1376"/>
        </w:numPr>
        <w:pStyle w:val="Compact"/>
      </w:pPr>
      <w:r>
        <w:t xml:space="preserve">2010 · Roubícek T ·</w:t>
      </w:r>
      <w:r>
        <w:t xml:space="preserve"> </w:t>
      </w:r>
      <w:r>
        <w:rPr>
          <w:iCs/>
          <w:i/>
        </w:rPr>
        <w:t xml:space="preserve">Vnitr Lek</w:t>
      </w:r>
      <w:r>
        <w:t xml:space="preserve"> </w:t>
      </w:r>
      <w:r>
        <w:t xml:space="preserve">· [The influence of 6-months treatment with exenatide on type 2 diabetes mellitus compensation, anthropometric and biochemical parameters]. PMID 20184107</w:t>
      </w:r>
    </w:p>
    <w:p>
      <w:pPr>
        <w:numPr>
          <w:ilvl w:val="0"/>
          <w:numId w:val="1376"/>
        </w:numPr>
        <w:pStyle w:val="Compact"/>
      </w:pPr>
      <w:r>
        <w:t xml:space="preserve">2010 · Derosa G ·</w:t>
      </w:r>
      <w:r>
        <w:t xml:space="preserve"> </w:t>
      </w:r>
      <w:r>
        <w:rPr>
          <w:iCs/>
          <w:i/>
        </w:rPr>
        <w:t xml:space="preserve">Diabetes Technol Ther</w:t>
      </w:r>
      <w:r>
        <w:t xml:space="preserve"> </w:t>
      </w:r>
      <w:r>
        <w:t xml:space="preserve">· Exenatide versus glibenclamide in patients with diabetes. PMID 20151774</w:t>
      </w:r>
    </w:p>
    <w:p>
      <w:pPr>
        <w:numPr>
          <w:ilvl w:val="0"/>
          <w:numId w:val="1376"/>
        </w:numPr>
        <w:pStyle w:val="Compact"/>
      </w:pPr>
      <w:r>
        <w:t xml:space="preserve">2010 · Gill A ·</w:t>
      </w:r>
      <w:r>
        <w:t xml:space="preserve"> </w:t>
      </w:r>
      <w:r>
        <w:rPr>
          <w:iCs/>
          <w:i/>
        </w:rPr>
        <w:t xml:space="preserve">Cardiovasc Diabetol</w:t>
      </w:r>
      <w:r>
        <w:t xml:space="preserve"> </w:t>
      </w:r>
      <w:r>
        <w:t xml:space="preserve">· Effect of exenatide on heart rate and blood pressure in subjects with type 2 diabetes mellitus: a double-blind, placebo-controlled, randomized pilot study. PMID 20109208</w:t>
      </w:r>
    </w:p>
    <w:p>
      <w:pPr>
        <w:numPr>
          <w:ilvl w:val="0"/>
          <w:numId w:val="1376"/>
        </w:numPr>
        <w:pStyle w:val="Compact"/>
      </w:pPr>
      <w:r>
        <w:t xml:space="preserve">2010 · DeFronzo RA ·</w:t>
      </w:r>
      <w:r>
        <w:t xml:space="preserve"> </w:t>
      </w:r>
      <w:r>
        <w:rPr>
          <w:iCs/>
          <w:i/>
        </w:rPr>
        <w:t xml:space="preserve">Diabetes Care</w:t>
      </w:r>
      <w:r>
        <w:t xml:space="preserve"> </w:t>
      </w:r>
      <w:r>
        <w:t xml:space="preserve">· Effects of exenatide plus rosiglitazone on beta-cell function and insulin sensitivity in subjects with type 2 diabetes on metformin. PMID 20107105</w:t>
      </w:r>
    </w:p>
    <w:p>
      <w:pPr>
        <w:numPr>
          <w:ilvl w:val="0"/>
          <w:numId w:val="1376"/>
        </w:numPr>
        <w:pStyle w:val="Compact"/>
      </w:pPr>
      <w:r>
        <w:t xml:space="preserve">2009 · Faradji RN ·</w:t>
      </w:r>
      <w:r>
        <w:t xml:space="preserve"> </w:t>
      </w:r>
      <w:r>
        <w:rPr>
          <w:iCs/>
          <w:i/>
        </w:rPr>
        <w:t xml:space="preserve">Cell Transplant</w:t>
      </w:r>
      <w:r>
        <w:t xml:space="preserve"> </w:t>
      </w:r>
      <w:r>
        <w:t xml:space="preserve">· Long-term metabolic and hormonal effects of exenatide on islet transplant recipients with allograft dysfunction. PMID 20003758</w:t>
      </w:r>
    </w:p>
    <w:p>
      <w:pPr>
        <w:numPr>
          <w:ilvl w:val="0"/>
          <w:numId w:val="1376"/>
        </w:numPr>
        <w:pStyle w:val="Compact"/>
      </w:pPr>
      <w:r>
        <w:t xml:space="preserve">2009 · Davies MJ ·</w:t>
      </w:r>
      <w:r>
        <w:t xml:space="preserve"> </w:t>
      </w:r>
      <w:r>
        <w:rPr>
          <w:iCs/>
          <w:i/>
        </w:rPr>
        <w:t xml:space="preserve">Diabetes Obes Metab</w:t>
      </w:r>
      <w:r>
        <w:t xml:space="preserve"> </w:t>
      </w:r>
      <w:r>
        <w:t xml:space="preserve">· Exenatide compared with long-acting insulin to achieve glycaemic control with minimal weight gain in patients with type 2 diabetes: results of the Helping Evaluate Exenatide in patients with diabetes compared with Long-Acting insulin (HEELA) study. PMID 19930005</w:t>
      </w:r>
    </w:p>
    <w:p>
      <w:pPr>
        <w:numPr>
          <w:ilvl w:val="0"/>
          <w:numId w:val="1376"/>
        </w:numPr>
        <w:pStyle w:val="Compact"/>
      </w:pPr>
      <w:r>
        <w:t xml:space="preserve">2009 · Linnebjerg H ·</w:t>
      </w:r>
      <w:r>
        <w:t xml:space="preserve"> </w:t>
      </w:r>
      <w:r>
        <w:rPr>
          <w:iCs/>
          <w:i/>
        </w:rPr>
        <w:t xml:space="preserve">Int J Clin Pharmacol Ther</w:t>
      </w:r>
      <w:r>
        <w:t xml:space="preserve"> </w:t>
      </w:r>
      <w:r>
        <w:t xml:space="preserve">· The effect of exenatide on lisinopril pharmacodynamics and pharmacokinetics in patients with hypertension. PMID 19840529</w:t>
      </w:r>
    </w:p>
    <w:p>
      <w:pPr>
        <w:numPr>
          <w:ilvl w:val="0"/>
          <w:numId w:val="1376"/>
        </w:numPr>
        <w:pStyle w:val="Compact"/>
      </w:pPr>
      <w:r>
        <w:t xml:space="preserve">2009 · Rother KI ·</w:t>
      </w:r>
      <w:r>
        <w:t xml:space="preserve"> </w:t>
      </w:r>
      <w:r>
        <w:rPr>
          <w:iCs/>
          <w:i/>
        </w:rPr>
        <w:t xml:space="preserve">Diabetes Care</w:t>
      </w:r>
      <w:r>
        <w:t xml:space="preserve"> </w:t>
      </w:r>
      <w:r>
        <w:t xml:space="preserve">· Effects of exenatide alone and in combination with daclizumab on beta-cell function in long-standing type 1 diabetes. PMID 19808924</w:t>
      </w:r>
    </w:p>
    <w:p>
      <w:pPr>
        <w:numPr>
          <w:ilvl w:val="0"/>
          <w:numId w:val="1376"/>
        </w:numPr>
        <w:pStyle w:val="Compact"/>
      </w:pPr>
      <w:r>
        <w:t xml:space="preserve">2009 · Iwamoto K ·</w:t>
      </w:r>
      <w:r>
        <w:t xml:space="preserve"> </w:t>
      </w:r>
      <w:r>
        <w:rPr>
          <w:iCs/>
          <w:i/>
        </w:rPr>
        <w:t xml:space="preserve">Endocr J</w:t>
      </w:r>
      <w:r>
        <w:t xml:space="preserve"> </w:t>
      </w:r>
      <w:r>
        <w:t xml:space="preserve">· Safety, tolerability, pharmacokinetics, and pharmacodynamics of exenatide once weekly in Japanese patients with type 2 diabetes. PMID 19706990</w:t>
      </w:r>
    </w:p>
    <w:p>
      <w:pPr>
        <w:numPr>
          <w:ilvl w:val="0"/>
          <w:numId w:val="1376"/>
        </w:numPr>
        <w:pStyle w:val="Compact"/>
      </w:pPr>
      <w:r>
        <w:t xml:space="preserve">2009 · Brändle M ·</w:t>
      </w:r>
      <w:r>
        <w:t xml:space="preserve"> </w:t>
      </w:r>
      <w:r>
        <w:rPr>
          <w:iCs/>
          <w:i/>
        </w:rPr>
        <w:t xml:space="preserve">Int J Clin Pharmacol Ther</w:t>
      </w:r>
      <w:r>
        <w:t xml:space="preserve"> </w:t>
      </w:r>
      <w:r>
        <w:t xml:space="preserve">· Exenatide versus insulin glargine: a cost-effectiveness evaluation in patients with Type 2 diabetes in Switzerland. PMID 19640359</w:t>
      </w:r>
    </w:p>
    <w:p>
      <w:pPr>
        <w:numPr>
          <w:ilvl w:val="0"/>
          <w:numId w:val="1376"/>
        </w:numPr>
        <w:pStyle w:val="Compact"/>
      </w:pPr>
      <w:r>
        <w:t xml:space="preserve">2009 · Rosenstock J ·</w:t>
      </w:r>
      <w:r>
        <w:t xml:space="preserve"> </w:t>
      </w:r>
      <w:r>
        <w:rPr>
          <w:iCs/>
          <w:i/>
        </w:rPr>
        <w:t xml:space="preserve">Diabetes Care</w:t>
      </w:r>
      <w:r>
        <w:t xml:space="preserve"> </w:t>
      </w:r>
      <w:r>
        <w:t xml:space="preserve">· Potential of albiglutide, a long-acting GLP-1 receptor agonist, in type 2 diabetes: a randomized controlled trial exploring weekly, biweekly, and monthly dosing. PMID 19592625</w:t>
      </w:r>
    </w:p>
    <w:p>
      <w:pPr>
        <w:numPr>
          <w:ilvl w:val="0"/>
          <w:numId w:val="1376"/>
        </w:numPr>
        <w:pStyle w:val="Compact"/>
      </w:pPr>
      <w:r>
        <w:t xml:space="preserve">2009 · Faludi P ·</w:t>
      </w:r>
      <w:r>
        <w:t xml:space="preserve"> </w:t>
      </w:r>
      <w:r>
        <w:rPr>
          <w:iCs/>
          <w:i/>
        </w:rPr>
        <w:t xml:space="preserve">Peptides</w:t>
      </w:r>
      <w:r>
        <w:t xml:space="preserve"> </w:t>
      </w:r>
      <w:r>
        <w:t xml:space="preserve">· The effect of exenatide re-exposure on safety and efficacy. PMID 19576255</w:t>
      </w:r>
    </w:p>
    <w:p>
      <w:pPr>
        <w:numPr>
          <w:ilvl w:val="0"/>
          <w:numId w:val="1376"/>
        </w:numPr>
        <w:pStyle w:val="Compact"/>
      </w:pPr>
      <w:r>
        <w:t xml:space="preserve">2009 · Best JH ·</w:t>
      </w:r>
      <w:r>
        <w:t xml:space="preserve"> </w:t>
      </w:r>
      <w:r>
        <w:rPr>
          <w:iCs/>
          <w:i/>
        </w:rPr>
        <w:t xml:space="preserve">Diabet Med</w:t>
      </w:r>
      <w:r>
        <w:t xml:space="preserve"> </w:t>
      </w:r>
      <w:r>
        <w:t xml:space="preserve">· Improved treatment satisfaction and weight-related quality of life with exenatide once weekly or twice daily. PMID 19573122</w:t>
      </w:r>
    </w:p>
    <w:p>
      <w:pPr>
        <w:numPr>
          <w:ilvl w:val="0"/>
          <w:numId w:val="1376"/>
        </w:numPr>
        <w:pStyle w:val="Compact"/>
      </w:pPr>
      <w:r>
        <w:t xml:space="preserve">2009 · Buse JB ·</w:t>
      </w:r>
      <w:r>
        <w:t xml:space="preserve"> </w:t>
      </w:r>
      <w:r>
        <w:rPr>
          <w:iCs/>
          <w:i/>
        </w:rPr>
        <w:t xml:space="preserve">Lancet</w:t>
      </w:r>
      <w:r>
        <w:t xml:space="preserve"> </w:t>
      </w:r>
      <w:r>
        <w:t xml:space="preserve">· Liraglutide once a day versus exenatide twice a day for type 2 diabetes: a 26-week randomised, parallel-group, multinational, open-label trial (LEAD-6). PMID 19515413</w:t>
      </w:r>
    </w:p>
    <w:p>
      <w:pPr>
        <w:numPr>
          <w:ilvl w:val="0"/>
          <w:numId w:val="1376"/>
        </w:numPr>
        <w:pStyle w:val="Compact"/>
      </w:pPr>
      <w:r>
        <w:t xml:space="preserve">2009 · Mazze R ·</w:t>
      </w:r>
      <w:r>
        <w:t xml:space="preserve"> </w:t>
      </w:r>
      <w:r>
        <w:rPr>
          <w:iCs/>
          <w:i/>
        </w:rPr>
        <w:t xml:space="preserve">Endocr Pract</w:t>
      </w:r>
      <w:r>
        <w:t xml:space="preserve"> </w:t>
      </w:r>
      <w:r>
        <w:t xml:space="preserve">· Diurnal glucose patterns of exenatide once weekly: a 1-year study using continuous glucose monitoring with ambulatory glucose profile analysis. PMID 19454385</w:t>
      </w:r>
    </w:p>
    <w:p>
      <w:pPr>
        <w:numPr>
          <w:ilvl w:val="0"/>
          <w:numId w:val="1376"/>
        </w:numPr>
        <w:pStyle w:val="Compact"/>
      </w:pPr>
      <w:r>
        <w:t xml:space="preserve">2009 · Malloy J ·</w:t>
      </w:r>
      <w:r>
        <w:t xml:space="preserve"> </w:t>
      </w:r>
      <w:r>
        <w:rPr>
          <w:iCs/>
          <w:i/>
        </w:rPr>
        <w:t xml:space="preserve">Clin Ther</w:t>
      </w:r>
      <w:r>
        <w:t xml:space="preserve"> </w:t>
      </w:r>
      <w:r>
        <w:t xml:space="preserve">· Pharmacology and tolerability of a single dose of exenatide in adolescent patients with type 2 diabetes mellitus being treated with metformin: a randomized, placebo-controlled, single-blind, dose-escalation, crossover study. PMID 19446153</w:t>
      </w:r>
    </w:p>
    <w:p>
      <w:pPr>
        <w:numPr>
          <w:ilvl w:val="0"/>
          <w:numId w:val="1376"/>
        </w:numPr>
        <w:pStyle w:val="Compact"/>
      </w:pPr>
      <w:r>
        <w:t xml:space="preserve">2009 · Bergenstal R ·</w:t>
      </w:r>
      <w:r>
        <w:t xml:space="preserve"> </w:t>
      </w:r>
      <w:r>
        <w:rPr>
          <w:iCs/>
          <w:i/>
        </w:rPr>
        <w:t xml:space="preserve">Curr Med Res Opin</w:t>
      </w:r>
      <w:r>
        <w:t xml:space="preserve"> </w:t>
      </w:r>
      <w:r>
        <w:t xml:space="preserve">· Efficacy and safety of biphasic insulin aspart 70/30 versus exenatide in subjects with type 2 diabetes failing to achieve glycemic control with metformin and a sulfonylurea. PMID 19210140</w:t>
      </w:r>
    </w:p>
    <w:p>
      <w:pPr>
        <w:numPr>
          <w:ilvl w:val="0"/>
          <w:numId w:val="1376"/>
        </w:numPr>
        <w:pStyle w:val="Compact"/>
      </w:pPr>
      <w:r>
        <w:t xml:space="preserve">2009 · Bunck MC ·</w:t>
      </w:r>
      <w:r>
        <w:t xml:space="preserve"> </w:t>
      </w:r>
      <w:r>
        <w:rPr>
          <w:iCs/>
          <w:i/>
        </w:rPr>
        <w:t xml:space="preserve">Diabetes Care</w:t>
      </w:r>
      <w:r>
        <w:t xml:space="preserve"> </w:t>
      </w:r>
      <w:r>
        <w:t xml:space="preserve">· One-year treatment with exenatide improves beta-cell function, compared with insulin glargine, in metformin-treated type 2 diabetic patients: a randomized, controlled trial. PMID 19196887</w:t>
      </w:r>
    </w:p>
    <w:p>
      <w:pPr>
        <w:numPr>
          <w:ilvl w:val="0"/>
          <w:numId w:val="1376"/>
        </w:numPr>
        <w:pStyle w:val="Compact"/>
      </w:pPr>
      <w:r>
        <w:t xml:space="preserve">2009 · Kadowaki T ·</w:t>
      </w:r>
      <w:r>
        <w:t xml:space="preserve"> </w:t>
      </w:r>
      <w:r>
        <w:rPr>
          <w:iCs/>
          <w:i/>
        </w:rPr>
        <w:t xml:space="preserve">Endocr J</w:t>
      </w:r>
      <w:r>
        <w:t xml:space="preserve"> </w:t>
      </w:r>
      <w:r>
        <w:t xml:space="preserve">· Exenatide exhibits dose-dependent effects on glycemic control over 12 weeks in Japanese patients with suboptimally controlled type 2 diabetes. PMID 19194050</w:t>
      </w:r>
    </w:p>
    <w:p>
      <w:pPr>
        <w:numPr>
          <w:ilvl w:val="0"/>
          <w:numId w:val="1376"/>
        </w:numPr>
        <w:pStyle w:val="Compact"/>
      </w:pPr>
      <w:r>
        <w:t xml:space="preserve">2009 · Gao Y ·</w:t>
      </w:r>
      <w:r>
        <w:t xml:space="preserve"> </w:t>
      </w:r>
      <w:r>
        <w:rPr>
          <w:iCs/>
          <w:i/>
        </w:rPr>
        <w:t xml:space="preserve">Diabetes Res Clin Pract</w:t>
      </w:r>
      <w:r>
        <w:t xml:space="preserve"> </w:t>
      </w:r>
      <w:r>
        <w:t xml:space="preserve">· Efficacy and safety of exenatide in patients of Asian descent with type 2 diabetes inadequately controlled with metformin or metformin and a sulphonylurea. PMID 19019476</w:t>
      </w:r>
    </w:p>
    <w:p>
      <w:pPr>
        <w:numPr>
          <w:ilvl w:val="0"/>
          <w:numId w:val="1376"/>
        </w:numPr>
        <w:pStyle w:val="Compact"/>
      </w:pPr>
      <w:r>
        <w:t xml:space="preserve">2008 · Kothare PA ·</w:t>
      </w:r>
      <w:r>
        <w:t xml:space="preserve"> </w:t>
      </w:r>
      <w:r>
        <w:rPr>
          <w:iCs/>
          <w:i/>
        </w:rPr>
        <w:t xml:space="preserve">J Clin Pharmacol</w:t>
      </w:r>
      <w:r>
        <w:t xml:space="preserve"> </w:t>
      </w:r>
      <w:r>
        <w:t xml:space="preserve">· Pharmacokinetics, pharmacodynamics, tolerability, and safety of exenatide in Japanese patients with type 2 diabetes mellitus. PMID 19047364</w:t>
      </w:r>
    </w:p>
    <w:p>
      <w:pPr>
        <w:numPr>
          <w:ilvl w:val="0"/>
          <w:numId w:val="1376"/>
        </w:numPr>
        <w:pStyle w:val="Compact"/>
      </w:pPr>
      <w:r>
        <w:t xml:space="preserve">2008 · Moretto TJ ·</w:t>
      </w:r>
      <w:r>
        <w:t xml:space="preserve"> </w:t>
      </w:r>
      <w:r>
        <w:rPr>
          <w:iCs/>
          <w:i/>
        </w:rPr>
        <w:t xml:space="preserve">Clin Ther</w:t>
      </w:r>
      <w:r>
        <w:t xml:space="preserve"> </w:t>
      </w:r>
      <w:r>
        <w:t xml:space="preserve">· Efficacy and tolerability of exenatide monotherapy over 24 weeks in antidiabetic drug-naive patients with type 2 diabetes: a randomized, double-blind, placebo-controlled, parallel-group study. PMID 18803987</w:t>
      </w:r>
    </w:p>
    <w:p>
      <w:pPr>
        <w:numPr>
          <w:ilvl w:val="0"/>
          <w:numId w:val="1376"/>
        </w:numPr>
        <w:pStyle w:val="Compact"/>
      </w:pPr>
      <w:r>
        <w:t xml:space="preserve">2008 · Zhao X ·</w:t>
      </w:r>
      <w:r>
        <w:t xml:space="preserve"> </w:t>
      </w:r>
      <w:r>
        <w:rPr>
          <w:iCs/>
          <w:i/>
        </w:rPr>
        <w:t xml:space="preserve">Int J Clin Pharmacol Ther</w:t>
      </w:r>
      <w:r>
        <w:t xml:space="preserve"> </w:t>
      </w:r>
      <w:r>
        <w:t xml:space="preserve">· Exenatide pharmacokinetics in healthy Chinese subjects. PMID 18793576</w:t>
      </w:r>
    </w:p>
    <w:p>
      <w:pPr>
        <w:numPr>
          <w:ilvl w:val="0"/>
          <w:numId w:val="1376"/>
        </w:numPr>
        <w:pStyle w:val="Compact"/>
      </w:pPr>
      <w:r>
        <w:t xml:space="preserve">2008 · DeFronzo RA ·</w:t>
      </w:r>
      <w:r>
        <w:t xml:space="preserve"> </w:t>
      </w:r>
      <w:r>
        <w:rPr>
          <w:iCs/>
          <w:i/>
        </w:rPr>
        <w:t xml:space="preserve">Curr Med Res Opin</w:t>
      </w:r>
      <w:r>
        <w:t xml:space="preserve"> </w:t>
      </w:r>
      <w:r>
        <w:t xml:space="preserve">· Effects of exenatide versus sitagliptin on postprandial glucose, insulin and glucagon secretion, gastric emptying, and caloric intake: a randomized, cross-over study. PMID 18786299</w:t>
      </w:r>
    </w:p>
    <w:p>
      <w:pPr>
        <w:numPr>
          <w:ilvl w:val="0"/>
          <w:numId w:val="1376"/>
        </w:numPr>
        <w:pStyle w:val="Compact"/>
      </w:pPr>
      <w:r>
        <w:t xml:space="preserve">2008 · Drucker DJ ·</w:t>
      </w:r>
      <w:r>
        <w:t xml:space="preserve"> </w:t>
      </w:r>
      <w:r>
        <w:rPr>
          <w:iCs/>
          <w:i/>
        </w:rPr>
        <w:t xml:space="preserve">Lancet</w:t>
      </w:r>
      <w:r>
        <w:t xml:space="preserve"> </w:t>
      </w:r>
      <w:r>
        <w:t xml:space="preserve">· Exenatide once weekly versus twice daily for the treatment of type 2 diabetes: a randomised, open-label, non-inferiority study. PMID 18782641</w:t>
      </w:r>
    </w:p>
    <w:p>
      <w:pPr>
        <w:numPr>
          <w:ilvl w:val="0"/>
          <w:numId w:val="1376"/>
        </w:numPr>
        <w:pStyle w:val="Compact"/>
      </w:pPr>
      <w:r>
        <w:t xml:space="preserve">2008 · Linnebjerg H ·</w:t>
      </w:r>
      <w:r>
        <w:t xml:space="preserve"> </w:t>
      </w:r>
      <w:r>
        <w:rPr>
          <w:iCs/>
          <w:i/>
        </w:rPr>
        <w:t xml:space="preserve">Regul Pept</w:t>
      </w:r>
      <w:r>
        <w:t xml:space="preserve"> </w:t>
      </w:r>
      <w:r>
        <w:t xml:space="preserve">· Effect of exenatide on gastric emptying and relationship to postprandial glycemia in type 2 diabetes. PMID 18675854</w:t>
      </w:r>
    </w:p>
    <w:p>
      <w:pPr>
        <w:numPr>
          <w:ilvl w:val="0"/>
          <w:numId w:val="1376"/>
        </w:numPr>
        <w:pStyle w:val="Compact"/>
      </w:pPr>
      <w:r>
        <w:t xml:space="preserve">2008 · Forti A ·</w:t>
      </w:r>
      <w:r>
        <w:t xml:space="preserve"> </w:t>
      </w:r>
      <w:r>
        <w:rPr>
          <w:iCs/>
          <w:i/>
        </w:rPr>
        <w:t xml:space="preserve">Curr Med Res Opin</w:t>
      </w:r>
      <w:r>
        <w:t xml:space="preserve"> </w:t>
      </w:r>
      <w:r>
        <w:t xml:space="preserve">· Efficacy and safety of exenatide administered before the two largest daily meals of Latin American patients with type 2 diabetes. PMID 18662495</w:t>
      </w:r>
    </w:p>
    <w:p>
      <w:pPr>
        <w:numPr>
          <w:ilvl w:val="0"/>
          <w:numId w:val="1376"/>
        </w:numPr>
        <w:pStyle w:val="Compact"/>
      </w:pPr>
      <w:r>
        <w:t xml:space="preserve">2008 · Schwartz SL ·</w:t>
      </w:r>
      <w:r>
        <w:t xml:space="preserve"> </w:t>
      </w:r>
      <w:r>
        <w:rPr>
          <w:iCs/>
          <w:i/>
        </w:rPr>
        <w:t xml:space="preserve">Clin Ther</w:t>
      </w:r>
      <w:r>
        <w:t xml:space="preserve"> </w:t>
      </w:r>
      <w:r>
        <w:t xml:space="preserve">· Effect of exenatide on 24-hour blood glucose profile compared with placebo in patients with type 2 diabetes: a randomized, double-blind, two-arm, parallel-group, placebo-controlled, 2-week study. PMID 18555933</w:t>
      </w:r>
    </w:p>
    <w:p>
      <w:pPr>
        <w:numPr>
          <w:ilvl w:val="0"/>
          <w:numId w:val="1376"/>
        </w:numPr>
        <w:pStyle w:val="Compact"/>
      </w:pPr>
      <w:r>
        <w:t xml:space="preserve">2008 · Elkind-Hirsch K ·</w:t>
      </w:r>
      <w:r>
        <w:t xml:space="preserve"> </w:t>
      </w:r>
      <w:r>
        <w:rPr>
          <w:iCs/>
          <w:i/>
        </w:rPr>
        <w:t xml:space="preserve">J Clin Endocrinol Metab</w:t>
      </w:r>
      <w:r>
        <w:t xml:space="preserve"> </w:t>
      </w:r>
      <w:r>
        <w:t xml:space="preserve">· Comparison of single and combined treatment with exenatide and metformin on menstrual cyclicity in overweight women with polycystic ovary syndrome. PMID 18460557</w:t>
      </w:r>
    </w:p>
    <w:p>
      <w:pPr>
        <w:numPr>
          <w:ilvl w:val="0"/>
          <w:numId w:val="1376"/>
        </w:numPr>
        <w:pStyle w:val="Compact"/>
      </w:pPr>
      <w:r>
        <w:t xml:space="preserve">2008 · Gangemi A ·</w:t>
      </w:r>
      <w:r>
        <w:t xml:space="preserve"> </w:t>
      </w:r>
      <w:r>
        <w:rPr>
          <w:iCs/>
          <w:i/>
        </w:rPr>
        <w:t xml:space="preserve">Am J Transplant</w:t>
      </w:r>
      <w:r>
        <w:t xml:space="preserve"> </w:t>
      </w:r>
      <w:r>
        <w:t xml:space="preserve">· Islet transplantation for brittle type 1 diabetes: the UIC protocol. PMID 18444920</w:t>
      </w:r>
    </w:p>
    <w:p>
      <w:pPr>
        <w:numPr>
          <w:ilvl w:val="0"/>
          <w:numId w:val="1376"/>
        </w:numPr>
        <w:pStyle w:val="Compact"/>
      </w:pPr>
      <w:r>
        <w:t xml:space="preserve">2008 · Brodows RG ·</w:t>
      </w:r>
      <w:r>
        <w:t xml:space="preserve"> </w:t>
      </w:r>
      <w:r>
        <w:rPr>
          <w:iCs/>
          <w:i/>
        </w:rPr>
        <w:t xml:space="preserve">Curr Med Res Opin</w:t>
      </w:r>
      <w:r>
        <w:t xml:space="preserve"> </w:t>
      </w:r>
      <w:r>
        <w:t xml:space="preserve">· Quantifying the effect of exenatide and insulin glargine on postprandial glucose excursions in patients with type 2 diabetes. PMID 18394265</w:t>
      </w:r>
    </w:p>
    <w:p>
      <w:pPr>
        <w:numPr>
          <w:ilvl w:val="0"/>
          <w:numId w:val="1376"/>
        </w:numPr>
        <w:pStyle w:val="Compact"/>
      </w:pPr>
      <w:r>
        <w:t xml:space="preserve">2008 · Minshall ME ·</w:t>
      </w:r>
      <w:r>
        <w:t xml:space="preserve"> </w:t>
      </w:r>
      <w:r>
        <w:rPr>
          <w:iCs/>
          <w:i/>
        </w:rPr>
        <w:t xml:space="preserve">Value Health</w:t>
      </w:r>
      <w:r>
        <w:t xml:space="preserve"> </w:t>
      </w:r>
      <w:r>
        <w:t xml:space="preserve">· Estimating the long-term cost-effectiveness of exenatide in the United States: an adjunctive treatment for type 2 diabetes mellitus. PMID 18237357</w:t>
      </w:r>
    </w:p>
    <w:p>
      <w:pPr>
        <w:numPr>
          <w:ilvl w:val="0"/>
          <w:numId w:val="1376"/>
        </w:numPr>
        <w:pStyle w:val="Compact"/>
      </w:pPr>
      <w:r>
        <w:t xml:space="preserve">2008 · Glass LC ·</w:t>
      </w:r>
      <w:r>
        <w:t xml:space="preserve"> </w:t>
      </w:r>
      <w:r>
        <w:rPr>
          <w:iCs/>
          <w:i/>
        </w:rPr>
        <w:t xml:space="preserve">Curr Med Res Opin</w:t>
      </w:r>
      <w:r>
        <w:t xml:space="preserve"> </w:t>
      </w:r>
      <w:r>
        <w:t xml:space="preserve">· Effects of exenatide versus insulin analogues on weight change in subjects with type 2 diabetes: a pooled post-hoc analysis. PMID 18218179</w:t>
      </w:r>
    </w:p>
    <w:p>
      <w:pPr>
        <w:numPr>
          <w:ilvl w:val="0"/>
          <w:numId w:val="1376"/>
        </w:numPr>
        <w:pStyle w:val="Compact"/>
      </w:pPr>
      <w:r>
        <w:t xml:space="preserve">2008 · Klonoff DC ·</w:t>
      </w:r>
      <w:r>
        <w:t xml:space="preserve"> </w:t>
      </w:r>
      <w:r>
        <w:rPr>
          <w:iCs/>
          <w:i/>
        </w:rPr>
        <w:t xml:space="preserve">Curr Med Res Opin</w:t>
      </w:r>
      <w:r>
        <w:t xml:space="preserve"> </w:t>
      </w:r>
      <w:r>
        <w:t xml:space="preserve">· Exenatide effects on diabetes, obesity, cardiovascular risk factors and hepatic biomarkers in patients with type 2 diabetes treated for at least 3 years. PMID 18053320</w:t>
      </w:r>
    </w:p>
    <w:p>
      <w:pPr>
        <w:numPr>
          <w:ilvl w:val="0"/>
          <w:numId w:val="1376"/>
        </w:numPr>
        <w:pStyle w:val="Compact"/>
      </w:pPr>
      <w:r>
        <w:t xml:space="preserve">2007 · Barnett AH ·</w:t>
      </w:r>
      <w:r>
        <w:t xml:space="preserve"> </w:t>
      </w:r>
      <w:r>
        <w:rPr>
          <w:iCs/>
          <w:i/>
        </w:rPr>
        <w:t xml:space="preserve">Clin Ther</w:t>
      </w:r>
      <w:r>
        <w:t xml:space="preserve"> </w:t>
      </w:r>
      <w:r>
        <w:t xml:space="preserve">· Tolerability and efficacy of exenatide and titrated insulin glargine in adult patients with type 2 diabetes previously uncontrolled with metformin or a sulfonylurea: a multinational, randomized, open-label, two-period, crossover noninferiority trial. PMID 18158075</w:t>
      </w:r>
    </w:p>
    <w:p>
      <w:pPr>
        <w:numPr>
          <w:ilvl w:val="0"/>
          <w:numId w:val="1376"/>
        </w:numPr>
        <w:pStyle w:val="Compact"/>
      </w:pPr>
      <w:r>
        <w:t xml:space="preserve">2007 · Nelson P ·</w:t>
      </w:r>
      <w:r>
        <w:t xml:space="preserve"> </w:t>
      </w:r>
      <w:r>
        <w:rPr>
          <w:iCs/>
          <w:i/>
        </w:rPr>
        <w:t xml:space="preserve">Diabetes Technol Ther</w:t>
      </w:r>
      <w:r>
        <w:t xml:space="preserve"> </w:t>
      </w:r>
      <w:r>
        <w:t xml:space="preserve">· The incretin mimetic exenatide as a monotherapy in patients with type 2 diabetes. PMID 17705687</w:t>
      </w:r>
    </w:p>
    <w:p>
      <w:pPr>
        <w:numPr>
          <w:ilvl w:val="0"/>
          <w:numId w:val="1376"/>
        </w:numPr>
        <w:pStyle w:val="Compact"/>
      </w:pPr>
      <w:r>
        <w:t xml:space="preserve">2007 · Davis SN ·</w:t>
      </w:r>
      <w:r>
        <w:t xml:space="preserve"> </w:t>
      </w:r>
      <w:r>
        <w:rPr>
          <w:iCs/>
          <w:i/>
        </w:rPr>
        <w:t xml:space="preserve">Diabetes Care</w:t>
      </w:r>
      <w:r>
        <w:t xml:space="preserve"> </w:t>
      </w:r>
      <w:r>
        <w:t xml:space="preserve">· Exploring the substitution of exenatide for insulin in patients with type 2 diabetes treated with insulin in combination with oral antidiabetes agents. PMID 17595353</w:t>
      </w:r>
    </w:p>
    <w:p>
      <w:pPr>
        <w:numPr>
          <w:ilvl w:val="0"/>
          <w:numId w:val="1376"/>
        </w:numPr>
        <w:pStyle w:val="Compact"/>
      </w:pPr>
      <w:r>
        <w:t xml:space="preserve">2007 · Linnebjerg H ·</w:t>
      </w:r>
      <w:r>
        <w:t xml:space="preserve"> </w:t>
      </w:r>
      <w:r>
        <w:rPr>
          <w:iCs/>
          <w:i/>
        </w:rPr>
        <w:t xml:space="preserve">Br J Clin Pharmacol</w:t>
      </w:r>
      <w:r>
        <w:t xml:space="preserve"> </w:t>
      </w:r>
      <w:r>
        <w:t xml:space="preserve">· Effect of renal impairment on the pharmacokinetics of exenatide. PMID 17425627</w:t>
      </w:r>
    </w:p>
    <w:p>
      <w:pPr>
        <w:numPr>
          <w:ilvl w:val="0"/>
          <w:numId w:val="1376"/>
        </w:numPr>
        <w:pStyle w:val="Compact"/>
      </w:pPr>
      <w:r>
        <w:t xml:space="preserve">2007 · Zinman B ·</w:t>
      </w:r>
      <w:r>
        <w:t xml:space="preserve"> </w:t>
      </w:r>
      <w:r>
        <w:rPr>
          <w:iCs/>
          <w:i/>
        </w:rPr>
        <w:t xml:space="preserve">Ann Intern Med</w:t>
      </w:r>
      <w:r>
        <w:t xml:space="preserve"> </w:t>
      </w:r>
      <w:r>
        <w:t xml:space="preserve">· The effect of adding exenatide to a thiazolidinedione in suboptimally controlled type 2 diabetes: a randomized trial. PMID 17404349</w:t>
      </w:r>
    </w:p>
    <w:p>
      <w:pPr>
        <w:numPr>
          <w:ilvl w:val="0"/>
          <w:numId w:val="1376"/>
        </w:numPr>
        <w:pStyle w:val="Compact"/>
      </w:pPr>
      <w:r>
        <w:t xml:space="preserve">2007 · Buse JB ·</w:t>
      </w:r>
      <w:r>
        <w:t xml:space="preserve"> </w:t>
      </w:r>
      <w:r>
        <w:rPr>
          <w:iCs/>
          <w:i/>
        </w:rPr>
        <w:t xml:space="preserve">Clin Ther</w:t>
      </w:r>
      <w:r>
        <w:t xml:space="preserve"> </w:t>
      </w:r>
      <w:r>
        <w:t xml:space="preserve">· Metabolic effects of two years of exenatide treatment on diabetes, obesity, and hepatic biomarkers in patients with type 2 diabetes: an interim analysis of data from the open-label, uncontrolled extension of three double-blind, placebo-controlled trials. PMID 17379054</w:t>
      </w:r>
    </w:p>
    <w:p>
      <w:pPr>
        <w:numPr>
          <w:ilvl w:val="0"/>
          <w:numId w:val="1376"/>
        </w:numPr>
        <w:pStyle w:val="Compact"/>
      </w:pPr>
      <w:r>
        <w:t xml:space="preserve">2007 · Ray JA ·</w:t>
      </w:r>
      <w:r>
        <w:t xml:space="preserve"> </w:t>
      </w:r>
      <w:r>
        <w:rPr>
          <w:iCs/>
          <w:i/>
        </w:rPr>
        <w:t xml:space="preserve">Curr Med Res Opin</w:t>
      </w:r>
      <w:r>
        <w:t xml:space="preserve"> </w:t>
      </w:r>
      <w:r>
        <w:t xml:space="preserve">· Exenatide versus insulin glargine in patients with type 2 diabetes in the UK: a model of long-term clinical and cost outcomes. PMID 17355742</w:t>
      </w:r>
    </w:p>
    <w:p>
      <w:pPr>
        <w:numPr>
          <w:ilvl w:val="0"/>
          <w:numId w:val="1376"/>
        </w:numPr>
        <w:pStyle w:val="Compact"/>
      </w:pPr>
      <w:r>
        <w:t xml:space="preserve">2007 · Kim D ·</w:t>
      </w:r>
      <w:r>
        <w:t xml:space="preserve"> </w:t>
      </w:r>
      <w:r>
        <w:rPr>
          <w:iCs/>
          <w:i/>
        </w:rPr>
        <w:t xml:space="preserve">Diabetes Care</w:t>
      </w:r>
      <w:r>
        <w:t xml:space="preserve"> </w:t>
      </w:r>
      <w:r>
        <w:t xml:space="preserve">· Effects of once-weekly dosing of a long-acting release formulation of exenatide on glucose control and body weight in subjects with type 2 diabetes. PMID 17353504</w:t>
      </w:r>
    </w:p>
    <w:p>
      <w:pPr>
        <w:numPr>
          <w:ilvl w:val="0"/>
          <w:numId w:val="1376"/>
        </w:numPr>
        <w:pStyle w:val="Compact"/>
      </w:pPr>
      <w:r>
        <w:t xml:space="preserve">2007 · Kothare PA ·</w:t>
      </w:r>
      <w:r>
        <w:t xml:space="preserve"> </w:t>
      </w:r>
      <w:r>
        <w:rPr>
          <w:iCs/>
          <w:i/>
        </w:rPr>
        <w:t xml:space="preserve">Int J Clin Pharmacol Ther</w:t>
      </w:r>
      <w:r>
        <w:t xml:space="preserve"> </w:t>
      </w:r>
      <w:r>
        <w:t xml:space="preserve">· Exenatide effects on statin pharmacokinetics and lipid response. PMID 17323791</w:t>
      </w:r>
    </w:p>
    <w:p>
      <w:pPr>
        <w:numPr>
          <w:ilvl w:val="0"/>
          <w:numId w:val="1376"/>
        </w:numPr>
        <w:pStyle w:val="Compact"/>
      </w:pPr>
      <w:r>
        <w:t xml:space="preserve">2007 · Ghofaili KA ·</w:t>
      </w:r>
      <w:r>
        <w:t xml:space="preserve"> </w:t>
      </w:r>
      <w:r>
        <w:rPr>
          <w:iCs/>
          <w:i/>
        </w:rPr>
        <w:t xml:space="preserve">Transplantation</w:t>
      </w:r>
      <w:r>
        <w:t xml:space="preserve"> </w:t>
      </w:r>
      <w:r>
        <w:t xml:space="preserve">· Effect of exenatide on beta cell function after islet transplantation in type 1 diabetes. PMID 17220786</w:t>
      </w:r>
    </w:p>
    <w:p>
      <w:pPr>
        <w:numPr>
          <w:ilvl w:val="0"/>
          <w:numId w:val="1376"/>
        </w:numPr>
        <w:pStyle w:val="Compact"/>
      </w:pPr>
      <w:r>
        <w:t xml:space="preserve">2007 · Nauck MA ·</w:t>
      </w:r>
      <w:r>
        <w:t xml:space="preserve"> </w:t>
      </w:r>
      <w:r>
        <w:rPr>
          <w:iCs/>
          <w:i/>
        </w:rPr>
        <w:t xml:space="preserve">Diabetologia</w:t>
      </w:r>
      <w:r>
        <w:t xml:space="preserve"> </w:t>
      </w:r>
      <w:r>
        <w:t xml:space="preserve">· A comparison of twice-daily exenatide and biphasic insulin aspart in patients with type 2 diabetes who were suboptimally controlled with sulfonylurea and metformin: a non-inferiority study. PMID 17160407</w:t>
      </w:r>
    </w:p>
    <w:p>
      <w:pPr>
        <w:numPr>
          <w:ilvl w:val="0"/>
          <w:numId w:val="1376"/>
        </w:numPr>
        <w:pStyle w:val="Compact"/>
      </w:pPr>
      <w:r>
        <w:t xml:space="preserve">2006 · Mari A ·</w:t>
      </w:r>
      <w:r>
        <w:t xml:space="preserve"> </w:t>
      </w:r>
      <w:r>
        <w:rPr>
          <w:iCs/>
          <w:i/>
        </w:rPr>
        <w:t xml:space="preserve">Horm Metab Res</w:t>
      </w:r>
      <w:r>
        <w:t xml:space="preserve"> </w:t>
      </w:r>
      <w:r>
        <w:t xml:space="preserve">· Mathematical modeling shows exenatide improved beta-cell function in patients with type 2 diabetes treated with metformin or metformin and a sulfonylurea. PMID 17163361</w:t>
      </w:r>
    </w:p>
    <w:p>
      <w:pPr>
        <w:numPr>
          <w:ilvl w:val="0"/>
          <w:numId w:val="1376"/>
        </w:numPr>
        <w:pStyle w:val="Compact"/>
      </w:pPr>
      <w:r>
        <w:t xml:space="preserve">2006 · Secnik Boye K ·</w:t>
      </w:r>
      <w:r>
        <w:t xml:space="preserve"> </w:t>
      </w:r>
      <w:r>
        <w:rPr>
          <w:iCs/>
          <w:i/>
        </w:rPr>
        <w:t xml:space="preserve">Health Qual Life Outcomes</w:t>
      </w:r>
      <w:r>
        <w:t xml:space="preserve"> </w:t>
      </w:r>
      <w:r>
        <w:t xml:space="preserve">· Patient-reported outcomes in a trial of exenatide and insulin glargine for the treatment of type 2 diabetes. PMID 17034640</w:t>
      </w:r>
    </w:p>
    <w:p>
      <w:pPr>
        <w:numPr>
          <w:ilvl w:val="0"/>
          <w:numId w:val="1376"/>
        </w:numPr>
        <w:pStyle w:val="Compact"/>
      </w:pPr>
      <w:r>
        <w:t xml:space="preserve">2006 · Soon D ·</w:t>
      </w:r>
      <w:r>
        <w:t xml:space="preserve"> </w:t>
      </w:r>
      <w:r>
        <w:rPr>
          <w:iCs/>
          <w:i/>
        </w:rPr>
        <w:t xml:space="preserve">J Clin Pharmacol</w:t>
      </w:r>
      <w:r>
        <w:t xml:space="preserve"> </w:t>
      </w:r>
      <w:r>
        <w:t xml:space="preserve">· Effect of exenatide on the pharmacokinetics and pharmacodynamics of warfarin in healthy Asian men. PMID 16988207</w:t>
      </w:r>
    </w:p>
    <w:p>
      <w:pPr>
        <w:numPr>
          <w:ilvl w:val="0"/>
          <w:numId w:val="1376"/>
        </w:numPr>
        <w:pStyle w:val="Compact"/>
      </w:pPr>
      <w:r>
        <w:t xml:space="preserve">2006 · Blonde L ·</w:t>
      </w:r>
      <w:r>
        <w:t xml:space="preserve"> </w:t>
      </w:r>
      <w:r>
        <w:rPr>
          <w:iCs/>
          <w:i/>
        </w:rPr>
        <w:t xml:space="preserve">Diabetes Obes Metab</w:t>
      </w:r>
      <w:r>
        <w:t xml:space="preserve"> </w:t>
      </w:r>
      <w:r>
        <w:t xml:space="preserve">· Interim analysis of the effects of exenatide treatment on A1C, weight and cardiovascular risk factors over 82 weeks in 314 overweight patients with type 2 diabetes. PMID 16776751</w:t>
      </w:r>
    </w:p>
    <w:p>
      <w:pPr>
        <w:numPr>
          <w:ilvl w:val="0"/>
          <w:numId w:val="1376"/>
        </w:numPr>
        <w:pStyle w:val="Compact"/>
      </w:pPr>
      <w:r>
        <w:t xml:space="preserve">2006 · Ratner RE ·</w:t>
      </w:r>
      <w:r>
        <w:t xml:space="preserve"> </w:t>
      </w:r>
      <w:r>
        <w:rPr>
          <w:iCs/>
          <w:i/>
        </w:rPr>
        <w:t xml:space="preserve">Diabetes Obes Metab</w:t>
      </w:r>
      <w:r>
        <w:t xml:space="preserve"> </w:t>
      </w:r>
      <w:r>
        <w:t xml:space="preserve">· Long-term effects of exenatide therapy over 82 weeks on glycaemic control and weight in over-weight metformin-treated patients with type 2 diabetes mellitus. PMID 16776749</w:t>
      </w:r>
    </w:p>
    <w:p>
      <w:pPr>
        <w:numPr>
          <w:ilvl w:val="0"/>
          <w:numId w:val="1376"/>
        </w:numPr>
        <w:pStyle w:val="Compact"/>
      </w:pPr>
      <w:r>
        <w:t xml:space="preserve">2006 · Riddle MC ·</w:t>
      </w:r>
      <w:r>
        <w:t xml:space="preserve"> </w:t>
      </w:r>
      <w:r>
        <w:rPr>
          <w:iCs/>
          <w:i/>
        </w:rPr>
        <w:t xml:space="preserve">Diabetes Metab Res Rev</w:t>
      </w:r>
      <w:r>
        <w:t xml:space="preserve"> </w:t>
      </w:r>
      <w:r>
        <w:t xml:space="preserve">· Exenatide elicits sustained glycaemic control and progressive reduction of body weight in patients with type 2 diabetes inadequately controlled by sulphonylureas with or without metformin. PMID 16634116</w:t>
      </w:r>
    </w:p>
    <w:p>
      <w:pPr>
        <w:numPr>
          <w:ilvl w:val="0"/>
          <w:numId w:val="1376"/>
        </w:numPr>
        <w:pStyle w:val="Compact"/>
      </w:pPr>
      <w:r>
        <w:t xml:space="preserve">2006 · Linnebjerg H ·</w:t>
      </w:r>
      <w:r>
        <w:t xml:space="preserve"> </w:t>
      </w:r>
      <w:r>
        <w:rPr>
          <w:iCs/>
          <w:i/>
        </w:rPr>
        <w:t xml:space="preserve">Diabet Med</w:t>
      </w:r>
      <w:r>
        <w:t xml:space="preserve"> </w:t>
      </w:r>
      <w:r>
        <w:t xml:space="preserve">· Exenatide: effect of injection time on postprandial glucose in patients with Type 2 diabetes. PMID 16492205</w:t>
      </w:r>
    </w:p>
    <w:p>
      <w:pPr>
        <w:numPr>
          <w:ilvl w:val="0"/>
          <w:numId w:val="1376"/>
        </w:numPr>
        <w:pStyle w:val="Compact"/>
      </w:pPr>
      <w:r>
        <w:t xml:space="preserve">2005 · Taylor K ·</w:t>
      </w:r>
      <w:r>
        <w:t xml:space="preserve"> </w:t>
      </w:r>
      <w:r>
        <w:rPr>
          <w:iCs/>
          <w:i/>
        </w:rPr>
        <w:t xml:space="preserve">Horm Metab Res</w:t>
      </w:r>
      <w:r>
        <w:t xml:space="preserve"> </w:t>
      </w:r>
      <w:r>
        <w:t xml:space="preserve">· Day-long subcutaneous infusion of exenatide lowers glycemia in patients with type 2 diabetes. PMID 16278786</w:t>
      </w:r>
    </w:p>
    <w:p>
      <w:pPr>
        <w:numPr>
          <w:ilvl w:val="0"/>
          <w:numId w:val="1376"/>
        </w:numPr>
        <w:pStyle w:val="Compact"/>
      </w:pPr>
      <w:r>
        <w:t xml:space="preserve">2005 · Heine RJ ·</w:t>
      </w:r>
      <w:r>
        <w:t xml:space="preserve"> </w:t>
      </w:r>
      <w:r>
        <w:rPr>
          <w:iCs/>
          <w:i/>
        </w:rPr>
        <w:t xml:space="preserve">Ann Intern Med</w:t>
      </w:r>
      <w:r>
        <w:t xml:space="preserve"> </w:t>
      </w:r>
      <w:r>
        <w:t xml:space="preserve">· Exenatide versus insulin glargine in patients with suboptimally controlled type 2 diabetes: a randomized trial. PMID 16230722</w:t>
      </w:r>
    </w:p>
    <w:p>
      <w:pPr>
        <w:numPr>
          <w:ilvl w:val="0"/>
          <w:numId w:val="1376"/>
        </w:numPr>
        <w:pStyle w:val="Compact"/>
      </w:pPr>
      <w:r>
        <w:t xml:space="preserve">2005 · Fehse F ·</w:t>
      </w:r>
      <w:r>
        <w:t xml:space="preserve"> </w:t>
      </w:r>
      <w:r>
        <w:rPr>
          <w:iCs/>
          <w:i/>
        </w:rPr>
        <w:t xml:space="preserve">J Clin Endocrinol Metab</w:t>
      </w:r>
      <w:r>
        <w:t xml:space="preserve"> </w:t>
      </w:r>
      <w:r>
        <w:t xml:space="preserve">· Exenatide augments first- and second-phase insulin secretion in response to intravenous glucose in subjects with type 2 diabetes. PMID 16144950</w:t>
      </w:r>
    </w:p>
    <w:p>
      <w:pPr>
        <w:numPr>
          <w:ilvl w:val="0"/>
          <w:numId w:val="1376"/>
        </w:numPr>
        <w:pStyle w:val="Compact"/>
      </w:pPr>
      <w:r>
        <w:t xml:space="preserve">2005 · Kothare PA ·</w:t>
      </w:r>
      <w:r>
        <w:t xml:space="preserve"> </w:t>
      </w:r>
      <w:r>
        <w:rPr>
          <w:iCs/>
          <w:i/>
        </w:rPr>
        <w:t xml:space="preserve">J Clin Pharmacol</w:t>
      </w:r>
      <w:r>
        <w:t xml:space="preserve"> </w:t>
      </w:r>
      <w:r>
        <w:t xml:space="preserve">· Effect of exenatide on the steady-state pharmacokinetics of digoxin. PMID 16100297</w:t>
      </w:r>
    </w:p>
    <w:p>
      <w:pPr>
        <w:numPr>
          <w:ilvl w:val="0"/>
          <w:numId w:val="1376"/>
        </w:numPr>
        <w:pStyle w:val="Compact"/>
      </w:pPr>
      <w:r>
        <w:t xml:space="preserve">2005 · Poon T ·</w:t>
      </w:r>
      <w:r>
        <w:t xml:space="preserve"> </w:t>
      </w:r>
      <w:r>
        <w:rPr>
          <w:iCs/>
          <w:i/>
        </w:rPr>
        <w:t xml:space="preserve">Diabetes Technol Ther</w:t>
      </w:r>
      <w:r>
        <w:t xml:space="preserve"> </w:t>
      </w:r>
      <w:r>
        <w:t xml:space="preserve">· Exenatide improves glycemic control and reduces body weight in subjects with type 2 diabetes: a dose-ranging study. PMID 15929678</w:t>
      </w:r>
    </w:p>
    <w:p>
      <w:pPr>
        <w:numPr>
          <w:ilvl w:val="0"/>
          <w:numId w:val="1376"/>
        </w:numPr>
        <w:pStyle w:val="Compact"/>
      </w:pPr>
      <w:r>
        <w:t xml:space="preserve">2005 · DeFronzo RA ·</w:t>
      </w:r>
      <w:r>
        <w:t xml:space="preserve"> </w:t>
      </w:r>
      <w:r>
        <w:rPr>
          <w:iCs/>
          <w:i/>
        </w:rPr>
        <w:t xml:space="preserve">Diabetes Care</w:t>
      </w:r>
      <w:r>
        <w:t xml:space="preserve"> </w:t>
      </w:r>
      <w:r>
        <w:t xml:space="preserve">· Effects of exenatide (exendin-4) on glycemic control and weight over 30 weeks in metformin-treated patients with type 2 diabetes. PMID 15855572</w:t>
      </w:r>
    </w:p>
    <w:p>
      <w:pPr>
        <w:numPr>
          <w:ilvl w:val="0"/>
          <w:numId w:val="1376"/>
        </w:numPr>
        <w:pStyle w:val="Compact"/>
      </w:pPr>
      <w:r>
        <w:t xml:space="preserve">2005 · Kendall DM ·</w:t>
      </w:r>
      <w:r>
        <w:t xml:space="preserve"> </w:t>
      </w:r>
      <w:r>
        <w:rPr>
          <w:iCs/>
          <w:i/>
        </w:rPr>
        <w:t xml:space="preserve">Diabetes Care</w:t>
      </w:r>
      <w:r>
        <w:t xml:space="preserve"> </w:t>
      </w:r>
      <w:r>
        <w:t xml:space="preserve">· Effects of exenatide (exendin-4) on glycemic control over 30 weeks in patients with type 2 diabetes treated with metformin and a sulfonylurea. PMID 15855571</w:t>
      </w:r>
    </w:p>
    <w:p>
      <w:pPr>
        <w:numPr>
          <w:ilvl w:val="0"/>
          <w:numId w:val="1376"/>
        </w:numPr>
        <w:pStyle w:val="Compact"/>
      </w:pPr>
      <w:r>
        <w:t xml:space="preserve">2005 · Blase E ·</w:t>
      </w:r>
      <w:r>
        <w:t xml:space="preserve"> </w:t>
      </w:r>
      <w:r>
        <w:rPr>
          <w:iCs/>
          <w:i/>
        </w:rPr>
        <w:t xml:space="preserve">J Clin Pharmacol</w:t>
      </w:r>
      <w:r>
        <w:t xml:space="preserve"> </w:t>
      </w:r>
      <w:r>
        <w:t xml:space="preserve">· Pharmacokinetics of an oral drug (acetaminophen) administered at various times in relation to subcutaneous injection of exenatide (exendin-4) in healthy subjects. PMID 15831781</w:t>
      </w:r>
    </w:p>
    <w:p>
      <w:pPr>
        <w:numPr>
          <w:ilvl w:val="0"/>
          <w:numId w:val="1376"/>
        </w:numPr>
        <w:pStyle w:val="Compact"/>
      </w:pPr>
      <w:r>
        <w:t xml:space="preserve">2005 · Calara F ·</w:t>
      </w:r>
      <w:r>
        <w:t xml:space="preserve"> </w:t>
      </w:r>
      <w:r>
        <w:rPr>
          <w:iCs/>
          <w:i/>
        </w:rPr>
        <w:t xml:space="preserve">Clin Ther</w:t>
      </w:r>
      <w:r>
        <w:t xml:space="preserve"> </w:t>
      </w:r>
      <w:r>
        <w:t xml:space="preserve">· A randomized, open-label, crossover study examining the effect of injection site on bioavailability of exenatide (synthetic exendin-4). PMID 15811484</w:t>
      </w:r>
    </w:p>
    <w:p>
      <w:pPr>
        <w:numPr>
          <w:ilvl w:val="0"/>
          <w:numId w:val="1376"/>
        </w:numPr>
        <w:pStyle w:val="Compact"/>
      </w:pPr>
      <w:r>
        <w:t xml:space="preserve">2005 · Kolterman OG ·</w:t>
      </w:r>
      <w:r>
        <w:t xml:space="preserve"> </w:t>
      </w:r>
      <w:r>
        <w:rPr>
          <w:iCs/>
          <w:i/>
        </w:rPr>
        <w:t xml:space="preserve">Am J Health Syst Pharm</w:t>
      </w:r>
      <w:r>
        <w:t xml:space="preserve"> </w:t>
      </w:r>
      <w:r>
        <w:t xml:space="preserve">· Pharmacokinetics, pharmacodynamics, and safety of exenatide in patients with type 2 diabetes mellitus. PMID 15700891</w:t>
      </w:r>
    </w:p>
    <w:p>
      <w:pPr>
        <w:numPr>
          <w:ilvl w:val="0"/>
          <w:numId w:val="1376"/>
        </w:numPr>
        <w:pStyle w:val="Compact"/>
      </w:pPr>
      <w:r>
        <w:t xml:space="preserve">2004 · Buse JB ·</w:t>
      </w:r>
      <w:r>
        <w:t xml:space="preserve"> </w:t>
      </w:r>
      <w:r>
        <w:rPr>
          <w:iCs/>
          <w:i/>
        </w:rPr>
        <w:t xml:space="preserve">Diabetes Care</w:t>
      </w:r>
      <w:r>
        <w:t xml:space="preserve"> </w:t>
      </w:r>
      <w:r>
        <w:t xml:space="preserve">· Effects of exenatide (exendin-4) on glycemic control over 30 weeks in sulfonylurea-treated patients with type 2 diabetes. PMID 15504997</w:t>
      </w:r>
    </w:p>
    <w:p>
      <w:pPr>
        <w:numPr>
          <w:ilvl w:val="0"/>
          <w:numId w:val="1376"/>
        </w:numPr>
        <w:pStyle w:val="Compact"/>
      </w:pPr>
      <w:r>
        <w:t xml:space="preserve">2004 · Fineman MS ·</w:t>
      </w:r>
      <w:r>
        <w:t xml:space="preserve"> </w:t>
      </w:r>
      <w:r>
        <w:rPr>
          <w:iCs/>
          <w:i/>
        </w:rPr>
        <w:t xml:space="preserve">Diabetes Metab Res Rev</w:t>
      </w:r>
      <w:r>
        <w:t xml:space="preserve"> </w:t>
      </w:r>
      <w:r>
        <w:t xml:space="preserve">· Effectiveness of progressive dose-escalation of exenatide (exendin-4) in reducing dose-limiting side effects in subjects with type 2 diabetes. PMID 15343588</w:t>
      </w:r>
    </w:p>
    <w:p>
      <w:pPr>
        <w:numPr>
          <w:ilvl w:val="0"/>
          <w:numId w:val="1376"/>
        </w:numPr>
        <w:pStyle w:val="Compact"/>
      </w:pPr>
      <w:r>
        <w:t xml:space="preserve">2004 · Degn KB ·</w:t>
      </w:r>
      <w:r>
        <w:t xml:space="preserve"> </w:t>
      </w:r>
      <w:r>
        <w:rPr>
          <w:iCs/>
          <w:i/>
        </w:rPr>
        <w:t xml:space="preserve">Diabetes</w:t>
      </w:r>
      <w:r>
        <w:t xml:space="preserve"> </w:t>
      </w:r>
      <w:r>
        <w:t xml:space="preserve">· Effect of intravenous infusion of exenatide (synthetic exendin-4) on glucose-dependent insulin secretion and counterregulation during hypoglycemia. PMID 15331551</w:t>
      </w:r>
    </w:p>
    <w:p>
      <w:pPr>
        <w:numPr>
          <w:ilvl w:val="0"/>
          <w:numId w:val="1376"/>
        </w:numPr>
        <w:pStyle w:val="Compact"/>
      </w:pPr>
      <w:r>
        <w:t xml:space="preserve">2003 · Fineman MS ·</w:t>
      </w:r>
      <w:r>
        <w:t xml:space="preserve"> </w:t>
      </w:r>
      <w:r>
        <w:rPr>
          <w:iCs/>
          <w:i/>
        </w:rPr>
        <w:t xml:space="preserve">Diabetes Care</w:t>
      </w:r>
      <w:r>
        <w:t xml:space="preserve"> </w:t>
      </w:r>
      <w:r>
        <w:t xml:space="preserve">· Effect on glycemic control of exenatide (synthetic exendin-4) additive to existing metformin and/or sulfonylurea treatment in patients with type 2 diabetes. PMID 12882864</w:t>
      </w:r>
    </w:p>
    <w:p>
      <w:pPr>
        <w:numPr>
          <w:ilvl w:val="0"/>
          <w:numId w:val="1376"/>
        </w:numPr>
        <w:pStyle w:val="Compact"/>
      </w:pPr>
      <w:r>
        <w:t xml:space="preserve">2003 · Kolterman OG ·</w:t>
      </w:r>
      <w:r>
        <w:t xml:space="preserve"> </w:t>
      </w:r>
      <w:r>
        <w:rPr>
          <w:iCs/>
          <w:i/>
        </w:rPr>
        <w:t xml:space="preserve">J Clin Endocrinol Metab</w:t>
      </w:r>
      <w:r>
        <w:t xml:space="preserve"> </w:t>
      </w:r>
      <w:r>
        <w:t xml:space="preserve">· Synthetic exendin-4 (exenatide) significantly reduces postprandial and fasting plasma glucose in subjects with type 2 diabetes. PMID 12843147</w:t>
      </w:r>
    </w:p>
    <w:bookmarkEnd w:id="3013"/>
    <w:bookmarkStart w:id="3014" w:name="liraglutide-613"/>
    <w:p>
      <w:pPr>
        <w:pStyle w:val="Heading2"/>
      </w:pPr>
      <w:r>
        <w:t xml:space="preserve">Liraglutide (613)</w:t>
      </w:r>
    </w:p>
    <w:p>
      <w:pPr>
        <w:numPr>
          <w:ilvl w:val="0"/>
          <w:numId w:val="1377"/>
        </w:numPr>
        <w:pStyle w:val="Compact"/>
      </w:pPr>
      <w:r>
        <w:t xml:space="preserve">2026 · Caballero-Corbalán J ·</w:t>
      </w:r>
      <w:r>
        <w:t xml:space="preserve"> </w:t>
      </w:r>
      <w:r>
        <w:rPr>
          <w:iCs/>
          <w:i/>
        </w:rPr>
        <w:t xml:space="preserve">Diabetes Obes Metab</w:t>
      </w:r>
      <w:r>
        <w:t xml:space="preserve"> </w:t>
      </w:r>
      <w:r>
        <w:t xml:space="preserve">· Liraglutide and Βeta-Cell Function in Young Adults With Long-Standing Type 1 Diabetes and Residual C-Peptide: A Blinded, Randomized Controlled Trial. PMID 42595732</w:t>
      </w:r>
    </w:p>
    <w:p>
      <w:pPr>
        <w:numPr>
          <w:ilvl w:val="0"/>
          <w:numId w:val="1377"/>
        </w:numPr>
        <w:pStyle w:val="Compact"/>
      </w:pPr>
      <w:r>
        <w:t xml:space="preserve">2026 · Sun Y ·</w:t>
      </w:r>
      <w:r>
        <w:t xml:space="preserve"> </w:t>
      </w:r>
      <w:r>
        <w:rPr>
          <w:iCs/>
          <w:i/>
        </w:rPr>
        <w:t xml:space="preserve">Endocrine</w:t>
      </w:r>
      <w:r>
        <w:t xml:space="preserve"> </w:t>
      </w:r>
      <w:r>
        <w:t xml:space="preserve">· Comparative analysis of IDegLira versus insulin glargine in short-term intensive therapy for overweight or obese patients with type 2 diabetes mellitus. PMID 42439957</w:t>
      </w:r>
    </w:p>
    <w:p>
      <w:pPr>
        <w:numPr>
          <w:ilvl w:val="0"/>
          <w:numId w:val="1377"/>
        </w:numPr>
        <w:pStyle w:val="Compact"/>
      </w:pPr>
      <w:r>
        <w:t xml:space="preserve">2026 · Friedman MI ·</w:t>
      </w:r>
      <w:r>
        <w:t xml:space="preserve"> </w:t>
      </w:r>
      <w:r>
        <w:rPr>
          <w:iCs/>
          <w:i/>
        </w:rPr>
        <w:t xml:space="preserve">Obesity (Silver Spring)</w:t>
      </w:r>
      <w:r>
        <w:t xml:space="preserve"> </w:t>
      </w:r>
      <w:r>
        <w:t xml:space="preserve">· Appetite Suppression by GLP-1 Receptor Agonists: Role of Delayed Gastric Emptying. PMID 42392577</w:t>
      </w:r>
    </w:p>
    <w:p>
      <w:pPr>
        <w:numPr>
          <w:ilvl w:val="0"/>
          <w:numId w:val="1377"/>
        </w:numPr>
        <w:pStyle w:val="Compact"/>
      </w:pPr>
      <w:r>
        <w:t xml:space="preserve">2026 · Sandsdal RM ·</w:t>
      </w:r>
      <w:r>
        <w:t xml:space="preserve"> </w:t>
      </w:r>
      <w:r>
        <w:rPr>
          <w:iCs/>
          <w:i/>
        </w:rPr>
        <w:t xml:space="preserve">Nat Metab</w:t>
      </w:r>
      <w:r>
        <w:t xml:space="preserve"> </w:t>
      </w:r>
      <w:r>
        <w:t xml:space="preserve">· Effects of exercise and liraglutide on vascular health and inflammation during weight loss maintenance: a prespecified secondary analysis of the S-LiTE trial. PMID 42342869</w:t>
      </w:r>
    </w:p>
    <w:p>
      <w:pPr>
        <w:numPr>
          <w:ilvl w:val="0"/>
          <w:numId w:val="1377"/>
        </w:numPr>
        <w:pStyle w:val="Compact"/>
      </w:pPr>
      <w:r>
        <w:t xml:space="preserve">2026 · Sørensen KK ·</w:t>
      </w:r>
      <w:r>
        <w:t xml:space="preserve"> </w:t>
      </w:r>
      <w:r>
        <w:rPr>
          <w:iCs/>
          <w:i/>
        </w:rPr>
        <w:t xml:space="preserve">Clin Trials</w:t>
      </w:r>
      <w:r>
        <w:t xml:space="preserve"> </w:t>
      </w:r>
      <w:r>
        <w:t xml:space="preserve">· Accounting for non-adherence: A re-analysis of the Liraglutide Effect and Action in Diabetes: Evaluation of Cardiovascular Outcome Results trial. PMID 42227113</w:t>
      </w:r>
    </w:p>
    <w:p>
      <w:pPr>
        <w:numPr>
          <w:ilvl w:val="0"/>
          <w:numId w:val="1377"/>
        </w:numPr>
        <w:pStyle w:val="Compact"/>
      </w:pPr>
      <w:r>
        <w:t xml:space="preserve">2026 · Goldberger JJ ·</w:t>
      </w:r>
      <w:r>
        <w:t xml:space="preserve"> </w:t>
      </w:r>
      <w:r>
        <w:rPr>
          <w:iCs/>
          <w:i/>
        </w:rPr>
        <w:t xml:space="preserve">JACC Clin Electrophysiol</w:t>
      </w:r>
      <w:r>
        <w:t xml:space="preserve"> </w:t>
      </w:r>
      <w:r>
        <w:t xml:space="preserve">· The Liraglutide Effects in Atrial Fibrillation (LEAF) Study. PMID 42159524</w:t>
      </w:r>
    </w:p>
    <w:p>
      <w:pPr>
        <w:numPr>
          <w:ilvl w:val="0"/>
          <w:numId w:val="1377"/>
        </w:numPr>
        <w:pStyle w:val="Compact"/>
      </w:pPr>
      <w:r>
        <w:t xml:space="preserve">2026 · Lu L ·</w:t>
      </w:r>
      <w:r>
        <w:t xml:space="preserve"> </w:t>
      </w:r>
      <w:r>
        <w:rPr>
          <w:iCs/>
          <w:i/>
        </w:rPr>
        <w:t xml:space="preserve">Stroke</w:t>
      </w:r>
      <w:r>
        <w:t xml:space="preserve"> </w:t>
      </w:r>
      <w:r>
        <w:t xml:space="preserve">· Liraglutide and Recurrent Stroke by Baseline Insulin Resistance: A Post Hoc Analysis of the LAMP Trial. PMID 42145088</w:t>
      </w:r>
    </w:p>
    <w:p>
      <w:pPr>
        <w:numPr>
          <w:ilvl w:val="0"/>
          <w:numId w:val="1377"/>
        </w:numPr>
        <w:pStyle w:val="Compact"/>
      </w:pPr>
      <w:r>
        <w:t xml:space="preserve">2026 · Cherniavskyi V ·</w:t>
      </w:r>
      <w:r>
        <w:t xml:space="preserve"> </w:t>
      </w:r>
      <w:r>
        <w:rPr>
          <w:iCs/>
          <w:i/>
        </w:rPr>
        <w:t xml:space="preserve">Wiad Lek</w:t>
      </w:r>
      <w:r>
        <w:t xml:space="preserve"> </w:t>
      </w:r>
      <w:r>
        <w:t xml:space="preserve">· Six-month effects of liraglutide and dapagliflozin on lipid profile, cardiovascular risk, and NT-proBNP levels in patients with metabolic dysfunction-associated steatotic liver disease. PMID 42139606</w:t>
      </w:r>
    </w:p>
    <w:p>
      <w:pPr>
        <w:numPr>
          <w:ilvl w:val="0"/>
          <w:numId w:val="1377"/>
        </w:numPr>
        <w:pStyle w:val="Compact"/>
      </w:pPr>
      <w:r>
        <w:t xml:space="preserve">2026 · Evers A ·</w:t>
      </w:r>
      <w:r>
        <w:t xml:space="preserve"> </w:t>
      </w:r>
      <w:r>
        <w:rPr>
          <w:iCs/>
          <w:i/>
        </w:rPr>
        <w:t xml:space="preserve">J Clin Endocrinol Metab</w:t>
      </w:r>
      <w:r>
        <w:t xml:space="preserve"> </w:t>
      </w:r>
      <w:r>
        <w:t xml:space="preserve">· Insights from changes in NDEV biomarkers of metabolism: effects of PPARγ and GLP1 receptor agonists on brain metabolism. PMID 41992726</w:t>
      </w:r>
    </w:p>
    <w:p>
      <w:pPr>
        <w:numPr>
          <w:ilvl w:val="0"/>
          <w:numId w:val="1377"/>
        </w:numPr>
        <w:pStyle w:val="Compact"/>
      </w:pPr>
      <w:r>
        <w:t xml:space="preserve">2026 · Bergenstal RM ·</w:t>
      </w:r>
      <w:r>
        <w:t xml:space="preserve"> </w:t>
      </w:r>
      <w:r>
        <w:rPr>
          <w:iCs/>
          <w:i/>
        </w:rPr>
        <w:t xml:space="preserve">Diabetes Care</w:t>
      </w:r>
      <w:r>
        <w:t xml:space="preserve"> </w:t>
      </w:r>
      <w:r>
        <w:t xml:space="preserve">· Comparison of the Continuous Glucose Monitoring Profiles of Four Glucose-Lowering Medications in the GRADE Randomized Trial. PMID 41925680</w:t>
      </w:r>
    </w:p>
    <w:p>
      <w:pPr>
        <w:numPr>
          <w:ilvl w:val="0"/>
          <w:numId w:val="1377"/>
        </w:numPr>
        <w:pStyle w:val="Compact"/>
      </w:pPr>
      <w:r>
        <w:t xml:space="preserve">2026 · Baldassarre MPA ·</w:t>
      </w:r>
      <w:r>
        <w:t xml:space="preserve"> </w:t>
      </w:r>
      <w:r>
        <w:rPr>
          <w:iCs/>
          <w:i/>
        </w:rPr>
        <w:t xml:space="preserve">J Diabetes Complications</w:t>
      </w:r>
      <w:r>
        <w:t xml:space="preserve"> </w:t>
      </w:r>
      <w:r>
        <w:t xml:space="preserve">· Modulation of circulating extracellular vesicles by antihyperglycemic therapies: A pilot randomized controlled trial. PMID 41621217</w:t>
      </w:r>
    </w:p>
    <w:p>
      <w:pPr>
        <w:numPr>
          <w:ilvl w:val="0"/>
          <w:numId w:val="1377"/>
        </w:numPr>
        <w:pStyle w:val="Compact"/>
      </w:pPr>
      <w:r>
        <w:t xml:space="preserve">2026 · Jensen SBK ·</w:t>
      </w:r>
      <w:r>
        <w:t xml:space="preserve"> </w:t>
      </w:r>
      <w:r>
        <w:rPr>
          <w:iCs/>
          <w:i/>
        </w:rPr>
        <w:t xml:space="preserve">Sports Med</w:t>
      </w:r>
      <w:r>
        <w:t xml:space="preserve"> </w:t>
      </w:r>
      <w:r>
        <w:t xml:space="preserve">· Physical Fitness with Exercise and GLP-1 Receptor Agonist Treatment Alone or Combined After Diet-Induced Weight Loss: A Secondary Analysis of a Randomized Controlled Trial in Adults with Obesity. PMID 41579235</w:t>
      </w:r>
    </w:p>
    <w:p>
      <w:pPr>
        <w:numPr>
          <w:ilvl w:val="0"/>
          <w:numId w:val="1377"/>
        </w:numPr>
        <w:pStyle w:val="Compact"/>
      </w:pPr>
      <w:r>
        <w:t xml:space="preserve">2026 · Gutierrez de Piñeres V ·</w:t>
      </w:r>
      <w:r>
        <w:t xml:space="preserve"> </w:t>
      </w:r>
      <w:r>
        <w:rPr>
          <w:iCs/>
          <w:i/>
        </w:rPr>
        <w:t xml:space="preserve">Diabetes Res Clin Pract</w:t>
      </w:r>
      <w:r>
        <w:t xml:space="preserve"> </w:t>
      </w:r>
      <w:r>
        <w:t xml:space="preserve">· Effects of liraglutide treatment for 35-days on total and regional fat free, lean, and bone mass, and on the Myostatin-Activin-Follistatin-IGF-1 axes: a secondary analysis of a randomized placebo-controlled crossover study. PMID 41571048</w:t>
      </w:r>
    </w:p>
    <w:p>
      <w:pPr>
        <w:numPr>
          <w:ilvl w:val="0"/>
          <w:numId w:val="1377"/>
        </w:numPr>
        <w:pStyle w:val="Compact"/>
      </w:pPr>
      <w:r>
        <w:t xml:space="preserve">2026 · Gonzalez JS ·</w:t>
      </w:r>
      <w:r>
        <w:t xml:space="preserve"> </w:t>
      </w:r>
      <w:r>
        <w:rPr>
          <w:iCs/>
          <w:i/>
        </w:rPr>
        <w:t xml:space="preserve">Diabetes Care</w:t>
      </w:r>
      <w:r>
        <w:t xml:space="preserve"> </w:t>
      </w:r>
      <w:r>
        <w:t xml:space="preserve">· Medication Adherence in the Glycemia Reduction Approaches in Diabetes: A Comparative Effectiveness Study (GRADE). PMID 41557987</w:t>
      </w:r>
    </w:p>
    <w:p>
      <w:pPr>
        <w:numPr>
          <w:ilvl w:val="0"/>
          <w:numId w:val="1377"/>
        </w:numPr>
        <w:pStyle w:val="Compact"/>
      </w:pPr>
      <w:r>
        <w:t xml:space="preserve">2026 · Stefanakis K ·</w:t>
      </w:r>
      <w:r>
        <w:t xml:space="preserve"> </w:t>
      </w:r>
      <w:r>
        <w:rPr>
          <w:iCs/>
          <w:i/>
        </w:rPr>
        <w:t xml:space="preserve">Metabolism</w:t>
      </w:r>
      <w:r>
        <w:t xml:space="preserve"> </w:t>
      </w:r>
      <w:r>
        <w:t xml:space="preserve">· Proteomic effects of short-term liraglutide vs. placebo in a blinded crossover RCT: Implications for efficacy, safety, and comparison with semaglutide. PMID 41513169</w:t>
      </w:r>
    </w:p>
    <w:p>
      <w:pPr>
        <w:numPr>
          <w:ilvl w:val="0"/>
          <w:numId w:val="1377"/>
        </w:numPr>
        <w:pStyle w:val="Compact"/>
      </w:pPr>
      <w:r>
        <w:t xml:space="preserve">2026 · Kahn SE ·</w:t>
      </w:r>
      <w:r>
        <w:t xml:space="preserve"> </w:t>
      </w:r>
      <w:r>
        <w:rPr>
          <w:iCs/>
          <w:i/>
        </w:rPr>
        <w:t xml:space="preserve">Diabetes Care</w:t>
      </w:r>
      <w:r>
        <w:t xml:space="preserve"> </w:t>
      </w:r>
      <w:r>
        <w:t xml:space="preserve">· Differential Longitudinal Effects of Glucose-Lowering Medications on Glucagon and C-peptide Responses in the Glycemia Reduction Approaches in Diabetes: A Comparative Effectiveness Study (GRADE). PMID 41432725</w:t>
      </w:r>
    </w:p>
    <w:p>
      <w:pPr>
        <w:numPr>
          <w:ilvl w:val="0"/>
          <w:numId w:val="1377"/>
        </w:numPr>
        <w:pStyle w:val="Compact"/>
      </w:pPr>
      <w:r>
        <w:t xml:space="preserve">2026 · Edison P ·</w:t>
      </w:r>
      <w:r>
        <w:t xml:space="preserve"> </w:t>
      </w:r>
      <w:r>
        <w:rPr>
          <w:iCs/>
          <w:i/>
        </w:rPr>
        <w:t xml:space="preserve">Nat Med</w:t>
      </w:r>
      <w:r>
        <w:t xml:space="preserve"> </w:t>
      </w:r>
      <w:r>
        <w:t xml:space="preserve">· Liraglutide in mild to moderate Alzheimer’s disease: a phase 2b clinical trial. PMID 41326666</w:t>
      </w:r>
    </w:p>
    <w:p>
      <w:pPr>
        <w:numPr>
          <w:ilvl w:val="0"/>
          <w:numId w:val="1377"/>
        </w:numPr>
        <w:pStyle w:val="Compact"/>
      </w:pPr>
      <w:r>
        <w:t xml:space="preserve">2026 · Gutierrez de Piñeres V ·</w:t>
      </w:r>
      <w:r>
        <w:t xml:space="preserve"> </w:t>
      </w:r>
      <w:r>
        <w:rPr>
          <w:iCs/>
          <w:i/>
        </w:rPr>
        <w:t xml:space="preserve">Diabetes Obes Metab</w:t>
      </w:r>
      <w:r>
        <w:t xml:space="preserve"> </w:t>
      </w:r>
      <w:r>
        <w:t xml:space="preserve">· Effects of liraglutide treatment for 18 days on metabolic parameters, regional body composition and the myostatin-activin-follistatin-IGF-1 axis: Results from an exploratory, randomized, placebo-controlled, crossover study. PMID 41287185</w:t>
      </w:r>
    </w:p>
    <w:p>
      <w:pPr>
        <w:numPr>
          <w:ilvl w:val="0"/>
          <w:numId w:val="1377"/>
        </w:numPr>
        <w:pStyle w:val="Compact"/>
      </w:pPr>
      <w:r>
        <w:t xml:space="preserve">2026 · Zhu H ·</w:t>
      </w:r>
      <w:r>
        <w:t xml:space="preserve"> </w:t>
      </w:r>
      <w:r>
        <w:rPr>
          <w:iCs/>
          <w:i/>
        </w:rPr>
        <w:t xml:space="preserve">JAMA Intern Med</w:t>
      </w:r>
      <w:r>
        <w:t xml:space="preserve"> </w:t>
      </w:r>
      <w:r>
        <w:t xml:space="preserve">· Liraglutide in Acute Minor Ischemic Stroke or High-Risk Transient Ischemic Attack With Type 2 Diabetes: The LAMP Randomized Clinical Trial. PMID 41182740</w:t>
      </w:r>
    </w:p>
    <w:p>
      <w:pPr>
        <w:numPr>
          <w:ilvl w:val="0"/>
          <w:numId w:val="1377"/>
        </w:numPr>
        <w:pStyle w:val="Compact"/>
      </w:pPr>
      <w:r>
        <w:t xml:space="preserve">2026 · Holt J ·</w:t>
      </w:r>
      <w:r>
        <w:t xml:space="preserve"> </w:t>
      </w:r>
      <w:r>
        <w:rPr>
          <w:iCs/>
          <w:i/>
        </w:rPr>
        <w:t xml:space="preserve">Obesity (Silver Spring)</w:t>
      </w:r>
      <w:r>
        <w:t xml:space="preserve"> </w:t>
      </w:r>
      <w:r>
        <w:t xml:space="preserve">· One Year of Exercise After Weight Loss Increases Postprandial GLP-1 Secretion in Contrast to Usual Activity or GLP-1 Receptor Agonist Treatment. PMID 40998556</w:t>
      </w:r>
    </w:p>
    <w:p>
      <w:pPr>
        <w:numPr>
          <w:ilvl w:val="0"/>
          <w:numId w:val="1377"/>
        </w:numPr>
        <w:pStyle w:val="Compact"/>
      </w:pPr>
      <w:r>
        <w:t xml:space="preserve">2025 · Long XF ·</w:t>
      </w:r>
      <w:r>
        <w:t xml:space="preserve"> </w:t>
      </w:r>
      <w:r>
        <w:rPr>
          <w:iCs/>
          <w:i/>
        </w:rPr>
        <w:t xml:space="preserve">Front Endocrinol (Lausanne)</w:t>
      </w:r>
      <w:r>
        <w:t xml:space="preserve"> </w:t>
      </w:r>
      <w:r>
        <w:t xml:space="preserve">· Combination metformin and liraglutide in PCOS: clinical efficacy in women and preclinical insights from gut microbiome modulation in rats. PMID 41384017</w:t>
      </w:r>
    </w:p>
    <w:p>
      <w:pPr>
        <w:numPr>
          <w:ilvl w:val="0"/>
          <w:numId w:val="1377"/>
        </w:numPr>
        <w:pStyle w:val="Compact"/>
      </w:pPr>
      <w:r>
        <w:t xml:space="preserve">2025 · Brown WA ·</w:t>
      </w:r>
      <w:r>
        <w:t xml:space="preserve"> </w:t>
      </w:r>
      <w:r>
        <w:rPr>
          <w:iCs/>
          <w:i/>
        </w:rPr>
        <w:t xml:space="preserve">JAMA Netw Open</w:t>
      </w:r>
      <w:r>
        <w:t xml:space="preserve"> </w:t>
      </w:r>
      <w:r>
        <w:t xml:space="preserve">· Liraglutide and Weight Loss Among Suboptimal Responders to Metabolic Bariatric Surgery: A Randomized Clinical Trial. PMID 41160027</w:t>
      </w:r>
    </w:p>
    <w:p>
      <w:pPr>
        <w:numPr>
          <w:ilvl w:val="0"/>
          <w:numId w:val="1377"/>
        </w:numPr>
        <w:pStyle w:val="Compact"/>
      </w:pPr>
      <w:r>
        <w:t xml:space="preserve">2025 · Mashayekhi M ·</w:t>
      </w:r>
      <w:r>
        <w:t xml:space="preserve"> </w:t>
      </w:r>
      <w:r>
        <w:rPr>
          <w:iCs/>
          <w:i/>
        </w:rPr>
        <w:t xml:space="preserve">J Endocrinol</w:t>
      </w:r>
      <w:r>
        <w:t xml:space="preserve"> </w:t>
      </w:r>
      <w:r>
        <w:t xml:space="preserve">· RISING STARS: Effects of a GLP-1 receptor polymorphism on responses to liraglutide. PMID 41042549</w:t>
      </w:r>
    </w:p>
    <w:p>
      <w:pPr>
        <w:numPr>
          <w:ilvl w:val="0"/>
          <w:numId w:val="1377"/>
        </w:numPr>
        <w:pStyle w:val="Compact"/>
      </w:pPr>
      <w:r>
        <w:t xml:space="preserve">2025 · Glaros SB ·</w:t>
      </w:r>
      <w:r>
        <w:t xml:space="preserve"> </w:t>
      </w:r>
      <w:r>
        <w:rPr>
          <w:iCs/>
          <w:i/>
        </w:rPr>
        <w:t xml:space="preserve">Gut Microbes</w:t>
      </w:r>
      <w:r>
        <w:t xml:space="preserve"> </w:t>
      </w:r>
      <w:r>
        <w:t xml:space="preserve">· Systemic and gut microbiome changes with metformin and liraglutide in youth-onset type 2 diabetes: the MIGHTY study. PMID 41020378</w:t>
      </w:r>
    </w:p>
    <w:p>
      <w:pPr>
        <w:numPr>
          <w:ilvl w:val="0"/>
          <w:numId w:val="1377"/>
        </w:numPr>
        <w:pStyle w:val="Compact"/>
      </w:pPr>
      <w:r>
        <w:t xml:space="preserve">2025 · Pop-Busui R ·</w:t>
      </w:r>
      <w:r>
        <w:t xml:space="preserve"> </w:t>
      </w:r>
      <w:r>
        <w:rPr>
          <w:iCs/>
          <w:i/>
        </w:rPr>
        <w:t xml:space="preserve">Diabetes Care</w:t>
      </w:r>
      <w:r>
        <w:t xml:space="preserve"> </w:t>
      </w:r>
      <w:r>
        <w:t xml:space="preserve">· Differences in Prevalence and Incidence of Electrocardiogram Abnormalities and Cardiovascular Autonomic Neuropathy Among Randomized Glucose-Lowering Treatments in Early Type 2 Diabetes: The Glycemia Reduction Approaches in Diabetes (GRADE) Cohort. PMID 40986645</w:t>
      </w:r>
    </w:p>
    <w:p>
      <w:pPr>
        <w:numPr>
          <w:ilvl w:val="0"/>
          <w:numId w:val="1377"/>
        </w:numPr>
        <w:pStyle w:val="Compact"/>
      </w:pPr>
      <w:r>
        <w:t xml:space="preserve">2025 · Li X ·</w:t>
      </w:r>
      <w:r>
        <w:t xml:space="preserve"> </w:t>
      </w:r>
      <w:r>
        <w:rPr>
          <w:iCs/>
          <w:i/>
        </w:rPr>
        <w:t xml:space="preserve">Diabetes Obes Metab</w:t>
      </w:r>
      <w:r>
        <w:t xml:space="preserve"> </w:t>
      </w:r>
      <w:r>
        <w:t xml:space="preserve">· Dapagliflozin restores odour-induced functional integration of primary olfactory cortex circuit but not olfactory-related regional brain activation in patients with type 2 diabetes: A 16-week randomised comparative study. PMID 40954925</w:t>
      </w:r>
    </w:p>
    <w:p>
      <w:pPr>
        <w:numPr>
          <w:ilvl w:val="0"/>
          <w:numId w:val="1377"/>
        </w:numPr>
        <w:pStyle w:val="Compact"/>
      </w:pPr>
      <w:r>
        <w:t xml:space="preserve">2025 · Brosnahan N ·</w:t>
      </w:r>
      <w:r>
        <w:t xml:space="preserve"> </w:t>
      </w:r>
      <w:r>
        <w:rPr>
          <w:iCs/>
          <w:i/>
        </w:rPr>
        <w:t xml:space="preserve">Clin Nutr</w:t>
      </w:r>
      <w:r>
        <w:t xml:space="preserve"> </w:t>
      </w:r>
      <w:r>
        <w:t xml:space="preserve">· Diet strategies for maintaining substantial therapeutic weight loss: 78-week mixed methods randomised trial. PMID 40934815</w:t>
      </w:r>
    </w:p>
    <w:p>
      <w:pPr>
        <w:numPr>
          <w:ilvl w:val="0"/>
          <w:numId w:val="1377"/>
        </w:numPr>
        <w:pStyle w:val="Compact"/>
      </w:pPr>
      <w:r>
        <w:t xml:space="preserve">2025 · Guerdjikova AI ·</w:t>
      </w:r>
      <w:r>
        <w:t xml:space="preserve"> </w:t>
      </w:r>
      <w:r>
        <w:rPr>
          <w:iCs/>
          <w:i/>
        </w:rPr>
        <w:t xml:space="preserve">Int J Psychiatry Clin Pract</w:t>
      </w:r>
      <w:r>
        <w:t xml:space="preserve"> </w:t>
      </w:r>
      <w:r>
        <w:t xml:space="preserve">· Features of binge eating disorder in obese or overweight individuals with stable bipolar disorder participating in a weight loss trial - a post hoc analysis. PMID 40849800</w:t>
      </w:r>
    </w:p>
    <w:p>
      <w:pPr>
        <w:numPr>
          <w:ilvl w:val="0"/>
          <w:numId w:val="1377"/>
        </w:numPr>
        <w:pStyle w:val="Compact"/>
      </w:pPr>
      <w:r>
        <w:t xml:space="preserve">2025 · Nigro S ·</w:t>
      </w:r>
      <w:r>
        <w:t xml:space="preserve"> </w:t>
      </w:r>
      <w:r>
        <w:rPr>
          <w:iCs/>
          <w:i/>
        </w:rPr>
        <w:t xml:space="preserve">Obes Surg</w:t>
      </w:r>
      <w:r>
        <w:t xml:space="preserve"> </w:t>
      </w:r>
      <w:r>
        <w:t xml:space="preserve">· Comparative Efficacy of Endoscopic Sleeve Gastroplasty (Esg) Versus Liraglutide in Weight Loss and Remission Of Obesity-Related Comorbidities: Twelve Months Follow-Up Results. PMID 40779281</w:t>
      </w:r>
    </w:p>
    <w:p>
      <w:pPr>
        <w:numPr>
          <w:ilvl w:val="0"/>
          <w:numId w:val="1377"/>
        </w:numPr>
        <w:pStyle w:val="Compact"/>
      </w:pPr>
      <w:r>
        <w:t xml:space="preserve">2025 · Gómez-Medina AM ·</w:t>
      </w:r>
      <w:r>
        <w:t xml:space="preserve"> </w:t>
      </w:r>
      <w:r>
        <w:rPr>
          <w:iCs/>
          <w:i/>
        </w:rPr>
        <w:t xml:space="preserve">Diabetologia</w:t>
      </w:r>
      <w:r>
        <w:t xml:space="preserve"> </w:t>
      </w:r>
      <w:r>
        <w:t xml:space="preserve">· Insulin DEgludec/LIraglutide versus multiple daily insulin injections in the transition from hospital to outpatient management assessed by continuous glucose monitoring: the DELI transition trial. PMID 40760249</w:t>
      </w:r>
    </w:p>
    <w:p>
      <w:pPr>
        <w:numPr>
          <w:ilvl w:val="0"/>
          <w:numId w:val="1377"/>
        </w:numPr>
        <w:pStyle w:val="Compact"/>
      </w:pPr>
      <w:r>
        <w:t xml:space="preserve">2025 · Martin CK ·</w:t>
      </w:r>
      <w:r>
        <w:t xml:space="preserve"> </w:t>
      </w:r>
      <w:r>
        <w:rPr>
          <w:iCs/>
          <w:i/>
        </w:rPr>
        <w:t xml:space="preserve">Nat Med</w:t>
      </w:r>
      <w:r>
        <w:t xml:space="preserve"> </w:t>
      </w:r>
      <w:r>
        <w:t xml:space="preserve">· Tirzepatide on ingestive behavior in adults with overweight or obesity: a randomized 6-week phase 1 trial. PMID 40555748</w:t>
      </w:r>
    </w:p>
    <w:p>
      <w:pPr>
        <w:numPr>
          <w:ilvl w:val="0"/>
          <w:numId w:val="1377"/>
        </w:numPr>
        <w:pStyle w:val="Compact"/>
      </w:pPr>
      <w:r>
        <w:t xml:space="preserve">2025 · Simeone PG ·</w:t>
      </w:r>
      <w:r>
        <w:t xml:space="preserve"> </w:t>
      </w:r>
      <w:r>
        <w:rPr>
          <w:iCs/>
          <w:i/>
        </w:rPr>
        <w:t xml:space="preserve">Cardiovasc Diabetol</w:t>
      </w:r>
      <w:r>
        <w:t xml:space="preserve"> </w:t>
      </w:r>
      <w:r>
        <w:t xml:space="preserve">· Interleukin-1β in circulating mononuclear cells predicts steatotic liver disease improvement after weight loss in subjects with obesity and prediabetes or type 2 diabetes. PMID 40514652</w:t>
      </w:r>
    </w:p>
    <w:p>
      <w:pPr>
        <w:numPr>
          <w:ilvl w:val="0"/>
          <w:numId w:val="1377"/>
        </w:numPr>
        <w:pStyle w:val="Compact"/>
      </w:pPr>
      <w:r>
        <w:t xml:space="preserve">2025 · Cifuentes L ·</w:t>
      </w:r>
      <w:r>
        <w:t xml:space="preserve"> </w:t>
      </w:r>
      <w:r>
        <w:rPr>
          <w:iCs/>
          <w:i/>
        </w:rPr>
        <w:t xml:space="preserve">Cell Metab</w:t>
      </w:r>
      <w:r>
        <w:t xml:space="preserve"> </w:t>
      </w:r>
      <w:r>
        <w:t xml:space="preserve">· Genetic and physiological insights into satiation variability predict responses to obesity treatment. PMID 40482646</w:t>
      </w:r>
    </w:p>
    <w:p>
      <w:pPr>
        <w:numPr>
          <w:ilvl w:val="0"/>
          <w:numId w:val="1377"/>
        </w:numPr>
        <w:pStyle w:val="Compact"/>
      </w:pPr>
      <w:r>
        <w:t xml:space="preserve">2025 · Hsia DS ·</w:t>
      </w:r>
      <w:r>
        <w:t xml:space="preserve"> </w:t>
      </w:r>
      <w:r>
        <w:rPr>
          <w:iCs/>
          <w:i/>
        </w:rPr>
        <w:t xml:space="preserve">Diabetes Care</w:t>
      </w:r>
      <w:r>
        <w:t xml:space="preserve"> </w:t>
      </w:r>
      <w:r>
        <w:t xml:space="preserve">· Association of Hospitalizations With Randomized Glycemia-Lowering Treatment in GRADE. PMID 40424051</w:t>
      </w:r>
    </w:p>
    <w:p>
      <w:pPr>
        <w:numPr>
          <w:ilvl w:val="0"/>
          <w:numId w:val="1377"/>
        </w:numPr>
        <w:pStyle w:val="Compact"/>
      </w:pPr>
      <w:r>
        <w:t xml:space="preserve">2025 · Luchsinger JA ·</w:t>
      </w:r>
      <w:r>
        <w:t xml:space="preserve"> </w:t>
      </w:r>
      <w:r>
        <w:rPr>
          <w:iCs/>
          <w:i/>
        </w:rPr>
        <w:t xml:space="preserve">JAMA Intern Med</w:t>
      </w:r>
      <w:r>
        <w:t xml:space="preserve"> </w:t>
      </w:r>
      <w:r>
        <w:t xml:space="preserve">· Glucose-Lowering Medications, Glycemia, and Cognitive Outcomes: The GRADE Randomized Clinical Trial. PMID 40388190</w:t>
      </w:r>
    </w:p>
    <w:p>
      <w:pPr>
        <w:numPr>
          <w:ilvl w:val="0"/>
          <w:numId w:val="1377"/>
        </w:numPr>
        <w:pStyle w:val="Compact"/>
      </w:pPr>
      <w:r>
        <w:t xml:space="preserve">2025 · Caruso P ·</w:t>
      </w:r>
      <w:r>
        <w:t xml:space="preserve"> </w:t>
      </w:r>
      <w:r>
        <w:rPr>
          <w:iCs/>
          <w:i/>
        </w:rPr>
        <w:t xml:space="preserve">Diabetes Obes Metab</w:t>
      </w:r>
      <w:r>
        <w:t xml:space="preserve"> </w:t>
      </w:r>
      <w:r>
        <w:t xml:space="preserve">· Liraglutide improves peripheral perfusion and markers of angiogenesis and inflammation in people with type 2 diabetes and peripheral artery disease: An 18-month follow-up of a randomized clinical trial. PMID 40276845</w:t>
      </w:r>
    </w:p>
    <w:p>
      <w:pPr>
        <w:numPr>
          <w:ilvl w:val="0"/>
          <w:numId w:val="1377"/>
        </w:numPr>
        <w:pStyle w:val="Compact"/>
      </w:pPr>
      <w:r>
        <w:t xml:space="preserve">2025 · Wexler DJ ·</w:t>
      </w:r>
      <w:r>
        <w:t xml:space="preserve"> </w:t>
      </w:r>
      <w:r>
        <w:rPr>
          <w:iCs/>
          <w:i/>
        </w:rPr>
        <w:t xml:space="preserve">Diabetes Care</w:t>
      </w:r>
      <w:r>
        <w:t xml:space="preserve"> </w:t>
      </w:r>
      <w:r>
        <w:t xml:space="preserve">· Weight Gain Was Associated With Worsening Glycemia and Cardiovascular and Kidney Outcomes in Patients With Type 2 Diabetes Independent of Diabetes Medication in the GRADE Randomized Controlled Trial. PMID 40267365</w:t>
      </w:r>
    </w:p>
    <w:p>
      <w:pPr>
        <w:numPr>
          <w:ilvl w:val="0"/>
          <w:numId w:val="1377"/>
        </w:numPr>
        <w:pStyle w:val="Compact"/>
      </w:pPr>
      <w:r>
        <w:t xml:space="preserve">2025 · Richardson KM ·</w:t>
      </w:r>
      <w:r>
        <w:t xml:space="preserve"> </w:t>
      </w:r>
      <w:r>
        <w:rPr>
          <w:iCs/>
          <w:i/>
        </w:rPr>
        <w:t xml:space="preserve">Diabetes Obes Metab</w:t>
      </w:r>
      <w:r>
        <w:t xml:space="preserve"> </w:t>
      </w:r>
      <w:r>
        <w:t xml:space="preserve">· The influence of the glucagon-like peptide-1 receptor agonist, liraglutide, on dietary patterns and nutrient intakes in patients with obesity and prediabetes: A secondary analysis of a randomized controlled trial. PMID 40259488</w:t>
      </w:r>
    </w:p>
    <w:p>
      <w:pPr>
        <w:numPr>
          <w:ilvl w:val="0"/>
          <w:numId w:val="1377"/>
        </w:numPr>
        <w:pStyle w:val="Compact"/>
      </w:pPr>
      <w:r>
        <w:t xml:space="preserve">2025 · Utzschneider KM ·</w:t>
      </w:r>
      <w:r>
        <w:t xml:space="preserve"> </w:t>
      </w:r>
      <w:r>
        <w:rPr>
          <w:iCs/>
          <w:i/>
        </w:rPr>
        <w:t xml:space="preserve">Diabetes Care</w:t>
      </w:r>
      <w:r>
        <w:t xml:space="preserve"> </w:t>
      </w:r>
      <w:r>
        <w:t xml:space="preserve">· Differential Treatment Effects on β-Cell Function Using Model-Based Parameters in Type 2 Diabetes: Results From the Glycemia Reduction Approaches in Diabetes: A Comparative Effectiveness Study (GRADE). PMID 39998948</w:t>
      </w:r>
    </w:p>
    <w:p>
      <w:pPr>
        <w:numPr>
          <w:ilvl w:val="0"/>
          <w:numId w:val="1377"/>
        </w:numPr>
        <w:pStyle w:val="Compact"/>
      </w:pPr>
      <w:r>
        <w:t xml:space="preserve">2025 · Lahooti A ·</w:t>
      </w:r>
      <w:r>
        <w:t xml:space="preserve"> </w:t>
      </w:r>
      <w:r>
        <w:rPr>
          <w:iCs/>
          <w:i/>
        </w:rPr>
        <w:t xml:space="preserve">Obes Surg</w:t>
      </w:r>
      <w:r>
        <w:t xml:space="preserve"> </w:t>
      </w:r>
      <w:r>
        <w:t xml:space="preserve">· A Randomized, Double-Blind, Two-Way Cross-over Study to Evaluate the Efficacy of Liraglutide Treatment in Patients Undergoing Transoral Outlet Reduction Endoscopy for Weight Regain Post Roux-en-Y Gastric Bypass. PMID 39885064</w:t>
      </w:r>
    </w:p>
    <w:p>
      <w:pPr>
        <w:numPr>
          <w:ilvl w:val="0"/>
          <w:numId w:val="1377"/>
        </w:numPr>
        <w:pStyle w:val="Compact"/>
      </w:pPr>
      <w:r>
        <w:t xml:space="preserve">2025 · Shah VN ·</w:t>
      </w:r>
      <w:r>
        <w:t xml:space="preserve"> </w:t>
      </w:r>
      <w:r>
        <w:rPr>
          <w:iCs/>
          <w:i/>
        </w:rPr>
        <w:t xml:space="preserve">J Diabetes Sci Technol</w:t>
      </w:r>
      <w:r>
        <w:t xml:space="preserve"> </w:t>
      </w:r>
      <w:r>
        <w:t xml:space="preserve">· Determinants of Liraglutide Treatment Discontinuation in Type 1 Diabetes: A Post Hoc Analysis of ADJUNCT ONE and ADJUNCT TWO Randomized Placebo-Controlled Clinical Studies. PMID 39717993</w:t>
      </w:r>
    </w:p>
    <w:p>
      <w:pPr>
        <w:numPr>
          <w:ilvl w:val="0"/>
          <w:numId w:val="1377"/>
        </w:numPr>
        <w:pStyle w:val="Compact"/>
      </w:pPr>
      <w:r>
        <w:t xml:space="preserve">2025 · Holt R ·</w:t>
      </w:r>
      <w:r>
        <w:t xml:space="preserve"> </w:t>
      </w:r>
      <w:r>
        <w:rPr>
          <w:iCs/>
          <w:i/>
        </w:rPr>
        <w:t xml:space="preserve">J Clin Endocrinol Metab</w:t>
      </w:r>
      <w:r>
        <w:t xml:space="preserve"> </w:t>
      </w:r>
      <w:r>
        <w:t xml:space="preserve">· Weight Loss Induces Changes in Vitamin D Status in Women With Obesity But Not in Men: A Randomized Clinical Trial. PMID 39530599</w:t>
      </w:r>
    </w:p>
    <w:p>
      <w:pPr>
        <w:numPr>
          <w:ilvl w:val="0"/>
          <w:numId w:val="1377"/>
        </w:numPr>
        <w:pStyle w:val="Compact"/>
      </w:pPr>
      <w:r>
        <w:t xml:space="preserve">2025 · Lofton HF ·</w:t>
      </w:r>
      <w:r>
        <w:t xml:space="preserve"> </w:t>
      </w:r>
      <w:r>
        <w:rPr>
          <w:iCs/>
          <w:i/>
        </w:rPr>
        <w:t xml:space="preserve">Surg Obes Relat Dis</w:t>
      </w:r>
      <w:r>
        <w:t xml:space="preserve"> </w:t>
      </w:r>
      <w:r>
        <w:t xml:space="preserve">· A randomized, double-blind, placebo-controlled trial of weight loss using liraglutide 3.0 mg for weight recurrence after Roux-en-Y gastric bypass. PMID 39401933</w:t>
      </w:r>
    </w:p>
    <w:p>
      <w:pPr>
        <w:numPr>
          <w:ilvl w:val="0"/>
          <w:numId w:val="1377"/>
        </w:numPr>
        <w:pStyle w:val="Compact"/>
      </w:pPr>
      <w:r>
        <w:t xml:space="preserve">2025 · Beetz N ·</w:t>
      </w:r>
      <w:r>
        <w:t xml:space="preserve"> </w:t>
      </w:r>
      <w:r>
        <w:rPr>
          <w:iCs/>
          <w:i/>
        </w:rPr>
        <w:t xml:space="preserve">Diabetes Obes Metab</w:t>
      </w:r>
      <w:r>
        <w:t xml:space="preserve"> </w:t>
      </w:r>
      <w:r>
        <w:t xml:space="preserve">· A randomized phase I study of BI 1820237, a novel neuropeptide Y receptor type 2 agonist, alone or in combination with low-dose liraglutide in otherwise healthy men with overweight or obesity. PMID 39373311</w:t>
      </w:r>
    </w:p>
    <w:p>
      <w:pPr>
        <w:numPr>
          <w:ilvl w:val="0"/>
          <w:numId w:val="1377"/>
        </w:numPr>
        <w:pStyle w:val="Compact"/>
      </w:pPr>
      <w:r>
        <w:t xml:space="preserve">2025 · Iacobellis G ·</w:t>
      </w:r>
      <w:r>
        <w:t xml:space="preserve"> </w:t>
      </w:r>
      <w:r>
        <w:rPr>
          <w:iCs/>
          <w:i/>
        </w:rPr>
        <w:t xml:space="preserve">Nutr Metab Cardiovasc Dis</w:t>
      </w:r>
      <w:r>
        <w:t xml:space="preserve"> </w:t>
      </w:r>
      <w:r>
        <w:t xml:space="preserve">· Liraglutide effects on epicardial adipose tissue micro-RNAs and intra-operative glucose control. PMID 39277531</w:t>
      </w:r>
    </w:p>
    <w:p>
      <w:pPr>
        <w:numPr>
          <w:ilvl w:val="0"/>
          <w:numId w:val="1377"/>
        </w:numPr>
        <w:pStyle w:val="Compact"/>
      </w:pPr>
      <w:r>
        <w:t xml:space="preserve">2025 · Fox CK ·</w:t>
      </w:r>
      <w:r>
        <w:t xml:space="preserve"> </w:t>
      </w:r>
      <w:r>
        <w:rPr>
          <w:iCs/>
          <w:i/>
        </w:rPr>
        <w:t xml:space="preserve">N Engl J Med</w:t>
      </w:r>
      <w:r>
        <w:t xml:space="preserve"> </w:t>
      </w:r>
      <w:r>
        <w:t xml:space="preserve">· Liraglutide for Children 6 to &lt;12 Years of Age with Obesity - A Randomized Trial. PMID 39258838</w:t>
      </w:r>
    </w:p>
    <w:p>
      <w:pPr>
        <w:numPr>
          <w:ilvl w:val="0"/>
          <w:numId w:val="1377"/>
        </w:numPr>
        <w:pStyle w:val="Compact"/>
      </w:pPr>
      <w:r>
        <w:t xml:space="preserve">2025 · Jin Y ·</w:t>
      </w:r>
      <w:r>
        <w:t xml:space="preserve"> </w:t>
      </w:r>
      <w:r>
        <w:rPr>
          <w:iCs/>
          <w:i/>
        </w:rPr>
        <w:t xml:space="preserve">Altern Ther Health Med</w:t>
      </w:r>
      <w:r>
        <w:t xml:space="preserve"> </w:t>
      </w:r>
      <w:r>
        <w:t xml:space="preserve">· Analysis of the Efficacy of Polyenyl Phosphatidylcholine in Combination with Liraglutide in Nonalcoholic Fatty Liver Disease and the Effect of Omentin-1 and Vaspin Expression. PMID 38814610</w:t>
      </w:r>
    </w:p>
    <w:p>
      <w:pPr>
        <w:numPr>
          <w:ilvl w:val="0"/>
          <w:numId w:val="1377"/>
        </w:numPr>
        <w:pStyle w:val="Compact"/>
      </w:pPr>
      <w:r>
        <w:t xml:space="preserve">2025 · Harrison SA ·</w:t>
      </w:r>
      <w:r>
        <w:t xml:space="preserve"> </w:t>
      </w:r>
      <w:r>
        <w:rPr>
          <w:iCs/>
          <w:i/>
        </w:rPr>
        <w:t xml:space="preserve">Clin Gastroenterol Hepatol</w:t>
      </w:r>
      <w:r>
        <w:t xml:space="preserve"> </w:t>
      </w:r>
      <w:r>
        <w:t xml:space="preserve">· Safety and Efficacy of Efruxifermin in Combination With a GLP-1 Receptor Agonist in Patients With NASH/MASH and Type 2 Diabetes in a Randomized Phase 2 Study. PMID 38447814</w:t>
      </w:r>
    </w:p>
    <w:p>
      <w:pPr>
        <w:numPr>
          <w:ilvl w:val="0"/>
          <w:numId w:val="1377"/>
        </w:numPr>
        <w:pStyle w:val="Compact"/>
      </w:pPr>
      <w:r>
        <w:t xml:space="preserve">2024 · Ellegaard AM ·</w:t>
      </w:r>
      <w:r>
        <w:t xml:space="preserve"> </w:t>
      </w:r>
      <w:r>
        <w:rPr>
          <w:iCs/>
          <w:i/>
        </w:rPr>
        <w:t xml:space="preserve">Clin Transl Gastroenterol</w:t>
      </w:r>
      <w:r>
        <w:t xml:space="preserve"> </w:t>
      </w:r>
      <w:r>
        <w:t xml:space="preserve">· Liraglutide and Colesevelam Change Serum and Fecal Bile Acid Levels in a Randomized Trial With Patients With Bile Acid Diarrhea. PMID 39602188</w:t>
      </w:r>
    </w:p>
    <w:p>
      <w:pPr>
        <w:numPr>
          <w:ilvl w:val="0"/>
          <w:numId w:val="1377"/>
        </w:numPr>
        <w:pStyle w:val="Compact"/>
      </w:pPr>
      <w:r>
        <w:t xml:space="preserve">2024 · Seaquist ER ·</w:t>
      </w:r>
      <w:r>
        <w:t xml:space="preserve"> </w:t>
      </w:r>
      <w:r>
        <w:rPr>
          <w:iCs/>
          <w:i/>
        </w:rPr>
        <w:t xml:space="preserve">PLoS One</w:t>
      </w:r>
      <w:r>
        <w:t xml:space="preserve"> </w:t>
      </w:r>
      <w:r>
        <w:t xml:space="preserve">· Glycemia reduction in type 2 diabetes-Hypoglycemia outcomes: A randomized clinical trial. PMID 39546502</w:t>
      </w:r>
    </w:p>
    <w:p>
      <w:pPr>
        <w:numPr>
          <w:ilvl w:val="0"/>
          <w:numId w:val="1377"/>
        </w:numPr>
        <w:pStyle w:val="Compact"/>
      </w:pPr>
      <w:r>
        <w:t xml:space="preserve">2024 · Punthakee Z ·</w:t>
      </w:r>
      <w:r>
        <w:t xml:space="preserve"> </w:t>
      </w:r>
      <w:r>
        <w:rPr>
          <w:iCs/>
          <w:i/>
        </w:rPr>
        <w:t xml:space="preserve">Diabetes Obes Metab</w:t>
      </w:r>
      <w:r>
        <w:t xml:space="preserve"> </w:t>
      </w:r>
      <w:r>
        <w:t xml:space="preserve">· Evaluating remission of type 2 diabetes using a metabolic intervention including fixed-ratio insulin degludec and liraglutide: A randomized controlled trial. PMID 39239702</w:t>
      </w:r>
    </w:p>
    <w:p>
      <w:pPr>
        <w:numPr>
          <w:ilvl w:val="0"/>
          <w:numId w:val="1377"/>
        </w:numPr>
        <w:pStyle w:val="Compact"/>
      </w:pPr>
      <w:r>
        <w:t xml:space="preserve">2024 · Dejgaard TF ·</w:t>
      </w:r>
      <w:r>
        <w:t xml:space="preserve"> </w:t>
      </w:r>
      <w:r>
        <w:rPr>
          <w:iCs/>
          <w:i/>
        </w:rPr>
        <w:t xml:space="preserve">Diabetes Obes Metab</w:t>
      </w:r>
      <w:r>
        <w:t xml:space="preserve"> </w:t>
      </w:r>
      <w:r>
        <w:t xml:space="preserve">· Liraglutide enhances insulin secretion and prolongs the remission period in adults with newly diagnosed type 1 diabetes (the NewLira study): A randomized, double-blind, placebo-controlled trial. PMID 39192527</w:t>
      </w:r>
    </w:p>
    <w:p>
      <w:pPr>
        <w:numPr>
          <w:ilvl w:val="0"/>
          <w:numId w:val="1377"/>
        </w:numPr>
        <w:pStyle w:val="Compact"/>
      </w:pPr>
      <w:r>
        <w:t xml:space="preserve">2024 · Chowdhary A ·</w:t>
      </w:r>
      <w:r>
        <w:t xml:space="preserve"> </w:t>
      </w:r>
      <w:r>
        <w:rPr>
          <w:iCs/>
          <w:i/>
        </w:rPr>
        <w:t xml:space="preserve">J Am Coll Cardiol</w:t>
      </w:r>
      <w:r>
        <w:t xml:space="preserve"> </w:t>
      </w:r>
      <w:r>
        <w:t xml:space="preserve">· Liraglutide Improves Myocardial Perfusion and Energetics and Exercise Tolerance in Patients With Type 2 Diabetes. PMID 39084829</w:t>
      </w:r>
    </w:p>
    <w:p>
      <w:pPr>
        <w:numPr>
          <w:ilvl w:val="0"/>
          <w:numId w:val="1377"/>
        </w:numPr>
        <w:pStyle w:val="Compact"/>
      </w:pPr>
      <w:r>
        <w:t xml:space="preserve">2024 · Oosterom-Eijmael MJP ·</w:t>
      </w:r>
      <w:r>
        <w:t xml:space="preserve"> </w:t>
      </w:r>
      <w:r>
        <w:rPr>
          <w:iCs/>
          <w:i/>
        </w:rPr>
        <w:t xml:space="preserve">J Cardiothorac Vasc Anesth</w:t>
      </w:r>
      <w:r>
        <w:t xml:space="preserve"> </w:t>
      </w:r>
      <w:r>
        <w:t xml:space="preserve">· Continuous Glucose Monitoring and the Effect of Liraglutide in Cardiac Surgery Patients: A Substudy of the Randomized Controlled GLOBE Trial. PMID 38977382</w:t>
      </w:r>
    </w:p>
    <w:p>
      <w:pPr>
        <w:numPr>
          <w:ilvl w:val="0"/>
          <w:numId w:val="1377"/>
        </w:numPr>
        <w:pStyle w:val="Compact"/>
      </w:pPr>
      <w:r>
        <w:t xml:space="preserve">2024 · Hoekx CA ·</w:t>
      </w:r>
      <w:r>
        <w:t xml:space="preserve"> </w:t>
      </w:r>
      <w:r>
        <w:rPr>
          <w:iCs/>
          <w:i/>
        </w:rPr>
        <w:t xml:space="preserve">Exp Physiol</w:t>
      </w:r>
      <w:r>
        <w:t xml:space="preserve"> </w:t>
      </w:r>
      <w:r>
        <w:t xml:space="preserve">· Growth differentiation factor 15 is not modified after weight loss induced by liraglutide in South Asians and Europids with type 2 diabetes mellitus. PMID 38965822</w:t>
      </w:r>
    </w:p>
    <w:p>
      <w:pPr>
        <w:numPr>
          <w:ilvl w:val="0"/>
          <w:numId w:val="1377"/>
        </w:numPr>
        <w:pStyle w:val="Compact"/>
      </w:pPr>
      <w:r>
        <w:t xml:space="preserve">2024 · Jensen SBK ·</w:t>
      </w:r>
      <w:r>
        <w:t xml:space="preserve"> </w:t>
      </w:r>
      <w:r>
        <w:rPr>
          <w:iCs/>
          <w:i/>
        </w:rPr>
        <w:t xml:space="preserve">JAMA Netw Open</w:t>
      </w:r>
      <w:r>
        <w:t xml:space="preserve"> </w:t>
      </w:r>
      <w:r>
        <w:t xml:space="preserve">· Bone Health After Exercise Alone, GLP-1 Receptor Agonist Treatment, or Combination Treatment: A Secondary Analysis of a Randomized Clinical Trial. PMID 38916894</w:t>
      </w:r>
    </w:p>
    <w:p>
      <w:pPr>
        <w:numPr>
          <w:ilvl w:val="0"/>
          <w:numId w:val="1377"/>
        </w:numPr>
        <w:pStyle w:val="Compact"/>
      </w:pPr>
      <w:r>
        <w:t xml:space="preserve">2024 · Dogan ADA ·</w:t>
      </w:r>
      <w:r>
        <w:t xml:space="preserve"> </w:t>
      </w:r>
      <w:r>
        <w:rPr>
          <w:iCs/>
          <w:i/>
        </w:rPr>
        <w:t xml:space="preserve">BMC Res Notes</w:t>
      </w:r>
      <w:r>
        <w:t xml:space="preserve"> </w:t>
      </w:r>
      <w:r>
        <w:t xml:space="preserve">· FDG-PET/CT-based respiration-gated lung segmentation and quantification of lung inflammation in COPD patients. PMID 38902794</w:t>
      </w:r>
    </w:p>
    <w:p>
      <w:pPr>
        <w:numPr>
          <w:ilvl w:val="0"/>
          <w:numId w:val="1377"/>
        </w:numPr>
        <w:pStyle w:val="Compact"/>
      </w:pPr>
      <w:r>
        <w:t xml:space="preserve">2024 · Konstantinidou SK ·</w:t>
      </w:r>
      <w:r>
        <w:t xml:space="preserve"> </w:t>
      </w:r>
      <w:r>
        <w:rPr>
          <w:iCs/>
          <w:i/>
        </w:rPr>
        <w:t xml:space="preserve">Diabetes Obes Metab</w:t>
      </w:r>
      <w:r>
        <w:t xml:space="preserve"> </w:t>
      </w:r>
      <w:r>
        <w:t xml:space="preserve">· Total and H-specific growth/differentiation factor 15 levels are unaffected by liraglutide or naltrexone/bupropion administration. PMID 38757729</w:t>
      </w:r>
    </w:p>
    <w:p>
      <w:pPr>
        <w:numPr>
          <w:ilvl w:val="0"/>
          <w:numId w:val="1377"/>
        </w:numPr>
        <w:pStyle w:val="Compact"/>
      </w:pPr>
      <w:r>
        <w:t xml:space="preserve">2024 · Herfarth H ·</w:t>
      </w:r>
      <w:r>
        <w:t xml:space="preserve"> </w:t>
      </w:r>
      <w:r>
        <w:rPr>
          <w:iCs/>
          <w:i/>
        </w:rPr>
        <w:t xml:space="preserve">Am J Gastroenterol</w:t>
      </w:r>
      <w:r>
        <w:t xml:space="preserve"> </w:t>
      </w:r>
      <w:r>
        <w:t xml:space="preserve">· Efficacy and Safety of Liraglutide in Patients With an Ileal Pouch-Anal Anastomosis and Chronic High Bowel Frequency: A Placebo-Controlled, Crossover, Proof-of-Concept Study. PMID 38668926</w:t>
      </w:r>
    </w:p>
    <w:p>
      <w:pPr>
        <w:numPr>
          <w:ilvl w:val="0"/>
          <w:numId w:val="1377"/>
        </w:numPr>
        <w:pStyle w:val="Compact"/>
      </w:pPr>
      <w:r>
        <w:t xml:space="preserve">2024 · Pandey A ·</w:t>
      </w:r>
      <w:r>
        <w:t xml:space="preserve"> </w:t>
      </w:r>
      <w:r>
        <w:rPr>
          <w:iCs/>
          <w:i/>
        </w:rPr>
        <w:t xml:space="preserve">J Cachexia Sarcopenia Muscle</w:t>
      </w:r>
      <w:r>
        <w:t xml:space="preserve"> </w:t>
      </w:r>
      <w:r>
        <w:t xml:space="preserve">· Effect of liraglutide on thigh muscle fat and muscle composition in adults with overweight or obesity: Results from a randomized clinical trial. PMID 38561962</w:t>
      </w:r>
    </w:p>
    <w:p>
      <w:pPr>
        <w:numPr>
          <w:ilvl w:val="0"/>
          <w:numId w:val="1377"/>
        </w:numPr>
        <w:pStyle w:val="Compact"/>
      </w:pPr>
      <w:r>
        <w:t xml:space="preserve">2024 · Katogiannis K ·</w:t>
      </w:r>
      <w:r>
        <w:t xml:space="preserve"> </w:t>
      </w:r>
      <w:r>
        <w:rPr>
          <w:iCs/>
          <w:i/>
        </w:rPr>
        <w:t xml:space="preserve">Medicina (Kaunas)</w:t>
      </w:r>
      <w:r>
        <w:t xml:space="preserve"> </w:t>
      </w:r>
      <w:r>
        <w:t xml:space="preserve">· Effects of Liraglutide, Empagliflozin and Their Combination on Left Atrial Strain and Arterial Function. PMID 38541121</w:t>
      </w:r>
    </w:p>
    <w:p>
      <w:pPr>
        <w:numPr>
          <w:ilvl w:val="0"/>
          <w:numId w:val="1377"/>
        </w:numPr>
        <w:pStyle w:val="Compact"/>
      </w:pPr>
      <w:r>
        <w:t xml:space="preserve">2024 · Caruso P ·</w:t>
      </w:r>
      <w:r>
        <w:t xml:space="preserve"> </w:t>
      </w:r>
      <w:r>
        <w:rPr>
          <w:iCs/>
          <w:i/>
        </w:rPr>
        <w:t xml:space="preserve">JAMA Netw Open</w:t>
      </w:r>
      <w:r>
        <w:t xml:space="preserve"> </w:t>
      </w:r>
      <w:r>
        <w:t xml:space="preserve">· Liraglutide for Lower Limb Perfusion in People With Type 2 Diabetes and Peripheral Artery Disease: The STARDUST Randomized Clinical Trial. PMID 38470420</w:t>
      </w:r>
    </w:p>
    <w:p>
      <w:pPr>
        <w:numPr>
          <w:ilvl w:val="0"/>
          <w:numId w:val="1377"/>
        </w:numPr>
        <w:pStyle w:val="Compact"/>
      </w:pPr>
      <w:r>
        <w:t xml:space="preserve">2024 · Dearos Sanchis M ·</w:t>
      </w:r>
      <w:r>
        <w:t xml:space="preserve"> </w:t>
      </w:r>
      <w:r>
        <w:rPr>
          <w:iCs/>
          <w:i/>
        </w:rPr>
        <w:t xml:space="preserve">Nutr Hosp</w:t>
      </w:r>
      <w:r>
        <w:t xml:space="preserve"> </w:t>
      </w:r>
      <w:r>
        <w:t xml:space="preserve">· [Impact on weight loss and body composition of a food education intervention associated with Liraglutide treatment to address obesity]. PMID 38450509</w:t>
      </w:r>
    </w:p>
    <w:p>
      <w:pPr>
        <w:numPr>
          <w:ilvl w:val="0"/>
          <w:numId w:val="1377"/>
        </w:numPr>
        <w:pStyle w:val="Compact"/>
      </w:pPr>
      <w:r>
        <w:t xml:space="preserve">2024 · Green JB ·</w:t>
      </w:r>
      <w:r>
        <w:t xml:space="preserve"> </w:t>
      </w:r>
      <w:r>
        <w:rPr>
          <w:iCs/>
          <w:i/>
        </w:rPr>
        <w:t xml:space="preserve">Circulation</w:t>
      </w:r>
      <w:r>
        <w:t xml:space="preserve"> </w:t>
      </w:r>
      <w:r>
        <w:t xml:space="preserve">· Cardiovascular Outcomes in GRADE (Glycemia Reduction Approaches in Type 2 Diabetes: A Comparative Effectiveness Study). PMID 38344820</w:t>
      </w:r>
    </w:p>
    <w:p>
      <w:pPr>
        <w:numPr>
          <w:ilvl w:val="0"/>
          <w:numId w:val="1377"/>
        </w:numPr>
        <w:pStyle w:val="Compact"/>
      </w:pPr>
      <w:r>
        <w:t xml:space="preserve">2024 · Ma J ·</w:t>
      </w:r>
      <w:r>
        <w:t xml:space="preserve"> </w:t>
      </w:r>
      <w:r>
        <w:rPr>
          <w:iCs/>
          <w:i/>
        </w:rPr>
        <w:t xml:space="preserve">Altern Ther Health Med</w:t>
      </w:r>
      <w:r>
        <w:t xml:space="preserve"> </w:t>
      </w:r>
      <w:r>
        <w:t xml:space="preserve">· Clinical Efficacy and Safety of Liraglutide and Dapagliflozin on Glucose and Lipid Metabolism and Insulin Function in Patients with Type 2 Diabetes Mellitus. PMID 38294744</w:t>
      </w:r>
    </w:p>
    <w:p>
      <w:pPr>
        <w:numPr>
          <w:ilvl w:val="0"/>
          <w:numId w:val="1377"/>
        </w:numPr>
        <w:pStyle w:val="Compact"/>
      </w:pPr>
      <w:r>
        <w:t xml:space="preserve">2024 · Garvey WT ·</w:t>
      </w:r>
      <w:r>
        <w:t xml:space="preserve"> </w:t>
      </w:r>
      <w:r>
        <w:rPr>
          <w:iCs/>
          <w:i/>
        </w:rPr>
        <w:t xml:space="preserve">Diabetes Care</w:t>
      </w:r>
      <w:r>
        <w:t xml:space="preserve"> </w:t>
      </w:r>
      <w:r>
        <w:t xml:space="preserve">· Association of Baseline Factors With Glycemic Outcomes in GRADE: A Comparative Effectiveness Randomized Clinical Trial. PMID 38285957</w:t>
      </w:r>
    </w:p>
    <w:p>
      <w:pPr>
        <w:numPr>
          <w:ilvl w:val="0"/>
          <w:numId w:val="1377"/>
        </w:numPr>
        <w:pStyle w:val="Compact"/>
      </w:pPr>
      <w:r>
        <w:t xml:space="preserve">2024 · Kawaguchi Y ·</w:t>
      </w:r>
      <w:r>
        <w:t xml:space="preserve"> </w:t>
      </w:r>
      <w:r>
        <w:rPr>
          <w:iCs/>
          <w:i/>
        </w:rPr>
        <w:t xml:space="preserve">J Diabetes Investig</w:t>
      </w:r>
      <w:r>
        <w:t xml:space="preserve"> </w:t>
      </w:r>
      <w:r>
        <w:t xml:space="preserve">· Comparison of efficacy and safety of insulin degludec/liraglutide and insulin glargine U-100/lixisenatide in individuals with type 2 diabetes mellitus using professional continuous glucose monitoring. PMID 38258482</w:t>
      </w:r>
    </w:p>
    <w:p>
      <w:pPr>
        <w:numPr>
          <w:ilvl w:val="0"/>
          <w:numId w:val="1377"/>
        </w:numPr>
        <w:pStyle w:val="Compact"/>
      </w:pPr>
      <w:r>
        <w:t xml:space="preserve">2024 · McElroy SL ·</w:t>
      </w:r>
      <w:r>
        <w:t xml:space="preserve"> </w:t>
      </w:r>
      <w:r>
        <w:rPr>
          <w:iCs/>
          <w:i/>
        </w:rPr>
        <w:t xml:space="preserve">J Clin Psychopharmacol</w:t>
      </w:r>
      <w:r>
        <w:t xml:space="preserve"> </w:t>
      </w:r>
      <w:r>
        <w:t xml:space="preserve">· Liraglutide in Obese or Overweight Individuals With Stable Bipolar Disorder. PMID 38227621</w:t>
      </w:r>
    </w:p>
    <w:p>
      <w:pPr>
        <w:numPr>
          <w:ilvl w:val="0"/>
          <w:numId w:val="1377"/>
        </w:numPr>
        <w:pStyle w:val="Compact"/>
      </w:pPr>
      <w:r>
        <w:t xml:space="preserve">2024 · Rasouli N ·</w:t>
      </w:r>
      <w:r>
        <w:t xml:space="preserve"> </w:t>
      </w:r>
      <w:r>
        <w:rPr>
          <w:iCs/>
          <w:i/>
        </w:rPr>
        <w:t xml:space="preserve">Diabetes Care</w:t>
      </w:r>
      <w:r>
        <w:t xml:space="preserve"> </w:t>
      </w:r>
      <w:r>
        <w:t xml:space="preserve">· Longitudinal Effects of Glucose-Lowering Medications on β-Cell Responses and Insulin Sensitivity in Type 2 Diabetes: The GRADE Randomized Clinical Trial. PMID 38211595</w:t>
      </w:r>
    </w:p>
    <w:p>
      <w:pPr>
        <w:numPr>
          <w:ilvl w:val="0"/>
          <w:numId w:val="1377"/>
        </w:numPr>
        <w:pStyle w:val="Compact"/>
      </w:pPr>
      <w:r>
        <w:t xml:space="preserve">2024 · Kirkman MS ·</w:t>
      </w:r>
      <w:r>
        <w:t xml:space="preserve"> </w:t>
      </w:r>
      <w:r>
        <w:rPr>
          <w:iCs/>
          <w:i/>
        </w:rPr>
        <w:t xml:space="preserve">Diabetes Care</w:t>
      </w:r>
      <w:r>
        <w:t xml:space="preserve"> </w:t>
      </w:r>
      <w:r>
        <w:t xml:space="preserve">· Comparative Effects of Randomized Second-line Therapy for Type 2 Diabetes on a Composite Outcome Incorporating Glycemic Control, Body Weight, and Hypoglycemia: An Analysis of the Glycemia Reduction Approaches in Diabetes: A Comparative Effectiveness Study (GRADE). PMID 38194519</w:t>
      </w:r>
    </w:p>
    <w:p>
      <w:pPr>
        <w:numPr>
          <w:ilvl w:val="0"/>
          <w:numId w:val="1377"/>
        </w:numPr>
        <w:pStyle w:val="Compact"/>
      </w:pPr>
      <w:r>
        <w:t xml:space="preserve">2024 · Cherrington AL ·</w:t>
      </w:r>
      <w:r>
        <w:t xml:space="preserve"> </w:t>
      </w:r>
      <w:r>
        <w:rPr>
          <w:iCs/>
          <w:i/>
        </w:rPr>
        <w:t xml:space="preserve">Diabetes Care</w:t>
      </w:r>
      <w:r>
        <w:t xml:space="preserve"> </w:t>
      </w:r>
      <w:r>
        <w:t xml:space="preserve">· Impact of Glucose-Lowering Medications on Health-Related Quality of Life in the Glycemia Reduction Approaches in Diabetes: A Comparative Effectiveness Study (GRADE). PMID 38190625</w:t>
      </w:r>
    </w:p>
    <w:p>
      <w:pPr>
        <w:numPr>
          <w:ilvl w:val="0"/>
          <w:numId w:val="1377"/>
        </w:numPr>
        <w:pStyle w:val="Compact"/>
      </w:pPr>
      <w:r>
        <w:t xml:space="preserve">2024 · Utzschneider KM ·</w:t>
      </w:r>
      <w:r>
        <w:t xml:space="preserve"> </w:t>
      </w:r>
      <w:r>
        <w:rPr>
          <w:iCs/>
          <w:i/>
        </w:rPr>
        <w:t xml:space="preserve">Diabetes Care</w:t>
      </w:r>
      <w:r>
        <w:t xml:space="preserve"> </w:t>
      </w:r>
      <w:r>
        <w:t xml:space="preserve">· Impact of Insulin Sensitivity and β-Cell Function Over Time on Glycemic Outcomes in the Glycemia Reduction Approaches in Diabetes: A Comparative Effectiveness Study (GRADE): Differential Treatment Effects of Dual Therapy. PMID 38190619</w:t>
      </w:r>
    </w:p>
    <w:p>
      <w:pPr>
        <w:numPr>
          <w:ilvl w:val="0"/>
          <w:numId w:val="1377"/>
        </w:numPr>
        <w:pStyle w:val="Compact"/>
      </w:pPr>
      <w:r>
        <w:t xml:space="preserve">2024 · Eghbali M ·</w:t>
      </w:r>
      <w:r>
        <w:t xml:space="preserve"> </w:t>
      </w:r>
      <w:r>
        <w:rPr>
          <w:iCs/>
          <w:i/>
        </w:rPr>
        <w:t xml:space="preserve">Adv Ther</w:t>
      </w:r>
      <w:r>
        <w:t xml:space="preserve"> </w:t>
      </w:r>
      <w:r>
        <w:t xml:space="preserve">· Glucagon-Like Peptide 1 (GLP-1) Receptor Variants and Glycemic Response to Liraglutide: A Pharmacogenetics Study in Iranian People with Type 2 Diabetes Mellitus. PMID 38172377</w:t>
      </w:r>
    </w:p>
    <w:p>
      <w:pPr>
        <w:numPr>
          <w:ilvl w:val="0"/>
          <w:numId w:val="1377"/>
        </w:numPr>
        <w:pStyle w:val="Compact"/>
      </w:pPr>
      <w:r>
        <w:t xml:space="preserve">2024 · Hany M ·</w:t>
      </w:r>
      <w:r>
        <w:t xml:space="preserve"> </w:t>
      </w:r>
      <w:r>
        <w:rPr>
          <w:iCs/>
          <w:i/>
        </w:rPr>
        <w:t xml:space="preserve">Int J Surg</w:t>
      </w:r>
      <w:r>
        <w:t xml:space="preserve"> </w:t>
      </w:r>
      <w:r>
        <w:t xml:space="preserve">· Boosting weight loss after conversional Roux-en-Y Gastric Bypass with liraglutide and placebo use. A double-blind-randomized controlled trial. PMID 38100630</w:t>
      </w:r>
    </w:p>
    <w:p>
      <w:pPr>
        <w:numPr>
          <w:ilvl w:val="0"/>
          <w:numId w:val="1377"/>
        </w:numPr>
        <w:pStyle w:val="Compact"/>
      </w:pPr>
      <w:r>
        <w:t xml:space="preserve">2024 · O’Donnell C ·</w:t>
      </w:r>
      <w:r>
        <w:t xml:space="preserve"> </w:t>
      </w:r>
      <w:r>
        <w:rPr>
          <w:iCs/>
          <w:i/>
        </w:rPr>
        <w:t xml:space="preserve">Ann Am Thorac Soc</w:t>
      </w:r>
      <w:r>
        <w:t xml:space="preserve"> </w:t>
      </w:r>
      <w:r>
        <w:t xml:space="preserve">· Continuous Positive Airway Pressure but Not GLP1-mediated Weight Loss Improves Early Cardiovascular Disease in Obstructive Sleep Apnea: A Randomized Proof-of-Concept Study. PMID 38096106</w:t>
      </w:r>
    </w:p>
    <w:p>
      <w:pPr>
        <w:numPr>
          <w:ilvl w:val="0"/>
          <w:numId w:val="1377"/>
        </w:numPr>
        <w:pStyle w:val="Compact"/>
      </w:pPr>
      <w:r>
        <w:t xml:space="preserve">2024 · Krishnan K ·</w:t>
      </w:r>
      <w:r>
        <w:t xml:space="preserve"> </w:t>
      </w:r>
      <w:r>
        <w:rPr>
          <w:iCs/>
          <w:i/>
        </w:rPr>
        <w:t xml:space="preserve">Diabetes Res Clin Pract</w:t>
      </w:r>
      <w:r>
        <w:t xml:space="preserve"> </w:t>
      </w:r>
      <w:r>
        <w:t xml:space="preserve">· Phase 3 efficacy and safety trial of proposed liraglutide biosimilar for reduction of glycosylated hemoglobin (HbA1c) in patients with Type 2 diabetes mellitus. PMID 38061446</w:t>
      </w:r>
    </w:p>
    <w:p>
      <w:pPr>
        <w:numPr>
          <w:ilvl w:val="0"/>
          <w:numId w:val="1377"/>
        </w:numPr>
        <w:pStyle w:val="Compact"/>
      </w:pPr>
      <w:r>
        <w:t xml:space="preserve">2024 · Dietsche KB ·</w:t>
      </w:r>
      <w:r>
        <w:t xml:space="preserve"> </w:t>
      </w:r>
      <w:r>
        <w:rPr>
          <w:iCs/>
          <w:i/>
        </w:rPr>
        <w:t xml:space="preserve">J Clin Endocrinol Metab</w:t>
      </w:r>
      <w:r>
        <w:t xml:space="preserve"> </w:t>
      </w:r>
      <w:r>
        <w:t xml:space="preserve">· Glycemia and Gluconeogenesis With Metformin and Liraglutide: A Randomized Trial in Youth-onset Type 2 Diabetes. PMID 37967247</w:t>
      </w:r>
    </w:p>
    <w:p>
      <w:pPr>
        <w:numPr>
          <w:ilvl w:val="0"/>
          <w:numId w:val="1377"/>
        </w:numPr>
        <w:pStyle w:val="Compact"/>
      </w:pPr>
      <w:r>
        <w:t xml:space="preserve">2024 · Custódio G ·</w:t>
      </w:r>
      <w:r>
        <w:t xml:space="preserve"> </w:t>
      </w:r>
      <w:r>
        <w:rPr>
          <w:iCs/>
          <w:i/>
        </w:rPr>
        <w:t xml:space="preserve">Liver Transpl</w:t>
      </w:r>
      <w:r>
        <w:t xml:space="preserve"> </w:t>
      </w:r>
      <w:r>
        <w:t xml:space="preserve">· Does liraglutide alleviate inflammation in brain-dead donors? A randomized clinical trial. PMID 37938130</w:t>
      </w:r>
    </w:p>
    <w:p>
      <w:pPr>
        <w:numPr>
          <w:ilvl w:val="0"/>
          <w:numId w:val="1377"/>
        </w:numPr>
        <w:pStyle w:val="Compact"/>
      </w:pPr>
      <w:r>
        <w:t xml:space="preserve">2024 · Mashayekhi M ·</w:t>
      </w:r>
      <w:r>
        <w:t xml:space="preserve"> </w:t>
      </w:r>
      <w:r>
        <w:rPr>
          <w:iCs/>
          <w:i/>
        </w:rPr>
        <w:t xml:space="preserve">Diabetes</w:t>
      </w:r>
      <w:r>
        <w:t xml:space="preserve"> </w:t>
      </w:r>
      <w:r>
        <w:t xml:space="preserve">· Weight Loss-Independent Effect of Liraglutide on Insulin Sensitivity in Individuals With Obesity and Prediabetes. PMID 37874653</w:t>
      </w:r>
    </w:p>
    <w:p>
      <w:pPr>
        <w:numPr>
          <w:ilvl w:val="0"/>
          <w:numId w:val="1377"/>
        </w:numPr>
        <w:pStyle w:val="Compact"/>
      </w:pPr>
      <w:r>
        <w:t xml:space="preserve">2024 · Foghsgaard S ·</w:t>
      </w:r>
      <w:r>
        <w:t xml:space="preserve"> </w:t>
      </w:r>
      <w:r>
        <w:rPr>
          <w:iCs/>
          <w:i/>
        </w:rPr>
        <w:t xml:space="preserve">Diabetes Obes Metab</w:t>
      </w:r>
      <w:r>
        <w:t xml:space="preserve"> </w:t>
      </w:r>
      <w:r>
        <w:t xml:space="preserve">· Liraglutide treatment for the prevention of glucose tolerance deterioration in women with prior gestational diabetes mellitus: A 52-week randomized controlled clinical trial. PMID 37846555</w:t>
      </w:r>
    </w:p>
    <w:p>
      <w:pPr>
        <w:numPr>
          <w:ilvl w:val="0"/>
          <w:numId w:val="1377"/>
        </w:numPr>
        <w:pStyle w:val="Compact"/>
      </w:pPr>
      <w:r>
        <w:t xml:space="preserve">2024 · Hollander PA ·</w:t>
      </w:r>
      <w:r>
        <w:t xml:space="preserve"> </w:t>
      </w:r>
      <w:r>
        <w:rPr>
          <w:iCs/>
          <w:i/>
        </w:rPr>
        <w:t xml:space="preserve">Diabetes Care</w:t>
      </w:r>
      <w:r>
        <w:t xml:space="preserve"> </w:t>
      </w:r>
      <w:r>
        <w:t xml:space="preserve">· The Use of Rescue Insulin in the Glycemia Reduction Approaches in Diabetes: A Comparative Effectiveness Study (GRADE). PMID 37756542</w:t>
      </w:r>
    </w:p>
    <w:p>
      <w:pPr>
        <w:numPr>
          <w:ilvl w:val="0"/>
          <w:numId w:val="1377"/>
        </w:numPr>
        <w:pStyle w:val="Compact"/>
      </w:pPr>
      <w:r>
        <w:t xml:space="preserve">2024 · Liao M ·</w:t>
      </w:r>
      <w:r>
        <w:t xml:space="preserve"> </w:t>
      </w:r>
      <w:r>
        <w:rPr>
          <w:iCs/>
          <w:i/>
        </w:rPr>
        <w:t xml:space="preserve">Endocrine</w:t>
      </w:r>
      <w:r>
        <w:t xml:space="preserve"> </w:t>
      </w:r>
      <w:r>
        <w:t xml:space="preserve">· Effects and plasma proteomic analysis of GLP-1RA versus CPA/EE, in combination with metformin, on overweight PCOS women: a randomized controlled trial. PMID 37653215</w:t>
      </w:r>
    </w:p>
    <w:p>
      <w:pPr>
        <w:numPr>
          <w:ilvl w:val="0"/>
          <w:numId w:val="1377"/>
        </w:numPr>
        <w:pStyle w:val="Compact"/>
      </w:pPr>
      <w:r>
        <w:t xml:space="preserve">2024 · Rahbek MT ·</w:t>
      </w:r>
      <w:r>
        <w:t xml:space="preserve"> </w:t>
      </w:r>
      <w:r>
        <w:rPr>
          <w:iCs/>
          <w:i/>
        </w:rPr>
        <w:t xml:space="preserve">Pharmacoepidemiol Drug Saf</w:t>
      </w:r>
      <w:r>
        <w:t xml:space="preserve"> </w:t>
      </w:r>
      <w:r>
        <w:t xml:space="preserve">· A case for screening real-world data for collateral drug benefits: Glucagon-like peptide 1 receptor agonists and bile acid diarrhea. PMID 37559355</w:t>
      </w:r>
    </w:p>
    <w:p>
      <w:pPr>
        <w:numPr>
          <w:ilvl w:val="0"/>
          <w:numId w:val="1377"/>
        </w:numPr>
        <w:pStyle w:val="Compact"/>
      </w:pPr>
      <w:r>
        <w:t xml:space="preserve">2024 · Philis-Tsimikas A ·</w:t>
      </w:r>
      <w:r>
        <w:t xml:space="preserve"> </w:t>
      </w:r>
      <w:r>
        <w:rPr>
          <w:iCs/>
          <w:i/>
        </w:rPr>
        <w:t xml:space="preserve">J Diabetes Sci Technol</w:t>
      </w:r>
      <w:r>
        <w:t xml:space="preserve"> </w:t>
      </w:r>
      <w:r>
        <w:t xml:space="preserve">· Higher Derived Time in Range With IDegLira Versus Insulin Glargine U100 in People With Type 2 Diabetes. PMID 36710452</w:t>
      </w:r>
    </w:p>
    <w:p>
      <w:pPr>
        <w:numPr>
          <w:ilvl w:val="0"/>
          <w:numId w:val="1377"/>
        </w:numPr>
        <w:pStyle w:val="Compact"/>
      </w:pPr>
      <w:r>
        <w:t xml:space="preserve">2023 · Parker VER ·</w:t>
      </w:r>
      <w:r>
        <w:t xml:space="preserve"> </w:t>
      </w:r>
      <w:r>
        <w:rPr>
          <w:iCs/>
          <w:i/>
        </w:rPr>
        <w:t xml:space="preserve">Nat Metab</w:t>
      </w:r>
      <w:r>
        <w:t xml:space="preserve"> </w:t>
      </w:r>
      <w:r>
        <w:t xml:space="preserve">· Cotadutide promotes glycogenolysis in people with overweight or obesity diagnosed with type 2 diabetes. PMID 38066113</w:t>
      </w:r>
    </w:p>
    <w:p>
      <w:pPr>
        <w:numPr>
          <w:ilvl w:val="0"/>
          <w:numId w:val="1377"/>
        </w:numPr>
        <w:pStyle w:val="Compact"/>
      </w:pPr>
      <w:r>
        <w:t xml:space="preserve">2023 · Coelho C ·</w:t>
      </w:r>
      <w:r>
        <w:t xml:space="preserve"> </w:t>
      </w:r>
      <w:r>
        <w:rPr>
          <w:iCs/>
          <w:i/>
        </w:rPr>
        <w:t xml:space="preserve">Int J Obes (Lond)</w:t>
      </w:r>
      <w:r>
        <w:t xml:space="preserve"> </w:t>
      </w:r>
      <w:r>
        <w:t xml:space="preserve">· Laparoscopic adjustable gastric banding with liraglutide in adults with obesity and type 2 diabetes (GLIDE): a pilot randomised placebo controlled trial. PMID 37696925</w:t>
      </w:r>
    </w:p>
    <w:p>
      <w:pPr>
        <w:numPr>
          <w:ilvl w:val="0"/>
          <w:numId w:val="1377"/>
        </w:numPr>
        <w:pStyle w:val="Compact"/>
      </w:pPr>
      <w:r>
        <w:t xml:space="preserve">2023 · Coppin G ·</w:t>
      </w:r>
      <w:r>
        <w:t xml:space="preserve"> </w:t>
      </w:r>
      <w:r>
        <w:rPr>
          <w:iCs/>
          <w:i/>
        </w:rPr>
        <w:t xml:space="preserve">Int J Obes (Lond)</w:t>
      </w:r>
      <w:r>
        <w:t xml:space="preserve"> </w:t>
      </w:r>
      <w:r>
        <w:t xml:space="preserve">· A randomized controlled trial investigating the effect of liraglutide on self-reported liking and neural responses to food stimuli in participants with obesity. PMID 37626125</w:t>
      </w:r>
    </w:p>
    <w:p>
      <w:pPr>
        <w:numPr>
          <w:ilvl w:val="0"/>
          <w:numId w:val="1377"/>
        </w:numPr>
        <w:pStyle w:val="Compact"/>
      </w:pPr>
      <w:r>
        <w:t xml:space="preserve">2023 · Hanssen R ·</w:t>
      </w:r>
      <w:r>
        <w:t xml:space="preserve"> </w:t>
      </w:r>
      <w:r>
        <w:rPr>
          <w:iCs/>
          <w:i/>
        </w:rPr>
        <w:t xml:space="preserve">Nat Metab</w:t>
      </w:r>
      <w:r>
        <w:t xml:space="preserve"> </w:t>
      </w:r>
      <w:r>
        <w:t xml:space="preserve">· Liraglutide restores impaired associative learning in individuals with obesity. PMID 37592007</w:t>
      </w:r>
    </w:p>
    <w:p>
      <w:pPr>
        <w:numPr>
          <w:ilvl w:val="0"/>
          <w:numId w:val="1377"/>
        </w:numPr>
        <w:pStyle w:val="Compact"/>
      </w:pPr>
      <w:r>
        <w:t xml:space="preserve">2023 · Freitas FPC ·</w:t>
      </w:r>
      <w:r>
        <w:t xml:space="preserve"> </w:t>
      </w:r>
      <w:r>
        <w:rPr>
          <w:iCs/>
          <w:i/>
        </w:rPr>
        <w:t xml:space="preserve">Sci Rep</w:t>
      </w:r>
      <w:r>
        <w:t xml:space="preserve"> </w:t>
      </w:r>
      <w:r>
        <w:t xml:space="preserve">· Effect of liraglutide on cardiometabolic profile and on bioelectrical impedance analysis in patients with obesity and metabolic syndrome. PMID 37567946</w:t>
      </w:r>
    </w:p>
    <w:p>
      <w:pPr>
        <w:numPr>
          <w:ilvl w:val="0"/>
          <w:numId w:val="1377"/>
        </w:numPr>
        <w:pStyle w:val="Compact"/>
      </w:pPr>
      <w:r>
        <w:t xml:space="preserve">2023 · Mok J ·</w:t>
      </w:r>
      <w:r>
        <w:t xml:space="preserve"> </w:t>
      </w:r>
      <w:r>
        <w:rPr>
          <w:iCs/>
          <w:i/>
        </w:rPr>
        <w:t xml:space="preserve">JAMA Surg</w:t>
      </w:r>
      <w:r>
        <w:t xml:space="preserve"> </w:t>
      </w:r>
      <w:r>
        <w:t xml:space="preserve">· Safety and Efficacy of Liraglutide, 3.0 mg, Once Daily vs Placebo in Patients With Poor Weight Loss Following Metabolic Surgery: The BARI-OPTIMISE Randomized Clinical Trial. PMID 37494014</w:t>
      </w:r>
    </w:p>
    <w:p>
      <w:pPr>
        <w:numPr>
          <w:ilvl w:val="0"/>
          <w:numId w:val="1377"/>
        </w:numPr>
        <w:pStyle w:val="Compact"/>
      </w:pPr>
      <w:r>
        <w:t xml:space="preserve">2023 · Galindo RJ ·</w:t>
      </w:r>
      <w:r>
        <w:t xml:space="preserve"> </w:t>
      </w:r>
      <w:r>
        <w:rPr>
          <w:iCs/>
          <w:i/>
        </w:rPr>
        <w:t xml:space="preserve">Diabetes Care</w:t>
      </w:r>
      <w:r>
        <w:t xml:space="preserve"> </w:t>
      </w:r>
      <w:r>
        <w:t xml:space="preserve">· A Randomized Controlled Trial Comparing the Efficacy and Safety of IDegLira Versus Basal-Bolus in Patients With Poorly Controlled Type 2 Diabetes and Very High HbA1c ≥9-15%: DUAL HIGH Trial. PMID 37459574</w:t>
      </w:r>
    </w:p>
    <w:p>
      <w:pPr>
        <w:numPr>
          <w:ilvl w:val="0"/>
          <w:numId w:val="1377"/>
        </w:numPr>
        <w:pStyle w:val="Compact"/>
      </w:pPr>
      <w:r>
        <w:t xml:space="preserve">2023 · Scherbak NN ·</w:t>
      </w:r>
      <w:r>
        <w:t xml:space="preserve"> </w:t>
      </w:r>
      <w:r>
        <w:rPr>
          <w:iCs/>
          <w:i/>
        </w:rPr>
        <w:t xml:space="preserve">Diabetes Metab J</w:t>
      </w:r>
      <w:r>
        <w:t xml:space="preserve"> </w:t>
      </w:r>
      <w:r>
        <w:t xml:space="preserve">· Glimepiride Compared to Liraglutide Increases Plasma Levels of miR-206, miR-182-5p, and miR-766-3p in Type 2 Diabetes Mellitus: A Randomized Controlled Trial. PMID 37349083</w:t>
      </w:r>
    </w:p>
    <w:p>
      <w:pPr>
        <w:numPr>
          <w:ilvl w:val="0"/>
          <w:numId w:val="1377"/>
        </w:numPr>
        <w:pStyle w:val="Compact"/>
      </w:pPr>
      <w:r>
        <w:t xml:space="preserve">2023 · Bensignor MO ·</w:t>
      </w:r>
      <w:r>
        <w:t xml:space="preserve"> </w:t>
      </w:r>
      <w:r>
        <w:rPr>
          <w:iCs/>
          <w:i/>
        </w:rPr>
        <w:t xml:space="preserve">Pediatr Obes</w:t>
      </w:r>
      <w:r>
        <w:t xml:space="preserve"> </w:t>
      </w:r>
      <w:r>
        <w:t xml:space="preserve">· Evaluating potential predictors of weight loss response to liraglutide in adolescents with obesity: A post hoc analysis of the randomized, placebo-controlled SCALE Teens trial. PMID 37264767</w:t>
      </w:r>
    </w:p>
    <w:p>
      <w:pPr>
        <w:numPr>
          <w:ilvl w:val="0"/>
          <w:numId w:val="1377"/>
        </w:numPr>
        <w:pStyle w:val="Compact"/>
      </w:pPr>
      <w:r>
        <w:t xml:space="preserve">2023 · Wexler DJ ·</w:t>
      </w:r>
      <w:r>
        <w:t xml:space="preserve"> </w:t>
      </w:r>
      <w:r>
        <w:rPr>
          <w:iCs/>
          <w:i/>
        </w:rPr>
        <w:t xml:space="preserve">JAMA Intern Med</w:t>
      </w:r>
      <w:r>
        <w:t xml:space="preserve"> </w:t>
      </w:r>
      <w:r>
        <w:t xml:space="preserve">· Comparative Effects of Glucose-Lowering Medications on Kidney Outcomes in Type 2 Diabetes: The GRADE Randomized Clinical Trial. PMID 37213109</w:t>
      </w:r>
    </w:p>
    <w:p>
      <w:pPr>
        <w:numPr>
          <w:ilvl w:val="0"/>
          <w:numId w:val="1377"/>
        </w:numPr>
        <w:pStyle w:val="Compact"/>
      </w:pPr>
      <w:r>
        <w:t xml:space="preserve">2023 · Silver HJ ·</w:t>
      </w:r>
      <w:r>
        <w:t xml:space="preserve"> </w:t>
      </w:r>
      <w:r>
        <w:rPr>
          <w:iCs/>
          <w:i/>
        </w:rPr>
        <w:t xml:space="preserve">Diabetes Obes Metab</w:t>
      </w:r>
      <w:r>
        <w:t xml:space="preserve"> </w:t>
      </w:r>
      <w:r>
        <w:t xml:space="preserve">· Effect of the glucagon-like peptide-1 receptor agonist liraglutide, compared to caloric restriction, on appetite, dietary intake, body fat distribution and cardiometabolic biomarkers: A randomized trial in adults with obesity and prediabetes. PMID 37188932</w:t>
      </w:r>
    </w:p>
    <w:p>
      <w:pPr>
        <w:numPr>
          <w:ilvl w:val="0"/>
          <w:numId w:val="1377"/>
        </w:numPr>
        <w:pStyle w:val="Compact"/>
      </w:pPr>
      <w:r>
        <w:t xml:space="preserve">2023 · Meng XM ·</w:t>
      </w:r>
      <w:r>
        <w:t xml:space="preserve"> </w:t>
      </w:r>
      <w:r>
        <w:rPr>
          <w:iCs/>
          <w:i/>
        </w:rPr>
        <w:t xml:space="preserve">Zhonghua Yi Xue Za Zhi</w:t>
      </w:r>
      <w:r>
        <w:t xml:space="preserve"> </w:t>
      </w:r>
      <w:r>
        <w:t xml:space="preserve">· [Effect of Liraglutide on platelet distribution width and carotid intima-media thickness in type 2 diabetic mellitus patients with obesity]. PMID 37150681</w:t>
      </w:r>
    </w:p>
    <w:p>
      <w:pPr>
        <w:numPr>
          <w:ilvl w:val="0"/>
          <w:numId w:val="1377"/>
        </w:numPr>
        <w:pStyle w:val="Compact"/>
      </w:pPr>
      <w:r>
        <w:t xml:space="preserve">2023 · Jensen SBK ·</w:t>
      </w:r>
      <w:r>
        <w:t xml:space="preserve"> </w:t>
      </w:r>
      <w:r>
        <w:rPr>
          <w:iCs/>
          <w:i/>
        </w:rPr>
        <w:t xml:space="preserve">Obesity (Silver Spring)</w:t>
      </w:r>
      <w:r>
        <w:t xml:space="preserve"> </w:t>
      </w:r>
      <w:r>
        <w:t xml:space="preserve">· Weight loss maintenance with exercise and liraglutide improves glucose tolerance, glucagon response, and beta cell function. PMID 36942420</w:t>
      </w:r>
    </w:p>
    <w:p>
      <w:pPr>
        <w:numPr>
          <w:ilvl w:val="0"/>
          <w:numId w:val="1377"/>
        </w:numPr>
        <w:pStyle w:val="Compact"/>
      </w:pPr>
      <w:r>
        <w:t xml:space="preserve">2023 · Xu Z ·</w:t>
      </w:r>
      <w:r>
        <w:t xml:space="preserve"> </w:t>
      </w:r>
      <w:r>
        <w:rPr>
          <w:iCs/>
          <w:i/>
        </w:rPr>
        <w:t xml:space="preserve">Expert Rev Clin Pharmacol</w:t>
      </w:r>
      <w:r>
        <w:t xml:space="preserve"> </w:t>
      </w:r>
      <w:r>
        <w:t xml:space="preserve">· Comparing the bioequivalence and safety of liraglutide in healthy Chinese subjects: an open, single-dose, randomized, repeated, two-sequence, two-cycle phase I clinical trial. PMID 36883362</w:t>
      </w:r>
    </w:p>
    <w:p>
      <w:pPr>
        <w:numPr>
          <w:ilvl w:val="0"/>
          <w:numId w:val="1377"/>
        </w:numPr>
        <w:pStyle w:val="Compact"/>
      </w:pPr>
      <w:r>
        <w:t xml:space="preserve">2023 · Iijima T ·</w:t>
      </w:r>
      <w:r>
        <w:t xml:space="preserve"> </w:t>
      </w:r>
      <w:r>
        <w:rPr>
          <w:iCs/>
          <w:i/>
        </w:rPr>
        <w:t xml:space="preserve">J Diabetes Investig</w:t>
      </w:r>
      <w:r>
        <w:t xml:space="preserve"> </w:t>
      </w:r>
      <w:r>
        <w:t xml:space="preserve">· Effects of switching from liraglutide to semaglutide or dulaglutide in patients with type 2 diabetes: A randomized controlled trial. PMID 36871272</w:t>
      </w:r>
    </w:p>
    <w:p>
      <w:pPr>
        <w:numPr>
          <w:ilvl w:val="0"/>
          <w:numId w:val="1377"/>
        </w:numPr>
        <w:pStyle w:val="Compact"/>
      </w:pPr>
      <w:r>
        <w:t xml:space="preserve">2023 · Bechlioulis A ·</w:t>
      </w:r>
      <w:r>
        <w:t xml:space="preserve"> </w:t>
      </w:r>
      <w:r>
        <w:rPr>
          <w:iCs/>
          <w:i/>
        </w:rPr>
        <w:t xml:space="preserve">J Diabetes Complications</w:t>
      </w:r>
      <w:r>
        <w:t xml:space="preserve"> </w:t>
      </w:r>
      <w:r>
        <w:t xml:space="preserve">· The effect of SGLT2 inhibitors, GLP1 agonists, and their sequential combination on cardiometabolic parameters: A randomized, prospective, intervention study. PMID 36842186</w:t>
      </w:r>
    </w:p>
    <w:p>
      <w:pPr>
        <w:numPr>
          <w:ilvl w:val="0"/>
          <w:numId w:val="1377"/>
        </w:numPr>
        <w:pStyle w:val="Compact"/>
      </w:pPr>
      <w:r>
        <w:t xml:space="preserve">2023 · Sandsdal RM ·</w:t>
      </w:r>
      <w:r>
        <w:t xml:space="preserve"> </w:t>
      </w:r>
      <w:r>
        <w:rPr>
          <w:iCs/>
          <w:i/>
        </w:rPr>
        <w:t xml:space="preserve">Cardiovasc Diabetol</w:t>
      </w:r>
      <w:r>
        <w:t xml:space="preserve"> </w:t>
      </w:r>
      <w:r>
        <w:t xml:space="preserve">· Combination of exercise and GLP-1 receptor agonist treatment reduces severity of metabolic syndrome, abdominal obesity, and inflammation: a randomized controlled trial. PMID 36841762</w:t>
      </w:r>
    </w:p>
    <w:p>
      <w:pPr>
        <w:numPr>
          <w:ilvl w:val="0"/>
          <w:numId w:val="1377"/>
        </w:numPr>
        <w:pStyle w:val="Compact"/>
      </w:pPr>
      <w:r>
        <w:t xml:space="preserve">2023 · Nerild HH ·</w:t>
      </w:r>
      <w:r>
        <w:t xml:space="preserve"> </w:t>
      </w:r>
      <w:r>
        <w:rPr>
          <w:iCs/>
          <w:i/>
        </w:rPr>
        <w:t xml:space="preserve">Diabetes Obes Metab</w:t>
      </w:r>
      <w:r>
        <w:t xml:space="preserve"> </w:t>
      </w:r>
      <w:r>
        <w:t xml:space="preserve">· Liraglutide changes postprandial responses of gut hormones involved in the regulation of gallbladder motility. PMID 36781820</w:t>
      </w:r>
    </w:p>
    <w:p>
      <w:pPr>
        <w:numPr>
          <w:ilvl w:val="0"/>
          <w:numId w:val="1377"/>
        </w:numPr>
        <w:pStyle w:val="Compact"/>
      </w:pPr>
      <w:r>
        <w:t xml:space="preserve">2023 · Su Y ·</w:t>
      </w:r>
      <w:r>
        <w:t xml:space="preserve"> </w:t>
      </w:r>
      <w:r>
        <w:rPr>
          <w:iCs/>
          <w:i/>
        </w:rPr>
        <w:t xml:space="preserve">Front Endocrinol (Lausanne)</w:t>
      </w:r>
      <w:r>
        <w:t xml:space="preserve"> </w:t>
      </w:r>
      <w:r>
        <w:t xml:space="preserve">· Pharmacoeconomic analysis (CER) of Dulaglutide and Liraglutide in the treatment of patients with type 2 diabetes. PMID 36755915</w:t>
      </w:r>
    </w:p>
    <w:p>
      <w:pPr>
        <w:numPr>
          <w:ilvl w:val="0"/>
          <w:numId w:val="1377"/>
        </w:numPr>
        <w:pStyle w:val="Compact"/>
      </w:pPr>
      <w:r>
        <w:t xml:space="preserve">2023 · Takahashi Y ·</w:t>
      </w:r>
      <w:r>
        <w:t xml:space="preserve"> </w:t>
      </w:r>
      <w:r>
        <w:rPr>
          <w:iCs/>
          <w:i/>
        </w:rPr>
        <w:t xml:space="preserve">Diabetes Obes Metab</w:t>
      </w:r>
      <w:r>
        <w:t xml:space="preserve"> </w:t>
      </w:r>
      <w:r>
        <w:t xml:space="preserve">· Improvement of glycaemic control and treatment satisfaction by switching from liraglutide or dulaglutide to subcutaneous semaglutide in patients with type 2 diabetes: A multicentre, prospective, randomized, open-label, parallel-group comparison study (SWITCH-SEMA 1 study). PMID 36722623</w:t>
      </w:r>
    </w:p>
    <w:p>
      <w:pPr>
        <w:numPr>
          <w:ilvl w:val="0"/>
          <w:numId w:val="1377"/>
        </w:numPr>
        <w:pStyle w:val="Compact"/>
      </w:pPr>
      <w:r>
        <w:t xml:space="preserve">2023 · Sindhvananda W ·</w:t>
      </w:r>
      <w:r>
        <w:t xml:space="preserve"> </w:t>
      </w:r>
      <w:r>
        <w:rPr>
          <w:iCs/>
          <w:i/>
        </w:rPr>
        <w:t xml:space="preserve">Ann Card Anaesth</w:t>
      </w:r>
      <w:r>
        <w:t xml:space="preserve"> </w:t>
      </w:r>
      <w:r>
        <w:t xml:space="preserve">· Comparison of glucose control by added liraglutide to only insulin infusion in diabetic patient undergoing cardiac surgery: A preliminary randomized-controlled trial. PMID 36722590</w:t>
      </w:r>
    </w:p>
    <w:p>
      <w:pPr>
        <w:numPr>
          <w:ilvl w:val="0"/>
          <w:numId w:val="1377"/>
        </w:numPr>
        <w:pStyle w:val="Compact"/>
      </w:pPr>
      <w:r>
        <w:t xml:space="preserve">2023 · Feng S ·</w:t>
      </w:r>
      <w:r>
        <w:t xml:space="preserve"> </w:t>
      </w:r>
      <w:r>
        <w:rPr>
          <w:iCs/>
          <w:i/>
        </w:rPr>
        <w:t xml:space="preserve">Clin Pharmacol Drug Dev</w:t>
      </w:r>
      <w:r>
        <w:t xml:space="preserve"> </w:t>
      </w:r>
      <w:r>
        <w:t xml:space="preserve">· A Single-dose, Two-Period Crossover Bioequivalence Study Comparing Two Liraglutide Formulations in Healthy Chinese Subjects. PMID 36648126</w:t>
      </w:r>
    </w:p>
    <w:p>
      <w:pPr>
        <w:numPr>
          <w:ilvl w:val="0"/>
          <w:numId w:val="1377"/>
        </w:numPr>
        <w:pStyle w:val="Compact"/>
      </w:pPr>
      <w:r>
        <w:t xml:space="preserve">2023 · Jiang W ·</w:t>
      </w:r>
      <w:r>
        <w:t xml:space="preserve"> </w:t>
      </w:r>
      <w:r>
        <w:rPr>
          <w:iCs/>
          <w:i/>
        </w:rPr>
        <w:t xml:space="preserve">Sleep Breath</w:t>
      </w:r>
      <w:r>
        <w:t xml:space="preserve"> </w:t>
      </w:r>
      <w:r>
        <w:t xml:space="preserve">· Efficacy and safety of liraglutide in patients with type 2 diabetes mellitus and severe obstructive sleep apnea. PMID 36542275</w:t>
      </w:r>
    </w:p>
    <w:p>
      <w:pPr>
        <w:numPr>
          <w:ilvl w:val="0"/>
          <w:numId w:val="1377"/>
        </w:numPr>
        <w:pStyle w:val="Compact"/>
      </w:pPr>
      <w:r>
        <w:t xml:space="preserve">2023 · Bogh AF ·</w:t>
      </w:r>
      <w:r>
        <w:t xml:space="preserve"> </w:t>
      </w:r>
      <w:r>
        <w:rPr>
          <w:iCs/>
          <w:i/>
        </w:rPr>
        <w:t xml:space="preserve">Sleep</w:t>
      </w:r>
      <w:r>
        <w:t xml:space="preserve"> </w:t>
      </w:r>
      <w:r>
        <w:t xml:space="preserve">· Insufficient sleep predicts poor weight loss maintenance after 1 year. PMID 36472579</w:t>
      </w:r>
    </w:p>
    <w:p>
      <w:pPr>
        <w:numPr>
          <w:ilvl w:val="0"/>
          <w:numId w:val="1377"/>
        </w:numPr>
        <w:pStyle w:val="Compact"/>
      </w:pPr>
      <w:r>
        <w:t xml:space="preserve">2023 · Angelidi AM ·</w:t>
      </w:r>
      <w:r>
        <w:t xml:space="preserve"> </w:t>
      </w:r>
      <w:r>
        <w:rPr>
          <w:iCs/>
          <w:i/>
        </w:rPr>
        <w:t xml:space="preserve">Metabolism</w:t>
      </w:r>
      <w:r>
        <w:t xml:space="preserve"> </w:t>
      </w:r>
      <w:r>
        <w:t xml:space="preserve">· Early metabolomic, lipid and lipoprotein changes in response to medical and surgical therapeutic approaches to obesity. PMID 36375643</w:t>
      </w:r>
    </w:p>
    <w:p>
      <w:pPr>
        <w:numPr>
          <w:ilvl w:val="0"/>
          <w:numId w:val="1377"/>
        </w:numPr>
        <w:pStyle w:val="Compact"/>
      </w:pPr>
      <w:r>
        <w:t xml:space="preserve">2023 · Mashayekhi M ·</w:t>
      </w:r>
      <w:r>
        <w:t xml:space="preserve"> </w:t>
      </w:r>
      <w:r>
        <w:rPr>
          <w:iCs/>
          <w:i/>
        </w:rPr>
        <w:t xml:space="preserve">Diabetes Obes Metab</w:t>
      </w:r>
      <w:r>
        <w:t xml:space="preserve"> </w:t>
      </w:r>
      <w:r>
        <w:t xml:space="preserve">· Comparative effects of weight loss and incretin-based therapies on vascular endothelial function, fibrinolysis and inflammation in individuals with obesity and prediabetes: A randomized controlled trial. PMID 36306151</w:t>
      </w:r>
    </w:p>
    <w:p>
      <w:pPr>
        <w:numPr>
          <w:ilvl w:val="0"/>
          <w:numId w:val="1377"/>
        </w:numPr>
        <w:pStyle w:val="Compact"/>
      </w:pPr>
      <w:r>
        <w:t xml:space="preserve">2023 · Sannaa W ·</w:t>
      </w:r>
      <w:r>
        <w:t xml:space="preserve"> </w:t>
      </w:r>
      <w:r>
        <w:rPr>
          <w:iCs/>
          <w:i/>
        </w:rPr>
        <w:t xml:space="preserve">Diabetes Obes Metab</w:t>
      </w:r>
      <w:r>
        <w:t xml:space="preserve"> </w:t>
      </w:r>
      <w:r>
        <w:t xml:space="preserve">· Factors associated with successful weight loss after liraglutide treatment for obesity. PMID 36193713</w:t>
      </w:r>
    </w:p>
    <w:p>
      <w:pPr>
        <w:numPr>
          <w:ilvl w:val="0"/>
          <w:numId w:val="1377"/>
        </w:numPr>
        <w:pStyle w:val="Compact"/>
      </w:pPr>
      <w:r>
        <w:t xml:space="preserve">2023 · Neves JS ·</w:t>
      </w:r>
      <w:r>
        <w:t xml:space="preserve"> </w:t>
      </w:r>
      <w:r>
        <w:rPr>
          <w:iCs/>
          <w:i/>
        </w:rPr>
        <w:t xml:space="preserve">Diabetes Obes Metab</w:t>
      </w:r>
      <w:r>
        <w:t xml:space="preserve"> </w:t>
      </w:r>
      <w:r>
        <w:t xml:space="preserve">· Risk of adverse events with liraglutide in heart failure with reduced ejection fraction: A post hoc analysis of the FIGHT trial. PMID 36082522</w:t>
      </w:r>
    </w:p>
    <w:p>
      <w:pPr>
        <w:numPr>
          <w:ilvl w:val="0"/>
          <w:numId w:val="1377"/>
        </w:numPr>
        <w:pStyle w:val="Compact"/>
      </w:pPr>
      <w:r>
        <w:t xml:space="preserve">2022 · Diene G ·</w:t>
      </w:r>
      <w:r>
        <w:t xml:space="preserve"> </w:t>
      </w:r>
      <w:r>
        <w:rPr>
          <w:iCs/>
          <w:i/>
        </w:rPr>
        <w:t xml:space="preserve">J Clin Endocrinol Metab</w:t>
      </w:r>
      <w:r>
        <w:t xml:space="preserve"> </w:t>
      </w:r>
      <w:r>
        <w:t xml:space="preserve">· Liraglutide for Weight Management in Children and Adolescents With Prader-Willi Syndrome and Obesity. PMID 36181471</w:t>
      </w:r>
    </w:p>
    <w:p>
      <w:pPr>
        <w:numPr>
          <w:ilvl w:val="0"/>
          <w:numId w:val="1377"/>
        </w:numPr>
        <w:pStyle w:val="Compact"/>
      </w:pPr>
      <w:r>
        <w:t xml:space="preserve">2022 · GRADE Study Research Group ·</w:t>
      </w:r>
      <w:r>
        <w:t xml:space="preserve"> </w:t>
      </w:r>
      <w:r>
        <w:rPr>
          <w:iCs/>
          <w:i/>
        </w:rPr>
        <w:t xml:space="preserve">N Engl J Med</w:t>
      </w:r>
      <w:r>
        <w:t xml:space="preserve"> </w:t>
      </w:r>
      <w:r>
        <w:t xml:space="preserve">· Glycemia Reduction in Type 2 Diabetes - Microvascular and Cardiovascular Outcomes. PMID 36129997</w:t>
      </w:r>
    </w:p>
    <w:p>
      <w:pPr>
        <w:numPr>
          <w:ilvl w:val="0"/>
          <w:numId w:val="1377"/>
        </w:numPr>
        <w:pStyle w:val="Compact"/>
      </w:pPr>
      <w:r>
        <w:t xml:space="preserve">2022 · GRADE Study Research Group ·</w:t>
      </w:r>
      <w:r>
        <w:t xml:space="preserve"> </w:t>
      </w:r>
      <w:r>
        <w:rPr>
          <w:iCs/>
          <w:i/>
        </w:rPr>
        <w:t xml:space="preserve">N Engl J Med</w:t>
      </w:r>
      <w:r>
        <w:t xml:space="preserve"> </w:t>
      </w:r>
      <w:r>
        <w:t xml:space="preserve">· Glycemia Reduction in Type 2 Diabetes - Glycemic Outcomes. PMID 36129996</w:t>
      </w:r>
    </w:p>
    <w:p>
      <w:pPr>
        <w:numPr>
          <w:ilvl w:val="0"/>
          <w:numId w:val="1377"/>
        </w:numPr>
        <w:pStyle w:val="Compact"/>
      </w:pPr>
      <w:r>
        <w:t xml:space="preserve">2022 · Yu D ·</w:t>
      </w:r>
      <w:r>
        <w:t xml:space="preserve"> </w:t>
      </w:r>
      <w:r>
        <w:rPr>
          <w:iCs/>
          <w:i/>
        </w:rPr>
        <w:t xml:space="preserve">Front Endocrinol (Lausanne)</w:t>
      </w:r>
      <w:r>
        <w:t xml:space="preserve"> </w:t>
      </w:r>
      <w:r>
        <w:t xml:space="preserve">· Effects of liraglutide or lifestyle interventions combined with other antidiabetic drugs on abdominal fat distribution in people with obesity and type 2 diabetes mellitus evaluated by the energy spectrum ct: A prospective randomized controlled study. PMID 36093105</w:t>
      </w:r>
    </w:p>
    <w:p>
      <w:pPr>
        <w:numPr>
          <w:ilvl w:val="0"/>
          <w:numId w:val="1377"/>
        </w:numPr>
        <w:pStyle w:val="Compact"/>
      </w:pPr>
      <w:r>
        <w:t xml:space="preserve">2022 · Xing C ·</w:t>
      </w:r>
      <w:r>
        <w:t xml:space="preserve"> </w:t>
      </w:r>
      <w:r>
        <w:rPr>
          <w:iCs/>
          <w:i/>
        </w:rPr>
        <w:t xml:space="preserve">Front Endocrinol (Lausanne)</w:t>
      </w:r>
      <w:r>
        <w:t xml:space="preserve"> </w:t>
      </w:r>
      <w:r>
        <w:t xml:space="preserve">· Effect of metformin versus metformin plus liraglutide on gonadal and metabolic profiles in overweight patients with polycystic ovary syndrome. PMID 36060969</w:t>
      </w:r>
    </w:p>
    <w:p>
      <w:pPr>
        <w:numPr>
          <w:ilvl w:val="0"/>
          <w:numId w:val="1377"/>
        </w:numPr>
        <w:pStyle w:val="Compact"/>
      </w:pPr>
      <w:r>
        <w:t xml:space="preserve">2022 · Zhaohu H ·</w:t>
      </w:r>
      <w:r>
        <w:t xml:space="preserve"> </w:t>
      </w:r>
      <w:r>
        <w:rPr>
          <w:iCs/>
          <w:i/>
        </w:rPr>
        <w:t xml:space="preserve">J Diabetes Res</w:t>
      </w:r>
      <w:r>
        <w:t xml:space="preserve"> </w:t>
      </w:r>
      <w:r>
        <w:t xml:space="preserve">· Efficacy and Safety of Dapagliflozin versus Liraglutide in Patients with Overweight or Obesity and Type 2 Diabetes Mellitus: A Randomised Controlled Clinical Trial in Tianjin, China. PMID 35990242</w:t>
      </w:r>
    </w:p>
    <w:p>
      <w:pPr>
        <w:numPr>
          <w:ilvl w:val="0"/>
          <w:numId w:val="1377"/>
        </w:numPr>
        <w:pStyle w:val="Compact"/>
      </w:pPr>
      <w:r>
        <w:t xml:space="preserve">2022 · Jensen SBK ·</w:t>
      </w:r>
      <w:r>
        <w:t xml:space="preserve"> </w:t>
      </w:r>
      <w:r>
        <w:rPr>
          <w:iCs/>
          <w:i/>
        </w:rPr>
        <w:t xml:space="preserve">Nat Commun</w:t>
      </w:r>
      <w:r>
        <w:t xml:space="preserve"> </w:t>
      </w:r>
      <w:r>
        <w:t xml:space="preserve">· Exploratory analysis of eating- and physical activity-related outcomes from a randomized controlled trial for weight loss maintenance with exercise and liraglutide single or combination treatment. PMID 35970829</w:t>
      </w:r>
    </w:p>
    <w:p>
      <w:pPr>
        <w:numPr>
          <w:ilvl w:val="0"/>
          <w:numId w:val="1377"/>
        </w:numPr>
        <w:pStyle w:val="Compact"/>
      </w:pPr>
      <w:r>
        <w:t xml:space="preserve">2022 · Xiao Y ·</w:t>
      </w:r>
      <w:r>
        <w:t xml:space="preserve"> </w:t>
      </w:r>
      <w:r>
        <w:rPr>
          <w:iCs/>
          <w:i/>
        </w:rPr>
        <w:t xml:space="preserve">Metab Syndr Relat Disord</w:t>
      </w:r>
      <w:r>
        <w:t xml:space="preserve"> </w:t>
      </w:r>
      <w:r>
        <w:t xml:space="preserve">· Effect of 5:2 Fasting Diet on Liver Fat Content in Patients with Type 2 Diabetic with Nonalcoholic Fatty Liver Disease. PMID 35925752</w:t>
      </w:r>
    </w:p>
    <w:p>
      <w:pPr>
        <w:numPr>
          <w:ilvl w:val="0"/>
          <w:numId w:val="1377"/>
        </w:numPr>
        <w:pStyle w:val="Compact"/>
      </w:pPr>
      <w:r>
        <w:t xml:space="preserve">2022 · Maselli D ·</w:t>
      </w:r>
      <w:r>
        <w:t xml:space="preserve"> </w:t>
      </w:r>
      <w:r>
        <w:rPr>
          <w:iCs/>
          <w:i/>
        </w:rPr>
        <w:t xml:space="preserve">Obesity (Silver Spring)</w:t>
      </w:r>
      <w:r>
        <w:t xml:space="preserve"> </w:t>
      </w:r>
      <w:r>
        <w:t xml:space="preserve">· Effects of liraglutide on gastrointestinal functions and weight in obesity: A randomized clinical and pharmacogenomic trial. PMID 35894080</w:t>
      </w:r>
    </w:p>
    <w:p>
      <w:pPr>
        <w:numPr>
          <w:ilvl w:val="0"/>
          <w:numId w:val="1377"/>
        </w:numPr>
        <w:pStyle w:val="Compact"/>
      </w:pPr>
      <w:r>
        <w:t xml:space="preserve">2022 · Utzschneider KM ·</w:t>
      </w:r>
      <w:r>
        <w:t xml:space="preserve"> </w:t>
      </w:r>
      <w:r>
        <w:rPr>
          <w:iCs/>
          <w:i/>
        </w:rPr>
        <w:t xml:space="preserve">Obesity (Silver Spring)</w:t>
      </w:r>
      <w:r>
        <w:t xml:space="preserve"> </w:t>
      </w:r>
      <w:r>
        <w:t xml:space="preserve">· Weight loss and β-cell responses following gastric banding or pharmacotherapy in adults with impaired glucose tolerance or type 2 diabetes: a randomized trial. PMID 35894078</w:t>
      </w:r>
    </w:p>
    <w:p>
      <w:pPr>
        <w:numPr>
          <w:ilvl w:val="0"/>
          <w:numId w:val="1377"/>
        </w:numPr>
        <w:pStyle w:val="Compact"/>
      </w:pPr>
      <w:r>
        <w:t xml:space="preserve">2022 · Stier C ·</w:t>
      </w:r>
      <w:r>
        <w:t xml:space="preserve"> </w:t>
      </w:r>
      <w:r>
        <w:rPr>
          <w:iCs/>
          <w:i/>
        </w:rPr>
        <w:t xml:space="preserve">Clin Nutr ESPEN</w:t>
      </w:r>
      <w:r>
        <w:t xml:space="preserve"> </w:t>
      </w:r>
      <w:r>
        <w:t xml:space="preserve">· Fast-track rescue weight reduction therapy to achieve rapid technical operability for emergency bariatric surgery in patients with life-threatening inoperable severe obesity - A proof of concept study. PMID 35871930</w:t>
      </w:r>
    </w:p>
    <w:p>
      <w:pPr>
        <w:numPr>
          <w:ilvl w:val="0"/>
          <w:numId w:val="1377"/>
        </w:numPr>
        <w:pStyle w:val="Compact"/>
      </w:pPr>
      <w:r>
        <w:t xml:space="preserve">2022 · Zhou R ·</w:t>
      </w:r>
      <w:r>
        <w:t xml:space="preserve"> </w:t>
      </w:r>
      <w:r>
        <w:rPr>
          <w:iCs/>
          <w:i/>
        </w:rPr>
        <w:t xml:space="preserve">Clin Transl Sci</w:t>
      </w:r>
      <w:r>
        <w:t xml:space="preserve"> </w:t>
      </w:r>
      <w:r>
        <w:t xml:space="preserve">· A phase I study comparing the pharmacokinetics of the biosimilar (RD12014) with liraglutide (Victoza) in healthy Chinese male subjects. PMID 35871497</w:t>
      </w:r>
    </w:p>
    <w:p>
      <w:pPr>
        <w:numPr>
          <w:ilvl w:val="0"/>
          <w:numId w:val="1377"/>
        </w:numPr>
        <w:pStyle w:val="Compact"/>
      </w:pPr>
      <w:r>
        <w:t xml:space="preserve">2022 · Kårhus ML ·</w:t>
      </w:r>
      <w:r>
        <w:t xml:space="preserve"> </w:t>
      </w:r>
      <w:r>
        <w:rPr>
          <w:iCs/>
          <w:i/>
        </w:rPr>
        <w:t xml:space="preserve">Lancet Gastroenterol Hepatol</w:t>
      </w:r>
      <w:r>
        <w:t xml:space="preserve"> </w:t>
      </w:r>
      <w:r>
        <w:t xml:space="preserve">· Safety and efficacy of liraglutide versus colesevelam for the treatment of bile acid diarrhoea: a randomised, double-blind, active-comparator, non-inferiority clinical trial. PMID 35868334</w:t>
      </w:r>
    </w:p>
    <w:p>
      <w:pPr>
        <w:numPr>
          <w:ilvl w:val="0"/>
          <w:numId w:val="1377"/>
        </w:numPr>
        <w:pStyle w:val="Compact"/>
      </w:pPr>
      <w:r>
        <w:t xml:space="preserve">2022 · Zenz S ·</w:t>
      </w:r>
      <w:r>
        <w:t xml:space="preserve"> </w:t>
      </w:r>
      <w:r>
        <w:rPr>
          <w:iCs/>
          <w:i/>
        </w:rPr>
        <w:t xml:space="preserve">J Clin Endocrinol Metab</w:t>
      </w:r>
      <w:r>
        <w:t xml:space="preserve"> </w:t>
      </w:r>
      <w:r>
        <w:t xml:space="preserve">· Effect of Liraglutide Treatment on Whole-body Glucose Fluxes in C-peptide-Positive Type 1 Diabetes During Hypoglycemia. PMID 35833597</w:t>
      </w:r>
    </w:p>
    <w:p>
      <w:pPr>
        <w:numPr>
          <w:ilvl w:val="0"/>
          <w:numId w:val="1377"/>
        </w:numPr>
        <w:pStyle w:val="Compact"/>
      </w:pPr>
      <w:r>
        <w:t xml:space="preserve">2022 · Lin K ·</w:t>
      </w:r>
      <w:r>
        <w:t xml:space="preserve"> </w:t>
      </w:r>
      <w:r>
        <w:rPr>
          <w:iCs/>
          <w:i/>
        </w:rPr>
        <w:t xml:space="preserve">Comput Intell Neurosci</w:t>
      </w:r>
      <w:r>
        <w:t xml:space="preserve"> </w:t>
      </w:r>
      <w:r>
        <w:t xml:space="preserve">· Evaluation of the Clinical Efficacy of the Treatment of Overweight and Obesity in Type 2 Diabetes Mellitus by the Telemedicine Management System Based on the Internet of Things Technology. PMID 35785080</w:t>
      </w:r>
    </w:p>
    <w:p>
      <w:pPr>
        <w:numPr>
          <w:ilvl w:val="0"/>
          <w:numId w:val="1377"/>
        </w:numPr>
        <w:pStyle w:val="Compact"/>
      </w:pPr>
      <w:r>
        <w:t xml:space="preserve">2022 · Wang W ·</w:t>
      </w:r>
      <w:r>
        <w:t xml:space="preserve"> </w:t>
      </w:r>
      <w:r>
        <w:rPr>
          <w:iCs/>
          <w:i/>
        </w:rPr>
        <w:t xml:space="preserve">J Diabetes</w:t>
      </w:r>
      <w:r>
        <w:t xml:space="preserve"> </w:t>
      </w:r>
      <w:r>
        <w:t xml:space="preserve">· DUAL I China: Improved glycemic control with IDegLira versus its individual components in a randomized trial with Chinese participants with type 2 diabetes uncontrolled on oral antidiabetic drugs. PMID 35762390</w:t>
      </w:r>
    </w:p>
    <w:p>
      <w:pPr>
        <w:numPr>
          <w:ilvl w:val="0"/>
          <w:numId w:val="1377"/>
        </w:numPr>
        <w:pStyle w:val="Compact"/>
      </w:pPr>
      <w:r>
        <w:t xml:space="preserve">2022 · Ou T ·</w:t>
      </w:r>
      <w:r>
        <w:t xml:space="preserve"> </w:t>
      </w:r>
      <w:r>
        <w:rPr>
          <w:iCs/>
          <w:i/>
        </w:rPr>
        <w:t xml:space="preserve">Altern Ther Health Med</w:t>
      </w:r>
      <w:r>
        <w:t xml:space="preserve"> </w:t>
      </w:r>
      <w:r>
        <w:t xml:space="preserve">· Liraglutide Plus Dapagliflozin for High Uric Acid and Microalbuminuria in Diabetes Mellitus Complicated With Metabolic Syndrome. PMID 35751892</w:t>
      </w:r>
    </w:p>
    <w:p>
      <w:pPr>
        <w:numPr>
          <w:ilvl w:val="0"/>
          <w:numId w:val="1377"/>
        </w:numPr>
        <w:pStyle w:val="Compact"/>
      </w:pPr>
      <w:r>
        <w:t xml:space="preserve">2022 · Elkind-Hirsch KE ·</w:t>
      </w:r>
      <w:r>
        <w:t xml:space="preserve"> </w:t>
      </w:r>
      <w:r>
        <w:rPr>
          <w:iCs/>
          <w:i/>
        </w:rPr>
        <w:t xml:space="preserve">Fertil Steril</w:t>
      </w:r>
      <w:r>
        <w:t xml:space="preserve"> </w:t>
      </w:r>
      <w:r>
        <w:t xml:space="preserve">· Liraglutide 3 mg on weight, body composition, and hormonal and metabolic parameters in women with obesity and polycystic ovary syndrome: a randomized placebo-controlled-phase 3 study. PMID 35710599</w:t>
      </w:r>
    </w:p>
    <w:p>
      <w:pPr>
        <w:numPr>
          <w:ilvl w:val="0"/>
          <w:numId w:val="1377"/>
        </w:numPr>
        <w:pStyle w:val="Compact"/>
      </w:pPr>
      <w:r>
        <w:t xml:space="preserve">2022 · Valenzuela-Vallejo L ·</w:t>
      </w:r>
      <w:r>
        <w:t xml:space="preserve"> </w:t>
      </w:r>
      <w:r>
        <w:rPr>
          <w:iCs/>
          <w:i/>
        </w:rPr>
        <w:t xml:space="preserve">Metabolism</w:t>
      </w:r>
      <w:r>
        <w:t xml:space="preserve"> </w:t>
      </w:r>
      <w:r>
        <w:t xml:space="preserve">· Circulating total and intact GDF-15 levels are not altered in response to weight loss induced by liraglutide or lorcaserin treatment in humans with obesity. PMID 35700837</w:t>
      </w:r>
    </w:p>
    <w:p>
      <w:pPr>
        <w:numPr>
          <w:ilvl w:val="0"/>
          <w:numId w:val="1377"/>
        </w:numPr>
        <w:pStyle w:val="Compact"/>
      </w:pPr>
      <w:r>
        <w:t xml:space="preserve">2022 · Tamborlane WV ·</w:t>
      </w:r>
      <w:r>
        <w:t xml:space="preserve"> </w:t>
      </w:r>
      <w:r>
        <w:rPr>
          <w:iCs/>
          <w:i/>
        </w:rPr>
        <w:t xml:space="preserve">Diabetes Care</w:t>
      </w:r>
      <w:r>
        <w:t xml:space="preserve"> </w:t>
      </w:r>
      <w:r>
        <w:t xml:space="preserve">· Once-Weekly Exenatide in Youth With Type 2 Diabetes. PMID 35679098</w:t>
      </w:r>
    </w:p>
    <w:p>
      <w:pPr>
        <w:numPr>
          <w:ilvl w:val="0"/>
          <w:numId w:val="1377"/>
        </w:numPr>
        <w:pStyle w:val="Compact"/>
      </w:pPr>
      <w:r>
        <w:t xml:space="preserve">2022 · Lerman JB ·</w:t>
      </w:r>
      <w:r>
        <w:t xml:space="preserve"> </w:t>
      </w:r>
      <w:r>
        <w:rPr>
          <w:iCs/>
          <w:i/>
        </w:rPr>
        <w:t xml:space="preserve">Sci Rep</w:t>
      </w:r>
      <w:r>
        <w:t xml:space="preserve"> </w:t>
      </w:r>
      <w:r>
        <w:t xml:space="preserve">· Plasma metabolites associated with functional and clinical outcomes in heart failure with reduced ejection fraction with and without type 2 diabetes. PMID 35654972</w:t>
      </w:r>
    </w:p>
    <w:p>
      <w:pPr>
        <w:numPr>
          <w:ilvl w:val="0"/>
          <w:numId w:val="1377"/>
        </w:numPr>
        <w:pStyle w:val="Compact"/>
      </w:pPr>
      <w:r>
        <w:t xml:space="preserve">2022 · Andersen E ·</w:t>
      </w:r>
      <w:r>
        <w:t xml:space="preserve"> </w:t>
      </w:r>
      <w:r>
        <w:rPr>
          <w:iCs/>
          <w:i/>
        </w:rPr>
        <w:t xml:space="preserve">Hum Reprod</w:t>
      </w:r>
      <w:r>
        <w:t xml:space="preserve"> </w:t>
      </w:r>
      <w:r>
        <w:t xml:space="preserve">· Sperm count is increased by diet-induced weight loss and maintained by exercise or GLP-1 analogue treatment: a randomized controlled trial. PMID 35580859</w:t>
      </w:r>
    </w:p>
    <w:p>
      <w:pPr>
        <w:numPr>
          <w:ilvl w:val="0"/>
          <w:numId w:val="1377"/>
        </w:numPr>
        <w:pStyle w:val="Compact"/>
      </w:pPr>
      <w:r>
        <w:t xml:space="preserve">2022 · Sivalingam S ·</w:t>
      </w:r>
      <w:r>
        <w:t xml:space="preserve"> </w:t>
      </w:r>
      <w:r>
        <w:rPr>
          <w:iCs/>
          <w:i/>
        </w:rPr>
        <w:t xml:space="preserve">Diabetes Obes Metab</w:t>
      </w:r>
      <w:r>
        <w:t xml:space="preserve"> </w:t>
      </w:r>
      <w:r>
        <w:t xml:space="preserve">· The effect of liraglutide on cardiac autonomic function in type 2 diabetes: A prespecified secondary analysis from the LIRAFLAME randomized, double-blinded, placebo-controlled trial. PMID 35415938</w:t>
      </w:r>
    </w:p>
    <w:p>
      <w:pPr>
        <w:numPr>
          <w:ilvl w:val="0"/>
          <w:numId w:val="1377"/>
        </w:numPr>
        <w:pStyle w:val="Compact"/>
      </w:pPr>
      <w:r>
        <w:t xml:space="preserve">2022 · Kawaguchi Y ·</w:t>
      </w:r>
      <w:r>
        <w:t xml:space="preserve"> </w:t>
      </w:r>
      <w:r>
        <w:rPr>
          <w:iCs/>
          <w:i/>
        </w:rPr>
        <w:t xml:space="preserve">Adv Ther</w:t>
      </w:r>
      <w:r>
        <w:t xml:space="preserve"> </w:t>
      </w:r>
      <w:r>
        <w:t xml:space="preserve">· Efficacy of IDegLira Versus IDegAsp Therapy in Patients with Type 2 Diabetes: A Randomized Crossover Study by isCGM. PMID 35403949</w:t>
      </w:r>
    </w:p>
    <w:p>
      <w:pPr>
        <w:numPr>
          <w:ilvl w:val="0"/>
          <w:numId w:val="1377"/>
        </w:numPr>
        <w:pStyle w:val="Compact"/>
      </w:pPr>
      <w:r>
        <w:t xml:space="preserve">2022 · Loganathan J ·</w:t>
      </w:r>
      <w:r>
        <w:t xml:space="preserve"> </w:t>
      </w:r>
      <w:r>
        <w:rPr>
          <w:iCs/>
          <w:i/>
        </w:rPr>
        <w:t xml:space="preserve">J Diabetes Complications</w:t>
      </w:r>
      <w:r>
        <w:t xml:space="preserve"> </w:t>
      </w:r>
      <w:r>
        <w:t xml:space="preserve">· A pilot clinical study to Evaluate Liraglutide-mediated Anti-platelet activity in patients with type-2 Diabetes (ELAID study). PMID 35382966</w:t>
      </w:r>
    </w:p>
    <w:p>
      <w:pPr>
        <w:numPr>
          <w:ilvl w:val="0"/>
          <w:numId w:val="1377"/>
        </w:numPr>
        <w:pStyle w:val="Compact"/>
      </w:pPr>
      <w:r>
        <w:t xml:space="preserve">2022 · Seino Y ·</w:t>
      </w:r>
      <w:r>
        <w:t xml:space="preserve"> </w:t>
      </w:r>
      <w:r>
        <w:rPr>
          <w:iCs/>
          <w:i/>
        </w:rPr>
        <w:t xml:space="preserve">J Diabetes Investig</w:t>
      </w:r>
      <w:r>
        <w:t xml:space="preserve"> </w:t>
      </w:r>
      <w:r>
        <w:t xml:space="preserve">· A randomized trial to investigate the efficacy and safety of once-daily liraglutide 1.8 mg in Japanese adults with type 2 diabetes exhibiting an inadequate response to liraglutide 0.9 mg. PMID 35285173</w:t>
      </w:r>
    </w:p>
    <w:p>
      <w:pPr>
        <w:numPr>
          <w:ilvl w:val="0"/>
          <w:numId w:val="1377"/>
        </w:numPr>
        <w:pStyle w:val="Compact"/>
      </w:pPr>
      <w:r>
        <w:t xml:space="preserve">2022 · Simeone P ·</w:t>
      </w:r>
      <w:r>
        <w:t xml:space="preserve"> </w:t>
      </w:r>
      <w:r>
        <w:rPr>
          <w:iCs/>
          <w:i/>
        </w:rPr>
        <w:t xml:space="preserve">Cardiovasc Diabetol</w:t>
      </w:r>
      <w:r>
        <w:t xml:space="preserve"> </w:t>
      </w:r>
      <w:r>
        <w:t xml:space="preserve">· Effects of liraglutide vs. lifestyle changes on soluble suppression of tumorigenesis-2 (sST2) and galectin-3 in obese subjects with prediabetes or type 2 diabetes after comparable weight loss. PMID 35277168</w:t>
      </w:r>
    </w:p>
    <w:p>
      <w:pPr>
        <w:numPr>
          <w:ilvl w:val="0"/>
          <w:numId w:val="1377"/>
        </w:numPr>
        <w:pStyle w:val="Compact"/>
      </w:pPr>
      <w:r>
        <w:t xml:space="preserve">2022 · Cheng H ·</w:t>
      </w:r>
      <w:r>
        <w:t xml:space="preserve"> </w:t>
      </w:r>
      <w:r>
        <w:rPr>
          <w:iCs/>
          <w:i/>
        </w:rPr>
        <w:t xml:space="preserve">Diabetes Care</w:t>
      </w:r>
      <w:r>
        <w:t xml:space="preserve"> </w:t>
      </w:r>
      <w:r>
        <w:t xml:space="preserve">· Enhancement of Impaired Olfactory Neural Activation and Cognitive Capacity by Liraglutide, but Not Dapagliflozin or Acarbose, in Patients With Type 2 Diabetes: A 16-Week Randomized Parallel Comparative Study. PMID 35263425</w:t>
      </w:r>
    </w:p>
    <w:p>
      <w:pPr>
        <w:numPr>
          <w:ilvl w:val="0"/>
          <w:numId w:val="1377"/>
        </w:numPr>
        <w:pStyle w:val="Compact"/>
      </w:pPr>
      <w:r>
        <w:t xml:space="preserve">2022 · Altintas Dogan AD ·</w:t>
      </w:r>
      <w:r>
        <w:t xml:space="preserve"> </w:t>
      </w:r>
      <w:r>
        <w:rPr>
          <w:iCs/>
          <w:i/>
        </w:rPr>
        <w:t xml:space="preserve">Int J Chron Obstruct Pulmon Dis</w:t>
      </w:r>
      <w:r>
        <w:t xml:space="preserve"> </w:t>
      </w:r>
      <w:r>
        <w:t xml:space="preserve">· Respiratory Effects of Treatment with a Glucagon-Like Peptide-1 Receptor Agonist in Patients Suffering from Obesity and Chronic Obstructive Pulmonary Disease. PMID 35237033</w:t>
      </w:r>
    </w:p>
    <w:p>
      <w:pPr>
        <w:numPr>
          <w:ilvl w:val="0"/>
          <w:numId w:val="1377"/>
        </w:numPr>
        <w:pStyle w:val="Compact"/>
      </w:pPr>
      <w:r>
        <w:t xml:space="preserve">2022 · Yabe D ·</w:t>
      </w:r>
      <w:r>
        <w:t xml:space="preserve"> </w:t>
      </w:r>
      <w:r>
        <w:rPr>
          <w:iCs/>
          <w:i/>
        </w:rPr>
        <w:t xml:space="preserve">J Diabetes Investig</w:t>
      </w:r>
      <w:r>
        <w:t xml:space="preserve"> </w:t>
      </w:r>
      <w:r>
        <w:t xml:space="preserve">· Efficacy and safety of oral semaglutide in Japanese patients with type 2 diabetes: A subgroup analysis by baseline variables in the PIONEER 9 and PIONEER 10 trials. PMID 35112504</w:t>
      </w:r>
    </w:p>
    <w:p>
      <w:pPr>
        <w:numPr>
          <w:ilvl w:val="0"/>
          <w:numId w:val="1377"/>
        </w:numPr>
        <w:pStyle w:val="Compact"/>
      </w:pPr>
      <w:r>
        <w:t xml:space="preserve">2022 · Westman K ·</w:t>
      </w:r>
      <w:r>
        <w:t xml:space="preserve"> </w:t>
      </w:r>
      <w:r>
        <w:rPr>
          <w:iCs/>
          <w:i/>
        </w:rPr>
        <w:t xml:space="preserve">J Diabetes Complications</w:t>
      </w:r>
      <w:r>
        <w:t xml:space="preserve"> </w:t>
      </w:r>
      <w:r>
        <w:t xml:space="preserve">· Effect of liraglutide on markers of insulin production in persons with type 2 diabetes treated with multiple daily insulin injections. PMID 35101325</w:t>
      </w:r>
    </w:p>
    <w:p>
      <w:pPr>
        <w:numPr>
          <w:ilvl w:val="0"/>
          <w:numId w:val="1377"/>
        </w:numPr>
        <w:pStyle w:val="Compact"/>
      </w:pPr>
      <w:r>
        <w:t xml:space="preserve">2022 · Takeshita Y ·</w:t>
      </w:r>
      <w:r>
        <w:t xml:space="preserve"> </w:t>
      </w:r>
      <w:r>
        <w:rPr>
          <w:iCs/>
          <w:i/>
        </w:rPr>
        <w:t xml:space="preserve">J Diabetes Investig</w:t>
      </w:r>
      <w:r>
        <w:t xml:space="preserve"> </w:t>
      </w:r>
      <w:r>
        <w:t xml:space="preserve">· Insulin-glucagon-like peptide-1 receptor agonist relay and glucagon-like peptide-1 receptor agonist first regimens in individuals with type 2 diabetes: A randomized, open-label trial study. PMID 35034428</w:t>
      </w:r>
    </w:p>
    <w:p>
      <w:pPr>
        <w:numPr>
          <w:ilvl w:val="0"/>
          <w:numId w:val="1377"/>
        </w:numPr>
        <w:pStyle w:val="Compact"/>
      </w:pPr>
      <w:r>
        <w:t xml:space="preserve">2022 · van Ruiten CC ·</w:t>
      </w:r>
      <w:r>
        <w:t xml:space="preserve"> </w:t>
      </w:r>
      <w:r>
        <w:rPr>
          <w:iCs/>
          <w:i/>
        </w:rPr>
        <w:t xml:space="preserve">Psychoneuroendocrinology</w:t>
      </w:r>
      <w:r>
        <w:t xml:space="preserve"> </w:t>
      </w:r>
      <w:r>
        <w:t xml:space="preserve">· Eating behavior modulates the sensitivity to the central effects of GLP-1 receptor agonist treatment: a secondary analysis of a randomized trial. PMID 35033928</w:t>
      </w:r>
    </w:p>
    <w:p>
      <w:pPr>
        <w:numPr>
          <w:ilvl w:val="0"/>
          <w:numId w:val="1377"/>
        </w:numPr>
        <w:pStyle w:val="Compact"/>
      </w:pPr>
      <w:r>
        <w:t xml:space="preserve">2022 · Rubino DM ·</w:t>
      </w:r>
      <w:r>
        <w:t xml:space="preserve"> </w:t>
      </w:r>
      <w:r>
        <w:rPr>
          <w:iCs/>
          <w:i/>
        </w:rPr>
        <w:t xml:space="preserve">JAMA</w:t>
      </w:r>
      <w:r>
        <w:t xml:space="preserve"> </w:t>
      </w:r>
      <w:r>
        <w:t xml:space="preserve">· Effect of Weekly Subcutaneous Semaglutide vs Daily Liraglutide on Body Weight in Adults With Overweight or Obesity Without Diabetes: The STEP 8 Randomized Clinical Trial. PMID 35015037</w:t>
      </w:r>
    </w:p>
    <w:p>
      <w:pPr>
        <w:numPr>
          <w:ilvl w:val="0"/>
          <w:numId w:val="1377"/>
        </w:numPr>
        <w:pStyle w:val="Compact"/>
      </w:pPr>
      <w:r>
        <w:t xml:space="preserve">2022 · Barnard-Kelly K ·</w:t>
      </w:r>
      <w:r>
        <w:t xml:space="preserve"> </w:t>
      </w:r>
      <w:r>
        <w:rPr>
          <w:iCs/>
          <w:i/>
        </w:rPr>
        <w:t xml:space="preserve">BMC Psychiatry</w:t>
      </w:r>
      <w:r>
        <w:t xml:space="preserve"> </w:t>
      </w:r>
      <w:r>
        <w:t xml:space="preserve">· Liraglutide and the management of overweight and obesity in people with severe mental illness: qualitative sub-study. PMID 34996406</w:t>
      </w:r>
    </w:p>
    <w:p>
      <w:pPr>
        <w:numPr>
          <w:ilvl w:val="0"/>
          <w:numId w:val="1377"/>
        </w:numPr>
        <w:pStyle w:val="Compact"/>
      </w:pPr>
      <w:r>
        <w:t xml:space="preserve">2022 · Arendt Nielsen T ·</w:t>
      </w:r>
      <w:r>
        <w:t xml:space="preserve"> </w:t>
      </w:r>
      <w:r>
        <w:rPr>
          <w:iCs/>
          <w:i/>
        </w:rPr>
        <w:t xml:space="preserve">J Ocul Pharmacol Ther</w:t>
      </w:r>
      <w:r>
        <w:t xml:space="preserve"> </w:t>
      </w:r>
      <w:r>
        <w:t xml:space="preserve">· Liraglutide Treatment Does Not Induce Changes in the Peripapillary Retinal Nerve Fiber Layer Thickness in Patients with Diabetic Retinopathy. PMID 34918951</w:t>
      </w:r>
    </w:p>
    <w:p>
      <w:pPr>
        <w:numPr>
          <w:ilvl w:val="0"/>
          <w:numId w:val="1377"/>
        </w:numPr>
        <w:pStyle w:val="Compact"/>
      </w:pPr>
      <w:r>
        <w:t xml:space="preserve">2022 · Shaman AM ·</w:t>
      </w:r>
      <w:r>
        <w:t xml:space="preserve"> </w:t>
      </w:r>
      <w:r>
        <w:rPr>
          <w:iCs/>
          <w:i/>
        </w:rPr>
        <w:t xml:space="preserve">Circulation</w:t>
      </w:r>
      <w:r>
        <w:t xml:space="preserve"> </w:t>
      </w:r>
      <w:r>
        <w:t xml:space="preserve">· Effect of the Glucagon-Like Peptide-1 Receptor Agonists Semaglutide and Liraglutide on Kidney Outcomes in Patients With Type 2 Diabetes: Pooled Analysis of SUSTAIN 6 and LEADER. PMID 34903039</w:t>
      </w:r>
    </w:p>
    <w:p>
      <w:pPr>
        <w:numPr>
          <w:ilvl w:val="0"/>
          <w:numId w:val="1377"/>
        </w:numPr>
        <w:pStyle w:val="Compact"/>
      </w:pPr>
      <w:r>
        <w:t xml:space="preserve">2022 · Middleton TL ·</w:t>
      </w:r>
      <w:r>
        <w:t xml:space="preserve"> </w:t>
      </w:r>
      <w:r>
        <w:rPr>
          <w:iCs/>
          <w:i/>
        </w:rPr>
        <w:t xml:space="preserve">Diabetes Obes Metab</w:t>
      </w:r>
      <w:r>
        <w:t xml:space="preserve"> </w:t>
      </w:r>
      <w:r>
        <w:t xml:space="preserve">· Improving beta-cell secretory function and glycaemia in young-onset type 2 diabetes: A pilot, 12-month, randomized trial of a novel, continuous glucose monitor-guided, rapid treatment intensification strategy incorporating empagliflozin and liraglutide. PMID 34882926</w:t>
      </w:r>
    </w:p>
    <w:p>
      <w:pPr>
        <w:numPr>
          <w:ilvl w:val="0"/>
          <w:numId w:val="1377"/>
        </w:numPr>
        <w:pStyle w:val="Compact"/>
      </w:pPr>
      <w:r>
        <w:t xml:space="preserve">2022 · Liu H ·</w:t>
      </w:r>
      <w:r>
        <w:t xml:space="preserve"> </w:t>
      </w:r>
      <w:r>
        <w:rPr>
          <w:iCs/>
          <w:i/>
        </w:rPr>
        <w:t xml:space="preserve">J Diabetes Investig</w:t>
      </w:r>
      <w:r>
        <w:t xml:space="preserve"> </w:t>
      </w:r>
      <w:r>
        <w:t xml:space="preserve">· Preserved pharmacokinetics and pharmacodynamics of insulin degludec and liraglutide when administered as insulin degludec/liraglutide in a Chinese population. PMID 34797962</w:t>
      </w:r>
    </w:p>
    <w:p>
      <w:pPr>
        <w:numPr>
          <w:ilvl w:val="0"/>
          <w:numId w:val="1377"/>
        </w:numPr>
        <w:pStyle w:val="Compact"/>
      </w:pPr>
      <w:r>
        <w:t xml:space="preserve">2022 · López-Cano C ·</w:t>
      </w:r>
      <w:r>
        <w:t xml:space="preserve"> </w:t>
      </w:r>
      <w:r>
        <w:rPr>
          <w:iCs/>
          <w:i/>
        </w:rPr>
        <w:t xml:space="preserve">Diabetes</w:t>
      </w:r>
      <w:r>
        <w:t xml:space="preserve"> </w:t>
      </w:r>
      <w:r>
        <w:t xml:space="preserve">· Liraglutide Improves Forced Vital Capacity in Individuals With Type 2 Diabetes: Data From the Randomized Crossover LIRALUNG Study. PMID 34737187</w:t>
      </w:r>
    </w:p>
    <w:p>
      <w:pPr>
        <w:numPr>
          <w:ilvl w:val="0"/>
          <w:numId w:val="1377"/>
        </w:numPr>
        <w:pStyle w:val="Compact"/>
      </w:pPr>
      <w:r>
        <w:t xml:space="preserve">2022 · Heller SR ·</w:t>
      </w:r>
      <w:r>
        <w:t xml:space="preserve"> </w:t>
      </w:r>
      <w:r>
        <w:rPr>
          <w:iCs/>
          <w:i/>
        </w:rPr>
        <w:t xml:space="preserve">Diabetologia</w:t>
      </w:r>
      <w:r>
        <w:t xml:space="preserve"> </w:t>
      </w:r>
      <w:r>
        <w:t xml:space="preserve">· A higher non-severe hypoglycaemia rate is associated with an increased risk of subsequent severe hypoglycaemia and major adverse cardiovascular events in individuals with type 2 diabetes in the LEADER study. PMID 34704120</w:t>
      </w:r>
    </w:p>
    <w:p>
      <w:pPr>
        <w:numPr>
          <w:ilvl w:val="0"/>
          <w:numId w:val="1377"/>
        </w:numPr>
        <w:pStyle w:val="Compact"/>
      </w:pPr>
      <w:r>
        <w:t xml:space="preserve">2022 · Unger J ·</w:t>
      </w:r>
      <w:r>
        <w:t xml:space="preserve"> </w:t>
      </w:r>
      <w:r>
        <w:rPr>
          <w:iCs/>
          <w:i/>
        </w:rPr>
        <w:t xml:space="preserve">Diabetes Obes Metab</w:t>
      </w:r>
      <w:r>
        <w:t xml:space="preserve"> </w:t>
      </w:r>
      <w:r>
        <w:t xml:space="preserve">· Maintenance of glycaemic control with liraglutide versus oral antidiabetic drugs as add-on therapies in patients with type 2 diabetes uncontrolled with metformin alone: A randomized clinical trial in primary care (LIRA-PRIME). PMID 34622567</w:t>
      </w:r>
    </w:p>
    <w:p>
      <w:pPr>
        <w:numPr>
          <w:ilvl w:val="0"/>
          <w:numId w:val="1377"/>
        </w:numPr>
        <w:pStyle w:val="Compact"/>
      </w:pPr>
      <w:r>
        <w:t xml:space="preserve">2022 · Yamada Y ·</w:t>
      </w:r>
      <w:r>
        <w:t xml:space="preserve"> </w:t>
      </w:r>
      <w:r>
        <w:rPr>
          <w:iCs/>
          <w:i/>
        </w:rPr>
        <w:t xml:space="preserve">Diabetes Obes Metab</w:t>
      </w:r>
      <w:r>
        <w:t xml:space="preserve"> </w:t>
      </w:r>
      <w:r>
        <w:t xml:space="preserve">· Efficacy and safety of oral semaglutide by baseline age in Japanese patients with type 2 diabetes: A subgroup analysis of the PIONEER 9 and 10 Japan trials. PMID 34622548</w:t>
      </w:r>
    </w:p>
    <w:p>
      <w:pPr>
        <w:numPr>
          <w:ilvl w:val="0"/>
          <w:numId w:val="1377"/>
        </w:numPr>
        <w:pStyle w:val="Compact"/>
      </w:pPr>
      <w:r>
        <w:t xml:space="preserve">2022 · Schmidt S ·</w:t>
      </w:r>
      <w:r>
        <w:t xml:space="preserve"> </w:t>
      </w:r>
      <w:r>
        <w:rPr>
          <w:iCs/>
          <w:i/>
        </w:rPr>
        <w:t xml:space="preserve">Diabetes Obes Metab</w:t>
      </w:r>
      <w:r>
        <w:t xml:space="preserve"> </w:t>
      </w:r>
      <w:r>
        <w:t xml:space="preserve">· Liraglutide changes body composition and lowers added sugar intake in overweight persons with insulin pump-treated type 1 diabetes. PMID 34595827</w:t>
      </w:r>
    </w:p>
    <w:p>
      <w:pPr>
        <w:numPr>
          <w:ilvl w:val="0"/>
          <w:numId w:val="1377"/>
        </w:numPr>
        <w:pStyle w:val="Compact"/>
      </w:pPr>
      <w:r>
        <w:t xml:space="preserve">2022 · Møller M ·</w:t>
      </w:r>
      <w:r>
        <w:t xml:space="preserve"> </w:t>
      </w:r>
      <w:r>
        <w:rPr>
          <w:iCs/>
          <w:i/>
        </w:rPr>
        <w:t xml:space="preserve">CNS Spectr</w:t>
      </w:r>
      <w:r>
        <w:t xml:space="preserve"> </w:t>
      </w:r>
      <w:r>
        <w:t xml:space="preserve">· Proinflammatory biomarkers are associated with prediabetes in patients with schizophrenia. PMID 33308348</w:t>
      </w:r>
    </w:p>
    <w:p>
      <w:pPr>
        <w:numPr>
          <w:ilvl w:val="0"/>
          <w:numId w:val="1377"/>
        </w:numPr>
        <w:pStyle w:val="Compact"/>
      </w:pPr>
      <w:r>
        <w:t xml:space="preserve">2022 · Lin L ·</w:t>
      </w:r>
      <w:r>
        <w:t xml:space="preserve"> </w:t>
      </w:r>
      <w:r>
        <w:rPr>
          <w:iCs/>
          <w:i/>
        </w:rPr>
        <w:t xml:space="preserve">J Dermatolog Treat</w:t>
      </w:r>
      <w:r>
        <w:t xml:space="preserve"> </w:t>
      </w:r>
      <w:r>
        <w:t xml:space="preserve">· Glucagon-like peptide-1 receptor agonist liraglutide therapy for psoriasis patients with type 2 diabetes: a randomized-controlled trial. PMID 32962477</w:t>
      </w:r>
    </w:p>
    <w:p>
      <w:pPr>
        <w:numPr>
          <w:ilvl w:val="0"/>
          <w:numId w:val="1377"/>
        </w:numPr>
        <w:pStyle w:val="Compact"/>
      </w:pPr>
      <w:r>
        <w:t xml:space="preserve">2021 · Jendle J ·</w:t>
      </w:r>
      <w:r>
        <w:t xml:space="preserve"> </w:t>
      </w:r>
      <w:r>
        <w:rPr>
          <w:iCs/>
          <w:i/>
        </w:rPr>
        <w:t xml:space="preserve">Cardiovasc Diabetol</w:t>
      </w:r>
      <w:r>
        <w:t xml:space="preserve"> </w:t>
      </w:r>
      <w:r>
        <w:t xml:space="preserve">· Pharmacometabolomic profiles in type 2 diabetic subjects treated with liraglutide or glimepiride. PMID 34920733</w:t>
      </w:r>
    </w:p>
    <w:p>
      <w:pPr>
        <w:numPr>
          <w:ilvl w:val="0"/>
          <w:numId w:val="1377"/>
        </w:numPr>
        <w:pStyle w:val="Compact"/>
      </w:pPr>
      <w:r>
        <w:t xml:space="preserve">2021 · Jensen JK ·</w:t>
      </w:r>
      <w:r>
        <w:t xml:space="preserve"> </w:t>
      </w:r>
      <w:r>
        <w:rPr>
          <w:iCs/>
          <w:i/>
        </w:rPr>
        <w:t xml:space="preserve">Front Endocrinol (Lausanne)</w:t>
      </w:r>
      <w:r>
        <w:t xml:space="preserve"> </w:t>
      </w:r>
      <w:r>
        <w:t xml:space="preserve">· Effect of 26 Weeks of Liraglutide Treatment on Coronary Artery Inflammation in Type 2 Diabetes Quantified by [(64)Cu]Cu-DOTATATE PET/CT: Results from the LIRAFLAME Trial. PMID 34917038</w:t>
      </w:r>
    </w:p>
    <w:p>
      <w:pPr>
        <w:numPr>
          <w:ilvl w:val="0"/>
          <w:numId w:val="1377"/>
        </w:numPr>
        <w:pStyle w:val="Compact"/>
      </w:pPr>
      <w:r>
        <w:t xml:space="preserve">2021 · Lau DCW ·</w:t>
      </w:r>
      <w:r>
        <w:t xml:space="preserve"> </w:t>
      </w:r>
      <w:r>
        <w:rPr>
          <w:iCs/>
          <w:i/>
        </w:rPr>
        <w:t xml:space="preserve">Lancet</w:t>
      </w:r>
      <w:r>
        <w:t xml:space="preserve"> </w:t>
      </w:r>
      <w:r>
        <w:t xml:space="preserve">· Once-weekly cagrilintide for weight management in people with overweight and obesity: a multicentre, randomised, double-blind, placebo-controlled and active-controlled, dose-finding phase 2 trial. PMID 34798060</w:t>
      </w:r>
    </w:p>
    <w:p>
      <w:pPr>
        <w:numPr>
          <w:ilvl w:val="0"/>
          <w:numId w:val="1377"/>
        </w:numPr>
        <w:pStyle w:val="Compact"/>
      </w:pPr>
      <w:r>
        <w:t xml:space="preserve">2021 · Yu DN ·</w:t>
      </w:r>
      <w:r>
        <w:t xml:space="preserve"> </w:t>
      </w:r>
      <w:r>
        <w:rPr>
          <w:iCs/>
          <w:i/>
        </w:rPr>
        <w:t xml:space="preserve">Zhonghua Nei Ke Za Zhi</w:t>
      </w:r>
      <w:r>
        <w:t xml:space="preserve"> </w:t>
      </w:r>
      <w:r>
        <w:t xml:space="preserve">· [The effects of liraglutide on body composition and muscle strength in adult obese patients with type 2 diabetes mellitus]. PMID 34689519</w:t>
      </w:r>
    </w:p>
    <w:p>
      <w:pPr>
        <w:numPr>
          <w:ilvl w:val="0"/>
          <w:numId w:val="1377"/>
        </w:numPr>
        <w:pStyle w:val="Compact"/>
      </w:pPr>
      <w:r>
        <w:t xml:space="preserve">2021 · Zobel EH ·</w:t>
      </w:r>
      <w:r>
        <w:t xml:space="preserve"> </w:t>
      </w:r>
      <w:r>
        <w:rPr>
          <w:iCs/>
          <w:i/>
        </w:rPr>
        <w:t xml:space="preserve">Sci Rep</w:t>
      </w:r>
      <w:r>
        <w:t xml:space="preserve"> </w:t>
      </w:r>
      <w:r>
        <w:t xml:space="preserve">· Effect of liraglutide on expression of inflammatory genes in type 2 diabetes. PMID 34535716</w:t>
      </w:r>
    </w:p>
    <w:p>
      <w:pPr>
        <w:numPr>
          <w:ilvl w:val="0"/>
          <w:numId w:val="1377"/>
        </w:numPr>
        <w:pStyle w:val="Compact"/>
      </w:pPr>
      <w:r>
        <w:t xml:space="preserve">2021 · Zobel EH ·</w:t>
      </w:r>
      <w:r>
        <w:t xml:space="preserve"> </w:t>
      </w:r>
      <w:r>
        <w:rPr>
          <w:iCs/>
          <w:i/>
        </w:rPr>
        <w:t xml:space="preserve">BMJ Open Diabetes Res Care</w:t>
      </w:r>
      <w:r>
        <w:t xml:space="preserve"> </w:t>
      </w:r>
      <w:r>
        <w:t xml:space="preserve">· Ceramides and phospholipids are downregulated with liraglutide treatment: results from the LiraFlame randomized controlled trial. PMID 34518158</w:t>
      </w:r>
    </w:p>
    <w:p>
      <w:pPr>
        <w:numPr>
          <w:ilvl w:val="0"/>
          <w:numId w:val="1377"/>
        </w:numPr>
        <w:pStyle w:val="Compact"/>
      </w:pPr>
      <w:r>
        <w:t xml:space="preserve">2021 · Araki E ·</w:t>
      </w:r>
      <w:r>
        <w:t xml:space="preserve"> </w:t>
      </w:r>
      <w:r>
        <w:rPr>
          <w:iCs/>
          <w:i/>
        </w:rPr>
        <w:t xml:space="preserve">Diabetes Obes Metab</w:t>
      </w:r>
      <w:r>
        <w:t xml:space="preserve"> </w:t>
      </w:r>
      <w:r>
        <w:t xml:space="preserve">· Efficacy and safety of oral semaglutide in Japanese patients with type 2 diabetes: A post hoc subgroup analysis of the PIONEER 1, 3, 4 and 8 trials. PMID 34472698</w:t>
      </w:r>
    </w:p>
    <w:p>
      <w:pPr>
        <w:numPr>
          <w:ilvl w:val="0"/>
          <w:numId w:val="1377"/>
        </w:numPr>
        <w:pStyle w:val="Compact"/>
      </w:pPr>
      <w:r>
        <w:t xml:space="preserve">2021 · Dejgaard TF ·</w:t>
      </w:r>
      <w:r>
        <w:t xml:space="preserve"> </w:t>
      </w:r>
      <w:r>
        <w:rPr>
          <w:iCs/>
          <w:i/>
        </w:rPr>
        <w:t xml:space="preserve">Diabetes Obes Metab</w:t>
      </w:r>
      <w:r>
        <w:t xml:space="preserve"> </w:t>
      </w:r>
      <w:r>
        <w:t xml:space="preserve">· Efficacy and safety of liraglutide in type 1 diabetes by baseline characteristics in the ADJUNCT ONE and ADJUNCT TWO randomized controlled trials. PMID 34463425</w:t>
      </w:r>
    </w:p>
    <w:p>
      <w:pPr>
        <w:numPr>
          <w:ilvl w:val="0"/>
          <w:numId w:val="1377"/>
        </w:numPr>
        <w:pStyle w:val="Compact"/>
      </w:pPr>
      <w:r>
        <w:t xml:space="preserve">2021 · Pei Y ·</w:t>
      </w:r>
      <w:r>
        <w:t xml:space="preserve"> </w:t>
      </w:r>
      <w:r>
        <w:rPr>
          <w:iCs/>
          <w:i/>
        </w:rPr>
        <w:t xml:space="preserve">Diabetes Obes Metab</w:t>
      </w:r>
      <w:r>
        <w:t xml:space="preserve"> </w:t>
      </w:r>
      <w:r>
        <w:t xml:space="preserve">· DUAL II China: Superior HbA1c reductions and weight loss with insulin degludec/liraglutide (IDegLira) versus insulin degludec in a randomized trial of Chinese people with type 2 diabetes inadequately controlled on basal insulin. PMID 34387411</w:t>
      </w:r>
    </w:p>
    <w:p>
      <w:pPr>
        <w:numPr>
          <w:ilvl w:val="0"/>
          <w:numId w:val="1377"/>
        </w:numPr>
        <w:pStyle w:val="Compact"/>
      </w:pPr>
      <w:r>
        <w:t xml:space="preserve">2021 · Rasmussen IKB ·</w:t>
      </w:r>
      <w:r>
        <w:t xml:space="preserve"> </w:t>
      </w:r>
      <w:r>
        <w:rPr>
          <w:iCs/>
          <w:i/>
        </w:rPr>
        <w:t xml:space="preserve">Diabetes Obes Metab</w:t>
      </w:r>
      <w:r>
        <w:t xml:space="preserve"> </w:t>
      </w:r>
      <w:r>
        <w:t xml:space="preserve">· Liraglutide reduces cardiac adipose tissue in type 2 diabetes: A secondary analysis of the LIRAFLAME randomized placebo-controlled trial. PMID 34387408</w:t>
      </w:r>
    </w:p>
    <w:p>
      <w:pPr>
        <w:numPr>
          <w:ilvl w:val="0"/>
          <w:numId w:val="1377"/>
        </w:numPr>
        <w:pStyle w:val="Compact"/>
      </w:pPr>
      <w:r>
        <w:t xml:space="preserve">2021 · Neeland IJ ·</w:t>
      </w:r>
      <w:r>
        <w:t xml:space="preserve"> </w:t>
      </w:r>
      <w:r>
        <w:rPr>
          <w:iCs/>
          <w:i/>
        </w:rPr>
        <w:t xml:space="preserve">Lancet Diabetes Endocrinol</w:t>
      </w:r>
      <w:r>
        <w:t xml:space="preserve"> </w:t>
      </w:r>
      <w:r>
        <w:t xml:space="preserve">· Effects of liraglutide on visceral and ectopic fat in adults with overweight and obesity at high cardiovascular risk: a randomised, double-blind, placebo-controlled, clinical trial. PMID 34358471</w:t>
      </w:r>
    </w:p>
    <w:p>
      <w:pPr>
        <w:numPr>
          <w:ilvl w:val="0"/>
          <w:numId w:val="1377"/>
        </w:numPr>
        <w:pStyle w:val="Compact"/>
      </w:pPr>
      <w:r>
        <w:t xml:space="preserve">2021 · Samson SL ·</w:t>
      </w:r>
      <w:r>
        <w:t xml:space="preserve"> </w:t>
      </w:r>
      <w:r>
        <w:rPr>
          <w:iCs/>
          <w:i/>
        </w:rPr>
        <w:t xml:space="preserve">Pituitary</w:t>
      </w:r>
      <w:r>
        <w:t xml:space="preserve"> </w:t>
      </w:r>
      <w:r>
        <w:t xml:space="preserve">· Managing pasireotide-associated hyperglycemia: a randomized, open-label, Phase IV study. PMID 34275099</w:t>
      </w:r>
    </w:p>
    <w:p>
      <w:pPr>
        <w:numPr>
          <w:ilvl w:val="0"/>
          <w:numId w:val="1377"/>
        </w:numPr>
        <w:pStyle w:val="Compact"/>
      </w:pPr>
      <w:r>
        <w:t xml:space="preserve">2021 · Pantalone KM ·</w:t>
      </w:r>
      <w:r>
        <w:t xml:space="preserve"> </w:t>
      </w:r>
      <w:r>
        <w:rPr>
          <w:iCs/>
          <w:i/>
        </w:rPr>
        <w:t xml:space="preserve">JAMA Netw Open</w:t>
      </w:r>
      <w:r>
        <w:t xml:space="preserve"> </w:t>
      </w:r>
      <w:r>
        <w:t xml:space="preserve">· Effectiveness of Combining Antiobesity Medication With an Employer-Based Weight Management Program for Treatment of Obesity: A Randomized Clinical Trial. PMID 34255049</w:t>
      </w:r>
    </w:p>
    <w:p>
      <w:pPr>
        <w:numPr>
          <w:ilvl w:val="0"/>
          <w:numId w:val="1377"/>
        </w:numPr>
        <w:pStyle w:val="Compact"/>
      </w:pPr>
      <w:r>
        <w:t xml:space="preserve">2021 · Li Q ·</w:t>
      </w:r>
      <w:r>
        <w:t xml:space="preserve"> </w:t>
      </w:r>
      <w:r>
        <w:rPr>
          <w:iCs/>
          <w:i/>
        </w:rPr>
        <w:t xml:space="preserve">J Am Heart Assoc</w:t>
      </w:r>
      <w:r>
        <w:t xml:space="preserve"> </w:t>
      </w:r>
      <w:r>
        <w:t xml:space="preserve">· Activation of Glucagon-Like Peptide-1 Receptor Ameliorates Cognitive Decline in Type 2 Diabetes Mellitus Through a Metabolism-Independent Pathway. PMID 34250817</w:t>
      </w:r>
    </w:p>
    <w:p>
      <w:pPr>
        <w:numPr>
          <w:ilvl w:val="0"/>
          <w:numId w:val="1377"/>
        </w:numPr>
        <w:pStyle w:val="Compact"/>
      </w:pPr>
      <w:r>
        <w:t xml:space="preserve">2021 · Quast DR ·</w:t>
      </w:r>
      <w:r>
        <w:t xml:space="preserve"> </w:t>
      </w:r>
      <w:r>
        <w:rPr>
          <w:iCs/>
          <w:i/>
        </w:rPr>
        <w:t xml:space="preserve">Diabetes Obes Metab</w:t>
      </w:r>
      <w:r>
        <w:t xml:space="preserve"> </w:t>
      </w:r>
      <w:r>
        <w:t xml:space="preserve">· Macronutrient intake, appetite, food preferences and exocrine pancreas function after treatment with short- and long-acting glucagon-like peptide-1 receptor agonists in type 2 diabetes. PMID 34189834</w:t>
      </w:r>
    </w:p>
    <w:p>
      <w:pPr>
        <w:numPr>
          <w:ilvl w:val="0"/>
          <w:numId w:val="1377"/>
        </w:numPr>
        <w:pStyle w:val="Compact"/>
      </w:pPr>
      <w:r>
        <w:t xml:space="preserve">2021 · Bojer AS ·</w:t>
      </w:r>
      <w:r>
        <w:t xml:space="preserve"> </w:t>
      </w:r>
      <w:r>
        <w:rPr>
          <w:iCs/>
          <w:i/>
        </w:rPr>
        <w:t xml:space="preserve">Diabetes Obes Metab</w:t>
      </w:r>
      <w:r>
        <w:t xml:space="preserve"> </w:t>
      </w:r>
      <w:r>
        <w:t xml:space="preserve">· Metabolic improvement with short-term, glucagon-like peptide-1 receptor agonist treatment does not improve cardiac diastolic dysfunction in patients with type 2 diabetes: A randomized, double-blind, placebo-controlled trial. PMID 34189832</w:t>
      </w:r>
    </w:p>
    <w:p>
      <w:pPr>
        <w:numPr>
          <w:ilvl w:val="0"/>
          <w:numId w:val="1377"/>
        </w:numPr>
        <w:pStyle w:val="Compact"/>
      </w:pPr>
      <w:r>
        <w:t xml:space="preserve">2021 · Ripa RS ·</w:t>
      </w:r>
      <w:r>
        <w:t xml:space="preserve"> </w:t>
      </w:r>
      <w:r>
        <w:rPr>
          <w:iCs/>
          <w:i/>
        </w:rPr>
        <w:t xml:space="preserve">Circ Cardiovasc Imaging</w:t>
      </w:r>
      <w:r>
        <w:t xml:space="preserve"> </w:t>
      </w:r>
      <w:r>
        <w:t xml:space="preserve">· Effect of Liraglutide on Arterial Inflammation Assessed as [(18)F]FDG Uptake in Patients With Type 2 Diabetes: A Randomized, Double-Blind, Placebo-Controlled Trial. PMID 34187185</w:t>
      </w:r>
    </w:p>
    <w:p>
      <w:pPr>
        <w:numPr>
          <w:ilvl w:val="0"/>
          <w:numId w:val="1377"/>
        </w:numPr>
        <w:pStyle w:val="Compact"/>
      </w:pPr>
      <w:r>
        <w:t xml:space="preserve">2021 · Hompesch M ·</w:t>
      </w:r>
      <w:r>
        <w:t xml:space="preserve"> </w:t>
      </w:r>
      <w:r>
        <w:rPr>
          <w:iCs/>
          <w:i/>
        </w:rPr>
        <w:t xml:space="preserve">BMJ Open Diabetes Res Care</w:t>
      </w:r>
      <w:r>
        <w:t xml:space="preserve"> </w:t>
      </w:r>
      <w:r>
        <w:t xml:space="preserve">· Effects of efpeglenatide versus liraglutide on gastric emptying, glucose metabolism and beta-cell function in people with type 2 diabetes: an exploratory, randomized phase Ib study. PMID 34172436</w:t>
      </w:r>
    </w:p>
    <w:p>
      <w:pPr>
        <w:numPr>
          <w:ilvl w:val="0"/>
          <w:numId w:val="1377"/>
        </w:numPr>
        <w:pStyle w:val="Compact"/>
      </w:pPr>
      <w:r>
        <w:t xml:space="preserve">2021 · Kahn SE ·</w:t>
      </w:r>
      <w:r>
        <w:t xml:space="preserve"> </w:t>
      </w:r>
      <w:r>
        <w:rPr>
          <w:iCs/>
          <w:i/>
        </w:rPr>
        <w:t xml:space="preserve">Diabetes Care</w:t>
      </w:r>
      <w:r>
        <w:t xml:space="preserve"> </w:t>
      </w:r>
      <w:r>
        <w:t xml:space="preserve">· Effect of Medical and Surgical Interventions on α-Cell Function in Dysglycemic Youth and Adults in the RISE Study. PMID 34135015</w:t>
      </w:r>
    </w:p>
    <w:p>
      <w:pPr>
        <w:numPr>
          <w:ilvl w:val="0"/>
          <w:numId w:val="1377"/>
        </w:numPr>
        <w:pStyle w:val="Compact"/>
      </w:pPr>
      <w:r>
        <w:t xml:space="preserve">2021 · Blonde L ·</w:t>
      </w:r>
      <w:r>
        <w:t xml:space="preserve"> </w:t>
      </w:r>
      <w:r>
        <w:rPr>
          <w:iCs/>
          <w:i/>
        </w:rPr>
        <w:t xml:space="preserve">Diabetes Obes Metab</w:t>
      </w:r>
      <w:r>
        <w:t xml:space="preserve"> </w:t>
      </w:r>
      <w:r>
        <w:t xml:space="preserve">· Efficacy of liraglutide added to sodium-glucose cotransporter-2 inhibitors in type 2 diabetes, stratified by baseline characteristics: Post-hoc analysis of LIRA-ADD2SGLT2i. PMID 34132018</w:t>
      </w:r>
    </w:p>
    <w:p>
      <w:pPr>
        <w:numPr>
          <w:ilvl w:val="0"/>
          <w:numId w:val="1377"/>
        </w:numPr>
        <w:pStyle w:val="Compact"/>
      </w:pPr>
      <w:r>
        <w:t xml:space="preserve">2021 · Sam S ·</w:t>
      </w:r>
      <w:r>
        <w:t xml:space="preserve"> </w:t>
      </w:r>
      <w:r>
        <w:rPr>
          <w:iCs/>
          <w:i/>
        </w:rPr>
        <w:t xml:space="preserve">Diabetes Care</w:t>
      </w:r>
      <w:r>
        <w:t xml:space="preserve"> </w:t>
      </w:r>
      <w:r>
        <w:t xml:space="preserve">· Baseline Predictors of Glycemic Worsening in Youth and Adults With Impaired Glucose Tolerance or Recently Diagnosed Type 2 Diabetes in the Restoring Insulin Secretion (RISE) Study. PMID 34131048</w:t>
      </w:r>
    </w:p>
    <w:p>
      <w:pPr>
        <w:numPr>
          <w:ilvl w:val="0"/>
          <w:numId w:val="1377"/>
        </w:numPr>
        <w:pStyle w:val="Compact"/>
      </w:pPr>
      <w:r>
        <w:t xml:space="preserve">2021 · Sharma A ·</w:t>
      </w:r>
      <w:r>
        <w:t xml:space="preserve"> </w:t>
      </w:r>
      <w:r>
        <w:rPr>
          <w:iCs/>
          <w:i/>
        </w:rPr>
        <w:t xml:space="preserve">ESC Heart Fail</w:t>
      </w:r>
      <w:r>
        <w:t xml:space="preserve"> </w:t>
      </w:r>
      <w:r>
        <w:t xml:space="preserve">· Growth differentiation factor-15, treatment with liraglutide, and clinical outcomes among patients with heart failure. PMID 34061470</w:t>
      </w:r>
    </w:p>
    <w:p>
      <w:pPr>
        <w:numPr>
          <w:ilvl w:val="0"/>
          <w:numId w:val="1377"/>
        </w:numPr>
        <w:pStyle w:val="Compact"/>
      </w:pPr>
      <w:r>
        <w:t xml:space="preserve">2021 · Nahra R ·</w:t>
      </w:r>
      <w:r>
        <w:t xml:space="preserve"> </w:t>
      </w:r>
      <w:r>
        <w:rPr>
          <w:iCs/>
          <w:i/>
        </w:rPr>
        <w:t xml:space="preserve">Diabetes Care</w:t>
      </w:r>
      <w:r>
        <w:t xml:space="preserve"> </w:t>
      </w:r>
      <w:r>
        <w:t xml:space="preserve">· Effects of Cotadutide on Metabolic and Hepatic Parameters in Adults With Overweight or Obesity and Type 2 Diabetes: A 54-Week Randomized Phase 2b Study. PMID 34016612</w:t>
      </w:r>
    </w:p>
    <w:p>
      <w:pPr>
        <w:numPr>
          <w:ilvl w:val="0"/>
          <w:numId w:val="1377"/>
        </w:numPr>
        <w:pStyle w:val="Compact"/>
      </w:pPr>
      <w:r>
        <w:t xml:space="preserve">2021 · Sivalingam S ·</w:t>
      </w:r>
      <w:r>
        <w:t xml:space="preserve"> </w:t>
      </w:r>
      <w:r>
        <w:rPr>
          <w:iCs/>
          <w:i/>
        </w:rPr>
        <w:t xml:space="preserve">Sci Rep</w:t>
      </w:r>
      <w:r>
        <w:t xml:space="preserve"> </w:t>
      </w:r>
      <w:r>
        <w:t xml:space="preserve">· The effect of liraglutide and sitagliptin on oxidative stress in persons with type 2 diabetes. PMID 34012064</w:t>
      </w:r>
    </w:p>
    <w:p>
      <w:pPr>
        <w:numPr>
          <w:ilvl w:val="0"/>
          <w:numId w:val="1377"/>
        </w:numPr>
        <w:pStyle w:val="Compact"/>
      </w:pPr>
      <w:r>
        <w:t xml:space="preserve">2021 · Brooks-Worrell BM ·</w:t>
      </w:r>
      <w:r>
        <w:t xml:space="preserve"> </w:t>
      </w:r>
      <w:r>
        <w:rPr>
          <w:iCs/>
          <w:i/>
        </w:rPr>
        <w:t xml:space="preserve">Front Immunol</w:t>
      </w:r>
      <w:r>
        <w:t xml:space="preserve"> </w:t>
      </w:r>
      <w:r>
        <w:t xml:space="preserve">· Islet Autoimmunity in Adults With Impaired Glucose Tolerance and Recently Diagnosed, Treatment Naïve Type 2 Diabetes in the Restoring Insulin SEcretion (RISE) Study. PMID 33981301</w:t>
      </w:r>
    </w:p>
    <w:p>
      <w:pPr>
        <w:numPr>
          <w:ilvl w:val="0"/>
          <w:numId w:val="1377"/>
        </w:numPr>
        <w:pStyle w:val="Compact"/>
      </w:pPr>
      <w:r>
        <w:t xml:space="preserve">2021 · Lundgren JR ·</w:t>
      </w:r>
      <w:r>
        <w:t xml:space="preserve"> </w:t>
      </w:r>
      <w:r>
        <w:rPr>
          <w:iCs/>
          <w:i/>
        </w:rPr>
        <w:t xml:space="preserve">N Engl J Med</w:t>
      </w:r>
      <w:r>
        <w:t xml:space="preserve"> </w:t>
      </w:r>
      <w:r>
        <w:t xml:space="preserve">· Healthy Weight Loss Maintenance with Exercise, Liraglutide, or Both Combined. PMID 33951361</w:t>
      </w:r>
    </w:p>
    <w:p>
      <w:pPr>
        <w:numPr>
          <w:ilvl w:val="0"/>
          <w:numId w:val="1377"/>
        </w:numPr>
        <w:pStyle w:val="Compact"/>
      </w:pPr>
      <w:r>
        <w:t xml:space="preserve">2021 · Schiavon M ·</w:t>
      </w:r>
      <w:r>
        <w:t xml:space="preserve"> </w:t>
      </w:r>
      <w:r>
        <w:rPr>
          <w:iCs/>
          <w:i/>
        </w:rPr>
        <w:t xml:space="preserve">Diabetes Obes Metab</w:t>
      </w:r>
      <w:r>
        <w:t xml:space="preserve"> </w:t>
      </w:r>
      <w:r>
        <w:t xml:space="preserve">· Improved postprandial glucose metabolism in type 2 diabetes by the dual glucagon-like peptide-1/glucagon receptor agonist SAR425899 in comparison with liraglutide. PMID 33822469</w:t>
      </w:r>
    </w:p>
    <w:p>
      <w:pPr>
        <w:numPr>
          <w:ilvl w:val="0"/>
          <w:numId w:val="1377"/>
        </w:numPr>
        <w:pStyle w:val="Compact"/>
      </w:pPr>
      <w:r>
        <w:t xml:space="preserve">2021 · von Herrath M ·</w:t>
      </w:r>
      <w:r>
        <w:t xml:space="preserve"> </w:t>
      </w:r>
      <w:r>
        <w:rPr>
          <w:iCs/>
          <w:i/>
        </w:rPr>
        <w:t xml:space="preserve">Lancet Diabetes Endocrinol</w:t>
      </w:r>
      <w:r>
        <w:t xml:space="preserve"> </w:t>
      </w:r>
      <w:r>
        <w:t xml:space="preserve">· Anti-interleukin-21 antibody and liraglutide for the preservation of β-cell function in adults with recent-onset type 1 diabetes: a randomised, double-blind, placebo-controlled, phase 2 trial. PMID 33662334</w:t>
      </w:r>
    </w:p>
    <w:p>
      <w:pPr>
        <w:numPr>
          <w:ilvl w:val="0"/>
          <w:numId w:val="1377"/>
        </w:numPr>
        <w:pStyle w:val="Compact"/>
      </w:pPr>
      <w:r>
        <w:t xml:space="preserve">2021 · Ando Y ·</w:t>
      </w:r>
      <w:r>
        <w:t xml:space="preserve"> </w:t>
      </w:r>
      <w:r>
        <w:rPr>
          <w:iCs/>
          <w:i/>
        </w:rPr>
        <w:t xml:space="preserve">J Diabetes Investig</w:t>
      </w:r>
      <w:r>
        <w:t xml:space="preserve"> </w:t>
      </w:r>
      <w:r>
        <w:t xml:space="preserve">· Simplification of complex insulin regimens using canagliflozin or liraglutide in patients with well-controlled type 2 diabetes: A 24-week randomized controlled trial. PMID 33650779</w:t>
      </w:r>
    </w:p>
    <w:p>
      <w:pPr>
        <w:numPr>
          <w:ilvl w:val="0"/>
          <w:numId w:val="1377"/>
        </w:numPr>
        <w:pStyle w:val="Compact"/>
      </w:pPr>
      <w:r>
        <w:t xml:space="preserve">2021 · Bensignor MO ·</w:t>
      </w:r>
      <w:r>
        <w:t xml:space="preserve"> </w:t>
      </w:r>
      <w:r>
        <w:rPr>
          <w:iCs/>
          <w:i/>
        </w:rPr>
        <w:t xml:space="preserve">Pediatr Obes</w:t>
      </w:r>
      <w:r>
        <w:t xml:space="preserve"> </w:t>
      </w:r>
      <w:r>
        <w:t xml:space="preserve">· Effect of liraglutide treatment on body mass index and weight parameters in children and adolescents with type 2 diabetes: Post hoc analysis of the ellipse trial. PMID 33634589</w:t>
      </w:r>
    </w:p>
    <w:p>
      <w:pPr>
        <w:numPr>
          <w:ilvl w:val="0"/>
          <w:numId w:val="1377"/>
        </w:numPr>
        <w:pStyle w:val="Compact"/>
      </w:pPr>
      <w:r>
        <w:t xml:space="preserve">2021 · Wegeberg AM ·</w:t>
      </w:r>
      <w:r>
        <w:t xml:space="preserve"> </w:t>
      </w:r>
      <w:r>
        <w:rPr>
          <w:iCs/>
          <w:i/>
        </w:rPr>
        <w:t xml:space="preserve">Basic Clin Pharmacol Toxicol</w:t>
      </w:r>
      <w:r>
        <w:t xml:space="preserve"> </w:t>
      </w:r>
      <w:r>
        <w:t xml:space="preserve">· Subcutaneous adipose tissue composition and function are unaffected by liraglutide-induced weight loss in adults with type 1 diabetes. PMID 33624417</w:t>
      </w:r>
    </w:p>
    <w:p>
      <w:pPr>
        <w:numPr>
          <w:ilvl w:val="0"/>
          <w:numId w:val="1377"/>
        </w:numPr>
        <w:pStyle w:val="Compact"/>
      </w:pPr>
      <w:r>
        <w:t xml:space="preserve">2021 · Pasquel FJ ·</w:t>
      </w:r>
      <w:r>
        <w:t xml:space="preserve"> </w:t>
      </w:r>
      <w:r>
        <w:rPr>
          <w:iCs/>
          <w:i/>
        </w:rPr>
        <w:t xml:space="preserve">Diabetes Obes Metab</w:t>
      </w:r>
      <w:r>
        <w:t xml:space="preserve"> </w:t>
      </w:r>
      <w:r>
        <w:t xml:space="preserve">· Liraglutide hospital discharge trial: A randomized controlled trial comparing the safety and efficacy of liraglutide versus insulin glargine for the management of patients with type 2 diabetes after hospital discharge. PMID 33591621</w:t>
      </w:r>
    </w:p>
    <w:p>
      <w:pPr>
        <w:numPr>
          <w:ilvl w:val="0"/>
          <w:numId w:val="1377"/>
        </w:numPr>
        <w:pStyle w:val="Compact"/>
      </w:pPr>
      <w:r>
        <w:t xml:space="preserve">2021 · Grannell A ·</w:t>
      </w:r>
      <w:r>
        <w:t xml:space="preserve"> </w:t>
      </w:r>
      <w:r>
        <w:rPr>
          <w:iCs/>
          <w:i/>
        </w:rPr>
        <w:t xml:space="preserve">Obesity (Silver Spring)</w:t>
      </w:r>
      <w:r>
        <w:t xml:space="preserve"> </w:t>
      </w:r>
      <w:r>
        <w:t xml:space="preserve">· Liraglutide Does Not Adversely Impact Fat-Free Mass Loss. PMID 33528919</w:t>
      </w:r>
    </w:p>
    <w:p>
      <w:pPr>
        <w:numPr>
          <w:ilvl w:val="0"/>
          <w:numId w:val="1377"/>
        </w:numPr>
        <w:pStyle w:val="Compact"/>
      </w:pPr>
      <w:r>
        <w:t xml:space="preserve">2021 · Whicher CA ·</w:t>
      </w:r>
      <w:r>
        <w:t xml:space="preserve"> </w:t>
      </w:r>
      <w:r>
        <w:rPr>
          <w:iCs/>
          <w:i/>
        </w:rPr>
        <w:t xml:space="preserve">Diabetes Obes Metab</w:t>
      </w:r>
      <w:r>
        <w:t xml:space="preserve"> </w:t>
      </w:r>
      <w:r>
        <w:t xml:space="preserve">· The use of liraglutide 3.0 mg daily in the management of overweight and obesity in people with schizophrenia, schizoaffective disorder and first episode psychosis: Results of a pilot randomized, double-blind, placebo-controlled trial. PMID 33528914</w:t>
      </w:r>
    </w:p>
    <w:p>
      <w:pPr>
        <w:numPr>
          <w:ilvl w:val="0"/>
          <w:numId w:val="1377"/>
        </w:numPr>
        <w:pStyle w:val="Compact"/>
      </w:pPr>
      <w:r>
        <w:t xml:space="preserve">2021 · Persson F ·</w:t>
      </w:r>
      <w:r>
        <w:t xml:space="preserve"> </w:t>
      </w:r>
      <w:r>
        <w:rPr>
          <w:iCs/>
          <w:i/>
        </w:rPr>
        <w:t xml:space="preserve">Diabetes Care</w:t>
      </w:r>
      <w:r>
        <w:t xml:space="preserve"> </w:t>
      </w:r>
      <w:r>
        <w:t xml:space="preserve">· Changes in Albuminuria Predict Cardiovascular and Renal Outcomes in Type 2 Diabetes: A Post Hoc Analysis of the LEADER Trial. PMID 33504496</w:t>
      </w:r>
    </w:p>
    <w:p>
      <w:pPr>
        <w:numPr>
          <w:ilvl w:val="0"/>
          <w:numId w:val="1377"/>
        </w:numPr>
        <w:pStyle w:val="Compact"/>
      </w:pPr>
      <w:r>
        <w:t xml:space="preserve">2021 · Alba M ·</w:t>
      </w:r>
      <w:r>
        <w:t xml:space="preserve"> </w:t>
      </w:r>
      <w:r>
        <w:rPr>
          <w:iCs/>
          <w:i/>
        </w:rPr>
        <w:t xml:space="preserve">Clin Obes</w:t>
      </w:r>
      <w:r>
        <w:t xml:space="preserve"> </w:t>
      </w:r>
      <w:r>
        <w:t xml:space="preserve">· Efficacy and safety of glucagon-like peptide-1/glucagon receptor co-agonist JNJ-64565111 in individuals with obesity without type 2 diabetes mellitus: A randomized dose-ranging study. PMID 33475255</w:t>
      </w:r>
    </w:p>
    <w:p>
      <w:pPr>
        <w:numPr>
          <w:ilvl w:val="0"/>
          <w:numId w:val="1377"/>
        </w:numPr>
        <w:pStyle w:val="Compact"/>
      </w:pPr>
      <w:r>
        <w:t xml:space="preserve">2021 · Gudbergsen H ·</w:t>
      </w:r>
      <w:r>
        <w:t xml:space="preserve"> </w:t>
      </w:r>
      <w:r>
        <w:rPr>
          <w:iCs/>
          <w:i/>
        </w:rPr>
        <w:t xml:space="preserve">Am J Clin Nutr</w:t>
      </w:r>
      <w:r>
        <w:t xml:space="preserve"> </w:t>
      </w:r>
      <w:r>
        <w:t xml:space="preserve">· Liraglutide after diet-induced weight loss for pain and weight control in knee osteoarthritis: a randomized controlled trial. PMID 33471039</w:t>
      </w:r>
    </w:p>
    <w:p>
      <w:pPr>
        <w:numPr>
          <w:ilvl w:val="0"/>
          <w:numId w:val="1377"/>
        </w:numPr>
        <w:pStyle w:val="Compact"/>
      </w:pPr>
      <w:r>
        <w:t xml:space="preserve">2021 · Smits MM ·</w:t>
      </w:r>
      <w:r>
        <w:t xml:space="preserve"> </w:t>
      </w:r>
      <w:r>
        <w:rPr>
          <w:iCs/>
          <w:i/>
        </w:rPr>
        <w:t xml:space="preserve">Diabetes Metab</w:t>
      </w:r>
      <w:r>
        <w:t xml:space="preserve"> </w:t>
      </w:r>
      <w:r>
        <w:t xml:space="preserve">· Liraglutide and sitagliptin have no effect on intestinal microbiota composition: A 12-week randomized placebo-controlled trial in adults with type 2 diabetes. PMID 33429063</w:t>
      </w:r>
    </w:p>
    <w:p>
      <w:pPr>
        <w:numPr>
          <w:ilvl w:val="0"/>
          <w:numId w:val="1377"/>
        </w:numPr>
        <w:pStyle w:val="Compact"/>
      </w:pPr>
      <w:r>
        <w:t xml:space="preserve">2021 · Kumarathurai P ·</w:t>
      </w:r>
      <w:r>
        <w:t xml:space="preserve"> </w:t>
      </w:r>
      <w:r>
        <w:rPr>
          <w:iCs/>
          <w:i/>
        </w:rPr>
        <w:t xml:space="preserve">Cardiovasc Diabetol</w:t>
      </w:r>
      <w:r>
        <w:t xml:space="preserve"> </w:t>
      </w:r>
      <w:r>
        <w:t xml:space="preserve">· Effects of liraglutide on diastolic function parameters in patients with type 2 diabetes and coronary artery disease: a randomized crossover study. PMID 33413428</w:t>
      </w:r>
    </w:p>
    <w:p>
      <w:pPr>
        <w:numPr>
          <w:ilvl w:val="0"/>
          <w:numId w:val="1377"/>
        </w:numPr>
        <w:pStyle w:val="Compact"/>
      </w:pPr>
      <w:r>
        <w:t xml:space="preserve">2021 · Maagensen H ·</w:t>
      </w:r>
      <w:r>
        <w:t xml:space="preserve"> </w:t>
      </w:r>
      <w:r>
        <w:rPr>
          <w:iCs/>
          <w:i/>
        </w:rPr>
        <w:t xml:space="preserve">Psychiatry Res</w:t>
      </w:r>
      <w:r>
        <w:t xml:space="preserve"> </w:t>
      </w:r>
      <w:r>
        <w:t xml:space="preserve">· Liraglutide does not change bone turnover in clozapine- and olanzapine-treated schizophrenia overweight patients with prediabetes - randomized controlled trial. PMID 33373806</w:t>
      </w:r>
    </w:p>
    <w:p>
      <w:pPr>
        <w:numPr>
          <w:ilvl w:val="0"/>
          <w:numId w:val="1377"/>
        </w:numPr>
        <w:pStyle w:val="Compact"/>
      </w:pPr>
      <w:r>
        <w:t xml:space="preserve">2021 · van Baar ACG ·</w:t>
      </w:r>
      <w:r>
        <w:t xml:space="preserve"> </w:t>
      </w:r>
      <w:r>
        <w:rPr>
          <w:iCs/>
          <w:i/>
        </w:rPr>
        <w:t xml:space="preserve">Gastrointest Endosc</w:t>
      </w:r>
      <w:r>
        <w:t xml:space="preserve"> </w:t>
      </w:r>
      <w:r>
        <w:t xml:space="preserve">· Duodenal mucosal resurfacing combined with glucagon-like peptide-1 receptor agonism to discontinue insulin in type 2 diabetes: a feasibility study. PMID 33359437</w:t>
      </w:r>
    </w:p>
    <w:p>
      <w:pPr>
        <w:numPr>
          <w:ilvl w:val="0"/>
          <w:numId w:val="1377"/>
        </w:numPr>
        <w:pStyle w:val="Compact"/>
      </w:pPr>
      <w:r>
        <w:t xml:space="preserve">2021 · Dekkers IA ·</w:t>
      </w:r>
      <w:r>
        <w:t xml:space="preserve"> </w:t>
      </w:r>
      <w:r>
        <w:rPr>
          <w:iCs/>
          <w:i/>
        </w:rPr>
        <w:t xml:space="preserve">J Ren Nutr</w:t>
      </w:r>
      <w:r>
        <w:t xml:space="preserve"> </w:t>
      </w:r>
      <w:r>
        <w:t xml:space="preserve">· The Effect of Glycemic Control on Renal Triglyceride Content Assessed by Proton Spectroscopy in Patients With Type 2 Diabetes Mellitus: A Single-Center Parallel-Group Trial. PMID 33293204</w:t>
      </w:r>
    </w:p>
    <w:p>
      <w:pPr>
        <w:numPr>
          <w:ilvl w:val="0"/>
          <w:numId w:val="1377"/>
        </w:numPr>
        <w:pStyle w:val="Compact"/>
      </w:pPr>
      <w:r>
        <w:t xml:space="preserve">2021 · Kim SH ·</w:t>
      </w:r>
      <w:r>
        <w:t xml:space="preserve"> </w:t>
      </w:r>
      <w:r>
        <w:rPr>
          <w:iCs/>
          <w:i/>
        </w:rPr>
        <w:t xml:space="preserve">Diabetes Obes Metab</w:t>
      </w:r>
      <w:r>
        <w:t xml:space="preserve"> </w:t>
      </w:r>
      <w:r>
        <w:t xml:space="preserve">· Effect of the glucagon-like peptide-1 analogue liraglutide versus placebo treatment on circulating proglucagon-derived peptides that mediate improvements in body weight, insulin secretion and action: A randomized controlled trial. PMID 33140542</w:t>
      </w:r>
    </w:p>
    <w:p>
      <w:pPr>
        <w:numPr>
          <w:ilvl w:val="0"/>
          <w:numId w:val="1377"/>
        </w:numPr>
        <w:pStyle w:val="Compact"/>
      </w:pPr>
      <w:r>
        <w:t xml:space="preserve">2021 · Aso Y ·</w:t>
      </w:r>
      <w:r>
        <w:t xml:space="preserve"> </w:t>
      </w:r>
      <w:r>
        <w:rPr>
          <w:iCs/>
          <w:i/>
        </w:rPr>
        <w:t xml:space="preserve">Int J Clin Pract</w:t>
      </w:r>
      <w:r>
        <w:t xml:space="preserve"> </w:t>
      </w:r>
      <w:r>
        <w:t xml:space="preserve">· Comparison of insulin degludec (IDeg)/insulin Aspart (IAsp) co-formulation therapy twice-daily with free combination of GLP-1 receptor agonist liraglutide plus insulin degludec in Tochigi: IDEAL Trial. PMID 33099848</w:t>
      </w:r>
    </w:p>
    <w:p>
      <w:pPr>
        <w:numPr>
          <w:ilvl w:val="0"/>
          <w:numId w:val="1377"/>
        </w:numPr>
        <w:pStyle w:val="Compact"/>
      </w:pPr>
      <w:r>
        <w:t xml:space="preserve">2021 · Jiang J ·</w:t>
      </w:r>
      <w:r>
        <w:t xml:space="preserve"> </w:t>
      </w:r>
      <w:r>
        <w:rPr>
          <w:iCs/>
          <w:i/>
        </w:rPr>
        <w:t xml:space="preserve">Endocr Metab Immune Disord Drug Targets</w:t>
      </w:r>
      <w:r>
        <w:t xml:space="preserve"> </w:t>
      </w:r>
      <w:r>
        <w:t xml:space="preserve">· Comparison of Dapaglifozin and Liraglutide in Patients with Poorly Controlled Type 2 Diabetes Mellitus: a 24-week, Open, Double-centered, Head to Head Trial. PMID 32875989</w:t>
      </w:r>
    </w:p>
    <w:p>
      <w:pPr>
        <w:numPr>
          <w:ilvl w:val="0"/>
          <w:numId w:val="1377"/>
        </w:numPr>
        <w:pStyle w:val="Compact"/>
      </w:pPr>
      <w:r>
        <w:t xml:space="preserve">2021 · Thakur U ·</w:t>
      </w:r>
      <w:r>
        <w:t xml:space="preserve"> </w:t>
      </w:r>
      <w:r>
        <w:rPr>
          <w:iCs/>
          <w:i/>
        </w:rPr>
        <w:t xml:space="preserve">Obes Surg</w:t>
      </w:r>
      <w:r>
        <w:t xml:space="preserve"> </w:t>
      </w:r>
      <w:r>
        <w:t xml:space="preserve">· Liraglutide Augments Weight Loss After Laparoscopic Sleeve Gastrectomy: a Randomised, Double-Blind, Placebo-Control Study. PMID 32656729</w:t>
      </w:r>
    </w:p>
    <w:p>
      <w:pPr>
        <w:numPr>
          <w:ilvl w:val="0"/>
          <w:numId w:val="1377"/>
        </w:numPr>
        <w:pStyle w:val="Compact"/>
      </w:pPr>
      <w:r>
        <w:t xml:space="preserve">2021 · Billings LK ·</w:t>
      </w:r>
      <w:r>
        <w:t xml:space="preserve"> </w:t>
      </w:r>
      <w:r>
        <w:rPr>
          <w:iCs/>
          <w:i/>
        </w:rPr>
        <w:t xml:space="preserve">J Diabetes Sci Technol</w:t>
      </w:r>
      <w:r>
        <w:t xml:space="preserve"> </w:t>
      </w:r>
      <w:r>
        <w:t xml:space="preserve">· The Benefit of Insulin Degludec/Liraglutide (IDegLira) Compared With Basal-Bolus Insulin Therapy is Consistent Across Participant Subgroups With Type 2 Diabetes in the DUAL VII Randomized Trial. PMID 32107930</w:t>
      </w:r>
    </w:p>
    <w:p>
      <w:pPr>
        <w:numPr>
          <w:ilvl w:val="0"/>
          <w:numId w:val="1377"/>
        </w:numPr>
        <w:pStyle w:val="Compact"/>
      </w:pPr>
      <w:r>
        <w:t xml:space="preserve">2020 · Rodbard HW ·</w:t>
      </w:r>
      <w:r>
        <w:t xml:space="preserve"> </w:t>
      </w:r>
      <w:r>
        <w:rPr>
          <w:iCs/>
          <w:i/>
        </w:rPr>
        <w:t xml:space="preserve">Am J Manag Care</w:t>
      </w:r>
      <w:r>
        <w:t xml:space="preserve"> </w:t>
      </w:r>
      <w:r>
        <w:t xml:space="preserve">· Efficacy of oral semaglutide: overview of the PIONEER clinical trial program and implications for managed care. PMID 33439582</w:t>
      </w:r>
    </w:p>
    <w:p>
      <w:pPr>
        <w:numPr>
          <w:ilvl w:val="0"/>
          <w:numId w:val="1377"/>
        </w:numPr>
        <w:pStyle w:val="Compact"/>
      </w:pPr>
      <w:r>
        <w:t xml:space="preserve">2020 · Tronieri JS ·</w:t>
      </w:r>
      <w:r>
        <w:t xml:space="preserve"> </w:t>
      </w:r>
      <w:r>
        <w:rPr>
          <w:iCs/>
          <w:i/>
        </w:rPr>
        <w:t xml:space="preserve">Obes Facts</w:t>
      </w:r>
      <w:r>
        <w:t xml:space="preserve"> </w:t>
      </w:r>
      <w:r>
        <w:t xml:space="preserve">· Effects of Dietary Self-Monitoring, Physical Activity, Liraglutide 3.0 mg, and Placebo on Weight Loss in the SCALE IBT Trial. PMID 33197917</w:t>
      </w:r>
    </w:p>
    <w:p>
      <w:pPr>
        <w:numPr>
          <w:ilvl w:val="0"/>
          <w:numId w:val="1377"/>
        </w:numPr>
        <w:pStyle w:val="Compact"/>
      </w:pPr>
      <w:r>
        <w:t xml:space="preserve">2020 · Guo W ·</w:t>
      </w:r>
      <w:r>
        <w:t xml:space="preserve"> </w:t>
      </w:r>
      <w:r>
        <w:rPr>
          <w:iCs/>
          <w:i/>
        </w:rPr>
        <w:t xml:space="preserve">Diabetes Res Clin Pract</w:t>
      </w:r>
      <w:r>
        <w:t xml:space="preserve"> </w:t>
      </w:r>
      <w:r>
        <w:t xml:space="preserve">· Liraglutide or insulin glargine treatments improves hepatic fat in obese patients with type 2 diabetes and nonalcoholic fatty liver disease in twenty-six weeks: A randomized placebo-controlled trial. PMID 33035599</w:t>
      </w:r>
    </w:p>
    <w:p>
      <w:pPr>
        <w:numPr>
          <w:ilvl w:val="0"/>
          <w:numId w:val="1377"/>
        </w:numPr>
        <w:pStyle w:val="Compact"/>
      </w:pPr>
      <w:r>
        <w:t xml:space="preserve">2020 · Kuchay MS ·</w:t>
      </w:r>
      <w:r>
        <w:t xml:space="preserve"> </w:t>
      </w:r>
      <w:r>
        <w:rPr>
          <w:iCs/>
          <w:i/>
        </w:rPr>
        <w:t xml:space="preserve">Diabetologia</w:t>
      </w:r>
      <w:r>
        <w:t xml:space="preserve"> </w:t>
      </w:r>
      <w:r>
        <w:t xml:space="preserve">· Effect of dulaglutide on liver fat in patients with type 2 diabetes and NAFLD: randomised controlled trial (D-LIFT trial). PMID 32865597</w:t>
      </w:r>
    </w:p>
    <w:p>
      <w:pPr>
        <w:numPr>
          <w:ilvl w:val="0"/>
          <w:numId w:val="1377"/>
        </w:numPr>
        <w:pStyle w:val="Compact"/>
      </w:pPr>
      <w:r>
        <w:t xml:space="preserve">2020 · Ali AM ·</w:t>
      </w:r>
      <w:r>
        <w:t xml:space="preserve"> </w:t>
      </w:r>
      <w:r>
        <w:rPr>
          <w:iCs/>
          <w:i/>
        </w:rPr>
        <w:t xml:space="preserve">J Clin Endocrinol Metab</w:t>
      </w:r>
      <w:r>
        <w:t xml:space="preserve"> </w:t>
      </w:r>
      <w:r>
        <w:t xml:space="preserve">· Improved Beta Cell Glucose Sensitivity Plays Predominant Role in the Decrease in HbA1c with Cana and Lira in T2DM. PMID 32745202</w:t>
      </w:r>
    </w:p>
    <w:p>
      <w:pPr>
        <w:numPr>
          <w:ilvl w:val="0"/>
          <w:numId w:val="1377"/>
        </w:numPr>
        <w:pStyle w:val="Compact"/>
      </w:pPr>
      <w:r>
        <w:t xml:space="preserve">2020 · Quast DR ·</w:t>
      </w:r>
      <w:r>
        <w:t xml:space="preserve"> </w:t>
      </w:r>
      <w:r>
        <w:rPr>
          <w:iCs/>
          <w:i/>
        </w:rPr>
        <w:t xml:space="preserve">Diabetes Care</w:t>
      </w:r>
      <w:r>
        <w:t xml:space="preserve"> </w:t>
      </w:r>
      <w:r>
        <w:t xml:space="preserve">· Effects of Lixisenatide Versus Liraglutide (Short- and Long-Acting GLP-1 Receptor Agonists) on Esophageal and Gastric Function in Patients With Type 2 Diabetes. PMID 32647054</w:t>
      </w:r>
    </w:p>
    <w:p>
      <w:pPr>
        <w:numPr>
          <w:ilvl w:val="0"/>
          <w:numId w:val="1377"/>
        </w:numPr>
        <w:pStyle w:val="Compact"/>
      </w:pPr>
      <w:r>
        <w:t xml:space="preserve">2020 · Verma S ·</w:t>
      </w:r>
      <w:r>
        <w:t xml:space="preserve"> </w:t>
      </w:r>
      <w:r>
        <w:rPr>
          <w:iCs/>
          <w:i/>
        </w:rPr>
        <w:t xml:space="preserve">Diabetes Obes Metab</w:t>
      </w:r>
      <w:r>
        <w:t xml:space="preserve"> </w:t>
      </w:r>
      <w:r>
        <w:t xml:space="preserve">· Impact of microvascular disease on cardiovascular outcomes in type 2 diabetes: Results from the LEADER and SUSTAIN 6 clinical trials. PMID 32643857</w:t>
      </w:r>
    </w:p>
    <w:p>
      <w:pPr>
        <w:numPr>
          <w:ilvl w:val="0"/>
          <w:numId w:val="1377"/>
        </w:numPr>
        <w:pStyle w:val="Compact"/>
      </w:pPr>
      <w:r>
        <w:t xml:space="preserve">2020 · Nielsen R ·</w:t>
      </w:r>
      <w:r>
        <w:t xml:space="preserve"> </w:t>
      </w:r>
      <w:r>
        <w:rPr>
          <w:iCs/>
          <w:i/>
        </w:rPr>
        <w:t xml:space="preserve">Diabetes Obes Metab</w:t>
      </w:r>
      <w:r>
        <w:t xml:space="preserve"> </w:t>
      </w:r>
      <w:r>
        <w:t xml:space="preserve">· The impact of the glucagon-like peptide-1 receptor agonist liraglutide on natriuretic peptides in heart failure patients with reduced ejection fraction with and without type 2 diabetes. PMID 32627271</w:t>
      </w:r>
    </w:p>
    <w:p>
      <w:pPr>
        <w:numPr>
          <w:ilvl w:val="0"/>
          <w:numId w:val="1377"/>
        </w:numPr>
        <w:pStyle w:val="Compact"/>
      </w:pPr>
      <w:r>
        <w:t xml:space="preserve">2020 · Mosenzon O ·</w:t>
      </w:r>
      <w:r>
        <w:t xml:space="preserve"> </w:t>
      </w:r>
      <w:r>
        <w:rPr>
          <w:iCs/>
          <w:i/>
        </w:rPr>
        <w:t xml:space="preserve">Diabetes Obes Metab</w:t>
      </w:r>
      <w:r>
        <w:t xml:space="preserve"> </w:t>
      </w:r>
      <w:r>
        <w:t xml:space="preserve">· Cardiovascular and renal outcomes by baseline albuminuria status and renal function: Results from the LEADER randomized trial. PMID 32618386</w:t>
      </w:r>
    </w:p>
    <w:p>
      <w:pPr>
        <w:numPr>
          <w:ilvl w:val="0"/>
          <w:numId w:val="1377"/>
        </w:numPr>
        <w:pStyle w:val="Compact"/>
      </w:pPr>
      <w:r>
        <w:t xml:space="preserve">2020 · Del Olmo-García MI ·</w:t>
      </w:r>
      <w:r>
        <w:t xml:space="preserve"> </w:t>
      </w:r>
      <w:r>
        <w:rPr>
          <w:iCs/>
          <w:i/>
        </w:rPr>
        <w:t xml:space="preserve">J Int Med Res</w:t>
      </w:r>
      <w:r>
        <w:t xml:space="preserve"> </w:t>
      </w:r>
      <w:r>
        <w:t xml:space="preserve">· Glycemic variability in type 2 diabetes mellitus and acute coronary syndrome: liraglutide compared with insulin glargine: a pilot study. PMID 32567433</w:t>
      </w:r>
    </w:p>
    <w:p>
      <w:pPr>
        <w:numPr>
          <w:ilvl w:val="0"/>
          <w:numId w:val="1377"/>
        </w:numPr>
        <w:pStyle w:val="Compact"/>
      </w:pPr>
      <w:r>
        <w:t xml:space="preserve">2020 · Tronieri JS ·</w:t>
      </w:r>
      <w:r>
        <w:t xml:space="preserve"> </w:t>
      </w:r>
      <w:r>
        <w:rPr>
          <w:iCs/>
          <w:i/>
        </w:rPr>
        <w:t xml:space="preserve">Behav Res Ther</w:t>
      </w:r>
      <w:r>
        <w:t xml:space="preserve"> </w:t>
      </w:r>
      <w:r>
        <w:t xml:space="preserve">· Measures of adherence as predictors of early and total weight loss with intensive behavioral therapy for obesity combined with liraglutide 3.0 mg. PMID 32450367</w:t>
      </w:r>
    </w:p>
    <w:p>
      <w:pPr>
        <w:numPr>
          <w:ilvl w:val="0"/>
          <w:numId w:val="1377"/>
        </w:numPr>
        <w:pStyle w:val="Compact"/>
      </w:pPr>
      <w:r>
        <w:t xml:space="preserve">2020 · Ghanim H ·</w:t>
      </w:r>
      <w:r>
        <w:t xml:space="preserve"> </w:t>
      </w:r>
      <w:r>
        <w:rPr>
          <w:iCs/>
          <w:i/>
        </w:rPr>
        <w:t xml:space="preserve">Diabetes Obes Metab</w:t>
      </w:r>
      <w:r>
        <w:t xml:space="preserve"> </w:t>
      </w:r>
      <w:r>
        <w:t xml:space="preserve">· Liraglutide treatment in overweight and obese patients with type 1 diabetes: A 26-week randomized controlled trial; mechanisms of weight loss. PMID 32424935</w:t>
      </w:r>
    </w:p>
    <w:p>
      <w:pPr>
        <w:numPr>
          <w:ilvl w:val="0"/>
          <w:numId w:val="1377"/>
        </w:numPr>
        <w:pStyle w:val="Compact"/>
      </w:pPr>
      <w:r>
        <w:t xml:space="preserve">2020 · Wegeberg AL ·</w:t>
      </w:r>
      <w:r>
        <w:t xml:space="preserve"> </w:t>
      </w:r>
      <w:r>
        <w:rPr>
          <w:iCs/>
          <w:i/>
        </w:rPr>
        <w:t xml:space="preserve">United European Gastroenterol J</w:t>
      </w:r>
      <w:r>
        <w:t xml:space="preserve"> </w:t>
      </w:r>
      <w:r>
        <w:t xml:space="preserve">· Liraglutide accelerates colonic transit in people with type 1 diabetes and polyneuropathy: A randomised, double-blind, placebo-controlled trial. PMID 32390563</w:t>
      </w:r>
    </w:p>
    <w:p>
      <w:pPr>
        <w:numPr>
          <w:ilvl w:val="0"/>
          <w:numId w:val="1377"/>
        </w:numPr>
        <w:pStyle w:val="Compact"/>
      </w:pPr>
      <w:r>
        <w:t xml:space="preserve">2020 · Leiter LA ·</w:t>
      </w:r>
      <w:r>
        <w:t xml:space="preserve"> </w:t>
      </w:r>
      <w:r>
        <w:rPr>
          <w:iCs/>
          <w:i/>
        </w:rPr>
        <w:t xml:space="preserve">Diabetes Obes Metab</w:t>
      </w:r>
      <w:r>
        <w:t xml:space="preserve"> </w:t>
      </w:r>
      <w:r>
        <w:t xml:space="preserve">· The effect of glucagon-like peptide-1 receptor agonists liraglutide and semaglutide on cardiovascular and renal outcomes across baseline blood pressure categories: Analysis of the LEADER and SUSTAIN 6 trials. PMID 32372454</w:t>
      </w:r>
    </w:p>
    <w:p>
      <w:pPr>
        <w:numPr>
          <w:ilvl w:val="0"/>
          <w:numId w:val="1377"/>
        </w:numPr>
        <w:pStyle w:val="Compact"/>
      </w:pPr>
      <w:r>
        <w:t xml:space="preserve">2020 · Buse JB ·</w:t>
      </w:r>
      <w:r>
        <w:t xml:space="preserve"> </w:t>
      </w:r>
      <w:r>
        <w:rPr>
          <w:iCs/>
          <w:i/>
        </w:rPr>
        <w:t xml:space="preserve">Diabetes Care</w:t>
      </w:r>
      <w:r>
        <w:t xml:space="preserve"> </w:t>
      </w:r>
      <w:r>
        <w:t xml:space="preserve">· Cardiovascular Risk Reduction With Liraglutide: An Exploratory Mediation Analysis of the LEADER Trial. PMID 32366578</w:t>
      </w:r>
    </w:p>
    <w:p>
      <w:pPr>
        <w:numPr>
          <w:ilvl w:val="0"/>
          <w:numId w:val="1377"/>
        </w:numPr>
        <w:pStyle w:val="Compact"/>
      </w:pPr>
      <w:r>
        <w:t xml:space="preserve">2020 · Redouane B ·</w:t>
      </w:r>
      <w:r>
        <w:t xml:space="preserve"> </w:t>
      </w:r>
      <w:r>
        <w:rPr>
          <w:iCs/>
          <w:i/>
        </w:rPr>
        <w:t xml:space="preserve">Circ Heart Fail</w:t>
      </w:r>
      <w:r>
        <w:t xml:space="preserve"> </w:t>
      </w:r>
      <w:r>
        <w:t xml:space="preserve">· Effects of Liraglutide on Worsening Renal Function Among Patients With Heart Failure With Reduced Ejection Fraction: Insights From the FIGHT Trial. PMID 32362166</w:t>
      </w:r>
    </w:p>
    <w:p>
      <w:pPr>
        <w:numPr>
          <w:ilvl w:val="0"/>
          <w:numId w:val="1377"/>
        </w:numPr>
        <w:pStyle w:val="Compact"/>
      </w:pPr>
      <w:r>
        <w:t xml:space="preserve">2020 · Yamada Y ·</w:t>
      </w:r>
      <w:r>
        <w:t xml:space="preserve"> </w:t>
      </w:r>
      <w:r>
        <w:rPr>
          <w:iCs/>
          <w:i/>
        </w:rPr>
        <w:t xml:space="preserve">Lancet Diabetes Endocrinol</w:t>
      </w:r>
      <w:r>
        <w:t xml:space="preserve"> </w:t>
      </w:r>
      <w:r>
        <w:t xml:space="preserve">· Dose-response, efficacy, and safety of oral semaglutide monotherapy in Japanese patients with type 2 diabetes (PIONEER 9): a 52-week, phase 2/3a, randomised, controlled trial. PMID 32333875</w:t>
      </w:r>
    </w:p>
    <w:p>
      <w:pPr>
        <w:numPr>
          <w:ilvl w:val="0"/>
          <w:numId w:val="1377"/>
        </w:numPr>
        <w:pStyle w:val="Compact"/>
      </w:pPr>
      <w:r>
        <w:t xml:space="preserve">2020 · Ikonomidis I ·</w:t>
      </w:r>
      <w:r>
        <w:t xml:space="preserve"> </w:t>
      </w:r>
      <w:r>
        <w:rPr>
          <w:iCs/>
          <w:i/>
        </w:rPr>
        <w:t xml:space="preserve">J Am Heart Assoc</w:t>
      </w:r>
      <w:r>
        <w:t xml:space="preserve"> </w:t>
      </w:r>
      <w:r>
        <w:t xml:space="preserve">· Effects of Glucagon-Like Peptide-1 Receptor Agonists, Sodium-Glucose Cotransporter-2 Inhibitors, and Their Combination on Endothelial Glycocalyx, Arterial Function, and Myocardial Work Index in Patients With Type 2 Diabetes Mellitus After 12-Month Treatment. PMID 32326806</w:t>
      </w:r>
    </w:p>
    <w:p>
      <w:pPr>
        <w:numPr>
          <w:ilvl w:val="0"/>
          <w:numId w:val="1377"/>
        </w:numPr>
        <w:pStyle w:val="Compact"/>
      </w:pPr>
      <w:r>
        <w:t xml:space="preserve">2020 · Tougaard RS ·</w:t>
      </w:r>
      <w:r>
        <w:t xml:space="preserve"> </w:t>
      </w:r>
      <w:r>
        <w:rPr>
          <w:iCs/>
          <w:i/>
        </w:rPr>
        <w:t xml:space="preserve">Scand Cardiovasc J</w:t>
      </w:r>
      <w:r>
        <w:t xml:space="preserve"> </w:t>
      </w:r>
      <w:r>
        <w:t xml:space="preserve">· Heart rate increases in liraglutide treated chronic heart failure patients: association with clinical parameters and adverse events. PMID 32292074</w:t>
      </w:r>
    </w:p>
    <w:p>
      <w:pPr>
        <w:numPr>
          <w:ilvl w:val="0"/>
          <w:numId w:val="1377"/>
        </w:numPr>
        <w:pStyle w:val="Compact"/>
      </w:pPr>
      <w:r>
        <w:t xml:space="preserve">2020 · Dubé MC ·</w:t>
      </w:r>
      <w:r>
        <w:t xml:space="preserve"> </w:t>
      </w:r>
      <w:r>
        <w:rPr>
          <w:iCs/>
          <w:i/>
        </w:rPr>
        <w:t xml:space="preserve">Diabetes Obes Metab</w:t>
      </w:r>
      <w:r>
        <w:t xml:space="preserve"> </w:t>
      </w:r>
      <w:r>
        <w:t xml:space="preserve">· Effect of liraglutide on food consumption, appetite sensations and eating behaviours in overweight people with type 1 diabetes. PMID 32250534</w:t>
      </w:r>
    </w:p>
    <w:p>
      <w:pPr>
        <w:numPr>
          <w:ilvl w:val="0"/>
          <w:numId w:val="1377"/>
        </w:numPr>
        <w:pStyle w:val="Compact"/>
      </w:pPr>
      <w:r>
        <w:t xml:space="preserve">2020 · Kelly AS ·</w:t>
      </w:r>
      <w:r>
        <w:t xml:space="preserve"> </w:t>
      </w:r>
      <w:r>
        <w:rPr>
          <w:iCs/>
          <w:i/>
        </w:rPr>
        <w:t xml:space="preserve">N Engl J Med</w:t>
      </w:r>
      <w:r>
        <w:t xml:space="preserve"> </w:t>
      </w:r>
      <w:r>
        <w:t xml:space="preserve">· A Randomized, Controlled Trial of Liraglutide for Adolescents with Obesity. PMID 32233338</w:t>
      </w:r>
    </w:p>
    <w:p>
      <w:pPr>
        <w:numPr>
          <w:ilvl w:val="0"/>
          <w:numId w:val="1377"/>
        </w:numPr>
        <w:pStyle w:val="Compact"/>
      </w:pPr>
      <w:r>
        <w:t xml:space="preserve">2020 · Ali AM ·</w:t>
      </w:r>
      <w:r>
        <w:t xml:space="preserve"> </w:t>
      </w:r>
      <w:r>
        <w:rPr>
          <w:iCs/>
          <w:i/>
        </w:rPr>
        <w:t xml:space="preserve">Diabetes Care</w:t>
      </w:r>
      <w:r>
        <w:t xml:space="preserve"> </w:t>
      </w:r>
      <w:r>
        <w:t xml:space="preserve">· Combination Therapy With Canagliflozin Plus Liraglutide Exerts Additive Effect on Weight Loss, but Not on HbA(1c), in Patients With Type 2 Diabetes. PMID 32220916</w:t>
      </w:r>
    </w:p>
    <w:p>
      <w:pPr>
        <w:numPr>
          <w:ilvl w:val="0"/>
          <w:numId w:val="1377"/>
        </w:numPr>
        <w:pStyle w:val="Compact"/>
      </w:pPr>
      <w:r>
        <w:t xml:space="preserve">2020 · Marso SP ·</w:t>
      </w:r>
      <w:r>
        <w:t xml:space="preserve"> </w:t>
      </w:r>
      <w:r>
        <w:rPr>
          <w:iCs/>
          <w:i/>
        </w:rPr>
        <w:t xml:space="preserve">J Am Coll Cardiol</w:t>
      </w:r>
      <w:r>
        <w:t xml:space="preserve"> </w:t>
      </w:r>
      <w:r>
        <w:t xml:space="preserve">· Effects of Liraglutide on Cardiovascular Outcomes in Patients With Diabetes With or Without Heart Failure. PMID 32164886</w:t>
      </w:r>
    </w:p>
    <w:p>
      <w:pPr>
        <w:numPr>
          <w:ilvl w:val="0"/>
          <w:numId w:val="1377"/>
        </w:numPr>
        <w:pStyle w:val="Compact"/>
      </w:pPr>
      <w:r>
        <w:t xml:space="preserve">2020 · Webb DR ·</w:t>
      </w:r>
      <w:r>
        <w:t xml:space="preserve"> </w:t>
      </w:r>
      <w:r>
        <w:rPr>
          <w:iCs/>
          <w:i/>
        </w:rPr>
        <w:t xml:space="preserve">Diabetes Obes Metab</w:t>
      </w:r>
      <w:r>
        <w:t xml:space="preserve"> </w:t>
      </w:r>
      <w:r>
        <w:t xml:space="preserve">· A randomized, open-label, active comparator trial assessing the effects of 26 weeks of liraglutide or sitagliptin on cardiovascular function in young obese adults with type 2 diabetes. PMID 32157772</w:t>
      </w:r>
    </w:p>
    <w:p>
      <w:pPr>
        <w:numPr>
          <w:ilvl w:val="0"/>
          <w:numId w:val="1377"/>
        </w:numPr>
        <w:pStyle w:val="Compact"/>
      </w:pPr>
      <w:r>
        <w:t xml:space="preserve">2020 · Garvey WT ·</w:t>
      </w:r>
      <w:r>
        <w:t xml:space="preserve"> </w:t>
      </w:r>
      <w:r>
        <w:rPr>
          <w:iCs/>
          <w:i/>
        </w:rPr>
        <w:t xml:space="preserve">Diabetes Care</w:t>
      </w:r>
      <w:r>
        <w:t xml:space="preserve"> </w:t>
      </w:r>
      <w:r>
        <w:t xml:space="preserve">· Efficacy and Safety of Liraglutide 3.0 mg in Individuals With Overweight or Obesity and Type 2 Diabetes Treated With Basal Insulin: The SCALE Insulin Randomized Controlled Trial. PMID 32139381</w:t>
      </w:r>
    </w:p>
    <w:p>
      <w:pPr>
        <w:numPr>
          <w:ilvl w:val="0"/>
          <w:numId w:val="1377"/>
        </w:numPr>
        <w:pStyle w:val="Compact"/>
      </w:pPr>
      <w:r>
        <w:t xml:space="preserve">2020 · Mann JFE ·</w:t>
      </w:r>
      <w:r>
        <w:t xml:space="preserve"> </w:t>
      </w:r>
      <w:r>
        <w:rPr>
          <w:iCs/>
          <w:i/>
        </w:rPr>
        <w:t xml:space="preserve">Clin J Am Soc Nephrol</w:t>
      </w:r>
      <w:r>
        <w:t xml:space="preserve"> </w:t>
      </w:r>
      <w:r>
        <w:t xml:space="preserve">· Safety of Liraglutide in Type 2 Diabetes and Chronic Kidney Disease. PMID 32132141</w:t>
      </w:r>
    </w:p>
    <w:p>
      <w:pPr>
        <w:numPr>
          <w:ilvl w:val="0"/>
          <w:numId w:val="1377"/>
        </w:numPr>
        <w:pStyle w:val="Compact"/>
      </w:pPr>
      <w:r>
        <w:t xml:space="preserve">2020 · van Eyk HJ ·</w:t>
      </w:r>
      <w:r>
        <w:t xml:space="preserve"> </w:t>
      </w:r>
      <w:r>
        <w:rPr>
          <w:iCs/>
          <w:i/>
        </w:rPr>
        <w:t xml:space="preserve">Nutr Metab Cardiovasc Dis</w:t>
      </w:r>
      <w:r>
        <w:t xml:space="preserve"> </w:t>
      </w:r>
      <w:r>
        <w:t xml:space="preserve">· Liraglutide decreases energy expenditure and does not affect the fat fraction of supraclavicular brown adipose tissue in patients with type 2 diabetes. PMID 32127340</w:t>
      </w:r>
    </w:p>
    <w:p>
      <w:pPr>
        <w:numPr>
          <w:ilvl w:val="0"/>
          <w:numId w:val="1377"/>
        </w:numPr>
        <w:pStyle w:val="Compact"/>
      </w:pPr>
      <w:r>
        <w:t xml:space="preserve">2020 · Zhang LY ·</w:t>
      </w:r>
      <w:r>
        <w:t xml:space="preserve"> </w:t>
      </w:r>
      <w:r>
        <w:rPr>
          <w:iCs/>
          <w:i/>
        </w:rPr>
        <w:t xml:space="preserve">Clin Res Hepatol Gastroenterol</w:t>
      </w:r>
      <w:r>
        <w:t xml:space="preserve"> </w:t>
      </w:r>
      <w:r>
        <w:t xml:space="preserve">· Effect of liraglutide therapy on serum fetuin A in patients with type 2 diabetes and non-alcoholic fatty liver disease. PMID 32113823</w:t>
      </w:r>
    </w:p>
    <w:p>
      <w:pPr>
        <w:numPr>
          <w:ilvl w:val="0"/>
          <w:numId w:val="1377"/>
        </w:numPr>
        <w:pStyle w:val="Compact"/>
      </w:pPr>
      <w:r>
        <w:t xml:space="preserve">2020 · Wadden TA ·</w:t>
      </w:r>
      <w:r>
        <w:t xml:space="preserve"> </w:t>
      </w:r>
      <w:r>
        <w:rPr>
          <w:iCs/>
          <w:i/>
        </w:rPr>
        <w:t xml:space="preserve">Obesity (Silver Spring)</w:t>
      </w:r>
      <w:r>
        <w:t xml:space="preserve"> </w:t>
      </w:r>
      <w:r>
        <w:t xml:space="preserve">· Liraglutide 3.0 mg and Intensive Behavioral Therapy (IBT) for Obesity in Primary Care: The SCALE IBT Randomized Controlled Trial. PMID 32090517</w:t>
      </w:r>
    </w:p>
    <w:p>
      <w:pPr>
        <w:numPr>
          <w:ilvl w:val="0"/>
          <w:numId w:val="1377"/>
        </w:numPr>
        <w:pStyle w:val="Compact"/>
      </w:pPr>
      <w:r>
        <w:t xml:space="preserve">2020 · Elkind-Hirsch KE ·</w:t>
      </w:r>
      <w:r>
        <w:t xml:space="preserve"> </w:t>
      </w:r>
      <w:r>
        <w:rPr>
          <w:iCs/>
          <w:i/>
        </w:rPr>
        <w:t xml:space="preserve">J Diabetes Complications</w:t>
      </w:r>
      <w:r>
        <w:t xml:space="preserve"> </w:t>
      </w:r>
      <w:r>
        <w:t xml:space="preserve">· Postpartum treatment with liraglutide in combination with metformin versus metformin monotherapy to improve metabolic status and reduce body weight in overweight/obese women with recent gestational diabetes: A double-blind, randomized, placebo-controlled study. PMID 32046931</w:t>
      </w:r>
    </w:p>
    <w:p>
      <w:pPr>
        <w:numPr>
          <w:ilvl w:val="0"/>
          <w:numId w:val="1377"/>
        </w:numPr>
        <w:pStyle w:val="Compact"/>
      </w:pPr>
      <w:r>
        <w:t xml:space="preserve">2020 · Blonde L ·</w:t>
      </w:r>
      <w:r>
        <w:t xml:space="preserve"> </w:t>
      </w:r>
      <w:r>
        <w:rPr>
          <w:iCs/>
          <w:i/>
        </w:rPr>
        <w:t xml:space="preserve">Diabetes Obes Metab</w:t>
      </w:r>
      <w:r>
        <w:t xml:space="preserve"> </w:t>
      </w:r>
      <w:r>
        <w:t xml:space="preserve">· Liraglutide as add-on to sodium-glucose co-transporter-2 inhibitors in patients with inadequately controlled type 2 diabetes: LIRA-ADD2SGLT2i, a 26-week, randomized, double-blind, placebo-controlled trial. PMID 31984646</w:t>
      </w:r>
    </w:p>
    <w:p>
      <w:pPr>
        <w:numPr>
          <w:ilvl w:val="0"/>
          <w:numId w:val="1377"/>
        </w:numPr>
        <w:pStyle w:val="Compact"/>
      </w:pPr>
      <w:r>
        <w:t xml:space="preserve">2020 · Vadini F ·</w:t>
      </w:r>
      <w:r>
        <w:t xml:space="preserve"> </w:t>
      </w:r>
      <w:r>
        <w:rPr>
          <w:iCs/>
          <w:i/>
        </w:rPr>
        <w:t xml:space="preserve">Int J Obes (Lond)</w:t>
      </w:r>
      <w:r>
        <w:t xml:space="preserve"> </w:t>
      </w:r>
      <w:r>
        <w:t xml:space="preserve">· Liraglutide improves memory in obese patients with prediabetes or early type 2 diabetes: a randomized, controlled study. PMID 31965072</w:t>
      </w:r>
    </w:p>
    <w:p>
      <w:pPr>
        <w:numPr>
          <w:ilvl w:val="0"/>
          <w:numId w:val="1377"/>
        </w:numPr>
        <w:pStyle w:val="Compact"/>
      </w:pPr>
      <w:r>
        <w:t xml:space="preserve">2020 · Sesti G ·</w:t>
      </w:r>
      <w:r>
        <w:t xml:space="preserve"> </w:t>
      </w:r>
      <w:r>
        <w:rPr>
          <w:iCs/>
          <w:i/>
        </w:rPr>
        <w:t xml:space="preserve">Diabetes Obes Metab</w:t>
      </w:r>
      <w:r>
        <w:t xml:space="preserve"> </w:t>
      </w:r>
      <w:r>
        <w:t xml:space="preserve">· A greater proportion of participants with type 2 diabetes achieve treatment targets with insulin degludec/liraglutide versus insulin glargine 100 units/mL at 26 weeks: DUAL VIII, a randomized trial designed to resemble clinical practice. PMID 31903724</w:t>
      </w:r>
    </w:p>
    <w:p>
      <w:pPr>
        <w:numPr>
          <w:ilvl w:val="0"/>
          <w:numId w:val="1377"/>
        </w:numPr>
        <w:pStyle w:val="Compact"/>
      </w:pPr>
      <w:r>
        <w:t xml:space="preserve">2020 · Hygum K ·</w:t>
      </w:r>
      <w:r>
        <w:t xml:space="preserve"> </w:t>
      </w:r>
      <w:r>
        <w:rPr>
          <w:iCs/>
          <w:i/>
        </w:rPr>
        <w:t xml:space="preserve">Bone</w:t>
      </w:r>
      <w:r>
        <w:t xml:space="preserve"> </w:t>
      </w:r>
      <w:r>
        <w:t xml:space="preserve">· Bone resorption is unchanged by liraglutide in type 2 diabetes patients: A randomised controlled trial. PMID 31870634</w:t>
      </w:r>
    </w:p>
    <w:p>
      <w:pPr>
        <w:numPr>
          <w:ilvl w:val="0"/>
          <w:numId w:val="1377"/>
        </w:numPr>
        <w:pStyle w:val="Compact"/>
      </w:pPr>
      <w:r>
        <w:t xml:space="preserve">2020 · Yao MY ·</w:t>
      </w:r>
      <w:r>
        <w:t xml:space="preserve"> </w:t>
      </w:r>
      <w:r>
        <w:rPr>
          <w:iCs/>
          <w:i/>
        </w:rPr>
        <w:t xml:space="preserve">Braz J Med Biol Res</w:t>
      </w:r>
      <w:r>
        <w:t xml:space="preserve"> </w:t>
      </w:r>
      <w:r>
        <w:t xml:space="preserve">· Use of flash glucose-sensing technology in patients with type 2 diabetes treated with liraglutide combined with CSII: a pilot study. PMID 31859911</w:t>
      </w:r>
    </w:p>
    <w:p>
      <w:pPr>
        <w:numPr>
          <w:ilvl w:val="0"/>
          <w:numId w:val="1377"/>
        </w:numPr>
        <w:pStyle w:val="Compact"/>
      </w:pPr>
      <w:r>
        <w:t xml:space="preserve">2020 · Janez A ·</w:t>
      </w:r>
      <w:r>
        <w:t xml:space="preserve"> </w:t>
      </w:r>
      <w:r>
        <w:rPr>
          <w:iCs/>
          <w:i/>
        </w:rPr>
        <w:t xml:space="preserve">Diabetes Obes Metab</w:t>
      </w:r>
      <w:r>
        <w:t xml:space="preserve"> </w:t>
      </w:r>
      <w:r>
        <w:t xml:space="preserve">· Benefits of insulin degludec/liraglutide are maintained even in patients discontinuing sulphonylureas or dipeptidyl peptidase-4 inhibitors upon initiation of degludec/liraglutide therapy: A post hoc analysis of the DUAL II and DUAL IX trials. PMID 31858673</w:t>
      </w:r>
    </w:p>
    <w:p>
      <w:pPr>
        <w:numPr>
          <w:ilvl w:val="0"/>
          <w:numId w:val="1377"/>
        </w:numPr>
        <w:pStyle w:val="Compact"/>
      </w:pPr>
      <w:r>
        <w:t xml:space="preserve">2020 · Cannon AJ ·</w:t>
      </w:r>
      <w:r>
        <w:t xml:space="preserve"> </w:t>
      </w:r>
      <w:r>
        <w:rPr>
          <w:iCs/>
          <w:i/>
        </w:rPr>
        <w:t xml:space="preserve">J Manag Care Spec Pharm</w:t>
      </w:r>
      <w:r>
        <w:t xml:space="preserve"> </w:t>
      </w:r>
      <w:r>
        <w:t xml:space="preserve">· Evaluation of the Short-Term Cost-Effectiveness of IDegLira Versus Basal Insulin and Basal-Bolus Therapy in Patients with Type 2 Diabetes Based on Attainment of Clinically Relevant Treatment Targets. PMID 31856636</w:t>
      </w:r>
    </w:p>
    <w:p>
      <w:pPr>
        <w:numPr>
          <w:ilvl w:val="0"/>
          <w:numId w:val="1377"/>
        </w:numPr>
        <w:pStyle w:val="Compact"/>
      </w:pPr>
      <w:r>
        <w:t xml:space="preserve">2020 · Paiman EHM ·</w:t>
      </w:r>
      <w:r>
        <w:t xml:space="preserve"> </w:t>
      </w:r>
      <w:r>
        <w:rPr>
          <w:iCs/>
          <w:i/>
        </w:rPr>
        <w:t xml:space="preserve">J Magn Reson Imaging</w:t>
      </w:r>
      <w:r>
        <w:t xml:space="preserve"> </w:t>
      </w:r>
      <w:r>
        <w:t xml:space="preserve">· Effect of Liraglutide on Cardiovascular Function and Myocardial Tissue Characteristics in Type 2 Diabetes Patients of South Asian Descent Living in the Netherlands: A Double-Blind, Randomized, Placebo-Controlled Trial. PMID 31799782</w:t>
      </w:r>
    </w:p>
    <w:p>
      <w:pPr>
        <w:numPr>
          <w:ilvl w:val="0"/>
          <w:numId w:val="1377"/>
        </w:numPr>
        <w:pStyle w:val="Compact"/>
      </w:pPr>
      <w:r>
        <w:t xml:space="preserve">2020 · Hulst AH ·</w:t>
      </w:r>
      <w:r>
        <w:t xml:space="preserve"> </w:t>
      </w:r>
      <w:r>
        <w:rPr>
          <w:iCs/>
          <w:i/>
        </w:rPr>
        <w:t xml:space="preserve">Diabetes Obes Metab</w:t>
      </w:r>
      <w:r>
        <w:t xml:space="preserve"> </w:t>
      </w:r>
      <w:r>
        <w:t xml:space="preserve">· Liraglutide for perioperative management of hyperglycaemia in cardiac surgery patients: a multicentre randomized superiority trial. PMID 31749275</w:t>
      </w:r>
    </w:p>
    <w:p>
      <w:pPr>
        <w:numPr>
          <w:ilvl w:val="0"/>
          <w:numId w:val="1377"/>
        </w:numPr>
        <w:pStyle w:val="Compact"/>
      </w:pPr>
      <w:r>
        <w:t xml:space="preserve">2020 · Dejgaard TF ·</w:t>
      </w:r>
      <w:r>
        <w:t xml:space="preserve"> </w:t>
      </w:r>
      <w:r>
        <w:rPr>
          <w:iCs/>
          <w:i/>
        </w:rPr>
        <w:t xml:space="preserve">Diabetes Obes Metab</w:t>
      </w:r>
      <w:r>
        <w:t xml:space="preserve"> </w:t>
      </w:r>
      <w:r>
        <w:t xml:space="preserve">· Liraglutide reduces hyperglycaemia and body weight in overweight, dysregulated insulin-pump-treated patients with type 1 diabetes: The Lira Pump trial-a randomized, double-blinded, placebo-controlled trial. PMID 31696598</w:t>
      </w:r>
    </w:p>
    <w:p>
      <w:pPr>
        <w:numPr>
          <w:ilvl w:val="0"/>
          <w:numId w:val="1377"/>
        </w:numPr>
        <w:pStyle w:val="Compact"/>
      </w:pPr>
      <w:r>
        <w:t xml:space="preserve">2020 · Bizino MB ·</w:t>
      </w:r>
      <w:r>
        <w:t xml:space="preserve"> </w:t>
      </w:r>
      <w:r>
        <w:rPr>
          <w:iCs/>
          <w:i/>
        </w:rPr>
        <w:t xml:space="preserve">Diabetologia</w:t>
      </w:r>
      <w:r>
        <w:t xml:space="preserve"> </w:t>
      </w:r>
      <w:r>
        <w:t xml:space="preserve">· Placebo-controlled randomised trial with liraglutide on magnetic resonance endpoints in individuals with type 2 diabetes: a pre-specified secondary study on ectopic fat accumulation. PMID 31690988</w:t>
      </w:r>
    </w:p>
    <w:p>
      <w:pPr>
        <w:numPr>
          <w:ilvl w:val="0"/>
          <w:numId w:val="1377"/>
        </w:numPr>
        <w:pStyle w:val="Compact"/>
      </w:pPr>
      <w:r>
        <w:t xml:space="preserve">2020 · Kadouh H ·</w:t>
      </w:r>
      <w:r>
        <w:t xml:space="preserve"> </w:t>
      </w:r>
      <w:r>
        <w:rPr>
          <w:iCs/>
          <w:i/>
        </w:rPr>
        <w:t xml:space="preserve">J Clin Endocrinol Metab</w:t>
      </w:r>
      <w:r>
        <w:t xml:space="preserve"> </w:t>
      </w:r>
      <w:r>
        <w:t xml:space="preserve">· GLP-1 Analog Modulates Appetite, Taste Preference, Gut Hormones, and Regional Body Fat Stores in Adults with Obesity. PMID 31665455</w:t>
      </w:r>
    </w:p>
    <w:p>
      <w:pPr>
        <w:numPr>
          <w:ilvl w:val="0"/>
          <w:numId w:val="1377"/>
        </w:numPr>
        <w:pStyle w:val="Compact"/>
      </w:pPr>
      <w:r>
        <w:t xml:space="preserve">2020 · Gaborit B ·</w:t>
      </w:r>
      <w:r>
        <w:t xml:space="preserve"> </w:t>
      </w:r>
      <w:r>
        <w:rPr>
          <w:iCs/>
          <w:i/>
        </w:rPr>
        <w:t xml:space="preserve">J Clin Endocrinol Metab</w:t>
      </w:r>
      <w:r>
        <w:t xml:space="preserve"> </w:t>
      </w:r>
      <w:r>
        <w:t xml:space="preserve">· Glucagon-like Peptide 1 Receptor Agonists, Diabetic Retinopathy and Angiogenesis: The AngioSafe Type 2 Diabetes Study. PMID 31589290</w:t>
      </w:r>
    </w:p>
    <w:p>
      <w:pPr>
        <w:numPr>
          <w:ilvl w:val="0"/>
          <w:numId w:val="1377"/>
        </w:numPr>
        <w:pStyle w:val="Compact"/>
      </w:pPr>
      <w:r>
        <w:t xml:space="preserve">2020 · Capehorn MS ·</w:t>
      </w:r>
      <w:r>
        <w:t xml:space="preserve"> </w:t>
      </w:r>
      <w:r>
        <w:rPr>
          <w:iCs/>
          <w:i/>
        </w:rPr>
        <w:t xml:space="preserve">Diabetes Metab</w:t>
      </w:r>
      <w:r>
        <w:t xml:space="preserve"> </w:t>
      </w:r>
      <w:r>
        <w:t xml:space="preserve">· Efficacy and safety of once-weekly semaglutide 1.0mg vs once-daily liraglutide 1.2mg as add-on to 1-3 oral antidiabetic drugs in subjects with type 2 diabetes (SUSTAIN 10). PMID 31539622</w:t>
      </w:r>
    </w:p>
    <w:p>
      <w:pPr>
        <w:numPr>
          <w:ilvl w:val="0"/>
          <w:numId w:val="1377"/>
        </w:numPr>
        <w:pStyle w:val="Compact"/>
      </w:pPr>
      <w:r>
        <w:t xml:space="preserve">2020 · Tronieri JS ·</w:t>
      </w:r>
      <w:r>
        <w:t xml:space="preserve"> </w:t>
      </w:r>
      <w:r>
        <w:rPr>
          <w:iCs/>
          <w:i/>
        </w:rPr>
        <w:t xml:space="preserve">Int J Obes (Lond)</w:t>
      </w:r>
      <w:r>
        <w:t xml:space="preserve"> </w:t>
      </w:r>
      <w:r>
        <w:t xml:space="preserve">· Effects of liraglutide on appetite, food preoccupation, and food liking: results of a randomized controlled trial. PMID 30926955</w:t>
      </w:r>
    </w:p>
    <w:p>
      <w:pPr>
        <w:numPr>
          <w:ilvl w:val="0"/>
          <w:numId w:val="1377"/>
        </w:numPr>
        <w:pStyle w:val="Compact"/>
      </w:pPr>
      <w:r>
        <w:t xml:space="preserve">2019 · Patel S ·</w:t>
      </w:r>
      <w:r>
        <w:t xml:space="preserve"> </w:t>
      </w:r>
      <w:r>
        <w:rPr>
          <w:iCs/>
          <w:i/>
        </w:rPr>
        <w:t xml:space="preserve">BMJ Open Diabetes Res Care</w:t>
      </w:r>
      <w:r>
        <w:t xml:space="preserve"> </w:t>
      </w:r>
      <w:r>
        <w:t xml:space="preserve">· Effect of medication adherence on clinical outcomes in type 2 diabetes: analysis of the SIMPLE study. PMID 31803482</w:t>
      </w:r>
    </w:p>
    <w:p>
      <w:pPr>
        <w:numPr>
          <w:ilvl w:val="0"/>
          <w:numId w:val="1377"/>
        </w:numPr>
        <w:pStyle w:val="Compact"/>
      </w:pPr>
      <w:r>
        <w:t xml:space="preserve">2019 · Verma S ·</w:t>
      </w:r>
      <w:r>
        <w:t xml:space="preserve"> </w:t>
      </w:r>
      <w:r>
        <w:rPr>
          <w:iCs/>
          <w:i/>
        </w:rPr>
        <w:t xml:space="preserve">JAMA Cardiol</w:t>
      </w:r>
      <w:r>
        <w:t xml:space="preserve"> </w:t>
      </w:r>
      <w:r>
        <w:t xml:space="preserve">· Occurence of First and Recurrent Major Adverse Cardiovascular Events With Liraglutide Treatment Among Patients With Type 2 Diabetes and High Risk of Cardiovascular Events: A Post Hoc Analysis of a Randomized Clinical Trial. PMID 31721979</w:t>
      </w:r>
    </w:p>
    <w:p>
      <w:pPr>
        <w:numPr>
          <w:ilvl w:val="0"/>
          <w:numId w:val="1377"/>
        </w:numPr>
        <w:pStyle w:val="Compact"/>
      </w:pPr>
      <w:r>
        <w:t xml:space="preserve">2019 · Chao AM ·</w:t>
      </w:r>
      <w:r>
        <w:t xml:space="preserve"> </w:t>
      </w:r>
      <w:r>
        <w:rPr>
          <w:iCs/>
          <w:i/>
        </w:rPr>
        <w:t xml:space="preserve">Clin Obes</w:t>
      </w:r>
      <w:r>
        <w:t xml:space="preserve"> </w:t>
      </w:r>
      <w:r>
        <w:t xml:space="preserve">· Changes in health-related quality of life with intensive behavioural therapy combined with liraglutide 3.0 mg per day. PMID 31691531</w:t>
      </w:r>
    </w:p>
    <w:p>
      <w:pPr>
        <w:numPr>
          <w:ilvl w:val="0"/>
          <w:numId w:val="1377"/>
        </w:numPr>
        <w:pStyle w:val="Compact"/>
      </w:pPr>
      <w:r>
        <w:t xml:space="preserve">2019 · Peradze N ·</w:t>
      </w:r>
      <w:r>
        <w:t xml:space="preserve"> </w:t>
      </w:r>
      <w:r>
        <w:rPr>
          <w:iCs/>
          <w:i/>
        </w:rPr>
        <w:t xml:space="preserve">Cardiovasc Diabetol</w:t>
      </w:r>
      <w:r>
        <w:t xml:space="preserve"> </w:t>
      </w:r>
      <w:r>
        <w:t xml:space="preserve">· Short-term treatment with high dose liraglutide improves lipid and lipoprotein profile and changes hormonal mediators of lipid metabolism in obese patients with no overt type 2 diabetes mellitus: a randomized, placebo-controlled, cross-over, double-blind clinical trial. PMID 31672146</w:t>
      </w:r>
    </w:p>
    <w:p>
      <w:pPr>
        <w:numPr>
          <w:ilvl w:val="0"/>
          <w:numId w:val="1377"/>
        </w:numPr>
        <w:pStyle w:val="Compact"/>
      </w:pPr>
      <w:r>
        <w:t xml:space="preserve">2019 · Blonde L ·</w:t>
      </w:r>
      <w:r>
        <w:t xml:space="preserve"> </w:t>
      </w:r>
      <w:r>
        <w:rPr>
          <w:iCs/>
          <w:i/>
        </w:rPr>
        <w:t xml:space="preserve">Diabetes Care</w:t>
      </w:r>
      <w:r>
        <w:t xml:space="preserve"> </w:t>
      </w:r>
      <w:r>
        <w:t xml:space="preserve">· Switching to iGlarLixi Versus Continuing Daily or Weekly GLP-1 RA in Type 2 Diabetes Inadequately Controlled by GLP-1 RA and Oral Antihyperglycemic Therapy: The LixiLan-G Randomized Clinical Trial. PMID 31530665</w:t>
      </w:r>
    </w:p>
    <w:p>
      <w:pPr>
        <w:numPr>
          <w:ilvl w:val="0"/>
          <w:numId w:val="1377"/>
        </w:numPr>
        <w:pStyle w:val="Compact"/>
      </w:pPr>
      <w:r>
        <w:t xml:space="preserve">2019 · Watada H ·</w:t>
      </w:r>
      <w:r>
        <w:t xml:space="preserve"> </w:t>
      </w:r>
      <w:r>
        <w:rPr>
          <w:iCs/>
          <w:i/>
        </w:rPr>
        <w:t xml:space="preserve">Diabetes Obes Metab</w:t>
      </w:r>
      <w:r>
        <w:t xml:space="preserve"> </w:t>
      </w:r>
      <w:r>
        <w:t xml:space="preserve">· Superior HbA1c control with the fixed-ratio combination of insulin degludec and liraglutide (IDegLira) compared with a maximum dose of 50 units of insulin degludec in Japanese individuals with type 2 diabetes in a phase 3, double-blind, randomized trial. PMID 31423685</w:t>
      </w:r>
    </w:p>
    <w:p>
      <w:pPr>
        <w:numPr>
          <w:ilvl w:val="0"/>
          <w:numId w:val="1377"/>
        </w:numPr>
        <w:pStyle w:val="Compact"/>
      </w:pPr>
      <w:r>
        <w:t xml:space="preserve">2019 · Kaku K ·</w:t>
      </w:r>
      <w:r>
        <w:t xml:space="preserve"> </w:t>
      </w:r>
      <w:r>
        <w:rPr>
          <w:iCs/>
          <w:i/>
        </w:rPr>
        <w:t xml:space="preserve">Diabetes Obes Metab</w:t>
      </w:r>
      <w:r>
        <w:t xml:space="preserve"> </w:t>
      </w:r>
      <w:r>
        <w:t xml:space="preserve">· Superior efficacy with a fixed-ratio combination of insulin degludec and liraglutide (IDegLira) compared with insulin degludec and liraglutide in insulin-naïve Japanese patients with type 2 diabetes in a phase 3, open-label, randomized trial. PMID 31407845</w:t>
      </w:r>
    </w:p>
    <w:p>
      <w:pPr>
        <w:numPr>
          <w:ilvl w:val="0"/>
          <w:numId w:val="1377"/>
        </w:numPr>
        <w:pStyle w:val="Compact"/>
      </w:pPr>
      <w:r>
        <w:t xml:space="preserve">2019 · Nauck MA ·</w:t>
      </w:r>
      <w:r>
        <w:t xml:space="preserve"> </w:t>
      </w:r>
      <w:r>
        <w:rPr>
          <w:iCs/>
          <w:i/>
        </w:rPr>
        <w:t xml:space="preserve">Diabetes Care</w:t>
      </w:r>
      <w:r>
        <w:t xml:space="preserve"> </w:t>
      </w:r>
      <w:r>
        <w:t xml:space="preserve">· Effects of Liraglutide Compared With Placebo on Events of Acute Gallbladder or Biliary Disease in Patients With Type 2 Diabetes at High Risk for Cardiovascular Events in the LEADER Randomized Trial. PMID 31399438</w:t>
      </w:r>
    </w:p>
    <w:p>
      <w:pPr>
        <w:numPr>
          <w:ilvl w:val="0"/>
          <w:numId w:val="1377"/>
        </w:numPr>
        <w:pStyle w:val="Compact"/>
      </w:pPr>
      <w:r>
        <w:t xml:space="preserve">2019 · Wexler DJ ·</w:t>
      </w:r>
      <w:r>
        <w:t xml:space="preserve"> </w:t>
      </w:r>
      <w:r>
        <w:rPr>
          <w:iCs/>
          <w:i/>
        </w:rPr>
        <w:t xml:space="preserve">Diabetes Care</w:t>
      </w:r>
      <w:r>
        <w:t xml:space="preserve"> </w:t>
      </w:r>
      <w:r>
        <w:t xml:space="preserve">· Baseline Characteristics of Randomized Participants in the Glycemia Reduction Approaches in Diabetes: A Comparative Effectiveness Study (GRADE). PMID 31391203</w:t>
      </w:r>
    </w:p>
    <w:p>
      <w:pPr>
        <w:numPr>
          <w:ilvl w:val="0"/>
          <w:numId w:val="1377"/>
        </w:numPr>
        <w:pStyle w:val="Compact"/>
      </w:pPr>
      <w:r>
        <w:t xml:space="preserve">2019 · Miller E ·</w:t>
      </w:r>
      <w:r>
        <w:t xml:space="preserve"> </w:t>
      </w:r>
      <w:r>
        <w:rPr>
          <w:iCs/>
          <w:i/>
        </w:rPr>
        <w:t xml:space="preserve">Diabetes Obes Metab</w:t>
      </w:r>
      <w:r>
        <w:t xml:space="preserve"> </w:t>
      </w:r>
      <w:r>
        <w:t xml:space="preserve">· IDegLira improves patient-reported outcomes while using a simple regimen with fewer injections and dose adjustments compared with basal-bolus therapy. PMID 31385425</w:t>
      </w:r>
    </w:p>
    <w:p>
      <w:pPr>
        <w:numPr>
          <w:ilvl w:val="0"/>
          <w:numId w:val="1377"/>
        </w:numPr>
        <w:pStyle w:val="Compact"/>
      </w:pPr>
      <w:r>
        <w:t xml:space="preserve">2019 · Brock C ·</w:t>
      </w:r>
      <w:r>
        <w:t xml:space="preserve"> </w:t>
      </w:r>
      <w:r>
        <w:rPr>
          <w:iCs/>
          <w:i/>
        </w:rPr>
        <w:t xml:space="preserve">Br J Clin Pharmacol</w:t>
      </w:r>
      <w:r>
        <w:t xml:space="preserve"> </w:t>
      </w:r>
      <w:r>
        <w:t xml:space="preserve">· Liraglutide treatment reduced interleukin-6 in adults with type 1 diabetes but did not improve established autonomic or polyneuropathy. PMID 31338868</w:t>
      </w:r>
    </w:p>
    <w:p>
      <w:pPr>
        <w:numPr>
          <w:ilvl w:val="0"/>
          <w:numId w:val="1377"/>
        </w:numPr>
        <w:pStyle w:val="Compact"/>
      </w:pPr>
      <w:r>
        <w:t xml:space="preserve">2019 · Makino H ·</w:t>
      </w:r>
      <w:r>
        <w:t xml:space="preserve"> </w:t>
      </w:r>
      <w:r>
        <w:rPr>
          <w:iCs/>
          <w:i/>
        </w:rPr>
        <w:t xml:space="preserve">Diabet Med</w:t>
      </w:r>
      <w:r>
        <w:t xml:space="preserve"> </w:t>
      </w:r>
      <w:r>
        <w:t xml:space="preserve">· Addition of low-dose liraglutide to insulin therapy is useful for glycaemic control during the peri-operative period: effect of glucagon-like peptide-1 receptor agonist therapy on glycaemic control in patients undergoing cardiac surgery (GLOLIA study). PMID 31335979</w:t>
      </w:r>
    </w:p>
    <w:p>
      <w:pPr>
        <w:numPr>
          <w:ilvl w:val="0"/>
          <w:numId w:val="1377"/>
        </w:numPr>
        <w:pStyle w:val="Compact"/>
      </w:pPr>
      <w:r>
        <w:t xml:space="preserve">2019 · Anholm C ·</w:t>
      </w:r>
      <w:r>
        <w:t xml:space="preserve"> </w:t>
      </w:r>
      <w:r>
        <w:rPr>
          <w:iCs/>
          <w:i/>
        </w:rPr>
        <w:t xml:space="preserve">Atherosclerosis</w:t>
      </w:r>
      <w:r>
        <w:t xml:space="preserve"> </w:t>
      </w:r>
      <w:r>
        <w:t xml:space="preserve">· Liraglutide in combination with metformin may improve the atherogenic lipid profile and decrease C-reactive protein level in statin treated obese patients with coronary artery disease and newly diagnosed type 2 diabetes: A randomized trial. PMID 31326727</w:t>
      </w:r>
    </w:p>
    <w:p>
      <w:pPr>
        <w:numPr>
          <w:ilvl w:val="0"/>
          <w:numId w:val="1377"/>
        </w:numPr>
        <w:pStyle w:val="Compact"/>
      </w:pPr>
      <w:r>
        <w:t xml:space="preserve">2019 · Rosenstock J ·</w:t>
      </w:r>
      <w:r>
        <w:t xml:space="preserve"> </w:t>
      </w:r>
      <w:r>
        <w:rPr>
          <w:iCs/>
          <w:i/>
        </w:rPr>
        <w:t xml:space="preserve">Diabetes Care</w:t>
      </w:r>
      <w:r>
        <w:t xml:space="preserve"> </w:t>
      </w:r>
      <w:r>
        <w:t xml:space="preserve">· Once-Weekly Efpeglenatide Dose-Range Effects on Glycemic Control and Body Weight in Patients With Type 2 Diabetes on Metformin or Drug Naive, Referenced to Liraglutide. PMID 31320446</w:t>
      </w:r>
    </w:p>
    <w:p>
      <w:pPr>
        <w:numPr>
          <w:ilvl w:val="0"/>
          <w:numId w:val="1377"/>
        </w:numPr>
        <w:pStyle w:val="Compact"/>
      </w:pPr>
      <w:r>
        <w:t xml:space="preserve">2019 · van Eyk HJ ·</w:t>
      </w:r>
      <w:r>
        <w:t xml:space="preserve"> </w:t>
      </w:r>
      <w:r>
        <w:rPr>
          <w:iCs/>
          <w:i/>
        </w:rPr>
        <w:t xml:space="preserve">Sci Rep</w:t>
      </w:r>
      <w:r>
        <w:t xml:space="preserve"> </w:t>
      </w:r>
      <w:r>
        <w:t xml:space="preserve">· Hepatic triglyceride content does not affect circulating CETP: lessons from a liraglutide intervention trial and a population-based cohort. PMID 31292457</w:t>
      </w:r>
    </w:p>
    <w:p>
      <w:pPr>
        <w:numPr>
          <w:ilvl w:val="0"/>
          <w:numId w:val="1377"/>
        </w:numPr>
        <w:pStyle w:val="Compact"/>
      </w:pPr>
      <w:r>
        <w:t xml:space="preserve">2019 · van Eyk HJ ·</w:t>
      </w:r>
      <w:r>
        <w:t xml:space="preserve"> </w:t>
      </w:r>
      <w:r>
        <w:rPr>
          <w:iCs/>
          <w:i/>
        </w:rPr>
        <w:t xml:space="preserve">Cardiovasc Diabetol</w:t>
      </w:r>
      <w:r>
        <w:t xml:space="preserve"> </w:t>
      </w:r>
      <w:r>
        <w:t xml:space="preserve">· A double-blind, placebo-controlled, randomised trial to assess the effect of liraglutide on ectopic fat accumulation in South Asian type 2 diabetes patients. PMID 31288820</w:t>
      </w:r>
    </w:p>
    <w:p>
      <w:pPr>
        <w:numPr>
          <w:ilvl w:val="0"/>
          <w:numId w:val="1377"/>
        </w:numPr>
        <w:pStyle w:val="Compact"/>
      </w:pPr>
      <w:r>
        <w:t xml:space="preserve">2019 · Tack CJ ·</w:t>
      </w:r>
      <w:r>
        <w:t xml:space="preserve"> </w:t>
      </w:r>
      <w:r>
        <w:rPr>
          <w:iCs/>
          <w:i/>
        </w:rPr>
        <w:t xml:space="preserve">Diabetes Obes Metab</w:t>
      </w:r>
      <w:r>
        <w:t xml:space="preserve"> </w:t>
      </w:r>
      <w:r>
        <w:t xml:space="preserve">· Long-term efficacy and safety of combined insulin and glucagon-like peptide-1 therapy: Evidence from the LEADER trial. PMID 31282028</w:t>
      </w:r>
    </w:p>
    <w:p>
      <w:pPr>
        <w:numPr>
          <w:ilvl w:val="0"/>
          <w:numId w:val="1377"/>
        </w:numPr>
        <w:pStyle w:val="Compact"/>
      </w:pPr>
      <w:r>
        <w:t xml:space="preserve">2019 · Farr OM ·</w:t>
      </w:r>
      <w:r>
        <w:t xml:space="preserve"> </w:t>
      </w:r>
      <w:r>
        <w:rPr>
          <w:iCs/>
          <w:i/>
        </w:rPr>
        <w:t xml:space="preserve">Diabetes Obes Metab</w:t>
      </w:r>
      <w:r>
        <w:t xml:space="preserve"> </w:t>
      </w:r>
      <w:r>
        <w:t xml:space="preserve">· Longer-term liraglutide administration at the highest dose approved for obesity increases reward-related orbitofrontal cortex activation in response to food cues: Implications for plateauing weight loss in response to anti-obesity therapies. PMID 31282006</w:t>
      </w:r>
    </w:p>
    <w:p>
      <w:pPr>
        <w:numPr>
          <w:ilvl w:val="0"/>
          <w:numId w:val="1377"/>
        </w:numPr>
        <w:pStyle w:val="Compact"/>
      </w:pPr>
      <w:r>
        <w:t xml:space="preserve">2019 · Li LQ ·</w:t>
      </w:r>
      <w:r>
        <w:t xml:space="preserve"> </w:t>
      </w:r>
      <w:r>
        <w:rPr>
          <w:iCs/>
          <w:i/>
        </w:rPr>
        <w:t xml:space="preserve">Endocr J</w:t>
      </w:r>
      <w:r>
        <w:t xml:space="preserve"> </w:t>
      </w:r>
      <w:r>
        <w:t xml:space="preserve">· Continuous subcutaneous insulin infusion combined with liraglutide reduced glycemic variability and oxidative stress in type 2 diabetes mellitus: a study based on the flash glucose monitoring system. PMID 31243192</w:t>
      </w:r>
    </w:p>
    <w:p>
      <w:pPr>
        <w:numPr>
          <w:ilvl w:val="0"/>
          <w:numId w:val="1377"/>
        </w:numPr>
        <w:pStyle w:val="Compact"/>
      </w:pPr>
      <w:r>
        <w:t xml:space="preserve">2019 · Aung MM ·</w:t>
      </w:r>
      <w:r>
        <w:t xml:space="preserve"> </w:t>
      </w:r>
      <w:r>
        <w:rPr>
          <w:iCs/>
          <w:i/>
        </w:rPr>
        <w:t xml:space="preserve">Diabetologia</w:t>
      </w:r>
      <w:r>
        <w:t xml:space="preserve"> </w:t>
      </w:r>
      <w:r>
        <w:t xml:space="preserve">· Locally delivered GLP-1 analogues liraglutide and exenatide enhance microvascular perfusion in individuals with and without type 2 diabetes. PMID 31203378</w:t>
      </w:r>
    </w:p>
    <w:p>
      <w:pPr>
        <w:numPr>
          <w:ilvl w:val="0"/>
          <w:numId w:val="1377"/>
        </w:numPr>
        <w:pStyle w:val="Compact"/>
      </w:pPr>
      <w:r>
        <w:t xml:space="preserve">2019 · Aroda VR ·</w:t>
      </w:r>
      <w:r>
        <w:t xml:space="preserve"> </w:t>
      </w:r>
      <w:r>
        <w:rPr>
          <w:iCs/>
          <w:i/>
        </w:rPr>
        <w:t xml:space="preserve">Lancet Diabetes Endocrinol</w:t>
      </w:r>
      <w:r>
        <w:t xml:space="preserve"> </w:t>
      </w:r>
      <w:r>
        <w:t xml:space="preserve">· Durability of insulin degludec plus liraglutide versus insulin glargine U100 as initial injectable therapy in type 2 diabetes (DUAL VIII): a multicentre, open-label, phase 3b, randomised controlled trial. PMID 31189519</w:t>
      </w:r>
    </w:p>
    <w:p>
      <w:pPr>
        <w:numPr>
          <w:ilvl w:val="0"/>
          <w:numId w:val="1377"/>
        </w:numPr>
        <w:pStyle w:val="Compact"/>
      </w:pPr>
      <w:r>
        <w:t xml:space="preserve">2019 · Pratley R ·</w:t>
      </w:r>
      <w:r>
        <w:t xml:space="preserve"> </w:t>
      </w:r>
      <w:r>
        <w:rPr>
          <w:iCs/>
          <w:i/>
        </w:rPr>
        <w:t xml:space="preserve">Lancet</w:t>
      </w:r>
      <w:r>
        <w:t xml:space="preserve"> </w:t>
      </w:r>
      <w:r>
        <w:t xml:space="preserve">· Oral semaglutide versus subcutaneous liraglutide and placebo in type 2 diabetes (PIONEER 4): a randomised, double-blind, phase 3a trial. PMID 31186120</w:t>
      </w:r>
    </w:p>
    <w:p>
      <w:pPr>
        <w:numPr>
          <w:ilvl w:val="0"/>
          <w:numId w:val="1377"/>
        </w:numPr>
        <w:pStyle w:val="Compact"/>
      </w:pPr>
      <w:r>
        <w:t xml:space="preserve">2019 · Miras AD ·</w:t>
      </w:r>
      <w:r>
        <w:t xml:space="preserve"> </w:t>
      </w:r>
      <w:r>
        <w:rPr>
          <w:iCs/>
          <w:i/>
        </w:rPr>
        <w:t xml:space="preserve">Lancet Diabetes Endocrinol</w:t>
      </w:r>
      <w:r>
        <w:t xml:space="preserve"> </w:t>
      </w:r>
      <w:r>
        <w:t xml:space="preserve">· Adjunctive liraglutide treatment in patients with persistent or recurrent type 2 diabetes after metabolic surgery (GRAVITAS): a randomised, double-blind, placebo-controlled trial. PMID 31174993</w:t>
      </w:r>
    </w:p>
    <w:p>
      <w:pPr>
        <w:numPr>
          <w:ilvl w:val="0"/>
          <w:numId w:val="1377"/>
        </w:numPr>
        <w:pStyle w:val="Compact"/>
      </w:pPr>
      <w:r>
        <w:t xml:space="preserve">2019 · Abreu M ·</w:t>
      </w:r>
      <w:r>
        <w:t xml:space="preserve"> </w:t>
      </w:r>
      <w:r>
        <w:rPr>
          <w:iCs/>
          <w:i/>
        </w:rPr>
        <w:t xml:space="preserve">Diabetes Obes Metab</w:t>
      </w:r>
      <w:r>
        <w:t xml:space="preserve"> </w:t>
      </w:r>
      <w:r>
        <w:t xml:space="preserve">· A randomized trial comparing the efficacy and safety of treating patients with type 2 diabetes and highly elevated HbA1c levels with basal-bolus insulin or a glucagon-like peptide-1 receptor agonist plus basal insulin: The SIMPLE study. PMID 31144435</w:t>
      </w:r>
    </w:p>
    <w:p>
      <w:pPr>
        <w:numPr>
          <w:ilvl w:val="0"/>
          <w:numId w:val="1377"/>
        </w:numPr>
        <w:pStyle w:val="Compact"/>
      </w:pPr>
      <w:r>
        <w:t xml:space="preserve">2019 · Øhrstrøm CC ·</w:t>
      </w:r>
      <w:r>
        <w:t xml:space="preserve"> </w:t>
      </w:r>
      <w:r>
        <w:rPr>
          <w:iCs/>
          <w:i/>
        </w:rPr>
        <w:t xml:space="preserve">Diabetes Obes Metab</w:t>
      </w:r>
      <w:r>
        <w:t xml:space="preserve"> </w:t>
      </w:r>
      <w:r>
        <w:t xml:space="preserve">· Postprandial hypoglycaemia after Roux-en-Y gastric bypass and the effects of acarbose, sitagliptin, verapamil, liraglutide and pasireotide. PMID 31144430</w:t>
      </w:r>
    </w:p>
    <w:p>
      <w:pPr>
        <w:numPr>
          <w:ilvl w:val="0"/>
          <w:numId w:val="1377"/>
        </w:numPr>
        <w:pStyle w:val="Compact"/>
      </w:pPr>
      <w:r>
        <w:t xml:space="preserve">2019 · Anholm C ·</w:t>
      </w:r>
      <w:r>
        <w:t xml:space="preserve"> </w:t>
      </w:r>
      <w:r>
        <w:rPr>
          <w:iCs/>
          <w:i/>
        </w:rPr>
        <w:t xml:space="preserve">Diabetes Obes Metab</w:t>
      </w:r>
      <w:r>
        <w:t xml:space="preserve"> </w:t>
      </w:r>
      <w:r>
        <w:t xml:space="preserve">· Effect of liraglutide on estimates of lipolysis and lipid oxidation in obese patients with stable coronary artery disease and newly diagnosed type 2 diabetes: A randomized trial. PMID 31050161</w:t>
      </w:r>
    </w:p>
    <w:p>
      <w:pPr>
        <w:numPr>
          <w:ilvl w:val="0"/>
          <w:numId w:val="1377"/>
        </w:numPr>
        <w:pStyle w:val="Compact"/>
      </w:pPr>
      <w:r>
        <w:t xml:space="preserve">2019 · Bizino MB ·</w:t>
      </w:r>
      <w:r>
        <w:t xml:space="preserve"> </w:t>
      </w:r>
      <w:r>
        <w:rPr>
          <w:iCs/>
          <w:i/>
        </w:rPr>
        <w:t xml:space="preserve">Cardiovasc Diabetol</w:t>
      </w:r>
      <w:r>
        <w:t xml:space="preserve"> </w:t>
      </w:r>
      <w:r>
        <w:t xml:space="preserve">· Effect of liraglutide on cardiac function in patients with type 2 diabetes mellitus: randomized placebo-controlled trial. PMID 31039778</w:t>
      </w:r>
    </w:p>
    <w:p>
      <w:pPr>
        <w:numPr>
          <w:ilvl w:val="0"/>
          <w:numId w:val="1377"/>
        </w:numPr>
        <w:pStyle w:val="Compact"/>
      </w:pPr>
      <w:r>
        <w:t xml:space="preserve">2019 · Tamborlane WV ·</w:t>
      </w:r>
      <w:r>
        <w:t xml:space="preserve"> </w:t>
      </w:r>
      <w:r>
        <w:rPr>
          <w:iCs/>
          <w:i/>
        </w:rPr>
        <w:t xml:space="preserve">N Engl J Med</w:t>
      </w:r>
      <w:r>
        <w:t xml:space="preserve"> </w:t>
      </w:r>
      <w:r>
        <w:t xml:space="preserve">· Liraglutide in Children and Adolescents with Type 2 Diabetes. PMID 31034184</w:t>
      </w:r>
    </w:p>
    <w:p>
      <w:pPr>
        <w:numPr>
          <w:ilvl w:val="0"/>
          <w:numId w:val="1377"/>
        </w:numPr>
        <w:pStyle w:val="Compact"/>
      </w:pPr>
      <w:r>
        <w:t xml:space="preserve">2019 · Adiels M ·</w:t>
      </w:r>
      <w:r>
        <w:t xml:space="preserve"> </w:t>
      </w:r>
      <w:r>
        <w:rPr>
          <w:iCs/>
          <w:i/>
        </w:rPr>
        <w:t xml:space="preserve">Diabetes Obes Metab</w:t>
      </w:r>
      <w:r>
        <w:t xml:space="preserve"> </w:t>
      </w:r>
      <w:r>
        <w:t xml:space="preserve">· Role of apolipoprotein C-III overproduction in diabetic dyslipidaemia. PMID 30972934</w:t>
      </w:r>
    </w:p>
    <w:p>
      <w:pPr>
        <w:numPr>
          <w:ilvl w:val="0"/>
          <w:numId w:val="1377"/>
        </w:numPr>
        <w:pStyle w:val="Compact"/>
      </w:pPr>
      <w:r>
        <w:t xml:space="preserve">2019 · Tronieri JS ·</w:t>
      </w:r>
      <w:r>
        <w:t xml:space="preserve"> </w:t>
      </w:r>
      <w:r>
        <w:rPr>
          <w:iCs/>
          <w:i/>
        </w:rPr>
        <w:t xml:space="preserve">Metabolism</w:t>
      </w:r>
      <w:r>
        <w:t xml:space="preserve"> </w:t>
      </w:r>
      <w:r>
        <w:t xml:space="preserve">· Effects of liraglutide plus phentermine in adults with obesity following 1 year of treatment by liraglutide alone: A randomized placebo-controlled pilot trial. PMID 30902750</w:t>
      </w:r>
    </w:p>
    <w:p>
      <w:pPr>
        <w:numPr>
          <w:ilvl w:val="0"/>
          <w:numId w:val="1377"/>
        </w:numPr>
        <w:pStyle w:val="Compact"/>
      </w:pPr>
      <w:r>
        <w:t xml:space="preserve">2019 · Liu J ·</w:t>
      </w:r>
      <w:r>
        <w:t xml:space="preserve"> </w:t>
      </w:r>
      <w:r>
        <w:rPr>
          <w:iCs/>
          <w:i/>
        </w:rPr>
        <w:t xml:space="preserve">EBioMedicine</w:t>
      </w:r>
      <w:r>
        <w:t xml:space="preserve"> </w:t>
      </w:r>
      <w:r>
        <w:t xml:space="preserve">· Liver-derived fibroblast growth factor 21 mediates effects of glucagon-like peptide-1 in attenuating hepatic glucose output. PMID 30827929</w:t>
      </w:r>
    </w:p>
    <w:p>
      <w:pPr>
        <w:numPr>
          <w:ilvl w:val="0"/>
          <w:numId w:val="1377"/>
        </w:numPr>
        <w:pStyle w:val="Compact"/>
      </w:pPr>
      <w:r>
        <w:t xml:space="preserve">2019 · Liu X ·</w:t>
      </w:r>
      <w:r>
        <w:t xml:space="preserve"> </w:t>
      </w:r>
      <w:r>
        <w:rPr>
          <w:iCs/>
          <w:i/>
        </w:rPr>
        <w:t xml:space="preserve">J Coll Physicians Surg Pak</w:t>
      </w:r>
      <w:r>
        <w:t xml:space="preserve"> </w:t>
      </w:r>
      <w:r>
        <w:t xml:space="preserve">· Effects of Liraglutide Combined with Insulin on Oxidative Stress and Serum MCP-1 and NF-kB Levels in Type 2 Diabetes. PMID 30823945</w:t>
      </w:r>
    </w:p>
    <w:p>
      <w:pPr>
        <w:numPr>
          <w:ilvl w:val="0"/>
          <w:numId w:val="1377"/>
        </w:numPr>
        <w:pStyle w:val="Compact"/>
      </w:pPr>
      <w:r>
        <w:t xml:space="preserve">2019 · Brown-Frandsen K ·</w:t>
      </w:r>
      <w:r>
        <w:t xml:space="preserve"> </w:t>
      </w:r>
      <w:r>
        <w:rPr>
          <w:iCs/>
          <w:i/>
        </w:rPr>
        <w:t xml:space="preserve">Diabetes Obes Metab</w:t>
      </w:r>
      <w:r>
        <w:t xml:space="preserve"> </w:t>
      </w:r>
      <w:r>
        <w:t xml:space="preserve">· Lower rates of cardiovascular events and mortality associated with liraglutide use in patients treated with basal insulin: A DEVOTE subanalysis (DEVOTE 10). PMID 30793465</w:t>
      </w:r>
    </w:p>
    <w:p>
      <w:pPr>
        <w:numPr>
          <w:ilvl w:val="0"/>
          <w:numId w:val="1377"/>
        </w:numPr>
        <w:pStyle w:val="Compact"/>
      </w:pPr>
      <w:r>
        <w:t xml:space="preserve">2019 · Suhrs HE ·</w:t>
      </w:r>
      <w:r>
        <w:t xml:space="preserve"> </w:t>
      </w:r>
      <w:r>
        <w:rPr>
          <w:iCs/>
          <w:i/>
        </w:rPr>
        <w:t xml:space="preserve">Int J Cardiol</w:t>
      </w:r>
      <w:r>
        <w:t xml:space="preserve"> </w:t>
      </w:r>
      <w:r>
        <w:t xml:space="preserve">· Effect of liraglutide on body weight and microvascular function in non-diabetic overweight women with coronary microvascular dysfunction. PMID 30773266</w:t>
      </w:r>
    </w:p>
    <w:p>
      <w:pPr>
        <w:numPr>
          <w:ilvl w:val="0"/>
          <w:numId w:val="1377"/>
        </w:numPr>
        <w:pStyle w:val="Compact"/>
      </w:pPr>
      <w:r>
        <w:t xml:space="preserve">2019 · Philis-Tsimikas A ·</w:t>
      </w:r>
      <w:r>
        <w:t xml:space="preserve"> </w:t>
      </w:r>
      <w:r>
        <w:rPr>
          <w:iCs/>
          <w:i/>
        </w:rPr>
        <w:t xml:space="preserve">Diabetes Obes Metab</w:t>
      </w:r>
      <w:r>
        <w:t xml:space="preserve"> </w:t>
      </w:r>
      <w:r>
        <w:t xml:space="preserve">· Superior efficacy of insulin degludec/liraglutide versus insulin glargine U100 as add-on to sodium-glucose co-transporter-2 inhibitor therapy: A randomized clinical trial in people with uncontrolled type 2 diabetes. PMID 30761720</w:t>
      </w:r>
    </w:p>
    <w:p>
      <w:pPr>
        <w:numPr>
          <w:ilvl w:val="0"/>
          <w:numId w:val="1377"/>
        </w:numPr>
        <w:pStyle w:val="Compact"/>
      </w:pPr>
      <w:r>
        <w:t xml:space="preserve">2019 · Khoo J ·</w:t>
      </w:r>
      <w:r>
        <w:t xml:space="preserve"> </w:t>
      </w:r>
      <w:r>
        <w:rPr>
          <w:iCs/>
          <w:i/>
        </w:rPr>
        <w:t xml:space="preserve">Liver Int</w:t>
      </w:r>
      <w:r>
        <w:t xml:space="preserve"> </w:t>
      </w:r>
      <w:r>
        <w:t xml:space="preserve">· Randomized trial comparing effects of weight loss by liraglutide with lifestyle modification in non-alcoholic fatty liver disease. PMID 30721572</w:t>
      </w:r>
    </w:p>
    <w:p>
      <w:pPr>
        <w:numPr>
          <w:ilvl w:val="0"/>
          <w:numId w:val="1377"/>
        </w:numPr>
        <w:pStyle w:val="Compact"/>
      </w:pPr>
      <w:r>
        <w:t xml:space="preserve">2019 · Zobel EH ·</w:t>
      </w:r>
      <w:r>
        <w:t xml:space="preserve"> </w:t>
      </w:r>
      <w:r>
        <w:rPr>
          <w:iCs/>
          <w:i/>
        </w:rPr>
        <w:t xml:space="preserve">Diabetes Obes Metab</w:t>
      </w:r>
      <w:r>
        <w:t xml:space="preserve"> </w:t>
      </w:r>
      <w:r>
        <w:t xml:space="preserve">· Pleiotropic effects of liraglutide in patients with type 2 diabetes and moderate renal impairment: Individual effects of treatment. PMID 30663196</w:t>
      </w:r>
    </w:p>
    <w:p>
      <w:pPr>
        <w:numPr>
          <w:ilvl w:val="0"/>
          <w:numId w:val="1377"/>
        </w:numPr>
        <w:pStyle w:val="Compact"/>
      </w:pPr>
      <w:r>
        <w:t xml:space="preserve">2019 · Mastrandrea LD ·</w:t>
      </w:r>
      <w:r>
        <w:t xml:space="preserve"> </w:t>
      </w:r>
      <w:r>
        <w:rPr>
          <w:iCs/>
          <w:i/>
        </w:rPr>
        <w:t xml:space="preserve">Pediatr Obes</w:t>
      </w:r>
      <w:r>
        <w:t xml:space="preserve"> </w:t>
      </w:r>
      <w:r>
        <w:t xml:space="preserve">· Liraglutide effects in a paediatric (7-11 y) population with obesity: A randomized, double-blind, placebo-controlled, short-term trial to assess safety, tolerability, pharmacokinetics, and pharmacodynamics. PMID 30653847</w:t>
      </w:r>
    </w:p>
    <w:p>
      <w:pPr>
        <w:numPr>
          <w:ilvl w:val="0"/>
          <w:numId w:val="1377"/>
        </w:numPr>
        <w:pStyle w:val="Compact"/>
      </w:pPr>
      <w:r>
        <w:t xml:space="preserve">2019 · Wijkman MO ·</w:t>
      </w:r>
      <w:r>
        <w:t xml:space="preserve"> </w:t>
      </w:r>
      <w:r>
        <w:rPr>
          <w:iCs/>
          <w:i/>
        </w:rPr>
        <w:t xml:space="preserve">J Clin Hypertens (Greenwich)</w:t>
      </w:r>
      <w:r>
        <w:t xml:space="preserve"> </w:t>
      </w:r>
      <w:r>
        <w:t xml:space="preserve">· Predictors and correlates of systolic blood pressure reduction with liraglutide treatment in patients with type 2 diabetes. PMID 30515978</w:t>
      </w:r>
    </w:p>
    <w:p>
      <w:pPr>
        <w:numPr>
          <w:ilvl w:val="0"/>
          <w:numId w:val="1377"/>
        </w:numPr>
        <w:pStyle w:val="Compact"/>
      </w:pPr>
      <w:r>
        <w:t xml:space="preserve">2019 · Gilbert MP ·</w:t>
      </w:r>
      <w:r>
        <w:t xml:space="preserve"> </w:t>
      </w:r>
      <w:r>
        <w:rPr>
          <w:iCs/>
          <w:i/>
        </w:rPr>
        <w:t xml:space="preserve">Ann Intern Med</w:t>
      </w:r>
      <w:r>
        <w:t xml:space="preserve"> </w:t>
      </w:r>
      <w:r>
        <w:t xml:space="preserve">· Effect of Liraglutide on Cardiovascular Outcomes in Elderly Patients: A Post Hoc Analysis of a Randomized Controlled Trial. PMID 30508430</w:t>
      </w:r>
    </w:p>
    <w:p>
      <w:pPr>
        <w:numPr>
          <w:ilvl w:val="0"/>
          <w:numId w:val="1377"/>
        </w:numPr>
        <w:pStyle w:val="Compact"/>
      </w:pPr>
      <w:r>
        <w:t xml:space="preserve">2019 · Wadden TA ·</w:t>
      </w:r>
      <w:r>
        <w:t xml:space="preserve"> </w:t>
      </w:r>
      <w:r>
        <w:rPr>
          <w:iCs/>
          <w:i/>
        </w:rPr>
        <w:t xml:space="preserve">Obesity (Silver Spring)</w:t>
      </w:r>
      <w:r>
        <w:t xml:space="preserve"> </w:t>
      </w:r>
      <w:r>
        <w:t xml:space="preserve">· Intensive Behavioral Therapy for Obesity Combined with Liraglutide 3.0 mg: A Randomized Controlled Trial. PMID 30421856</w:t>
      </w:r>
    </w:p>
    <w:p>
      <w:pPr>
        <w:numPr>
          <w:ilvl w:val="0"/>
          <w:numId w:val="1377"/>
        </w:numPr>
        <w:pStyle w:val="Compact"/>
      </w:pPr>
      <w:r>
        <w:t xml:space="preserve">2019 · Lingvay I ·</w:t>
      </w:r>
      <w:r>
        <w:t xml:space="preserve"> </w:t>
      </w:r>
      <w:r>
        <w:rPr>
          <w:iCs/>
          <w:i/>
        </w:rPr>
        <w:t xml:space="preserve">Endocr Pract</w:t>
      </w:r>
      <w:r>
        <w:t xml:space="preserve"> </w:t>
      </w:r>
      <w:r>
        <w:t xml:space="preserve">· EFFICACY AND SAFETY OF IDEGLIRA IN OLDER PATIENTS WITH TYPE 2 DIABETES. PMID 30383495</w:t>
      </w:r>
    </w:p>
    <w:p>
      <w:pPr>
        <w:numPr>
          <w:ilvl w:val="0"/>
          <w:numId w:val="1377"/>
        </w:numPr>
        <w:pStyle w:val="Compact"/>
      </w:pPr>
      <w:r>
        <w:t xml:space="preserve">2019 · Svensson CK ·</w:t>
      </w:r>
      <w:r>
        <w:t xml:space="preserve"> </w:t>
      </w:r>
      <w:r>
        <w:rPr>
          <w:iCs/>
          <w:i/>
        </w:rPr>
        <w:t xml:space="preserve">Acta Psychiatr Scand</w:t>
      </w:r>
      <w:r>
        <w:t xml:space="preserve"> </w:t>
      </w:r>
      <w:r>
        <w:t xml:space="preserve">· One-year follow-up on liraglutide treatment for prediabetes and overweight/obesity in clozapine- or olanzapine-treated patients. PMID 30374965</w:t>
      </w:r>
    </w:p>
    <w:p>
      <w:pPr>
        <w:numPr>
          <w:ilvl w:val="0"/>
          <w:numId w:val="1377"/>
        </w:numPr>
        <w:pStyle w:val="Compact"/>
      </w:pPr>
      <w:r>
        <w:t xml:space="preserve">2019 · Yan J ·</w:t>
      </w:r>
      <w:r>
        <w:t xml:space="preserve"> </w:t>
      </w:r>
      <w:r>
        <w:rPr>
          <w:iCs/>
          <w:i/>
        </w:rPr>
        <w:t xml:space="preserve">Hepatology</w:t>
      </w:r>
      <w:r>
        <w:t xml:space="preserve"> </w:t>
      </w:r>
      <w:r>
        <w:t xml:space="preserve">· Liraglutide, Sitagliptin, and Insulin Glargine Added to Metformin: The Effect on Body Weight and Intrahepatic Lipid in Patients With Type 2 Diabetes Mellitus and Nonalcoholic Fatty Liver Disease. PMID 30341767</w:t>
      </w:r>
    </w:p>
    <w:p>
      <w:pPr>
        <w:numPr>
          <w:ilvl w:val="0"/>
          <w:numId w:val="1377"/>
        </w:numPr>
        <w:pStyle w:val="Compact"/>
      </w:pPr>
      <w:r>
        <w:t xml:space="preserve">2019 · Nauck MA ·</w:t>
      </w:r>
      <w:r>
        <w:t xml:space="preserve"> </w:t>
      </w:r>
      <w:r>
        <w:rPr>
          <w:iCs/>
          <w:i/>
        </w:rPr>
        <w:t xml:space="preserve">Diabetes Obes Metab</w:t>
      </w:r>
      <w:r>
        <w:t xml:space="preserve"> </w:t>
      </w:r>
      <w:r>
        <w:t xml:space="preserve">· Health-related quality of life in people with type 2 diabetes participating in the LEADER trial. PMID 30260088</w:t>
      </w:r>
    </w:p>
    <w:p>
      <w:pPr>
        <w:numPr>
          <w:ilvl w:val="0"/>
          <w:numId w:val="1377"/>
        </w:numPr>
        <w:pStyle w:val="Compact"/>
      </w:pPr>
      <w:r>
        <w:t xml:space="preserve">2019 · Liakos A ·</w:t>
      </w:r>
      <w:r>
        <w:t xml:space="preserve"> </w:t>
      </w:r>
      <w:r>
        <w:rPr>
          <w:iCs/>
          <w:i/>
        </w:rPr>
        <w:t xml:space="preserve">Diabetes Obes Metab</w:t>
      </w:r>
      <w:r>
        <w:t xml:space="preserve"> </w:t>
      </w:r>
      <w:r>
        <w:t xml:space="preserve">· Effect of liraglutide on ambulatory blood pressure in patients with hypertension and type 2 diabetes: A randomized, double-blind, placebo-controlled trial. PMID 30242948</w:t>
      </w:r>
    </w:p>
    <w:p>
      <w:pPr>
        <w:numPr>
          <w:ilvl w:val="0"/>
          <w:numId w:val="1377"/>
        </w:numPr>
        <w:pStyle w:val="Compact"/>
      </w:pPr>
      <w:r>
        <w:t xml:space="preserve">2019 · Wägner AM ·</w:t>
      </w:r>
      <w:r>
        <w:t xml:space="preserve"> </w:t>
      </w:r>
      <w:r>
        <w:rPr>
          <w:iCs/>
          <w:i/>
        </w:rPr>
        <w:t xml:space="preserve">Diabetes Metab</w:t>
      </w:r>
      <w:r>
        <w:t xml:space="preserve"> </w:t>
      </w:r>
      <w:r>
        <w:t xml:space="preserve">· Effect of liraglutide on physical performance in type 2 diabetes: Results of a randomized, double-blind, controlled trial (LIPER2). PMID 30223083</w:t>
      </w:r>
    </w:p>
    <w:p>
      <w:pPr>
        <w:numPr>
          <w:ilvl w:val="0"/>
          <w:numId w:val="1377"/>
        </w:numPr>
        <w:pStyle w:val="Compact"/>
      </w:pPr>
      <w:r>
        <w:t xml:space="preserve">2019 · Watson KT ·</w:t>
      </w:r>
      <w:r>
        <w:t xml:space="preserve"> </w:t>
      </w:r>
      <w:r>
        <w:rPr>
          <w:iCs/>
          <w:i/>
        </w:rPr>
        <w:t xml:space="preserve">Behav Brain Res</w:t>
      </w:r>
      <w:r>
        <w:t xml:space="preserve"> </w:t>
      </w:r>
      <w:r>
        <w:t xml:space="preserve">· Neural correlates of liraglutide effects in persons at risk for Alzheimer’s disease. PMID 30099030</w:t>
      </w:r>
    </w:p>
    <w:p>
      <w:pPr>
        <w:numPr>
          <w:ilvl w:val="0"/>
          <w:numId w:val="1377"/>
        </w:numPr>
        <w:pStyle w:val="Compact"/>
      </w:pPr>
      <w:r>
        <w:t xml:space="preserve">2019 · Takase T ·</w:t>
      </w:r>
      <w:r>
        <w:t xml:space="preserve"> </w:t>
      </w:r>
      <w:r>
        <w:rPr>
          <w:iCs/>
          <w:i/>
        </w:rPr>
        <w:t xml:space="preserve">J Diabetes Investig</w:t>
      </w:r>
      <w:r>
        <w:t xml:space="preserve"> </w:t>
      </w:r>
      <w:r>
        <w:t xml:space="preserve">· Improvement in treatment satisfaction after switching from liraglutide to dulaglutide in patients with type 2 diabetes: A randomized controlled trial. PMID 30076787</w:t>
      </w:r>
    </w:p>
    <w:p>
      <w:pPr>
        <w:numPr>
          <w:ilvl w:val="0"/>
          <w:numId w:val="1377"/>
        </w:numPr>
        <w:pStyle w:val="Compact"/>
      </w:pPr>
      <w:r>
        <w:t xml:space="preserve">2019 · Matikainen N ·</w:t>
      </w:r>
      <w:r>
        <w:t xml:space="preserve"> </w:t>
      </w:r>
      <w:r>
        <w:rPr>
          <w:iCs/>
          <w:i/>
        </w:rPr>
        <w:t xml:space="preserve">Diabetes Obes Metab</w:t>
      </w:r>
      <w:r>
        <w:t xml:space="preserve"> </w:t>
      </w:r>
      <w:r>
        <w:t xml:space="preserve">· Liraglutide treatment improves postprandial lipid metabolism and cardiometabolic risk factors in humans with adequately controlled type 2 diabetes: A single-centre randomized controlled study. PMID 30073766</w:t>
      </w:r>
    </w:p>
    <w:p>
      <w:pPr>
        <w:numPr>
          <w:ilvl w:val="0"/>
          <w:numId w:val="1377"/>
        </w:numPr>
        <w:pStyle w:val="Compact"/>
      </w:pPr>
      <w:r>
        <w:t xml:space="preserve">2019 · Overgaard RV ·</w:t>
      </w:r>
      <w:r>
        <w:t xml:space="preserve"> </w:t>
      </w:r>
      <w:r>
        <w:rPr>
          <w:iCs/>
          <w:i/>
        </w:rPr>
        <w:t xml:space="preserve">Diabetes Obes Metab</w:t>
      </w:r>
      <w:r>
        <w:t xml:space="preserve"> </w:t>
      </w:r>
      <w:r>
        <w:t xml:space="preserve">· Impact on HbA1c and body weight of switching from other GLP-1 receptor agonists to semaglutide: A model-based approach. PMID 30047216</w:t>
      </w:r>
    </w:p>
    <w:p>
      <w:pPr>
        <w:numPr>
          <w:ilvl w:val="0"/>
          <w:numId w:val="1377"/>
        </w:numPr>
        <w:pStyle w:val="Compact"/>
      </w:pPr>
      <w:r>
        <w:t xml:space="preserve">2019 · Feng WH ·</w:t>
      </w:r>
      <w:r>
        <w:t xml:space="preserve"> </w:t>
      </w:r>
      <w:r>
        <w:rPr>
          <w:iCs/>
          <w:i/>
        </w:rPr>
        <w:t xml:space="preserve">J Diabetes Investig</w:t>
      </w:r>
      <w:r>
        <w:t xml:space="preserve"> </w:t>
      </w:r>
      <w:r>
        <w:t xml:space="preserve">· Effects of liraglutide, metformin and gliclazide on body composition in patients with both type 2 diabetes and non-alcoholic fatty liver disease: A randomized trial. PMID 29957886</w:t>
      </w:r>
    </w:p>
    <w:p>
      <w:pPr>
        <w:numPr>
          <w:ilvl w:val="0"/>
          <w:numId w:val="1377"/>
        </w:numPr>
        <w:pStyle w:val="Compact"/>
      </w:pPr>
      <w:r>
        <w:t xml:space="preserve">2019 · Nielsen R ·</w:t>
      </w:r>
      <w:r>
        <w:t xml:space="preserve"> </w:t>
      </w:r>
      <w:r>
        <w:rPr>
          <w:iCs/>
          <w:i/>
        </w:rPr>
        <w:t xml:space="preserve">J Nucl Cardiol</w:t>
      </w:r>
      <w:r>
        <w:t xml:space="preserve"> </w:t>
      </w:r>
      <w:r>
        <w:t xml:space="preserve">· Effect of liraglutide on myocardial glucose uptake and blood flow in stable chronic heart failure patients: A double-blind, randomized, placebo-controlled LIVE sub-study. PMID 28770459</w:t>
      </w:r>
    </w:p>
    <w:p>
      <w:pPr>
        <w:numPr>
          <w:ilvl w:val="0"/>
          <w:numId w:val="1377"/>
        </w:numPr>
        <w:pStyle w:val="Compact"/>
      </w:pPr>
      <w:r>
        <w:t xml:space="preserve">2018 · Mann JFE ·</w:t>
      </w:r>
      <w:r>
        <w:t xml:space="preserve"> </w:t>
      </w:r>
      <w:r>
        <w:rPr>
          <w:iCs/>
          <w:i/>
        </w:rPr>
        <w:t xml:space="preserve">Circulation</w:t>
      </w:r>
      <w:r>
        <w:t xml:space="preserve"> </w:t>
      </w:r>
      <w:r>
        <w:t xml:space="preserve">· Effects of Liraglutide Versus Placebo on Cardiovascular Events in Patients With Type 2 Diabetes Mellitus and Chronic Kidney Disease. PMID 30566006</w:t>
      </w:r>
    </w:p>
    <w:p>
      <w:pPr>
        <w:numPr>
          <w:ilvl w:val="0"/>
          <w:numId w:val="1377"/>
        </w:numPr>
        <w:pStyle w:val="Compact"/>
      </w:pPr>
      <w:r>
        <w:t xml:space="preserve">2018 · Verma S ·</w:t>
      </w:r>
      <w:r>
        <w:t xml:space="preserve"> </w:t>
      </w:r>
      <w:r>
        <w:rPr>
          <w:iCs/>
          <w:i/>
        </w:rPr>
        <w:t xml:space="preserve">Circulation</w:t>
      </w:r>
      <w:r>
        <w:t xml:space="preserve"> </w:t>
      </w:r>
      <w:r>
        <w:t xml:space="preserve">· Effects of Liraglutide on Cardiovascular Outcomes in Patients With Type 2 Diabetes Mellitus With or Without History of Myocardial Infarction or Stroke. PMID 30566004</w:t>
      </w:r>
    </w:p>
    <w:p>
      <w:pPr>
        <w:numPr>
          <w:ilvl w:val="0"/>
          <w:numId w:val="1377"/>
        </w:numPr>
        <w:pStyle w:val="Compact"/>
      </w:pPr>
      <w:r>
        <w:t xml:space="preserve">2018 · Simeone P ·</w:t>
      </w:r>
      <w:r>
        <w:t xml:space="preserve"> </w:t>
      </w:r>
      <w:r>
        <w:rPr>
          <w:iCs/>
          <w:i/>
        </w:rPr>
        <w:t xml:space="preserve">Nutrients</w:t>
      </w:r>
      <w:r>
        <w:t xml:space="preserve"> </w:t>
      </w:r>
      <w:r>
        <w:t xml:space="preserve">· Thromboxane-Dependent Platelet Activation in Obese Subjects with Prediabetes or Early Type 2 Diabetes: Effects of Liraglutide- or Lifestyle Changes-Induced Weight Loss. PMID 30513818</w:t>
      </w:r>
    </w:p>
    <w:p>
      <w:pPr>
        <w:numPr>
          <w:ilvl w:val="0"/>
          <w:numId w:val="1377"/>
        </w:numPr>
        <w:pStyle w:val="Compact"/>
      </w:pPr>
      <w:r>
        <w:t xml:space="preserve">2018 · Said OV ·</w:t>
      </w:r>
      <w:r>
        <w:t xml:space="preserve"> </w:t>
      </w:r>
      <w:r>
        <w:rPr>
          <w:iCs/>
          <w:i/>
        </w:rPr>
        <w:t xml:space="preserve">Wiad Lek</w:t>
      </w:r>
      <w:r>
        <w:t xml:space="preserve"> </w:t>
      </w:r>
      <w:r>
        <w:t xml:space="preserve">· Assessment of complex treatment influence on systemic inflammation in overweight type 2 diabetes patients. PMID 30267490</w:t>
      </w:r>
    </w:p>
    <w:p>
      <w:pPr>
        <w:numPr>
          <w:ilvl w:val="0"/>
          <w:numId w:val="1377"/>
        </w:numPr>
        <w:pStyle w:val="Compact"/>
      </w:pPr>
      <w:r>
        <w:t xml:space="preserve">2018 · Horie I ·</w:t>
      </w:r>
      <w:r>
        <w:t xml:space="preserve"> </w:t>
      </w:r>
      <w:r>
        <w:rPr>
          <w:iCs/>
          <w:i/>
        </w:rPr>
        <w:t xml:space="preserve">Diabetes Res Clin Pract</w:t>
      </w:r>
      <w:r>
        <w:t xml:space="preserve"> </w:t>
      </w:r>
      <w:r>
        <w:t xml:space="preserve">· Predictive factors of efficacy of combination therapy with basal insulin and liraglutide in type 2 diabetes when switched from longstanding basal-bolus insulin: Association between the responses of β- and α-cells to GLP-1 stimulation and the glycaemic control at 6 months after switching therapy. PMID 30194951</w:t>
      </w:r>
    </w:p>
    <w:p>
      <w:pPr>
        <w:numPr>
          <w:ilvl w:val="0"/>
          <w:numId w:val="1377"/>
        </w:numPr>
        <w:pStyle w:val="Compact"/>
      </w:pPr>
      <w:r>
        <w:t xml:space="preserve">2018 · O’Neil PM ·</w:t>
      </w:r>
      <w:r>
        <w:t xml:space="preserve"> </w:t>
      </w:r>
      <w:r>
        <w:rPr>
          <w:iCs/>
          <w:i/>
        </w:rPr>
        <w:t xml:space="preserve">Lancet</w:t>
      </w:r>
      <w:r>
        <w:t xml:space="preserve"> </w:t>
      </w:r>
      <w:r>
        <w:t xml:space="preserve">· Efficacy and safety of semaglutide compared with liraglutide and placebo for weight loss in patients with obesity: a randomised, double-blind, placebo and active controlled, dose-ranging, phase 2 trial. PMID 30122305</w:t>
      </w:r>
    </w:p>
    <w:p>
      <w:pPr>
        <w:numPr>
          <w:ilvl w:val="0"/>
          <w:numId w:val="1377"/>
        </w:numPr>
        <w:pStyle w:val="Compact"/>
      </w:pPr>
      <w:r>
        <w:t xml:space="preserve">2018 · Sharma A ·</w:t>
      </w:r>
      <w:r>
        <w:t xml:space="preserve"> </w:t>
      </w:r>
      <w:r>
        <w:rPr>
          <w:iCs/>
          <w:i/>
        </w:rPr>
        <w:t xml:space="preserve">ESC Heart Fail</w:t>
      </w:r>
      <w:r>
        <w:t xml:space="preserve"> </w:t>
      </w:r>
      <w:r>
        <w:t xml:space="preserve">· Liraglutide and weight loss among patients with advanced heart failure and a reduced ejection fraction: insights from the FIGHT trial. PMID 30120812</w:t>
      </w:r>
    </w:p>
    <w:p>
      <w:pPr>
        <w:numPr>
          <w:ilvl w:val="0"/>
          <w:numId w:val="1377"/>
        </w:numPr>
        <w:pStyle w:val="Compact"/>
      </w:pPr>
      <w:r>
        <w:t xml:space="preserve">2018 · Dhatariya K ·</w:t>
      </w:r>
      <w:r>
        <w:t xml:space="preserve"> </w:t>
      </w:r>
      <w:r>
        <w:rPr>
          <w:iCs/>
          <w:i/>
        </w:rPr>
        <w:t xml:space="preserve">Diabetes Care</w:t>
      </w:r>
      <w:r>
        <w:t xml:space="preserve"> </w:t>
      </w:r>
      <w:r>
        <w:t xml:space="preserve">· The Impact of Liraglutide on Diabetes-Related Foot Ulceration and Associated Complications in Patients With Type 2 Diabetes at High Risk for Cardiovascular Events: Results From the LEADER Trial. PMID 30072400</w:t>
      </w:r>
    </w:p>
    <w:p>
      <w:pPr>
        <w:numPr>
          <w:ilvl w:val="0"/>
          <w:numId w:val="1377"/>
        </w:numPr>
        <w:pStyle w:val="Compact"/>
      </w:pPr>
      <w:r>
        <w:t xml:space="preserve">2018 · Hiramatsu T ·</w:t>
      </w:r>
      <w:r>
        <w:t xml:space="preserve"> </w:t>
      </w:r>
      <w:r>
        <w:rPr>
          <w:iCs/>
          <w:i/>
        </w:rPr>
        <w:t xml:space="preserve">Eur J Clin Invest</w:t>
      </w:r>
      <w:r>
        <w:t xml:space="preserve"> </w:t>
      </w:r>
      <w:r>
        <w:t xml:space="preserve">· Liraglutide relieves cardiac dilated function than DPP-4 inhibitors. PMID 30054920</w:t>
      </w:r>
    </w:p>
    <w:p>
      <w:pPr>
        <w:numPr>
          <w:ilvl w:val="0"/>
          <w:numId w:val="1377"/>
        </w:numPr>
        <w:pStyle w:val="Compact"/>
      </w:pPr>
      <w:r>
        <w:t xml:space="preserve">2018 · Lingvay I ·</w:t>
      </w:r>
      <w:r>
        <w:t xml:space="preserve"> </w:t>
      </w:r>
      <w:r>
        <w:rPr>
          <w:iCs/>
          <w:i/>
        </w:rPr>
        <w:t xml:space="preserve">Diabetes Care</w:t>
      </w:r>
      <w:r>
        <w:t xml:space="preserve"> </w:t>
      </w:r>
      <w:r>
        <w:t xml:space="preserve">· A 26-Week Randomized Controlled Trial of Semaglutide Once Daily Versus Liraglutide and Placebo in Patients With Type 2 Diabetes Suboptimally Controlled on Diet and Exercise With or Without Metformin. PMID 30026333</w:t>
      </w:r>
    </w:p>
    <w:p>
      <w:pPr>
        <w:numPr>
          <w:ilvl w:val="0"/>
          <w:numId w:val="1377"/>
        </w:numPr>
        <w:pStyle w:val="Compact"/>
      </w:pPr>
      <w:r>
        <w:t xml:space="preserve">2018 · Vergès B ·</w:t>
      </w:r>
      <w:r>
        <w:t xml:space="preserve"> </w:t>
      </w:r>
      <w:r>
        <w:rPr>
          <w:iCs/>
          <w:i/>
        </w:rPr>
        <w:t xml:space="preserve">Arterioscler Thromb Vasc Biol</w:t>
      </w:r>
      <w:r>
        <w:t xml:space="preserve"> </w:t>
      </w:r>
      <w:r>
        <w:t xml:space="preserve">· Liraglutide Reduces Postprandial Hyperlipidemia by Increasing ApoB48 (Apolipoprotein B48) Catabolism and by Reducing ApoB48 Production in Patients With Type 2 Diabetes Mellitus. PMID 30026275</w:t>
      </w:r>
    </w:p>
    <w:p>
      <w:pPr>
        <w:numPr>
          <w:ilvl w:val="0"/>
          <w:numId w:val="1377"/>
        </w:numPr>
        <w:pStyle w:val="Compact"/>
      </w:pPr>
      <w:r>
        <w:t xml:space="preserve">2018 · Mather KJ ·</w:t>
      </w:r>
      <w:r>
        <w:t xml:space="preserve"> </w:t>
      </w:r>
      <w:r>
        <w:rPr>
          <w:iCs/>
          <w:i/>
        </w:rPr>
        <w:t xml:space="preserve">J Clin Endocrinol Metab</w:t>
      </w:r>
      <w:r>
        <w:t xml:space="preserve"> </w:t>
      </w:r>
      <w:r>
        <w:t xml:space="preserve">· Combination GLP-1 and Insulin Treatment Fails to Alter Myocardial Fuel Selection vs. Insulin Alone in Type 2 Diabetes. PMID 30020461</w:t>
      </w:r>
    </w:p>
    <w:p>
      <w:pPr>
        <w:numPr>
          <w:ilvl w:val="0"/>
          <w:numId w:val="1377"/>
        </w:numPr>
        <w:pStyle w:val="Compact"/>
      </w:pPr>
      <w:r>
        <w:t xml:space="preserve">2018 · Liu J ·</w:t>
      </w:r>
      <w:r>
        <w:t xml:space="preserve"> </w:t>
      </w:r>
      <w:r>
        <w:rPr>
          <w:iCs/>
          <w:i/>
        </w:rPr>
        <w:t xml:space="preserve">Peptides</w:t>
      </w:r>
      <w:r>
        <w:t xml:space="preserve"> </w:t>
      </w:r>
      <w:r>
        <w:t xml:space="preserve">· GLP-1 receptor agonists stimulate ANGPTL8 production through the PI3K/Akt pathway in a GLP-1 receptor-dependent manner. PMID 30003931</w:t>
      </w:r>
    </w:p>
    <w:p>
      <w:pPr>
        <w:numPr>
          <w:ilvl w:val="0"/>
          <w:numId w:val="1377"/>
        </w:numPr>
        <w:pStyle w:val="Compact"/>
      </w:pPr>
      <w:r>
        <w:t xml:space="preserve">2018 · Nauck MA ·</w:t>
      </w:r>
      <w:r>
        <w:t xml:space="preserve"> </w:t>
      </w:r>
      <w:r>
        <w:rPr>
          <w:iCs/>
          <w:i/>
        </w:rPr>
        <w:t xml:space="preserve">Diab Vasc Dis Res</w:t>
      </w:r>
      <w:r>
        <w:t xml:space="preserve"> </w:t>
      </w:r>
      <w:r>
        <w:t xml:space="preserve">· Cardiovascular outcomes in patients who experienced a myocardial infarction while treated with liraglutide versus placebo in the LEADER trial. PMID 29947247</w:t>
      </w:r>
    </w:p>
    <w:p>
      <w:pPr>
        <w:numPr>
          <w:ilvl w:val="0"/>
          <w:numId w:val="1377"/>
        </w:numPr>
        <w:pStyle w:val="Compact"/>
      </w:pPr>
      <w:r>
        <w:t xml:space="preserve">2018 · Zinman B ·</w:t>
      </w:r>
      <w:r>
        <w:t xml:space="preserve"> </w:t>
      </w:r>
      <w:r>
        <w:rPr>
          <w:iCs/>
          <w:i/>
        </w:rPr>
        <w:t xml:space="preserve">Diabetes Care</w:t>
      </w:r>
      <w:r>
        <w:t xml:space="preserve"> </w:t>
      </w:r>
      <w:r>
        <w:t xml:space="preserve">· Hypoglycemia, Cardiovascular Outcomes, and Death: The LEADER Experience. PMID 29903847</w:t>
      </w:r>
    </w:p>
    <w:p>
      <w:pPr>
        <w:numPr>
          <w:ilvl w:val="0"/>
          <w:numId w:val="1377"/>
        </w:numPr>
        <w:pStyle w:val="Compact"/>
      </w:pPr>
      <w:r>
        <w:t xml:space="preserve">2018 · Nauck MA ·</w:t>
      </w:r>
      <w:r>
        <w:t xml:space="preserve"> </w:t>
      </w:r>
      <w:r>
        <w:rPr>
          <w:iCs/>
          <w:i/>
        </w:rPr>
        <w:t xml:space="preserve">Diabetes Care</w:t>
      </w:r>
      <w:r>
        <w:t xml:space="preserve"> </w:t>
      </w:r>
      <w:r>
        <w:t xml:space="preserve">· Neoplasms Reported With Liraglutide or Placebo in People With Type 2 Diabetes: Results From the LEADER Randomized Trial. PMID 29898902</w:t>
      </w:r>
    </w:p>
    <w:p>
      <w:pPr>
        <w:numPr>
          <w:ilvl w:val="0"/>
          <w:numId w:val="1377"/>
        </w:numPr>
        <w:pStyle w:val="Compact"/>
      </w:pPr>
      <w:r>
        <w:t xml:space="preserve">2018 · Nexøe-Larsen CC ·</w:t>
      </w:r>
      <w:r>
        <w:t xml:space="preserve"> </w:t>
      </w:r>
      <w:r>
        <w:rPr>
          <w:iCs/>
          <w:i/>
        </w:rPr>
        <w:t xml:space="preserve">Diabetes Obes Metab</w:t>
      </w:r>
      <w:r>
        <w:t xml:space="preserve"> </w:t>
      </w:r>
      <w:r>
        <w:t xml:space="preserve">· Effects of liraglutide on gallbladder emptying: A randomized, placebo-controlled trial in adults with overweight or obesity. PMID 29892986</w:t>
      </w:r>
    </w:p>
    <w:p>
      <w:pPr>
        <w:numPr>
          <w:ilvl w:val="0"/>
          <w:numId w:val="1377"/>
        </w:numPr>
        <w:pStyle w:val="Compact"/>
      </w:pPr>
      <w:r>
        <w:t xml:space="preserve">2018 · Iepsen EW ·</w:t>
      </w:r>
      <w:r>
        <w:t xml:space="preserve"> </w:t>
      </w:r>
      <w:r>
        <w:rPr>
          <w:iCs/>
          <w:i/>
        </w:rPr>
        <w:t xml:space="preserve">Cell Metab</w:t>
      </w:r>
      <w:r>
        <w:t xml:space="preserve"> </w:t>
      </w:r>
      <w:r>
        <w:t xml:space="preserve">· Patients with Obesity Caused by Melanocortin-4 Receptor Mutations Can Be Treated with a Glucagon-like Peptide-1 Receptor Agonist. PMID 29861388</w:t>
      </w:r>
    </w:p>
    <w:p>
      <w:pPr>
        <w:numPr>
          <w:ilvl w:val="0"/>
          <w:numId w:val="1377"/>
        </w:numPr>
        <w:pStyle w:val="Compact"/>
      </w:pPr>
      <w:r>
        <w:t xml:space="preserve">2018 · Verma S ·</w:t>
      </w:r>
      <w:r>
        <w:t xml:space="preserve"> </w:t>
      </w:r>
      <w:r>
        <w:rPr>
          <w:iCs/>
          <w:i/>
        </w:rPr>
        <w:t xml:space="preserve">Circulation</w:t>
      </w:r>
      <w:r>
        <w:t xml:space="preserve"> </w:t>
      </w:r>
      <w:r>
        <w:t xml:space="preserve">· Effect of Liraglutide on Cardiovascular Events in Patients With Type 2 Diabetes Mellitus and Polyvascular Disease: Results of the LEADER Trial. PMID 29760228</w:t>
      </w:r>
    </w:p>
    <w:p>
      <w:pPr>
        <w:numPr>
          <w:ilvl w:val="0"/>
          <w:numId w:val="1377"/>
        </w:numPr>
        <w:pStyle w:val="Compact"/>
      </w:pPr>
      <w:r>
        <w:t xml:space="preserve">2018 · Salamun V ·</w:t>
      </w:r>
      <w:r>
        <w:t xml:space="preserve"> </w:t>
      </w:r>
      <w:r>
        <w:rPr>
          <w:iCs/>
          <w:i/>
        </w:rPr>
        <w:t xml:space="preserve">Eur J Endocrinol</w:t>
      </w:r>
      <w:r>
        <w:t xml:space="preserve"> </w:t>
      </w:r>
      <w:r>
        <w:t xml:space="preserve">· Liraglutide increases IVF pregnancy rates in obese PCOS women with poor response to first-line reproductive treatments: a pilot randomized study. PMID 29703793</w:t>
      </w:r>
    </w:p>
    <w:p>
      <w:pPr>
        <w:numPr>
          <w:ilvl w:val="0"/>
          <w:numId w:val="1377"/>
        </w:numPr>
        <w:pStyle w:val="Compact"/>
      </w:pPr>
      <w:r>
        <w:t xml:space="preserve">2018 · Chen XM ·</w:t>
      </w:r>
      <w:r>
        <w:t xml:space="preserve"> </w:t>
      </w:r>
      <w:r>
        <w:rPr>
          <w:iCs/>
          <w:i/>
        </w:rPr>
        <w:t xml:space="preserve">Cardiovasc Diabetol</w:t>
      </w:r>
      <w:r>
        <w:t xml:space="preserve"> </w:t>
      </w:r>
      <w:r>
        <w:t xml:space="preserve">· Liraglutide suppresses non-esterified free fatty acids and soluble vascular cell adhesion molecule-1 compared with metformin in patients with recent-onset type 2 diabetes. PMID 29636047</w:t>
      </w:r>
    </w:p>
    <w:p>
      <w:pPr>
        <w:numPr>
          <w:ilvl w:val="0"/>
          <w:numId w:val="1377"/>
        </w:numPr>
        <w:pStyle w:val="Compact"/>
      </w:pPr>
      <w:r>
        <w:t xml:space="preserve">2018 · Martinez R ·</w:t>
      </w:r>
      <w:r>
        <w:t xml:space="preserve"> </w:t>
      </w:r>
      <w:r>
        <w:rPr>
          <w:iCs/>
          <w:i/>
        </w:rPr>
        <w:t xml:space="preserve">Diabetes</w:t>
      </w:r>
      <w:r>
        <w:t xml:space="preserve"> </w:t>
      </w:r>
      <w:r>
        <w:t xml:space="preserve">· Endogenous Glucose Production and Hormonal Changes in Response to Canagliflozin and Liraglutide Combination Therapy. PMID 29602791</w:t>
      </w:r>
    </w:p>
    <w:p>
      <w:pPr>
        <w:numPr>
          <w:ilvl w:val="0"/>
          <w:numId w:val="1377"/>
        </w:numPr>
        <w:pStyle w:val="Compact"/>
      </w:pPr>
      <w:r>
        <w:t xml:space="preserve">2018 · Yamamoto S ·</w:t>
      </w:r>
      <w:r>
        <w:t xml:space="preserve"> </w:t>
      </w:r>
      <w:r>
        <w:rPr>
          <w:iCs/>
          <w:i/>
        </w:rPr>
        <w:t xml:space="preserve">Diabetes Res Clin Pract</w:t>
      </w:r>
      <w:r>
        <w:t xml:space="preserve"> </w:t>
      </w:r>
      <w:r>
        <w:t xml:space="preserve">· Comparison of liraglutide plus basal insulin and basal-bolus insulin therapy (BBIT) for glycemic control, body weight stability, and treatment satisfaction in patients treated using BBIT for type 2 diabetes without severe insulin deficiency: A randomized prospective pilot study. PMID 29588170</w:t>
      </w:r>
    </w:p>
    <w:p>
      <w:pPr>
        <w:numPr>
          <w:ilvl w:val="0"/>
          <w:numId w:val="1377"/>
        </w:numPr>
        <w:pStyle w:val="Compact"/>
      </w:pPr>
      <w:r>
        <w:t xml:space="preserve">2018 · Shankar SS ·</w:t>
      </w:r>
      <w:r>
        <w:t xml:space="preserve"> </w:t>
      </w:r>
      <w:r>
        <w:rPr>
          <w:iCs/>
          <w:i/>
        </w:rPr>
        <w:t xml:space="preserve">Diabetes</w:t>
      </w:r>
      <w:r>
        <w:t xml:space="preserve"> </w:t>
      </w:r>
      <w:r>
        <w:t xml:space="preserve">· Native Oxyntomodulin Has Significant Glucoregulatory Effects Independent of Weight Loss in Obese Humans With and Without Type 2 Diabetes. PMID 29545266</w:t>
      </w:r>
    </w:p>
    <w:p>
      <w:pPr>
        <w:numPr>
          <w:ilvl w:val="0"/>
          <w:numId w:val="1377"/>
        </w:numPr>
        <w:pStyle w:val="Compact"/>
      </w:pPr>
      <w:r>
        <w:t xml:space="preserve">2018 · Chedid V ·</w:t>
      </w:r>
      <w:r>
        <w:t xml:space="preserve"> </w:t>
      </w:r>
      <w:r>
        <w:rPr>
          <w:iCs/>
          <w:i/>
        </w:rPr>
        <w:t xml:space="preserve">Neurogastroenterol Motil</w:t>
      </w:r>
      <w:r>
        <w:t xml:space="preserve"> </w:t>
      </w:r>
      <w:r>
        <w:t xml:space="preserve">· Allelic variant in the glucagon-like peptide 1 receptor gene associated with greater effect of liraglutide and exenatide on gastric emptying: A pilot pharmacogenetics study. PMID 29488276</w:t>
      </w:r>
    </w:p>
    <w:p>
      <w:pPr>
        <w:numPr>
          <w:ilvl w:val="0"/>
          <w:numId w:val="1377"/>
        </w:numPr>
        <w:pStyle w:val="Compact"/>
      </w:pPr>
      <w:r>
        <w:t xml:space="preserve">2018 · Billings LK ·</w:t>
      </w:r>
      <w:r>
        <w:t xml:space="preserve"> </w:t>
      </w:r>
      <w:r>
        <w:rPr>
          <w:iCs/>
          <w:i/>
        </w:rPr>
        <w:t xml:space="preserve">Diabetes Care</w:t>
      </w:r>
      <w:r>
        <w:t xml:space="preserve"> </w:t>
      </w:r>
      <w:r>
        <w:t xml:space="preserve">· Efficacy and Safety of IDegLira Versus Basal-Bolus Insulin Therapy in Patients With Type 2 Diabetes Uncontrolled on Metformin and Basal Insulin: The DUAL VII Randomized Clinical Trial. PMID 29483185</w:t>
      </w:r>
    </w:p>
    <w:p>
      <w:pPr>
        <w:numPr>
          <w:ilvl w:val="0"/>
          <w:numId w:val="1377"/>
        </w:numPr>
        <w:pStyle w:val="Compact"/>
      </w:pPr>
      <w:r>
        <w:t xml:space="preserve">2018 · Kaneko M ·</w:t>
      </w:r>
      <w:r>
        <w:t xml:space="preserve"> </w:t>
      </w:r>
      <w:r>
        <w:rPr>
          <w:iCs/>
          <w:i/>
        </w:rPr>
        <w:t xml:space="preserve">Ann Pharmacother</w:t>
      </w:r>
      <w:r>
        <w:t xml:space="preserve"> </w:t>
      </w:r>
      <w:r>
        <w:t xml:space="preserve">· Assessment of Cardiovascular Risk With Glucagon-Like Peptide 1 Receptor Agonists in Patients With Type 2 Diabetes Using an Alternative Measure to the Hazard Ratio. PMID 29424239</w:t>
      </w:r>
    </w:p>
    <w:p>
      <w:pPr>
        <w:numPr>
          <w:ilvl w:val="0"/>
          <w:numId w:val="1377"/>
        </w:numPr>
        <w:pStyle w:val="Compact"/>
      </w:pPr>
      <w:r>
        <w:t xml:space="preserve">2018 · Capristo E ·</w:t>
      </w:r>
      <w:r>
        <w:t xml:space="preserve"> </w:t>
      </w:r>
      <w:r>
        <w:rPr>
          <w:iCs/>
          <w:i/>
        </w:rPr>
        <w:t xml:space="preserve">Diabetes Metab</w:t>
      </w:r>
      <w:r>
        <w:t xml:space="preserve"> </w:t>
      </w:r>
      <w:r>
        <w:t xml:space="preserve">· Intensive lifestyle modifications with or without liraglutide 3mg vs. sleeve gastrectomy: A three-arm non-randomised, controlled, pilot study. PMID 29398254</w:t>
      </w:r>
    </w:p>
    <w:p>
      <w:pPr>
        <w:numPr>
          <w:ilvl w:val="0"/>
          <w:numId w:val="1377"/>
        </w:numPr>
        <w:pStyle w:val="Compact"/>
      </w:pPr>
      <w:r>
        <w:t xml:space="preserve">2018 · Tonneijck L ·</w:t>
      </w:r>
      <w:r>
        <w:t xml:space="preserve"> </w:t>
      </w:r>
      <w:r>
        <w:rPr>
          <w:iCs/>
          <w:i/>
        </w:rPr>
        <w:t xml:space="preserve">Diabetes Obes Metab</w:t>
      </w:r>
      <w:r>
        <w:t xml:space="preserve"> </w:t>
      </w:r>
      <w:r>
        <w:t xml:space="preserve">· Effect of immediate and prolonged GLP-1 receptor agonist administration on uric acid and kidney clearance: Post-hoc analyses of four clinical trials. PMID 29341461</w:t>
      </w:r>
    </w:p>
    <w:p>
      <w:pPr>
        <w:numPr>
          <w:ilvl w:val="0"/>
          <w:numId w:val="1377"/>
        </w:numPr>
        <w:pStyle w:val="Compact"/>
      </w:pPr>
      <w:r>
        <w:t xml:space="preserve">2018 · Lambadiari V ·</w:t>
      </w:r>
      <w:r>
        <w:t xml:space="preserve"> </w:t>
      </w:r>
      <w:r>
        <w:rPr>
          <w:iCs/>
          <w:i/>
        </w:rPr>
        <w:t xml:space="preserve">Cardiovasc Diabetol</w:t>
      </w:r>
      <w:r>
        <w:t xml:space="preserve"> </w:t>
      </w:r>
      <w:r>
        <w:t xml:space="preserve">· Effects of 6-month treatment with the glucagon like peptide-1 analogue liraglutide on arterial stiffness, left ventricular myocardial deformation and oxidative stress in subjects with newly diagnosed type 2 diabetes. PMID 29310645</w:t>
      </w:r>
    </w:p>
    <w:p>
      <w:pPr>
        <w:numPr>
          <w:ilvl w:val="0"/>
          <w:numId w:val="1377"/>
        </w:numPr>
        <w:pStyle w:val="Compact"/>
      </w:pPr>
      <w:r>
        <w:t xml:space="preserve">2018 · Hegedüs L ·</w:t>
      </w:r>
      <w:r>
        <w:t xml:space="preserve"> </w:t>
      </w:r>
      <w:r>
        <w:rPr>
          <w:iCs/>
          <w:i/>
        </w:rPr>
        <w:t xml:space="preserve">Diabetes Care</w:t>
      </w:r>
      <w:r>
        <w:t xml:space="preserve"> </w:t>
      </w:r>
      <w:r>
        <w:t xml:space="preserve">· No Evidence of Increase in Calcitonin Concentrations or Development of C-Cell Malignancy in Response to Liraglutide for Up to 5 Years in the LEADER Trial. PMID 29279300</w:t>
      </w:r>
    </w:p>
    <w:p>
      <w:pPr>
        <w:numPr>
          <w:ilvl w:val="0"/>
          <w:numId w:val="1377"/>
        </w:numPr>
        <w:pStyle w:val="Compact"/>
      </w:pPr>
      <w:r>
        <w:t xml:space="preserve">2018 · Kaneko S ·</w:t>
      </w:r>
      <w:r>
        <w:t xml:space="preserve"> </w:t>
      </w:r>
      <w:r>
        <w:rPr>
          <w:iCs/>
          <w:i/>
        </w:rPr>
        <w:t xml:space="preserve">J Diabetes Investig</w:t>
      </w:r>
      <w:r>
        <w:t xml:space="preserve"> </w:t>
      </w:r>
      <w:r>
        <w:t xml:space="preserve">· Efficacy and safety of adding liraglutide to existing insulin regimens in Japanese patients with type 2 diabetes mellitus: A post-hoc analysis of a phase 3 randomized clinical trial. PMID 29277968</w:t>
      </w:r>
    </w:p>
    <w:p>
      <w:pPr>
        <w:numPr>
          <w:ilvl w:val="0"/>
          <w:numId w:val="1377"/>
        </w:numPr>
        <w:pStyle w:val="Compact"/>
      </w:pPr>
      <w:r>
        <w:t xml:space="preserve">2018 · Polderman JAW ·</w:t>
      </w:r>
      <w:r>
        <w:t xml:space="preserve"> </w:t>
      </w:r>
      <w:r>
        <w:rPr>
          <w:iCs/>
          <w:i/>
        </w:rPr>
        <w:t xml:space="preserve">Anaesthesia</w:t>
      </w:r>
      <w:r>
        <w:t xml:space="preserve"> </w:t>
      </w:r>
      <w:r>
        <w:t xml:space="preserve">· Peri-operative management of patients with type-2 diabetes mellitus undergoing non-cardiac surgery using liraglutide, glucose-insulin-potassium infusion or intravenous insulin bolus regimens: a randomised controlled trial. PMID 29230803</w:t>
      </w:r>
    </w:p>
    <w:p>
      <w:pPr>
        <w:numPr>
          <w:ilvl w:val="0"/>
          <w:numId w:val="1377"/>
        </w:numPr>
        <w:pStyle w:val="Compact"/>
      </w:pPr>
      <w:r>
        <w:t xml:space="preserve">2018 · Galderisi A ·</w:t>
      </w:r>
      <w:r>
        <w:t xml:space="preserve"> </w:t>
      </w:r>
      <w:r>
        <w:rPr>
          <w:iCs/>
          <w:i/>
        </w:rPr>
        <w:t xml:space="preserve">J Clin Endocrinol Metab</w:t>
      </w:r>
      <w:r>
        <w:t xml:space="preserve"> </w:t>
      </w:r>
      <w:r>
        <w:t xml:space="preserve">· Pramlintide but Not Liraglutide Suppresses Meal-Stimulated Glucagon Responses in Type 1 Diabetes. PMID 29211871</w:t>
      </w:r>
    </w:p>
    <w:p>
      <w:pPr>
        <w:numPr>
          <w:ilvl w:val="0"/>
          <w:numId w:val="1377"/>
        </w:numPr>
        <w:pStyle w:val="Compact"/>
      </w:pPr>
      <w:r>
        <w:t xml:space="preserve">2018 · Tran S ·</w:t>
      </w:r>
      <w:r>
        <w:t xml:space="preserve"> </w:t>
      </w:r>
      <w:r>
        <w:rPr>
          <w:iCs/>
          <w:i/>
        </w:rPr>
        <w:t xml:space="preserve">Am J Physiol Endocrinol Metab</w:t>
      </w:r>
      <w:r>
        <w:t xml:space="preserve"> </w:t>
      </w:r>
      <w:r>
        <w:t xml:space="preserve">· Effect of chronic liraglutide therapy and its withdrawal on time to postchallenge peak glucose in type 2 diabetes. PMID 29183873</w:t>
      </w:r>
    </w:p>
    <w:p>
      <w:pPr>
        <w:numPr>
          <w:ilvl w:val="0"/>
          <w:numId w:val="1377"/>
        </w:numPr>
        <w:pStyle w:val="Compact"/>
      </w:pPr>
      <w:r>
        <w:t xml:space="preserve">2018 · Evans M ·</w:t>
      </w:r>
      <w:r>
        <w:t xml:space="preserve"> </w:t>
      </w:r>
      <w:r>
        <w:rPr>
          <w:iCs/>
          <w:i/>
        </w:rPr>
        <w:t xml:space="preserve">J Med Econ</w:t>
      </w:r>
      <w:r>
        <w:t xml:space="preserve"> </w:t>
      </w:r>
      <w:r>
        <w:t xml:space="preserve">· An indirect treatment comparison of the efficacy of insulin degludec/liraglutide (IDegLira) and insulin glargine/lixisenatide (iGlarLixi) in patients with type 2 diabetes uncontrolled on basal insulin. PMID 29164973</w:t>
      </w:r>
    </w:p>
    <w:p>
      <w:pPr>
        <w:numPr>
          <w:ilvl w:val="0"/>
          <w:numId w:val="1377"/>
        </w:numPr>
        <w:pStyle w:val="Compact"/>
      </w:pPr>
      <w:r>
        <w:t xml:space="preserve">2018 · Tzanetakos C ·</w:t>
      </w:r>
      <w:r>
        <w:t xml:space="preserve"> </w:t>
      </w:r>
      <w:r>
        <w:rPr>
          <w:iCs/>
          <w:i/>
        </w:rPr>
        <w:t xml:space="preserve">Clin Drug Investig</w:t>
      </w:r>
      <w:r>
        <w:t xml:space="preserve"> </w:t>
      </w:r>
      <w:r>
        <w:t xml:space="preserve">· Cost Effectiveness of Exenatide Once Weekly Versus Insulin Glargine and Liraglutide for the Treatment of Type 2 Diabetes Mellitus in Greece. PMID 29080210</w:t>
      </w:r>
    </w:p>
    <w:p>
      <w:pPr>
        <w:numPr>
          <w:ilvl w:val="0"/>
          <w:numId w:val="1377"/>
        </w:numPr>
        <w:pStyle w:val="Compact"/>
      </w:pPr>
      <w:r>
        <w:t xml:space="preserve">2018 · Kolotkin RL ·</w:t>
      </w:r>
      <w:r>
        <w:t xml:space="preserve"> </w:t>
      </w:r>
      <w:r>
        <w:rPr>
          <w:iCs/>
          <w:i/>
        </w:rPr>
        <w:t xml:space="preserve">Clin Obes</w:t>
      </w:r>
      <w:r>
        <w:t xml:space="preserve"> </w:t>
      </w:r>
      <w:r>
        <w:t xml:space="preserve">· Improvements in health-related quality of life over 3 years with liraglutide 3.0 mg compared with placebo in participants with overweight or obesity. PMID 29045079</w:t>
      </w:r>
    </w:p>
    <w:p>
      <w:pPr>
        <w:numPr>
          <w:ilvl w:val="0"/>
          <w:numId w:val="1377"/>
        </w:numPr>
        <w:pStyle w:val="Compact"/>
      </w:pPr>
      <w:r>
        <w:t xml:space="preserve">2018 · Kiyosue A ·</w:t>
      </w:r>
      <w:r>
        <w:t xml:space="preserve"> </w:t>
      </w:r>
      <w:r>
        <w:rPr>
          <w:iCs/>
          <w:i/>
        </w:rPr>
        <w:t xml:space="preserve">J Diabetes Investig</w:t>
      </w:r>
      <w:r>
        <w:t xml:space="preserve"> </w:t>
      </w:r>
      <w:r>
        <w:t xml:space="preserve">· Safety and efficacy of the combination of the glucagon-like peptide-1 receptor agonist liraglutide with an oral antidiabetic drug in Japanese patients with type 2 diabetes: Post-hoc analysis of a randomized, 52-week, open-label, parallel-group trial. PMID 28984041</w:t>
      </w:r>
    </w:p>
    <w:p>
      <w:pPr>
        <w:numPr>
          <w:ilvl w:val="0"/>
          <w:numId w:val="1377"/>
        </w:numPr>
        <w:pStyle w:val="Compact"/>
      </w:pPr>
      <w:r>
        <w:t xml:space="preserve">2018 · Dubé MC ·</w:t>
      </w:r>
      <w:r>
        <w:t xml:space="preserve"> </w:t>
      </w:r>
      <w:r>
        <w:rPr>
          <w:iCs/>
          <w:i/>
        </w:rPr>
        <w:t xml:space="preserve">Diabetes Obes Metab</w:t>
      </w:r>
      <w:r>
        <w:t xml:space="preserve"> </w:t>
      </w:r>
      <w:r>
        <w:t xml:space="preserve">· Beyond glycaemic control: A cross-over, double-blinded, 24-week intervention with liraglutide in type 1 diabetes. PMID 28722271</w:t>
      </w:r>
    </w:p>
    <w:p>
      <w:pPr>
        <w:numPr>
          <w:ilvl w:val="0"/>
          <w:numId w:val="1377"/>
        </w:numPr>
        <w:pStyle w:val="Compact"/>
      </w:pPr>
      <w:r>
        <w:t xml:space="preserve">2018 · Frøssing S ·</w:t>
      </w:r>
      <w:r>
        <w:t xml:space="preserve"> </w:t>
      </w:r>
      <w:r>
        <w:rPr>
          <w:iCs/>
          <w:i/>
        </w:rPr>
        <w:t xml:space="preserve">Diabetes Obes Metab</w:t>
      </w:r>
      <w:r>
        <w:t xml:space="preserve"> </w:t>
      </w:r>
      <w:r>
        <w:t xml:space="preserve">· Effect of liraglutide on ectopic fat in polycystic ovary syndrome: A randomized clinical trial. PMID 28681988</w:t>
      </w:r>
    </w:p>
    <w:p>
      <w:pPr>
        <w:numPr>
          <w:ilvl w:val="0"/>
          <w:numId w:val="1377"/>
        </w:numPr>
        <w:pStyle w:val="Compact"/>
      </w:pPr>
      <w:r>
        <w:t xml:space="preserve">2018 · Lingvay I ·</w:t>
      </w:r>
      <w:r>
        <w:t xml:space="preserve"> </w:t>
      </w:r>
      <w:r>
        <w:rPr>
          <w:iCs/>
          <w:i/>
        </w:rPr>
        <w:t xml:space="preserve">Diabetes Obes Metab</w:t>
      </w:r>
      <w:r>
        <w:t xml:space="preserve"> </w:t>
      </w:r>
      <w:r>
        <w:t xml:space="preserve">· Insulin degludec/liraglutide (IDegLira) was effective across a range of dysglycaemia and body mass index categories in the DUAL V randomized trial. PMID 28643425</w:t>
      </w:r>
    </w:p>
    <w:p>
      <w:pPr>
        <w:numPr>
          <w:ilvl w:val="0"/>
          <w:numId w:val="1377"/>
        </w:numPr>
        <w:pStyle w:val="Compact"/>
      </w:pPr>
      <w:r>
        <w:t xml:space="preserve">2018 · Koska J ·</w:t>
      </w:r>
      <w:r>
        <w:t xml:space="preserve"> </w:t>
      </w:r>
      <w:r>
        <w:rPr>
          <w:iCs/>
          <w:i/>
        </w:rPr>
        <w:t xml:space="preserve">Diabetes Obes Metab</w:t>
      </w:r>
      <w:r>
        <w:t xml:space="preserve"> </w:t>
      </w:r>
      <w:r>
        <w:t xml:space="preserve">· Effect of liraglutide on dietary lipid-induced insulin resistance in humans. PMID 28605158</w:t>
      </w:r>
    </w:p>
    <w:p>
      <w:pPr>
        <w:numPr>
          <w:ilvl w:val="0"/>
          <w:numId w:val="1377"/>
        </w:numPr>
        <w:pStyle w:val="Compact"/>
      </w:pPr>
      <w:r>
        <w:t xml:space="preserve">2018 · Seino Y ·</w:t>
      </w:r>
      <w:r>
        <w:t xml:space="preserve"> </w:t>
      </w:r>
      <w:r>
        <w:rPr>
          <w:iCs/>
          <w:i/>
        </w:rPr>
        <w:t xml:space="preserve">J Diabetes Investig</w:t>
      </w:r>
      <w:r>
        <w:t xml:space="preserve"> </w:t>
      </w:r>
      <w:r>
        <w:t xml:space="preserve">· Sodium-glucose cotransporter-2 inhibitor luseogliflozin added to glucagon-like peptide 1 receptor agonist liraglutide improves glycemic control with bodyweight and fat mass reductions in Japanese patients with type 2 diabetes: A 52-week, open-label, single-arm study. PMID 28502112</w:t>
      </w:r>
    </w:p>
    <w:p>
      <w:pPr>
        <w:numPr>
          <w:ilvl w:val="0"/>
          <w:numId w:val="1377"/>
        </w:numPr>
        <w:pStyle w:val="Compact"/>
      </w:pPr>
      <w:r>
        <w:t xml:space="preserve">2017 · Gejl M ·</w:t>
      </w:r>
      <w:r>
        <w:t xml:space="preserve"> </w:t>
      </w:r>
      <w:r>
        <w:rPr>
          <w:iCs/>
          <w:i/>
        </w:rPr>
        <w:t xml:space="preserve">Sci Rep</w:t>
      </w:r>
      <w:r>
        <w:t xml:space="preserve"> </w:t>
      </w:r>
      <w:r>
        <w:t xml:space="preserve">· Blood-Brain Glucose Transfer in Alzheimer’s disease: Effect of GLP-1 Analog Treatment. PMID 29235507</w:t>
      </w:r>
    </w:p>
    <w:p>
      <w:pPr>
        <w:numPr>
          <w:ilvl w:val="0"/>
          <w:numId w:val="1377"/>
        </w:numPr>
        <w:pStyle w:val="Compact"/>
      </w:pPr>
      <w:r>
        <w:t xml:space="preserve">2017 · le Roux C ·</w:t>
      </w:r>
      <w:r>
        <w:t xml:space="preserve"> </w:t>
      </w:r>
      <w:r>
        <w:rPr>
          <w:iCs/>
          <w:i/>
        </w:rPr>
        <w:t xml:space="preserve">Obes Facts</w:t>
      </w:r>
      <w:r>
        <w:t xml:space="preserve"> </w:t>
      </w:r>
      <w:r>
        <w:t xml:space="preserve">· Comparison of Efficacy and Safety of Liraglutide 3.0 mg in Individuals with BMI above and below 35 kg/m²: A Post-hoc Analysis. PMID 29145215</w:t>
      </w:r>
    </w:p>
    <w:p>
      <w:pPr>
        <w:numPr>
          <w:ilvl w:val="0"/>
          <w:numId w:val="1377"/>
        </w:numPr>
        <w:pStyle w:val="Compact"/>
      </w:pPr>
      <w:r>
        <w:t xml:space="preserve">2017 · Davidson JA ·</w:t>
      </w:r>
      <w:r>
        <w:t xml:space="preserve"> </w:t>
      </w:r>
      <w:r>
        <w:rPr>
          <w:iCs/>
          <w:i/>
        </w:rPr>
        <w:t xml:space="preserve">Postgrad Med</w:t>
      </w:r>
      <w:r>
        <w:t xml:space="preserve"> </w:t>
      </w:r>
      <w:r>
        <w:t xml:space="preserve">· Albiglutide efficacy and safety in the Latino/Hispanic subpopulation for the integrated phase III program. PMID 29083275</w:t>
      </w:r>
    </w:p>
    <w:p>
      <w:pPr>
        <w:numPr>
          <w:ilvl w:val="0"/>
          <w:numId w:val="1377"/>
        </w:numPr>
        <w:pStyle w:val="Compact"/>
      </w:pPr>
      <w:r>
        <w:t xml:space="preserve">2017 · Ferjan S ·</w:t>
      </w:r>
      <w:r>
        <w:t xml:space="preserve"> </w:t>
      </w:r>
      <w:r>
        <w:rPr>
          <w:iCs/>
          <w:i/>
        </w:rPr>
        <w:t xml:space="preserve">Metab Syndr Relat Disord</w:t>
      </w:r>
      <w:r>
        <w:t xml:space="preserve"> </w:t>
      </w:r>
      <w:r>
        <w:t xml:space="preserve">· Dipeptidyl Peptidase-4 Inhibitor Sitagliptin Prevented Weight Regain in Obese Women with Polycystic Ovary Syndrome Previously Treated with Liraglutide: A Pilot Randomized Study. PMID 29064743</w:t>
      </w:r>
    </w:p>
    <w:p>
      <w:pPr>
        <w:numPr>
          <w:ilvl w:val="0"/>
          <w:numId w:val="1377"/>
        </w:numPr>
        <w:pStyle w:val="Compact"/>
      </w:pPr>
      <w:r>
        <w:t xml:space="preserve">2017 · Halawi H ·</w:t>
      </w:r>
      <w:r>
        <w:t xml:space="preserve"> </w:t>
      </w:r>
      <w:r>
        <w:rPr>
          <w:iCs/>
          <w:i/>
        </w:rPr>
        <w:t xml:space="preserve">Lancet Gastroenterol Hepatol</w:t>
      </w:r>
      <w:r>
        <w:t xml:space="preserve"> </w:t>
      </w:r>
      <w:r>
        <w:t xml:space="preserve">· Effects of liraglutide on weight, satiation, and gastric functions in obesity: a randomised, placebo-controlled pilot trial. PMID 28958851</w:t>
      </w:r>
    </w:p>
    <w:p>
      <w:pPr>
        <w:numPr>
          <w:ilvl w:val="0"/>
          <w:numId w:val="1377"/>
        </w:numPr>
        <w:pStyle w:val="Compact"/>
      </w:pPr>
      <w:r>
        <w:t xml:space="preserve">2017 · de Wit HM ·</w:t>
      </w:r>
      <w:r>
        <w:t xml:space="preserve"> </w:t>
      </w:r>
      <w:r>
        <w:rPr>
          <w:iCs/>
          <w:i/>
        </w:rPr>
        <w:t xml:space="preserve">Neth J Med</w:t>
      </w:r>
      <w:r>
        <w:t xml:space="preserve"> </w:t>
      </w:r>
      <w:r>
        <w:t xml:space="preserve">· A cost-controlling treatment strategy of adding liraglutide to insulin in type 2 diabetes. PMID 28956786</w:t>
      </w:r>
    </w:p>
    <w:p>
      <w:pPr>
        <w:numPr>
          <w:ilvl w:val="0"/>
          <w:numId w:val="1377"/>
        </w:numPr>
        <w:pStyle w:val="Compact"/>
      </w:pPr>
      <w:r>
        <w:t xml:space="preserve">2017 · Santilli F ·</w:t>
      </w:r>
      <w:r>
        <w:t xml:space="preserve"> </w:t>
      </w:r>
      <w:r>
        <w:rPr>
          <w:iCs/>
          <w:i/>
        </w:rPr>
        <w:t xml:space="preserve">Diabetes Care</w:t>
      </w:r>
      <w:r>
        <w:t xml:space="preserve"> </w:t>
      </w:r>
      <w:r>
        <w:t xml:space="preserve">· Effects of Liraglutide on Weight Loss, Fat Distribution, and β-Cell Function in Obese Subjects With Prediabetes or Early Type 2 Diabetes. PMID 28912305</w:t>
      </w:r>
    </w:p>
    <w:p>
      <w:pPr>
        <w:numPr>
          <w:ilvl w:val="0"/>
          <w:numId w:val="1377"/>
        </w:numPr>
        <w:pStyle w:val="Compact"/>
      </w:pPr>
      <w:r>
        <w:t xml:space="preserve">2017 · Mann JFE ·</w:t>
      </w:r>
      <w:r>
        <w:t xml:space="preserve"> </w:t>
      </w:r>
      <w:r>
        <w:rPr>
          <w:iCs/>
          <w:i/>
        </w:rPr>
        <w:t xml:space="preserve">N Engl J Med</w:t>
      </w:r>
      <w:r>
        <w:t xml:space="preserve"> </w:t>
      </w:r>
      <w:r>
        <w:t xml:space="preserve">· Liraglutide and Renal Outcomes in Type 2 Diabetes. PMID 28854085</w:t>
      </w:r>
    </w:p>
    <w:p>
      <w:pPr>
        <w:numPr>
          <w:ilvl w:val="0"/>
          <w:numId w:val="1377"/>
        </w:numPr>
        <w:pStyle w:val="Compact"/>
      </w:pPr>
      <w:r>
        <w:t xml:space="preserve">2017 · Frias JP ·</w:t>
      </w:r>
      <w:r>
        <w:t xml:space="preserve"> </w:t>
      </w:r>
      <w:r>
        <w:rPr>
          <w:iCs/>
          <w:i/>
        </w:rPr>
        <w:t xml:space="preserve">Cell Metab</w:t>
      </w:r>
      <w:r>
        <w:t xml:space="preserve"> </w:t>
      </w:r>
      <w:r>
        <w:t xml:space="preserve">· The Sustained Effects of a Dual GIP/GLP-1 Receptor Agonist, NNC0090-2746, in Patients with Type 2 Diabetes. PMID 28768173</w:t>
      </w:r>
    </w:p>
    <w:p>
      <w:pPr>
        <w:numPr>
          <w:ilvl w:val="0"/>
          <w:numId w:val="1377"/>
        </w:numPr>
        <w:pStyle w:val="Compact"/>
      </w:pPr>
      <w:r>
        <w:t xml:space="preserve">2017 · Hunt B ·</w:t>
      </w:r>
      <w:r>
        <w:t xml:space="preserve"> </w:t>
      </w:r>
      <w:r>
        <w:rPr>
          <w:iCs/>
          <w:i/>
        </w:rPr>
        <w:t xml:space="preserve">Clin Ther</w:t>
      </w:r>
      <w:r>
        <w:t xml:space="preserve"> </w:t>
      </w:r>
      <w:r>
        <w:t xml:space="preserve">· Long-term Cost-effectiveness of Two GLP-1 Receptor Agonists for the Treatment of Type 2 Diabetes Mellitus in the Italian Setting: Liraglutide Versus Lixisenatide. PMID 28625506</w:t>
      </w:r>
    </w:p>
    <w:p>
      <w:pPr>
        <w:numPr>
          <w:ilvl w:val="0"/>
          <w:numId w:val="1377"/>
        </w:numPr>
        <w:pStyle w:val="Compact"/>
      </w:pPr>
      <w:r>
        <w:t xml:space="preserve">2017 · Pokala N ·</w:t>
      </w:r>
      <w:r>
        <w:t xml:space="preserve"> </w:t>
      </w:r>
      <w:r>
        <w:rPr>
          <w:iCs/>
          <w:i/>
        </w:rPr>
        <w:t xml:space="preserve">Diabetes Obes Metab</w:t>
      </w:r>
      <w:r>
        <w:t xml:space="preserve"> </w:t>
      </w:r>
      <w:r>
        <w:t xml:space="preserve">· The effect of baseline characteristics on clinical efficacy of liraglutide in patients treated with high-dose insulin. PMID 28608447</w:t>
      </w:r>
    </w:p>
    <w:p>
      <w:pPr>
        <w:numPr>
          <w:ilvl w:val="0"/>
          <w:numId w:val="1377"/>
        </w:numPr>
        <w:pStyle w:val="Compact"/>
      </w:pPr>
      <w:r>
        <w:t xml:space="preserve">2017 · Suzuki S ·</w:t>
      </w:r>
      <w:r>
        <w:t xml:space="preserve"> </w:t>
      </w:r>
      <w:r>
        <w:rPr>
          <w:iCs/>
          <w:i/>
        </w:rPr>
        <w:t xml:space="preserve">Health Qual Life Outcomes</w:t>
      </w:r>
      <w:r>
        <w:t xml:space="preserve"> </w:t>
      </w:r>
      <w:r>
        <w:t xml:space="preserve">· Evaluation of the impact of once weekly dulaglutide on patient-reported outcomes in Japanese patients with type 2 diabetes: comparisons with liraglutide, insulin glargine, and placebo in two randomized studies. PMID 28606095</w:t>
      </w:r>
    </w:p>
    <w:p>
      <w:pPr>
        <w:numPr>
          <w:ilvl w:val="0"/>
          <w:numId w:val="1377"/>
        </w:numPr>
        <w:pStyle w:val="Compact"/>
      </w:pPr>
      <w:r>
        <w:t xml:space="preserve">2017 · Larsen JR ·</w:t>
      </w:r>
      <w:r>
        <w:t xml:space="preserve"> </w:t>
      </w:r>
      <w:r>
        <w:rPr>
          <w:iCs/>
          <w:i/>
        </w:rPr>
        <w:t xml:space="preserve">JAMA Psychiatry</w:t>
      </w:r>
      <w:r>
        <w:t xml:space="preserve"> </w:t>
      </w:r>
      <w:r>
        <w:t xml:space="preserve">· Effect of Liraglutide Treatment on Prediabetes and Overweight or Obesity in Clozapine- or Olanzapine-Treated Patients With Schizophrenia Spectrum Disorder: A Randomized Clinical Trial. PMID 28601891</w:t>
      </w:r>
    </w:p>
    <w:p>
      <w:pPr>
        <w:numPr>
          <w:ilvl w:val="0"/>
          <w:numId w:val="1377"/>
        </w:numPr>
        <w:pStyle w:val="Compact"/>
      </w:pPr>
      <w:r>
        <w:t xml:space="preserve">2017 · Khoo J ·</w:t>
      </w:r>
      <w:r>
        <w:t xml:space="preserve"> </w:t>
      </w:r>
      <w:r>
        <w:rPr>
          <w:iCs/>
          <w:i/>
        </w:rPr>
        <w:t xml:space="preserve">Diabetes Obes Metab</w:t>
      </w:r>
      <w:r>
        <w:t xml:space="preserve"> </w:t>
      </w:r>
      <w:r>
        <w:t xml:space="preserve">· Comparative effects of liraglutide 3 mg vs structured lifestyle modification on body weight, liver fat and liver function in obese patients with non-alcoholic fatty liver disease: A pilot randomized trial. PMID 28503750</w:t>
      </w:r>
    </w:p>
    <w:p>
      <w:pPr>
        <w:numPr>
          <w:ilvl w:val="0"/>
          <w:numId w:val="1377"/>
        </w:numPr>
        <w:pStyle w:val="Compact"/>
      </w:pPr>
      <w:r>
        <w:t xml:space="preserve">2017 · Nylander M ·</w:t>
      </w:r>
      <w:r>
        <w:t xml:space="preserve"> </w:t>
      </w:r>
      <w:r>
        <w:rPr>
          <w:iCs/>
          <w:i/>
        </w:rPr>
        <w:t xml:space="preserve">Reprod Biomed Online</w:t>
      </w:r>
      <w:r>
        <w:t xml:space="preserve"> </w:t>
      </w:r>
      <w:r>
        <w:t xml:space="preserve">· Effects of liraglutide on ovarian dysfunction in polycystic ovary syndrome: a randomized clinical trial. PMID 28479118</w:t>
      </w:r>
    </w:p>
    <w:p>
      <w:pPr>
        <w:numPr>
          <w:ilvl w:val="0"/>
          <w:numId w:val="1377"/>
        </w:numPr>
        <w:pStyle w:val="Compact"/>
      </w:pPr>
      <w:r>
        <w:t xml:space="preserve">2017 · Steinberg WM ·</w:t>
      </w:r>
      <w:r>
        <w:t xml:space="preserve"> </w:t>
      </w:r>
      <w:r>
        <w:rPr>
          <w:iCs/>
          <w:i/>
        </w:rPr>
        <w:t xml:space="preserve">Diabetes Care</w:t>
      </w:r>
      <w:r>
        <w:t xml:space="preserve"> </w:t>
      </w:r>
      <w:r>
        <w:t xml:space="preserve">· Amylase, Lipase, and Acute Pancreatitis in People With Type 2 Diabetes Treated With Liraglutide: Results From the LEADER Randomized Trial. PMID 28476871</w:t>
      </w:r>
    </w:p>
    <w:p>
      <w:pPr>
        <w:numPr>
          <w:ilvl w:val="0"/>
          <w:numId w:val="1377"/>
        </w:numPr>
        <w:pStyle w:val="Compact"/>
      </w:pPr>
      <w:r>
        <w:t xml:space="preserve">2017 · von Scholten BJ ·</w:t>
      </w:r>
      <w:r>
        <w:t xml:space="preserve"> </w:t>
      </w:r>
      <w:r>
        <w:rPr>
          <w:iCs/>
          <w:i/>
        </w:rPr>
        <w:t xml:space="preserve">J Diabetes Complications</w:t>
      </w:r>
      <w:r>
        <w:t xml:space="preserve"> </w:t>
      </w:r>
      <w:r>
        <w:t xml:space="preserve">· Effect of weight reductions on estimated kidney function: Post-hoc analysis of two randomized trials. PMID 28462892</w:t>
      </w:r>
    </w:p>
    <w:p>
      <w:pPr>
        <w:numPr>
          <w:ilvl w:val="0"/>
          <w:numId w:val="1377"/>
        </w:numPr>
        <w:pStyle w:val="Compact"/>
      </w:pPr>
      <w:r>
        <w:t xml:space="preserve">2017 · Sedman T ·</w:t>
      </w:r>
      <w:r>
        <w:t xml:space="preserve"> </w:t>
      </w:r>
      <w:r>
        <w:rPr>
          <w:iCs/>
          <w:i/>
        </w:rPr>
        <w:t xml:space="preserve">J Clin Endocrinol Metab</w:t>
      </w:r>
      <w:r>
        <w:t xml:space="preserve"> </w:t>
      </w:r>
      <w:r>
        <w:t xml:space="preserve">· Tolerance Does Not Develop Toward Liraglutide’s Glucose-Lowering Effect. PMID 28379427</w:t>
      </w:r>
    </w:p>
    <w:p>
      <w:pPr>
        <w:numPr>
          <w:ilvl w:val="0"/>
          <w:numId w:val="1377"/>
        </w:numPr>
        <w:pStyle w:val="Compact"/>
      </w:pPr>
      <w:r>
        <w:t xml:space="preserve">2017 · Onishi Y ·</w:t>
      </w:r>
      <w:r>
        <w:t xml:space="preserve"> </w:t>
      </w:r>
      <w:r>
        <w:rPr>
          <w:iCs/>
          <w:i/>
        </w:rPr>
        <w:t xml:space="preserve">Endocr J</w:t>
      </w:r>
      <w:r>
        <w:t xml:space="preserve"> </w:t>
      </w:r>
      <w:r>
        <w:t xml:space="preserve">· Analysis of efficacy and safety of dulaglutide 0.75 mg stratified by sex in patients with type 2 diabetes in 2 randomized, controlled phase 3 studies in Japan. PMID 28367916</w:t>
      </w:r>
    </w:p>
    <w:p>
      <w:pPr>
        <w:numPr>
          <w:ilvl w:val="0"/>
          <w:numId w:val="1377"/>
        </w:numPr>
        <w:pStyle w:val="Compact"/>
      </w:pPr>
      <w:r>
        <w:t xml:space="preserve">2017 · Feng W ·</w:t>
      </w:r>
      <w:r>
        <w:t xml:space="preserve"> </w:t>
      </w:r>
      <w:r>
        <w:rPr>
          <w:iCs/>
          <w:i/>
        </w:rPr>
        <w:t xml:space="preserve">J Diabetes</w:t>
      </w:r>
      <w:r>
        <w:t xml:space="preserve"> </w:t>
      </w:r>
      <w:r>
        <w:t xml:space="preserve">· Randomized trial comparing the effects of gliclazide, liraglutide, and metformin on diabetes with non-alcoholic fatty liver disease. PMID 28332301</w:t>
      </w:r>
    </w:p>
    <w:p>
      <w:pPr>
        <w:numPr>
          <w:ilvl w:val="0"/>
          <w:numId w:val="1377"/>
        </w:numPr>
        <w:pStyle w:val="Compact"/>
      </w:pPr>
      <w:r>
        <w:t xml:space="preserve">2017 · Garg M ·</w:t>
      </w:r>
      <w:r>
        <w:t xml:space="preserve"> </w:t>
      </w:r>
      <w:r>
        <w:rPr>
          <w:iCs/>
          <w:i/>
        </w:rPr>
        <w:t xml:space="preserve">Diabetes Obes Metab</w:t>
      </w:r>
      <w:r>
        <w:t xml:space="preserve"> </w:t>
      </w:r>
      <w:r>
        <w:t xml:space="preserve">· Liraglutide acutely suppresses glucagon, lipolysis and ketogenesis in type 1 diabetes. PMID 28304146</w:t>
      </w:r>
    </w:p>
    <w:p>
      <w:pPr>
        <w:numPr>
          <w:ilvl w:val="0"/>
          <w:numId w:val="1377"/>
        </w:numPr>
        <w:pStyle w:val="Compact"/>
      </w:pPr>
      <w:r>
        <w:t xml:space="preserve">2017 · Hunt B ·</w:t>
      </w:r>
      <w:r>
        <w:t xml:space="preserve"> </w:t>
      </w:r>
      <w:r>
        <w:rPr>
          <w:iCs/>
          <w:i/>
        </w:rPr>
        <w:t xml:space="preserve">J Med Econ</w:t>
      </w:r>
      <w:r>
        <w:t xml:space="preserve"> </w:t>
      </w:r>
      <w:r>
        <w:t xml:space="preserve">· Evaluation of the long-term cost-effectiveness of IDegLira versus liraglutide added to basal insulin for patients with type 2 diabetes failing to achieve glycemic control on basal insulin in the USA. PMID 28294641</w:t>
      </w:r>
    </w:p>
    <w:p>
      <w:pPr>
        <w:numPr>
          <w:ilvl w:val="0"/>
          <w:numId w:val="1377"/>
        </w:numPr>
        <w:pStyle w:val="Compact"/>
      </w:pPr>
      <w:r>
        <w:t xml:space="preserve">2017 · King AB ·</w:t>
      </w:r>
      <w:r>
        <w:t xml:space="preserve"> </w:t>
      </w:r>
      <w:r>
        <w:rPr>
          <w:iCs/>
          <w:i/>
        </w:rPr>
        <w:t xml:space="preserve">Diabetes Technol Ther</w:t>
      </w:r>
      <w:r>
        <w:t xml:space="preserve"> </w:t>
      </w:r>
      <w:r>
        <w:t xml:space="preserve">· A Fixed Ratio Combination of Insulin Degludec and Liraglutide (IDegLira) Reduces Glycemic Fluctuation and Brings More Patients with Type 2 Diabetes Within Blood Glucose Target Ranges. PMID 28282219</w:t>
      </w:r>
    </w:p>
    <w:p>
      <w:pPr>
        <w:numPr>
          <w:ilvl w:val="0"/>
          <w:numId w:val="1377"/>
        </w:numPr>
        <w:pStyle w:val="Compact"/>
      </w:pPr>
      <w:r>
        <w:t xml:space="preserve">2017 · le Roux CW ·</w:t>
      </w:r>
      <w:r>
        <w:t xml:space="preserve"> </w:t>
      </w:r>
      <w:r>
        <w:rPr>
          <w:iCs/>
          <w:i/>
        </w:rPr>
        <w:t xml:space="preserve">Lancet</w:t>
      </w:r>
      <w:r>
        <w:t xml:space="preserve"> </w:t>
      </w:r>
      <w:r>
        <w:t xml:space="preserve">· 3 years of liraglutide versus placebo for type 2 diabetes risk reduction and weight management in individuals with prediabetes: a randomised, double-blind trial. PMID 28237263</w:t>
      </w:r>
    </w:p>
    <w:p>
      <w:pPr>
        <w:numPr>
          <w:ilvl w:val="0"/>
          <w:numId w:val="1377"/>
        </w:numPr>
        <w:pStyle w:val="Compact"/>
      </w:pPr>
      <w:r>
        <w:t xml:space="preserve">2017 · Jørgensen PG ·</w:t>
      </w:r>
      <w:r>
        <w:t xml:space="preserve"> </w:t>
      </w:r>
      <w:r>
        <w:rPr>
          <w:iCs/>
          <w:i/>
        </w:rPr>
        <w:t xml:space="preserve">Diabetes Obes Metab</w:t>
      </w:r>
      <w:r>
        <w:t xml:space="preserve"> </w:t>
      </w:r>
      <w:r>
        <w:t xml:space="preserve">· Effect of exercise combined with glucagon-like peptide-1 receptor agonist treatment on cardiac function: A randomized double-blind placebo-controlled clinical trial. PMID 28188972</w:t>
      </w:r>
    </w:p>
    <w:p>
      <w:pPr>
        <w:numPr>
          <w:ilvl w:val="0"/>
          <w:numId w:val="1377"/>
        </w:numPr>
        <w:pStyle w:val="Compact"/>
      </w:pPr>
      <w:r>
        <w:t xml:space="preserve">2017 · Kramer CK ·</w:t>
      </w:r>
      <w:r>
        <w:t xml:space="preserve"> </w:t>
      </w:r>
      <w:r>
        <w:rPr>
          <w:iCs/>
          <w:i/>
        </w:rPr>
        <w:t xml:space="preserve">Diabetes Obes Metab</w:t>
      </w:r>
      <w:r>
        <w:t xml:space="preserve"> </w:t>
      </w:r>
      <w:r>
        <w:t xml:space="preserve">· Chronic liraglutide therapy induces an enhanced endogenous glucagon-like peptide-1 secretory response in early type 2 diabetes. PMID 28181363</w:t>
      </w:r>
    </w:p>
    <w:p>
      <w:pPr>
        <w:numPr>
          <w:ilvl w:val="0"/>
          <w:numId w:val="1377"/>
        </w:numPr>
        <w:pStyle w:val="Compact"/>
      </w:pPr>
      <w:r>
        <w:t xml:space="preserve">2017 · Jensterle M ·</w:t>
      </w:r>
      <w:r>
        <w:t xml:space="preserve"> </w:t>
      </w:r>
      <w:r>
        <w:rPr>
          <w:iCs/>
          <w:i/>
        </w:rPr>
        <w:t xml:space="preserve">BMC Endocr Disord</w:t>
      </w:r>
      <w:r>
        <w:t xml:space="preserve"> </w:t>
      </w:r>
      <w:r>
        <w:t xml:space="preserve">· Short-term effectiveness of low dose liraglutide in combination with metformin versus high dose liraglutide alone in treatment of obese PCOS: randomized trial. PMID 28143456</w:t>
      </w:r>
    </w:p>
    <w:p>
      <w:pPr>
        <w:numPr>
          <w:ilvl w:val="0"/>
          <w:numId w:val="1377"/>
        </w:numPr>
        <w:pStyle w:val="Compact"/>
      </w:pPr>
      <w:r>
        <w:t xml:space="preserve">2017 · Kumarathurai P ·</w:t>
      </w:r>
      <w:r>
        <w:t xml:space="preserve"> </w:t>
      </w:r>
      <w:r>
        <w:rPr>
          <w:iCs/>
          <w:i/>
        </w:rPr>
        <w:t xml:space="preserve">J Hypertens</w:t>
      </w:r>
      <w:r>
        <w:t xml:space="preserve"> </w:t>
      </w:r>
      <w:r>
        <w:t xml:space="preserve">· Effects of the glucagon-like peptide-1 receptor agonist liraglutide on 24-h ambulatory blood pressure in patients with type 2 diabetes and stable coronary artery disease: a randomized, double-blind, placebo-controlled, crossover study. PMID 28129251</w:t>
      </w:r>
    </w:p>
    <w:p>
      <w:pPr>
        <w:numPr>
          <w:ilvl w:val="0"/>
          <w:numId w:val="1377"/>
        </w:numPr>
        <w:pStyle w:val="Compact"/>
      </w:pPr>
      <w:r>
        <w:t xml:space="preserve">2017 · Anholm C ·</w:t>
      </w:r>
      <w:r>
        <w:t xml:space="preserve"> </w:t>
      </w:r>
      <w:r>
        <w:rPr>
          <w:iCs/>
          <w:i/>
        </w:rPr>
        <w:t xml:space="preserve">Diabetes Obes Metab</w:t>
      </w:r>
      <w:r>
        <w:t xml:space="preserve"> </w:t>
      </w:r>
      <w:r>
        <w:t xml:space="preserve">· Liraglutide effects on beta-cell, insulin sensitivity and glucose effectiveness in patients with stable coronary artery disease and newly diagnosed type 2 diabetes. PMID 28124822</w:t>
      </w:r>
    </w:p>
    <w:p>
      <w:pPr>
        <w:numPr>
          <w:ilvl w:val="0"/>
          <w:numId w:val="1377"/>
        </w:numPr>
        <w:pStyle w:val="Compact"/>
      </w:pPr>
      <w:r>
        <w:t xml:space="preserve">2017 · Harris SB ·</w:t>
      </w:r>
      <w:r>
        <w:t xml:space="preserve"> </w:t>
      </w:r>
      <w:r>
        <w:rPr>
          <w:iCs/>
          <w:i/>
        </w:rPr>
        <w:t xml:space="preserve">Diabetes Obes Metab</w:t>
      </w:r>
      <w:r>
        <w:t xml:space="preserve"> </w:t>
      </w:r>
      <w:r>
        <w:t xml:space="preserve">· Safety and efficacy of IDegLira titrated once weekly versus twice weekly in patients with type 2 diabetes uncontrolled on oral antidiabetic drugs: DUAL VI randomized clinical trial. PMID 28124817</w:t>
      </w:r>
    </w:p>
    <w:p>
      <w:pPr>
        <w:numPr>
          <w:ilvl w:val="0"/>
          <w:numId w:val="1377"/>
        </w:numPr>
        <w:pStyle w:val="Compact"/>
      </w:pPr>
      <w:r>
        <w:t xml:space="preserve">2017 · Iacobellis G ·</w:t>
      </w:r>
      <w:r>
        <w:t xml:space="preserve"> </w:t>
      </w:r>
      <w:r>
        <w:rPr>
          <w:iCs/>
          <w:i/>
        </w:rPr>
        <w:t xml:space="preserve">Obesity (Silver Spring)</w:t>
      </w:r>
      <w:r>
        <w:t xml:space="preserve"> </w:t>
      </w:r>
      <w:r>
        <w:t xml:space="preserve">· Liraglutide causes large and rapid epicardial fat reduction. PMID 28124506</w:t>
      </w:r>
    </w:p>
    <w:p>
      <w:pPr>
        <w:numPr>
          <w:ilvl w:val="0"/>
          <w:numId w:val="1377"/>
        </w:numPr>
        <w:pStyle w:val="Compact"/>
      </w:pPr>
      <w:r>
        <w:t xml:space="preserve">2017 · von Scholten BJ ·</w:t>
      </w:r>
      <w:r>
        <w:t xml:space="preserve"> </w:t>
      </w:r>
      <w:r>
        <w:rPr>
          <w:iCs/>
          <w:i/>
        </w:rPr>
        <w:t xml:space="preserve">Diabetes Obes Metab</w:t>
      </w:r>
      <w:r>
        <w:t xml:space="preserve"> </w:t>
      </w:r>
      <w:r>
        <w:t xml:space="preserve">· Effects of liraglutide on cardiovascular risk biomarkers in patients with type 2 diabetes and albuminuria: A sub-analysis of a randomized, placebo-controlled, double-blind, crossover trial. PMID 28105731</w:t>
      </w:r>
    </w:p>
    <w:p>
      <w:pPr>
        <w:numPr>
          <w:ilvl w:val="0"/>
          <w:numId w:val="1377"/>
        </w:numPr>
        <w:pStyle w:val="Compact"/>
      </w:pPr>
      <w:r>
        <w:t xml:space="preserve">2017 · Farmer AD ·</w:t>
      </w:r>
      <w:r>
        <w:t xml:space="preserve"> </w:t>
      </w:r>
      <w:r>
        <w:rPr>
          <w:iCs/>
          <w:i/>
        </w:rPr>
        <w:t xml:space="preserve">Diabetologia</w:t>
      </w:r>
      <w:r>
        <w:t xml:space="preserve"> </w:t>
      </w:r>
      <w:r>
        <w:t xml:space="preserve">· Type 1 diabetic patients with peripheral neuropathy have pan-enteric prolongation of gastrointestinal transit times and an altered caecal pH profile. PMID 28105520</w:t>
      </w:r>
    </w:p>
    <w:p>
      <w:pPr>
        <w:numPr>
          <w:ilvl w:val="0"/>
          <w:numId w:val="1377"/>
        </w:numPr>
        <w:pStyle w:val="Compact"/>
      </w:pPr>
      <w:r>
        <w:t xml:space="preserve">2017 · Smits MM ·</w:t>
      </w:r>
      <w:r>
        <w:t xml:space="preserve"> </w:t>
      </w:r>
      <w:r>
        <w:rPr>
          <w:iCs/>
          <w:i/>
        </w:rPr>
        <w:t xml:space="preserve">Diabetes Res Clin Pract</w:t>
      </w:r>
      <w:r>
        <w:t xml:space="preserve"> </w:t>
      </w:r>
      <w:r>
        <w:t xml:space="preserve">· The effects of GLP-1 based therapies on postprandial haemodynamics: Two randomised, placebo-controlled trials in overweight type 2 diabetes patients. PMID 28086201</w:t>
      </w:r>
    </w:p>
    <w:p>
      <w:pPr>
        <w:numPr>
          <w:ilvl w:val="0"/>
          <w:numId w:val="1377"/>
        </w:numPr>
        <w:pStyle w:val="Compact"/>
      </w:pPr>
      <w:r>
        <w:t xml:space="preserve">2017 · Horowitz M ·</w:t>
      </w:r>
      <w:r>
        <w:t xml:space="preserve"> </w:t>
      </w:r>
      <w:r>
        <w:rPr>
          <w:iCs/>
          <w:i/>
        </w:rPr>
        <w:t xml:space="preserve">Diabetes Obes Metab</w:t>
      </w:r>
      <w:r>
        <w:t xml:space="preserve"> </w:t>
      </w:r>
      <w:r>
        <w:t xml:space="preserve">· Upper and/or lower gastrointestinal adverse events with glucagon-like peptide-1 receptor agonists: Incidence and consequences. PMID 28058769</w:t>
      </w:r>
    </w:p>
    <w:p>
      <w:pPr>
        <w:numPr>
          <w:ilvl w:val="0"/>
          <w:numId w:val="1377"/>
        </w:numPr>
        <w:pStyle w:val="Compact"/>
      </w:pPr>
      <w:r>
        <w:t xml:space="preserve">2017 · Pastel E ·</w:t>
      </w:r>
      <w:r>
        <w:t xml:space="preserve"> </w:t>
      </w:r>
      <w:r>
        <w:rPr>
          <w:iCs/>
          <w:i/>
        </w:rPr>
        <w:t xml:space="preserve">Clin Sci (Lond)</w:t>
      </w:r>
      <w:r>
        <w:t xml:space="preserve"> </w:t>
      </w:r>
      <w:r>
        <w:t xml:space="preserve">· GLP-1 analogue-induced weight loss does not improve obesity-induced AT dysfunction. PMID 28049736</w:t>
      </w:r>
    </w:p>
    <w:p>
      <w:pPr>
        <w:numPr>
          <w:ilvl w:val="0"/>
          <w:numId w:val="1377"/>
        </w:numPr>
        <w:pStyle w:val="Compact"/>
      </w:pPr>
      <w:r>
        <w:t xml:space="preserve">2017 · Smits MM ·</w:t>
      </w:r>
      <w:r>
        <w:t xml:space="preserve"> </w:t>
      </w:r>
      <w:r>
        <w:rPr>
          <w:iCs/>
          <w:i/>
        </w:rPr>
        <w:t xml:space="preserve">Diabetes Care</w:t>
      </w:r>
      <w:r>
        <w:t xml:space="preserve"> </w:t>
      </w:r>
      <w:r>
        <w:t xml:space="preserve">· Pancreatic Effects of Liraglutide or Sitagliptin in Overweight Patients With Type 2 Diabetes: A 12-Week Randomized, Placebo-Controlled Trial. PMID 27998910</w:t>
      </w:r>
    </w:p>
    <w:p>
      <w:pPr>
        <w:numPr>
          <w:ilvl w:val="0"/>
          <w:numId w:val="1377"/>
        </w:numPr>
        <w:pStyle w:val="Compact"/>
      </w:pPr>
      <w:r>
        <w:t xml:space="preserve">2017 · Danne T ·</w:t>
      </w:r>
      <w:r>
        <w:t xml:space="preserve"> </w:t>
      </w:r>
      <w:r>
        <w:rPr>
          <w:iCs/>
          <w:i/>
        </w:rPr>
        <w:t xml:space="preserve">J Pediatr</w:t>
      </w:r>
      <w:r>
        <w:t xml:space="preserve"> </w:t>
      </w:r>
      <w:r>
        <w:t xml:space="preserve">· Liraglutide in an Adolescent Population with Obesity: A Randomized, Double-Blind, Placebo-Controlled 5-Week Trial to Assess Safety, Tolerability, and Pharmacokinetics of Liraglutide in Adolescents Aged 12-17 Years. PMID 27979579</w:t>
      </w:r>
    </w:p>
    <w:p>
      <w:pPr>
        <w:numPr>
          <w:ilvl w:val="0"/>
          <w:numId w:val="1377"/>
        </w:numPr>
        <w:pStyle w:val="Compact"/>
      </w:pPr>
      <w:r>
        <w:t xml:space="preserve">2017 · Dejgaard TF ·</w:t>
      </w:r>
      <w:r>
        <w:t xml:space="preserve"> </w:t>
      </w:r>
      <w:r>
        <w:rPr>
          <w:iCs/>
          <w:i/>
        </w:rPr>
        <w:t xml:space="preserve">Diabetes Obes Metab</w:t>
      </w:r>
      <w:r>
        <w:t xml:space="preserve"> </w:t>
      </w:r>
      <w:r>
        <w:t xml:space="preserve">· Effects of liraglutide on cardiovascular risk factors in patients with type 1 diabetes. PMID 27935240</w:t>
      </w:r>
    </w:p>
    <w:p>
      <w:pPr>
        <w:numPr>
          <w:ilvl w:val="0"/>
          <w:numId w:val="1377"/>
        </w:numPr>
        <w:pStyle w:val="Compact"/>
      </w:pPr>
      <w:r>
        <w:t xml:space="preserve">2017 · Bouchi R ·</w:t>
      </w:r>
      <w:r>
        <w:t xml:space="preserve"> </w:t>
      </w:r>
      <w:r>
        <w:rPr>
          <w:iCs/>
          <w:i/>
        </w:rPr>
        <w:t xml:space="preserve">Endocr J</w:t>
      </w:r>
      <w:r>
        <w:t xml:space="preserve"> </w:t>
      </w:r>
      <w:r>
        <w:t xml:space="preserve">· Reduction of visceral fat by liraglutide is associated with ameliorations of hepatic steatosis, albuminuria, and micro-inflammation in type 2 diabetic patients with insulin treatment: a randomized control trial. PMID 27916783</w:t>
      </w:r>
    </w:p>
    <w:p>
      <w:pPr>
        <w:numPr>
          <w:ilvl w:val="0"/>
          <w:numId w:val="1377"/>
        </w:numPr>
        <w:pStyle w:val="Compact"/>
      </w:pPr>
      <w:r>
        <w:t xml:space="preserve">2017 · Frandsen CS ·</w:t>
      </w:r>
      <w:r>
        <w:t xml:space="preserve"> </w:t>
      </w:r>
      <w:r>
        <w:rPr>
          <w:iCs/>
          <w:i/>
        </w:rPr>
        <w:t xml:space="preserve">Diabetes Obes Metab</w:t>
      </w:r>
      <w:r>
        <w:t xml:space="preserve"> </w:t>
      </w:r>
      <w:r>
        <w:t xml:space="preserve">· Liraglutide as adjunct to insulin treatment in type 1 diabetes does not interfere with glycaemic recovery or gastric emptying rate during hypoglycaemia: A randomized, placebo-controlled, double-blind, parallel-group study. PMID 27868372</w:t>
      </w:r>
    </w:p>
    <w:p>
      <w:pPr>
        <w:numPr>
          <w:ilvl w:val="0"/>
          <w:numId w:val="1377"/>
        </w:numPr>
        <w:pStyle w:val="Compact"/>
      </w:pPr>
      <w:r>
        <w:t xml:space="preserve">2017 · Emoto M ·</w:t>
      </w:r>
      <w:r>
        <w:t xml:space="preserve"> </w:t>
      </w:r>
      <w:r>
        <w:rPr>
          <w:iCs/>
          <w:i/>
        </w:rPr>
        <w:t xml:space="preserve">Endocr J</w:t>
      </w:r>
      <w:r>
        <w:t xml:space="preserve"> </w:t>
      </w:r>
      <w:r>
        <w:t xml:space="preserve">· Pancreatic safety in Japanese patients with type 2 diabetes treated with once weekly dulaglutide 0.75 mg up to 52 weeks in phase 3 clinical trials. PMID 27853058</w:t>
      </w:r>
    </w:p>
    <w:p>
      <w:pPr>
        <w:numPr>
          <w:ilvl w:val="0"/>
          <w:numId w:val="1377"/>
        </w:numPr>
        <w:pStyle w:val="Compact"/>
      </w:pPr>
      <w:r>
        <w:t xml:space="preserve">2017 · Arturi F ·</w:t>
      </w:r>
      <w:r>
        <w:t xml:space="preserve"> </w:t>
      </w:r>
      <w:r>
        <w:rPr>
          <w:iCs/>
          <w:i/>
        </w:rPr>
        <w:t xml:space="preserve">Endocrine</w:t>
      </w:r>
      <w:r>
        <w:t xml:space="preserve"> </w:t>
      </w:r>
      <w:r>
        <w:t xml:space="preserve">· Liraglutide improves cardiac function in patients with type 2 diabetes and chronic heart failure. PMID 27830456</w:t>
      </w:r>
    </w:p>
    <w:p>
      <w:pPr>
        <w:numPr>
          <w:ilvl w:val="0"/>
          <w:numId w:val="1377"/>
        </w:numPr>
        <w:pStyle w:val="Compact"/>
      </w:pPr>
      <w:r>
        <w:t xml:space="preserve">2017 · Yabe D ·</w:t>
      </w:r>
      <w:r>
        <w:t xml:space="preserve"> </w:t>
      </w:r>
      <w:r>
        <w:rPr>
          <w:iCs/>
          <w:i/>
        </w:rPr>
        <w:t xml:space="preserve">Diabetes Obes Metab</w:t>
      </w:r>
      <w:r>
        <w:t xml:space="preserve"> </w:t>
      </w:r>
      <w:r>
        <w:t xml:space="preserve">· Effects of DPP-4 inhibitor linagliptin and GLP-1 receptor agonist liraglutide on physiological response to hypoglycaemia in Japanese subjects with type 2 diabetes: A randomized, open-label, 2-arm parallel comparative, exploratory trial. PMID 27800649</w:t>
      </w:r>
    </w:p>
    <w:p>
      <w:pPr>
        <w:numPr>
          <w:ilvl w:val="0"/>
          <w:numId w:val="1377"/>
        </w:numPr>
        <w:pStyle w:val="Compact"/>
      </w:pPr>
      <w:r>
        <w:t xml:space="preserve">2017 · Kumarathurai P ·</w:t>
      </w:r>
      <w:r>
        <w:t xml:space="preserve"> </w:t>
      </w:r>
      <w:r>
        <w:rPr>
          <w:iCs/>
          <w:i/>
        </w:rPr>
        <w:t xml:space="preserve">Diabetes Care</w:t>
      </w:r>
      <w:r>
        <w:t xml:space="preserve"> </w:t>
      </w:r>
      <w:r>
        <w:t xml:space="preserve">· Effects of Liraglutide on Heart Rate and Heart Rate Variability: A Randomized, Double-Blind, Placebo-Controlled Crossover Study. PMID 27797930</w:t>
      </w:r>
    </w:p>
    <w:p>
      <w:pPr>
        <w:numPr>
          <w:ilvl w:val="0"/>
          <w:numId w:val="1377"/>
        </w:numPr>
        <w:pStyle w:val="Compact"/>
      </w:pPr>
      <w:r>
        <w:t xml:space="preserve">2017 · Jorsal A ·</w:t>
      </w:r>
      <w:r>
        <w:t xml:space="preserve"> </w:t>
      </w:r>
      <w:r>
        <w:rPr>
          <w:iCs/>
          <w:i/>
        </w:rPr>
        <w:t xml:space="preserve">Eur J Heart Fail</w:t>
      </w:r>
      <w:r>
        <w:t xml:space="preserve"> </w:t>
      </w:r>
      <w:r>
        <w:t xml:space="preserve">· Effect of liraglutide, a glucagon-like peptide-1 analogue, on left ventricular function in stable chronic heart failure patients with and without diabetes (LIVE)-a multicentre, double-blind, randomised, placebo-controlled trial. PMID 27790809</w:t>
      </w:r>
    </w:p>
    <w:p>
      <w:pPr>
        <w:numPr>
          <w:ilvl w:val="0"/>
          <w:numId w:val="1377"/>
        </w:numPr>
        <w:pStyle w:val="Compact"/>
      </w:pPr>
      <w:r>
        <w:t xml:space="preserve">2017 · Smits MM ·</w:t>
      </w:r>
      <w:r>
        <w:t xml:space="preserve"> </w:t>
      </w:r>
      <w:r>
        <w:rPr>
          <w:iCs/>
          <w:i/>
        </w:rPr>
        <w:t xml:space="preserve">Eur J Endocrinol</w:t>
      </w:r>
      <w:r>
        <w:t xml:space="preserve"> </w:t>
      </w:r>
      <w:r>
        <w:t xml:space="preserve">· Heart rate acceleration with GLP-1 receptor agonists in type 2 diabetes patients: an acute and 12-week randomised, double-blind, placebo-controlled trial. PMID 27777261</w:t>
      </w:r>
    </w:p>
    <w:p>
      <w:pPr>
        <w:numPr>
          <w:ilvl w:val="0"/>
          <w:numId w:val="1377"/>
        </w:numPr>
        <w:pStyle w:val="Compact"/>
      </w:pPr>
      <w:r>
        <w:t xml:space="preserve">2017 · Zobel EH ·</w:t>
      </w:r>
      <w:r>
        <w:t xml:space="preserve"> </w:t>
      </w:r>
      <w:r>
        <w:rPr>
          <w:iCs/>
          <w:i/>
        </w:rPr>
        <w:t xml:space="preserve">J Diabetes Complications</w:t>
      </w:r>
      <w:r>
        <w:t xml:space="preserve"> </w:t>
      </w:r>
      <w:r>
        <w:t xml:space="preserve">· Pleiotropic effects of liraglutide treatment on renal risk factors in type 2 diabetes: Individual effects of treatment. PMID 27769801</w:t>
      </w:r>
    </w:p>
    <w:p>
      <w:pPr>
        <w:numPr>
          <w:ilvl w:val="0"/>
          <w:numId w:val="1377"/>
        </w:numPr>
        <w:pStyle w:val="Compact"/>
      </w:pPr>
      <w:r>
        <w:t xml:space="preserve">2017 · von Scholten BJ ·</w:t>
      </w:r>
      <w:r>
        <w:t xml:space="preserve"> </w:t>
      </w:r>
      <w:r>
        <w:rPr>
          <w:iCs/>
          <w:i/>
        </w:rPr>
        <w:t xml:space="preserve">Diabetes Obes Metab</w:t>
      </w:r>
      <w:r>
        <w:t xml:space="preserve"> </w:t>
      </w:r>
      <w:r>
        <w:t xml:space="preserve">· The effect of liraglutide on renal function: A randomized clinical trial. PMID 27753201</w:t>
      </w:r>
    </w:p>
    <w:p>
      <w:pPr>
        <w:numPr>
          <w:ilvl w:val="0"/>
          <w:numId w:val="1377"/>
        </w:numPr>
        <w:pStyle w:val="Compact"/>
      </w:pPr>
      <w:r>
        <w:t xml:space="preserve">2017 · Petit JM ·</w:t>
      </w:r>
      <w:r>
        <w:t xml:space="preserve"> </w:t>
      </w:r>
      <w:r>
        <w:rPr>
          <w:iCs/>
          <w:i/>
        </w:rPr>
        <w:t xml:space="preserve">J Clin Endocrinol Metab</w:t>
      </w:r>
      <w:r>
        <w:t xml:space="preserve"> </w:t>
      </w:r>
      <w:r>
        <w:t xml:space="preserve">· Effect of Liraglutide Therapy on Liver Fat Content in Patients With Inadequately Controlled Type 2 Diabetes: The Lira-NAFLD Study. PMID 27732328</w:t>
      </w:r>
    </w:p>
    <w:p>
      <w:pPr>
        <w:numPr>
          <w:ilvl w:val="0"/>
          <w:numId w:val="1377"/>
        </w:numPr>
        <w:pStyle w:val="Compact"/>
      </w:pPr>
      <w:r>
        <w:t xml:space="preserve">2017 · Mensberg P ·</w:t>
      </w:r>
      <w:r>
        <w:t xml:space="preserve"> </w:t>
      </w:r>
      <w:r>
        <w:rPr>
          <w:iCs/>
          <w:i/>
        </w:rPr>
        <w:t xml:space="preserve">Diabetes Obes Metab</w:t>
      </w:r>
      <w:r>
        <w:t xml:space="preserve"> </w:t>
      </w:r>
      <w:r>
        <w:t xml:space="preserve">· Near-normalization of glycaemic control with glucagon-like peptide-1 receptor agonist treatment combined with exercise in patients with type 2 diabetes. PMID 27717126</w:t>
      </w:r>
    </w:p>
    <w:p>
      <w:pPr>
        <w:numPr>
          <w:ilvl w:val="0"/>
          <w:numId w:val="1377"/>
        </w:numPr>
        <w:pStyle w:val="Compact"/>
      </w:pPr>
      <w:r>
        <w:t xml:space="preserve">2017 · Nauck MA ·</w:t>
      </w:r>
      <w:r>
        <w:t xml:space="preserve"> </w:t>
      </w:r>
      <w:r>
        <w:rPr>
          <w:iCs/>
          <w:i/>
        </w:rPr>
        <w:t xml:space="preserve">Diabetes Obes Metab</w:t>
      </w:r>
      <w:r>
        <w:t xml:space="preserve"> </w:t>
      </w:r>
      <w:r>
        <w:t xml:space="preserve">· Addition of a dipeptidyl peptidase-4 inhibitor, sitagliptin, to ongoing therapy with the glucagon-like peptide-1 receptor agonist liraglutide: A randomized controlled trial in patients with type 2 diabetes. PMID 27709794</w:t>
      </w:r>
    </w:p>
    <w:p>
      <w:pPr>
        <w:numPr>
          <w:ilvl w:val="0"/>
          <w:numId w:val="1377"/>
        </w:numPr>
        <w:pStyle w:val="Compact"/>
      </w:pPr>
      <w:r>
        <w:t xml:space="preserve">2017 · Rodbard HW ·</w:t>
      </w:r>
      <w:r>
        <w:t xml:space="preserve"> </w:t>
      </w:r>
      <w:r>
        <w:rPr>
          <w:iCs/>
          <w:i/>
        </w:rPr>
        <w:t xml:space="preserve">Diabet Med</w:t>
      </w:r>
      <w:r>
        <w:t xml:space="preserve"> </w:t>
      </w:r>
      <w:r>
        <w:t xml:space="preserve">· Safety and efficacy of insulin degludec/liraglutide (IDegLira) added to sulphonylurea alone or to sulphonylurea and metformin in insulin-naïve people with Type 2 diabetes: the DUAL IV trial. PMID 27589252</w:t>
      </w:r>
    </w:p>
    <w:p>
      <w:pPr>
        <w:numPr>
          <w:ilvl w:val="0"/>
          <w:numId w:val="1377"/>
        </w:numPr>
        <w:pStyle w:val="Compact"/>
      </w:pPr>
      <w:r>
        <w:t xml:space="preserve">2017 · Sedman T ·</w:t>
      </w:r>
      <w:r>
        <w:t xml:space="preserve"> </w:t>
      </w:r>
      <w:r>
        <w:rPr>
          <w:iCs/>
          <w:i/>
        </w:rPr>
        <w:t xml:space="preserve">Horm Metab Res</w:t>
      </w:r>
      <w:r>
        <w:t xml:space="preserve"> </w:t>
      </w:r>
      <w:r>
        <w:t xml:space="preserve">· Liraglutide Treatment May Affect Renin and Aldosterone Release. PMID 27300475</w:t>
      </w:r>
    </w:p>
    <w:p>
      <w:pPr>
        <w:numPr>
          <w:ilvl w:val="0"/>
          <w:numId w:val="1377"/>
        </w:numPr>
        <w:pStyle w:val="Compact"/>
      </w:pPr>
      <w:r>
        <w:t xml:space="preserve">2016 · Jones B ·</w:t>
      </w:r>
      <w:r>
        <w:t xml:space="preserve"> </w:t>
      </w:r>
      <w:r>
        <w:rPr>
          <w:iCs/>
          <w:i/>
        </w:rPr>
        <w:t xml:space="preserve">Ann Clin Biochem</w:t>
      </w:r>
      <w:r>
        <w:t xml:space="preserve"> </w:t>
      </w:r>
      <w:r>
        <w:t xml:space="preserve">· Liraglutide and cardiovascular outcomes in type 2 diabetes. PMID 28071177</w:t>
      </w:r>
    </w:p>
    <w:p>
      <w:pPr>
        <w:numPr>
          <w:ilvl w:val="0"/>
          <w:numId w:val="1377"/>
        </w:numPr>
        <w:pStyle w:val="Compact"/>
      </w:pPr>
      <w:r>
        <w:t xml:space="preserve">2016 · Chen WR ·</w:t>
      </w:r>
      <w:r>
        <w:t xml:space="preserve"> </w:t>
      </w:r>
      <w:r>
        <w:rPr>
          <w:iCs/>
          <w:i/>
        </w:rPr>
        <w:t xml:space="preserve">Circ Cardiovasc Imaging</w:t>
      </w:r>
      <w:r>
        <w:t xml:space="preserve"> </w:t>
      </w:r>
      <w:r>
        <w:t xml:space="preserve">· Effects of Liraglutide on Reperfusion Injury in Patients With ST-Segment-Elevation Myocardial Infarction. PMID 27940956</w:t>
      </w:r>
    </w:p>
    <w:p>
      <w:pPr>
        <w:numPr>
          <w:ilvl w:val="0"/>
          <w:numId w:val="1377"/>
        </w:numPr>
        <w:pStyle w:val="Compact"/>
      </w:pPr>
      <w:r>
        <w:t xml:space="preserve">2016 · Rizzo M ·</w:t>
      </w:r>
      <w:r>
        <w:t xml:space="preserve"> </w:t>
      </w:r>
      <w:r>
        <w:rPr>
          <w:iCs/>
          <w:i/>
        </w:rPr>
        <w:t xml:space="preserve">Cardiovasc Diabetol</w:t>
      </w:r>
      <w:r>
        <w:t xml:space="preserve"> </w:t>
      </w:r>
      <w:r>
        <w:t xml:space="preserve">· Liraglutide improves metabolic parameters and carotid intima-media thickness in diabetic patients with the metabolic syndrome: an 18-month prospective study. PMID 27912784</w:t>
      </w:r>
    </w:p>
    <w:p>
      <w:pPr>
        <w:numPr>
          <w:ilvl w:val="0"/>
          <w:numId w:val="1377"/>
        </w:numPr>
        <w:pStyle w:val="Compact"/>
      </w:pPr>
      <w:r>
        <w:t xml:space="preserve">2016 · Fujioka K ·</w:t>
      </w:r>
      <w:r>
        <w:t xml:space="preserve"> </w:t>
      </w:r>
      <w:r>
        <w:rPr>
          <w:iCs/>
          <w:i/>
        </w:rPr>
        <w:t xml:space="preserve">Obesity (Silver Spring)</w:t>
      </w:r>
      <w:r>
        <w:t xml:space="preserve"> </w:t>
      </w:r>
      <w:r>
        <w:t xml:space="preserve">· Early Weight Loss with Liraglutide 3.0 mg Predicts 1-Year Weight Loss and is Associated with Improvements in Clinical Markers. PMID 27804269</w:t>
      </w:r>
    </w:p>
    <w:p>
      <w:pPr>
        <w:numPr>
          <w:ilvl w:val="0"/>
          <w:numId w:val="1377"/>
        </w:numPr>
        <w:pStyle w:val="Compact"/>
      </w:pPr>
      <w:r>
        <w:t xml:space="preserve">2016 · Smits MM ·</w:t>
      </w:r>
      <w:r>
        <w:t xml:space="preserve"> </w:t>
      </w:r>
      <w:r>
        <w:rPr>
          <w:iCs/>
          <w:i/>
        </w:rPr>
        <w:t xml:space="preserve">Diabetologia</w:t>
      </w:r>
      <w:r>
        <w:t xml:space="preserve"> </w:t>
      </w:r>
      <w:r>
        <w:t xml:space="preserve">· Twelve week liraglutide or sitagliptin does not affect hepatic fat in type 2 diabetes: a randomised placebo-controlled trial. PMID 27627981</w:t>
      </w:r>
    </w:p>
    <w:p>
      <w:pPr>
        <w:numPr>
          <w:ilvl w:val="0"/>
          <w:numId w:val="1377"/>
        </w:numPr>
        <w:pStyle w:val="Compact"/>
      </w:pPr>
      <w:r>
        <w:t xml:space="preserve">2016 · Tonneijck L ·</w:t>
      </w:r>
      <w:r>
        <w:t xml:space="preserve"> </w:t>
      </w:r>
      <w:r>
        <w:rPr>
          <w:iCs/>
          <w:i/>
        </w:rPr>
        <w:t xml:space="preserve">Diabetes Care</w:t>
      </w:r>
      <w:r>
        <w:t xml:space="preserve"> </w:t>
      </w:r>
      <w:r>
        <w:t xml:space="preserve">· Renal Effects of DPP-4 Inhibitor Sitagliptin or GLP-1 Receptor Agonist Liraglutide in Overweight Patients With Type 2 Diabetes: A 12-Week, Randomized, Double-Blind, Placebo-Controlled Trial. PMID 27585605</w:t>
      </w:r>
    </w:p>
    <w:p>
      <w:pPr>
        <w:numPr>
          <w:ilvl w:val="0"/>
          <w:numId w:val="1377"/>
        </w:numPr>
        <w:pStyle w:val="Compact"/>
      </w:pPr>
      <w:r>
        <w:t xml:space="preserve">2016 · Smits MM ·</w:t>
      </w:r>
      <w:r>
        <w:t xml:space="preserve"> </w:t>
      </w:r>
      <w:r>
        <w:rPr>
          <w:iCs/>
          <w:i/>
        </w:rPr>
        <w:t xml:space="preserve">Arterioscler Thromb Vasc Biol</w:t>
      </w:r>
      <w:r>
        <w:t xml:space="preserve"> </w:t>
      </w:r>
      <w:r>
        <w:t xml:space="preserve">· GLP-1-Based Therapies Have No Microvascular Effects in Type 2 Diabetes Mellitus: An Acute and 12-Week Randomized, Double-Blind, Placebo-Controlled Trial. PMID 27562916</w:t>
      </w:r>
    </w:p>
    <w:p>
      <w:pPr>
        <w:numPr>
          <w:ilvl w:val="0"/>
          <w:numId w:val="1377"/>
        </w:numPr>
        <w:pStyle w:val="Compact"/>
      </w:pPr>
      <w:r>
        <w:t xml:space="preserve">2016 · Mathieu C ·</w:t>
      </w:r>
      <w:r>
        <w:t xml:space="preserve"> </w:t>
      </w:r>
      <w:r>
        <w:rPr>
          <w:iCs/>
          <w:i/>
        </w:rPr>
        <w:t xml:space="preserve">Diabetes Care</w:t>
      </w:r>
      <w:r>
        <w:t xml:space="preserve"> </w:t>
      </w:r>
      <w:r>
        <w:t xml:space="preserve">· Efficacy and Safety of Liraglutide Added to Insulin Treatment in Type 1 Diabetes: The ADJUNCT ONE Treat-To-Target Randomized Trial. PMID 27506222</w:t>
      </w:r>
    </w:p>
    <w:p>
      <w:pPr>
        <w:numPr>
          <w:ilvl w:val="0"/>
          <w:numId w:val="1377"/>
        </w:numPr>
        <w:pStyle w:val="Compact"/>
      </w:pPr>
      <w:r>
        <w:t xml:space="preserve">2016 · Ahrén B ·</w:t>
      </w:r>
      <w:r>
        <w:t xml:space="preserve"> </w:t>
      </w:r>
      <w:r>
        <w:rPr>
          <w:iCs/>
          <w:i/>
        </w:rPr>
        <w:t xml:space="preserve">Diabetes Care</w:t>
      </w:r>
      <w:r>
        <w:t xml:space="preserve"> </w:t>
      </w:r>
      <w:r>
        <w:t xml:space="preserve">· Efficacy and Safety of Liraglutide Added to Capped Insulin Treatment in Subjects With Type 1 Diabetes: The ADJUNCT TWO Randomized Trial. PMID 27493132</w:t>
      </w:r>
    </w:p>
    <w:p>
      <w:pPr>
        <w:numPr>
          <w:ilvl w:val="0"/>
          <w:numId w:val="1377"/>
        </w:numPr>
        <w:pStyle w:val="Compact"/>
      </w:pPr>
      <w:r>
        <w:t xml:space="preserve">2016 · Kuhadiya ND ·</w:t>
      </w:r>
      <w:r>
        <w:t xml:space="preserve"> </w:t>
      </w:r>
      <w:r>
        <w:rPr>
          <w:iCs/>
          <w:i/>
        </w:rPr>
        <w:t xml:space="preserve">J Clin Endocrinol Metab</w:t>
      </w:r>
      <w:r>
        <w:t xml:space="preserve"> </w:t>
      </w:r>
      <w:r>
        <w:t xml:space="preserve">· Dapagliflozin as Additional Treatment to Liraglutide and Insulin in Patients With Type 1 Diabetes. PMID 27490915</w:t>
      </w:r>
    </w:p>
    <w:p>
      <w:pPr>
        <w:numPr>
          <w:ilvl w:val="0"/>
          <w:numId w:val="1377"/>
        </w:numPr>
        <w:pStyle w:val="Compact"/>
      </w:pPr>
      <w:r>
        <w:t xml:space="preserve">2016 · Margulies KB ·</w:t>
      </w:r>
      <w:r>
        <w:t xml:space="preserve"> </w:t>
      </w:r>
      <w:r>
        <w:rPr>
          <w:iCs/>
          <w:i/>
        </w:rPr>
        <w:t xml:space="preserve">JAMA</w:t>
      </w:r>
      <w:r>
        <w:t xml:space="preserve"> </w:t>
      </w:r>
      <w:r>
        <w:t xml:space="preserve">· Effects of Liraglutide on Clinical Stability Among Patients With Advanced Heart Failure and Reduced Ejection Fraction: A Randomized Clinical Trial. PMID 27483064</w:t>
      </w:r>
    </w:p>
    <w:p>
      <w:pPr>
        <w:numPr>
          <w:ilvl w:val="0"/>
          <w:numId w:val="1377"/>
        </w:numPr>
        <w:pStyle w:val="Compact"/>
      </w:pPr>
      <w:r>
        <w:t xml:space="preserve">2016 · O’Neil PM ·</w:t>
      </w:r>
      <w:r>
        <w:t xml:space="preserve"> </w:t>
      </w:r>
      <w:r>
        <w:rPr>
          <w:iCs/>
          <w:i/>
        </w:rPr>
        <w:t xml:space="preserve">Endocr Pract</w:t>
      </w:r>
      <w:r>
        <w:t xml:space="preserve"> </w:t>
      </w:r>
      <w:r>
        <w:t xml:space="preserve">· EFFECTS OF LIRAGLUTIDE 3.0 MG ON WEIGHT AND RISK FACTORS IN HISPANIC VERSUS NON-HIPANIC POPULATIONS: SUBGROUP ANALYSIS FROM SCALE RANDOMIZED TRIALS. PMID 27482610</w:t>
      </w:r>
    </w:p>
    <w:p>
      <w:pPr>
        <w:numPr>
          <w:ilvl w:val="0"/>
          <w:numId w:val="1377"/>
        </w:numPr>
        <w:pStyle w:val="Compact"/>
      </w:pPr>
      <w:r>
        <w:t xml:space="preserve">2016 · Kumarathurai P ·</w:t>
      </w:r>
      <w:r>
        <w:t xml:space="preserve"> </w:t>
      </w:r>
      <w:r>
        <w:rPr>
          <w:iCs/>
          <w:i/>
        </w:rPr>
        <w:t xml:space="preserve">Cardiovasc Diabetol</w:t>
      </w:r>
      <w:r>
        <w:t xml:space="preserve"> </w:t>
      </w:r>
      <w:r>
        <w:t xml:space="preserve">· Effects of the glucagon-like peptide-1 receptor agonist liraglutide on systolic function in patients with coronary artery disease and type 2 diabetes: a randomized double-blind placebo-controlled crossover study. PMID 27455835</w:t>
      </w:r>
    </w:p>
    <w:p>
      <w:pPr>
        <w:numPr>
          <w:ilvl w:val="0"/>
          <w:numId w:val="1377"/>
        </w:numPr>
        <w:pStyle w:val="Compact"/>
      </w:pPr>
      <w:r>
        <w:t xml:space="preserve">2016 · Smits MM ·</w:t>
      </w:r>
      <w:r>
        <w:t xml:space="preserve"> </w:t>
      </w:r>
      <w:r>
        <w:rPr>
          <w:iCs/>
          <w:i/>
        </w:rPr>
        <w:t xml:space="preserve">Diabetes Obes Metab</w:t>
      </w:r>
      <w:r>
        <w:t xml:space="preserve"> </w:t>
      </w:r>
      <w:r>
        <w:t xml:space="preserve">· Biliary effects of liraglutide and sitagliptin, a 12-week randomized placebo-controlled trial in type 2 diabetes patients. PMID 27451030</w:t>
      </w:r>
    </w:p>
    <w:p>
      <w:pPr>
        <w:numPr>
          <w:ilvl w:val="0"/>
          <w:numId w:val="1377"/>
        </w:numPr>
        <w:pStyle w:val="Compact"/>
      </w:pPr>
      <w:r>
        <w:t xml:space="preserve">2016 · Htike ZZ ·</w:t>
      </w:r>
      <w:r>
        <w:t xml:space="preserve"> </w:t>
      </w:r>
      <w:r>
        <w:rPr>
          <w:iCs/>
          <w:i/>
        </w:rPr>
        <w:t xml:space="preserve">Cardiovasc Diabetol</w:t>
      </w:r>
      <w:r>
        <w:t xml:space="preserve"> </w:t>
      </w:r>
      <w:r>
        <w:t xml:space="preserve">· Rationale and design of the randomised controlled trial to assess the impact of liraglutide on cardiac function and structure in young adults with type 2 diabetes (the LYDIA study). PMID 27440110</w:t>
      </w:r>
    </w:p>
    <w:p>
      <w:pPr>
        <w:numPr>
          <w:ilvl w:val="0"/>
          <w:numId w:val="1377"/>
        </w:numPr>
        <w:pStyle w:val="Compact"/>
      </w:pPr>
      <w:r>
        <w:t xml:space="preserve">2016 · Bailey TS ·</w:t>
      </w:r>
      <w:r>
        <w:t xml:space="preserve"> </w:t>
      </w:r>
      <w:r>
        <w:rPr>
          <w:iCs/>
          <w:i/>
        </w:rPr>
        <w:t xml:space="preserve">Diabetes Obes Metab</w:t>
      </w:r>
      <w:r>
        <w:t xml:space="preserve"> </w:t>
      </w:r>
      <w:r>
        <w:t xml:space="preserve">· Efficacy and safety of switching from sitagliptin to liraglutide in subjects with type 2 diabetes (LIRA-SWITCH): a randomized, double-blind, double-dummy, active-controlled 26-week trial. PMID 27381275</w:t>
      </w:r>
    </w:p>
    <w:p>
      <w:pPr>
        <w:numPr>
          <w:ilvl w:val="0"/>
          <w:numId w:val="1377"/>
        </w:numPr>
        <w:pStyle w:val="Compact"/>
      </w:pPr>
      <w:r>
        <w:t xml:space="preserve">2016 · Azar ST ·</w:t>
      </w:r>
      <w:r>
        <w:t xml:space="preserve"> </w:t>
      </w:r>
      <w:r>
        <w:rPr>
          <w:iCs/>
          <w:i/>
        </w:rPr>
        <w:t xml:space="preserve">Diabetes Obes Metab</w:t>
      </w:r>
      <w:r>
        <w:t xml:space="preserve"> </w:t>
      </w:r>
      <w:r>
        <w:t xml:space="preserve">· Efficacy and safety of liraglutide compared to sulphonylurea during Ramadan in patients with type 2 diabetes (LIRA-Ramadan): a randomized trial. PMID 27376711</w:t>
      </w:r>
    </w:p>
    <w:p>
      <w:pPr>
        <w:numPr>
          <w:ilvl w:val="0"/>
          <w:numId w:val="1377"/>
        </w:numPr>
        <w:pStyle w:val="Compact"/>
      </w:pPr>
      <w:r>
        <w:t xml:space="preserve">2016 · Nauck M ·</w:t>
      </w:r>
      <w:r>
        <w:t xml:space="preserve"> </w:t>
      </w:r>
      <w:r>
        <w:rPr>
          <w:iCs/>
          <w:i/>
        </w:rPr>
        <w:t xml:space="preserve">Diabetes Care</w:t>
      </w:r>
      <w:r>
        <w:t xml:space="preserve"> </w:t>
      </w:r>
      <w:r>
        <w:t xml:space="preserve">· Once-Daily Liraglutide Versus Lixisenatide as Add-on to Metformin in Type 2 Diabetes: A 26-Week Randomized Controlled Clinical Trial. PMID 27311491</w:t>
      </w:r>
    </w:p>
    <w:p>
      <w:pPr>
        <w:numPr>
          <w:ilvl w:val="0"/>
          <w:numId w:val="1377"/>
        </w:numPr>
        <w:pStyle w:val="Compact"/>
      </w:pPr>
      <w:r>
        <w:t xml:space="preserve">2016 · Marso SP ·</w:t>
      </w:r>
      <w:r>
        <w:t xml:space="preserve"> </w:t>
      </w:r>
      <w:r>
        <w:rPr>
          <w:iCs/>
          <w:i/>
        </w:rPr>
        <w:t xml:space="preserve">N Engl J Med</w:t>
      </w:r>
      <w:r>
        <w:t xml:space="preserve"> </w:t>
      </w:r>
      <w:r>
        <w:t xml:space="preserve">· Liraglutide and Cardiovascular Outcomes in Type 2 Diabetes. PMID 27295427</w:t>
      </w:r>
    </w:p>
    <w:p>
      <w:pPr>
        <w:numPr>
          <w:ilvl w:val="0"/>
          <w:numId w:val="1377"/>
        </w:numPr>
        <w:pStyle w:val="Compact"/>
      </w:pPr>
      <w:r>
        <w:t xml:space="preserve">2016 · Farr OM ·</w:t>
      </w:r>
      <w:r>
        <w:t xml:space="preserve"> </w:t>
      </w:r>
      <w:r>
        <w:rPr>
          <w:iCs/>
          <w:i/>
        </w:rPr>
        <w:t xml:space="preserve">Metabolism</w:t>
      </w:r>
      <w:r>
        <w:t xml:space="preserve"> </w:t>
      </w:r>
      <w:r>
        <w:t xml:space="preserve">· Short-term administration of the GLP-1 analog liraglutide decreases circulating leptin and increases GIP levels and these changes are associated with alterations in CNS responses to food cues: A randomized, placebo-controlled, crossover study. PMID 27282865</w:t>
      </w:r>
    </w:p>
    <w:p>
      <w:pPr>
        <w:numPr>
          <w:ilvl w:val="0"/>
          <w:numId w:val="1377"/>
        </w:numPr>
        <w:pStyle w:val="Compact"/>
      </w:pPr>
      <w:r>
        <w:t xml:space="preserve">2016 · Mader JK ·</w:t>
      </w:r>
      <w:r>
        <w:t xml:space="preserve"> </w:t>
      </w:r>
      <w:r>
        <w:rPr>
          <w:iCs/>
          <w:i/>
        </w:rPr>
        <w:t xml:space="preserve">Clin Pharmacokinet</w:t>
      </w:r>
      <w:r>
        <w:t xml:space="preserve"> </w:t>
      </w:r>
      <w:r>
        <w:t xml:space="preserve">· Pharmacokinetic Properties of Liraglutide as Adjunct to Insulin in Subjects with Type 1 Diabetes Mellitus. PMID 27282158</w:t>
      </w:r>
    </w:p>
    <w:p>
      <w:pPr>
        <w:numPr>
          <w:ilvl w:val="0"/>
          <w:numId w:val="1377"/>
        </w:numPr>
        <w:pStyle w:val="Compact"/>
      </w:pPr>
      <w:r>
        <w:t xml:space="preserve">2016 · Vanderheiden A ·</w:t>
      </w:r>
      <w:r>
        <w:t xml:space="preserve"> </w:t>
      </w:r>
      <w:r>
        <w:rPr>
          <w:iCs/>
          <w:i/>
        </w:rPr>
        <w:t xml:space="preserve">JAMA Intern Med</w:t>
      </w:r>
      <w:r>
        <w:t xml:space="preserve"> </w:t>
      </w:r>
      <w:r>
        <w:t xml:space="preserve">· Effect of Adding Liraglutide vs Placebo to a High-Dose lnsulin Regimen in Patients With Type 2 Diabetes: A Randomized Clinical Trial. PMID 27273731</w:t>
      </w:r>
    </w:p>
    <w:p>
      <w:pPr>
        <w:numPr>
          <w:ilvl w:val="0"/>
          <w:numId w:val="1377"/>
        </w:numPr>
        <w:pStyle w:val="Compact"/>
      </w:pPr>
      <w:r>
        <w:t xml:space="preserve">2016 · Kuhadiya ND ·</w:t>
      </w:r>
      <w:r>
        <w:t xml:space="preserve"> </w:t>
      </w:r>
      <w:r>
        <w:rPr>
          <w:iCs/>
          <w:i/>
        </w:rPr>
        <w:t xml:space="preserve">Diabetes Care</w:t>
      </w:r>
      <w:r>
        <w:t xml:space="preserve"> </w:t>
      </w:r>
      <w:r>
        <w:t xml:space="preserve">· Addition of Liraglutide to Insulin in Patients With Type 1 Diabetes: A Randomized Placebo-Controlled Clinical Trial of 12 Weeks. PMID 27208343</w:t>
      </w:r>
    </w:p>
    <w:p>
      <w:pPr>
        <w:numPr>
          <w:ilvl w:val="0"/>
          <w:numId w:val="1377"/>
        </w:numPr>
        <w:pStyle w:val="Compact"/>
      </w:pPr>
      <w:r>
        <w:t xml:space="preserve">2016 · Sherr JL ·</w:t>
      </w:r>
      <w:r>
        <w:t xml:space="preserve"> </w:t>
      </w:r>
      <w:r>
        <w:rPr>
          <w:iCs/>
          <w:i/>
        </w:rPr>
        <w:t xml:space="preserve">Diabetes Care</w:t>
      </w:r>
      <w:r>
        <w:t xml:space="preserve"> </w:t>
      </w:r>
      <w:r>
        <w:t xml:space="preserve">· Mitigating Meal-Related Glycemic Excursions in an Insulin-Sparing Manner During Closed-Loop Insulin Delivery: The Beneficial Effects of Adjunctive Pramlintide and Liraglutide. PMID 27208332</w:t>
      </w:r>
    </w:p>
    <w:p>
      <w:pPr>
        <w:numPr>
          <w:ilvl w:val="0"/>
          <w:numId w:val="1377"/>
        </w:numPr>
        <w:pStyle w:val="Compact"/>
      </w:pPr>
      <w:r>
        <w:t xml:space="preserve">2016 · Kolotkin RL ·</w:t>
      </w:r>
      <w:r>
        <w:t xml:space="preserve"> </w:t>
      </w:r>
      <w:r>
        <w:rPr>
          <w:iCs/>
          <w:i/>
        </w:rPr>
        <w:t xml:space="preserve">Clin Obes</w:t>
      </w:r>
      <w:r>
        <w:t xml:space="preserve"> </w:t>
      </w:r>
      <w:r>
        <w:t xml:space="preserve">· Improvements in health-related quality of life with liraglutide 3.0 mg compared with placebo in weight management. PMID 27198973</w:t>
      </w:r>
    </w:p>
    <w:p>
      <w:pPr>
        <w:numPr>
          <w:ilvl w:val="0"/>
          <w:numId w:val="1377"/>
        </w:numPr>
        <w:pStyle w:val="Compact"/>
      </w:pPr>
      <w:r>
        <w:t xml:space="preserve">2016 · Overgaard RV ·</w:t>
      </w:r>
      <w:r>
        <w:t xml:space="preserve"> </w:t>
      </w:r>
      <w:r>
        <w:rPr>
          <w:iCs/>
          <w:i/>
        </w:rPr>
        <w:t xml:space="preserve">Clin Pharmacokinet</w:t>
      </w:r>
      <w:r>
        <w:t xml:space="preserve"> </w:t>
      </w:r>
      <w:r>
        <w:t xml:space="preserve">· Liraglutide 3.0 mg for Weight Management: A Population Pharmacokinetic Analysis. PMID 27193270</w:t>
      </w:r>
    </w:p>
    <w:p>
      <w:pPr>
        <w:numPr>
          <w:ilvl w:val="0"/>
          <w:numId w:val="1377"/>
        </w:numPr>
        <w:pStyle w:val="Compact"/>
      </w:pPr>
      <w:r>
        <w:t xml:space="preserve">2016 · Ilkowitz JT ·</w:t>
      </w:r>
      <w:r>
        <w:t xml:space="preserve"> </w:t>
      </w:r>
      <w:r>
        <w:rPr>
          <w:iCs/>
          <w:i/>
        </w:rPr>
        <w:t xml:space="preserve">J Diabetes Sci Technol</w:t>
      </w:r>
      <w:r>
        <w:t xml:space="preserve"> </w:t>
      </w:r>
      <w:r>
        <w:t xml:space="preserve">· Adjuvant Liraglutide and Insulin Versus Insulin Monotherapy in the Closed-Loop System in Type 1 Diabetes: A Randomized Open-Labeled Crossover Design Trial. PMID 27184690</w:t>
      </w:r>
    </w:p>
    <w:p>
      <w:pPr>
        <w:numPr>
          <w:ilvl w:val="0"/>
          <w:numId w:val="1377"/>
        </w:numPr>
        <w:pStyle w:val="Compact"/>
      </w:pPr>
      <w:r>
        <w:t xml:space="preserve">2016 · Seino Y ·</w:t>
      </w:r>
      <w:r>
        <w:t xml:space="preserve"> </w:t>
      </w:r>
      <w:r>
        <w:rPr>
          <w:iCs/>
          <w:i/>
        </w:rPr>
        <w:t xml:space="preserve">J Diabetes Investig</w:t>
      </w:r>
      <w:r>
        <w:t xml:space="preserve"> </w:t>
      </w:r>
      <w:r>
        <w:t xml:space="preserve">· Combination therapy with liraglutide and insulin in Japanese patients with type 2 diabetes: A 36-week, randomized, double-blind, parallel-group trial. PMID 27182042</w:t>
      </w:r>
    </w:p>
    <w:p>
      <w:pPr>
        <w:numPr>
          <w:ilvl w:val="0"/>
          <w:numId w:val="1377"/>
        </w:numPr>
        <w:pStyle w:val="Compact"/>
      </w:pPr>
      <w:r>
        <w:t xml:space="preserve">2016 · Chen P ·</w:t>
      </w:r>
      <w:r>
        <w:t xml:space="preserve"> </w:t>
      </w:r>
      <w:r>
        <w:rPr>
          <w:iCs/>
          <w:i/>
        </w:rPr>
        <w:t xml:space="preserve">Zhonghua Nei Ke Za Zhi</w:t>
      </w:r>
      <w:r>
        <w:t xml:space="preserve"> </w:t>
      </w:r>
      <w:r>
        <w:t xml:space="preserve">· [The effect of liraglutide in combination with human umbilical cord mesenchymal stem cells treatment on glucose metabolism and β cell function in type 2 diabetes mellitus]. PMID 27143183</w:t>
      </w:r>
    </w:p>
    <w:p>
      <w:pPr>
        <w:numPr>
          <w:ilvl w:val="0"/>
          <w:numId w:val="1377"/>
        </w:numPr>
        <w:pStyle w:val="Compact"/>
      </w:pPr>
      <w:r>
        <w:t xml:space="preserve">2016 · Hodge RJ ·</w:t>
      </w:r>
      <w:r>
        <w:t xml:space="preserve"> </w:t>
      </w:r>
      <w:r>
        <w:rPr>
          <w:iCs/>
          <w:i/>
        </w:rPr>
        <w:t xml:space="preserve">PLoS One</w:t>
      </w:r>
      <w:r>
        <w:t xml:space="preserve"> </w:t>
      </w:r>
      <w:r>
        <w:t xml:space="preserve">· Weight and Glucose Reduction Observed with a Combination of Nutritional Agents in Rodent Models Does Not Translate to Humans in a Randomized Clinical Trial with Healthy Volunteers and Subjects with Type 2 Diabetes. PMID 27093610</w:t>
      </w:r>
    </w:p>
    <w:p>
      <w:pPr>
        <w:numPr>
          <w:ilvl w:val="0"/>
          <w:numId w:val="1377"/>
        </w:numPr>
        <w:pStyle w:val="Compact"/>
      </w:pPr>
      <w:r>
        <w:t xml:space="preserve">2016 · Shankar SS ·</w:t>
      </w:r>
      <w:r>
        <w:t xml:space="preserve"> </w:t>
      </w:r>
      <w:r>
        <w:rPr>
          <w:iCs/>
          <w:i/>
        </w:rPr>
        <w:t xml:space="preserve">Am J Physiol Endocrinol Metab</w:t>
      </w:r>
      <w:r>
        <w:t xml:space="preserve"> </w:t>
      </w:r>
      <w:r>
        <w:t xml:space="preserve">· Linearity of β-cell response across the metabolic spectrum and to pharmacology: insights from a graded glucose infusion-based investigation series. PMID 27072496</w:t>
      </w:r>
    </w:p>
    <w:p>
      <w:pPr>
        <w:numPr>
          <w:ilvl w:val="0"/>
          <w:numId w:val="1377"/>
        </w:numPr>
        <w:pStyle w:val="Compact"/>
      </w:pPr>
      <w:r>
        <w:t xml:space="preserve">2016 · Zang L ·</w:t>
      </w:r>
      <w:r>
        <w:t xml:space="preserve"> </w:t>
      </w:r>
      <w:r>
        <w:rPr>
          <w:iCs/>
          <w:i/>
        </w:rPr>
        <w:t xml:space="preserve">Diabetes Obes Metab</w:t>
      </w:r>
      <w:r>
        <w:t xml:space="preserve"> </w:t>
      </w:r>
      <w:r>
        <w:t xml:space="preserve">· Efficacy and safety of liraglutide versus sitagliptin, both in combination with metformin, in Chinese patients with type 2 diabetes: a 26-week, open-label, randomized, active comparator clinical trial. PMID 27060930</w:t>
      </w:r>
    </w:p>
    <w:p>
      <w:pPr>
        <w:numPr>
          <w:ilvl w:val="0"/>
          <w:numId w:val="1377"/>
        </w:numPr>
        <w:pStyle w:val="Compact"/>
      </w:pPr>
      <w:r>
        <w:t xml:space="preserve">2016 · Blackman A ·</w:t>
      </w:r>
      <w:r>
        <w:t xml:space="preserve"> </w:t>
      </w:r>
      <w:r>
        <w:rPr>
          <w:iCs/>
          <w:i/>
        </w:rPr>
        <w:t xml:space="preserve">Int J Obes (Lond)</w:t>
      </w:r>
      <w:r>
        <w:t xml:space="preserve"> </w:t>
      </w:r>
      <w:r>
        <w:t xml:space="preserve">· Effect of liraglutide 3.0 mg in individuals with obesity and moderate or severe obstructive sleep apnea: the SCALE Sleep Apnea randomized clinical trial. PMID 27005405</w:t>
      </w:r>
    </w:p>
    <w:p>
      <w:pPr>
        <w:numPr>
          <w:ilvl w:val="0"/>
          <w:numId w:val="1377"/>
        </w:numPr>
        <w:pStyle w:val="Compact"/>
      </w:pPr>
      <w:r>
        <w:t xml:space="preserve">2016 · Aroda VR ·</w:t>
      </w:r>
      <w:r>
        <w:t xml:space="preserve"> </w:t>
      </w:r>
      <w:r>
        <w:rPr>
          <w:iCs/>
          <w:i/>
        </w:rPr>
        <w:t xml:space="preserve">Diabetes Obes Metab</w:t>
      </w:r>
      <w:r>
        <w:t xml:space="preserve"> </w:t>
      </w:r>
      <w:r>
        <w:t xml:space="preserve">· Effect of adding insulin degludec to treatment in patients with type 2 diabetes inadequately controlled with metformin and liraglutide: a double-blind randomized controlled trial (BEGIN: ADD TO GLP-1 Study). PMID 26990378</w:t>
      </w:r>
    </w:p>
    <w:p>
      <w:pPr>
        <w:numPr>
          <w:ilvl w:val="0"/>
          <w:numId w:val="1377"/>
        </w:numPr>
        <w:pStyle w:val="Compact"/>
      </w:pPr>
      <w:r>
        <w:t xml:space="preserve">2016 · Lingvay I ·</w:t>
      </w:r>
      <w:r>
        <w:t xml:space="preserve"> </w:t>
      </w:r>
      <w:r>
        <w:rPr>
          <w:iCs/>
          <w:i/>
        </w:rPr>
        <w:t xml:space="preserve">JAMA</w:t>
      </w:r>
      <w:r>
        <w:t xml:space="preserve"> </w:t>
      </w:r>
      <w:r>
        <w:t xml:space="preserve">· Effect of Insulin Glargine Up-titration vs Insulin Degludec/Liraglutide on Glycated Hemoglobin Levels in Patients With Uncontrolled Type 2 Diabetes: The DUAL V Randomized Clinical Trial. PMID 26934259</w:t>
      </w:r>
    </w:p>
    <w:p>
      <w:pPr>
        <w:numPr>
          <w:ilvl w:val="0"/>
          <w:numId w:val="1377"/>
        </w:numPr>
        <w:pStyle w:val="Compact"/>
      </w:pPr>
      <w:r>
        <w:t xml:space="preserve">2016 · Skov J ·</w:t>
      </w:r>
      <w:r>
        <w:t xml:space="preserve"> </w:t>
      </w:r>
      <w:r>
        <w:rPr>
          <w:iCs/>
          <w:i/>
        </w:rPr>
        <w:t xml:space="preserve">Diabetes Obes Metab</w:t>
      </w:r>
      <w:r>
        <w:t xml:space="preserve"> </w:t>
      </w:r>
      <w:r>
        <w:t xml:space="preserve">· Short-term effects of liraglutide on kidney function and vasoactive hormones in type 2 diabetes: a randomized clinical trial. PMID 26910107</w:t>
      </w:r>
    </w:p>
    <w:p>
      <w:pPr>
        <w:numPr>
          <w:ilvl w:val="0"/>
          <w:numId w:val="1377"/>
        </w:numPr>
        <w:pStyle w:val="Compact"/>
      </w:pPr>
      <w:r>
        <w:t xml:space="preserve">2016 · Vanderheiden A ·</w:t>
      </w:r>
      <w:r>
        <w:t xml:space="preserve"> </w:t>
      </w:r>
      <w:r>
        <w:rPr>
          <w:iCs/>
          <w:i/>
        </w:rPr>
        <w:t xml:space="preserve">J Clin Endocrinol Metab</w:t>
      </w:r>
      <w:r>
        <w:t xml:space="preserve"> </w:t>
      </w:r>
      <w:r>
        <w:t xml:space="preserve">· Mechanisms of Action of Liraglutide in Patients With Type 2 Diabetes Treated With High-Dose Insulin. PMID 26909799</w:t>
      </w:r>
    </w:p>
    <w:p>
      <w:pPr>
        <w:numPr>
          <w:ilvl w:val="0"/>
          <w:numId w:val="1377"/>
        </w:numPr>
        <w:pStyle w:val="Compact"/>
      </w:pPr>
      <w:r>
        <w:t xml:space="preserve">2016 · Masmiquel L ·</w:t>
      </w:r>
      <w:r>
        <w:t xml:space="preserve"> </w:t>
      </w:r>
      <w:r>
        <w:rPr>
          <w:iCs/>
          <w:i/>
        </w:rPr>
        <w:t xml:space="preserve">Cardiovasc Diabetol</w:t>
      </w:r>
      <w:r>
        <w:t xml:space="preserve"> </w:t>
      </w:r>
      <w:r>
        <w:t xml:space="preserve">· LEADER 5: prevalence and cardiometabolic impact of obesity in cardiovascular high-risk patients with type 2 diabetes mellitus: baseline global data from the LEADER trial. PMID 26864124</w:t>
      </w:r>
    </w:p>
    <w:p>
      <w:pPr>
        <w:numPr>
          <w:ilvl w:val="0"/>
          <w:numId w:val="1377"/>
        </w:numPr>
        <w:pStyle w:val="Compact"/>
      </w:pPr>
      <w:r>
        <w:t xml:space="preserve">2016 · Petrie JR ·</w:t>
      </w:r>
      <w:r>
        <w:t xml:space="preserve"> </w:t>
      </w:r>
      <w:r>
        <w:rPr>
          <w:iCs/>
          <w:i/>
        </w:rPr>
        <w:t xml:space="preserve">J Hypertens</w:t>
      </w:r>
      <w:r>
        <w:t xml:space="preserve"> </w:t>
      </w:r>
      <w:r>
        <w:t xml:space="preserve">· LEADER-4: blood pressure control in patients with type 2 diabetes and high cardiovascular risk: baseline data from the LEADER randomized trial. PMID 26855018</w:t>
      </w:r>
    </w:p>
    <w:p>
      <w:pPr>
        <w:numPr>
          <w:ilvl w:val="0"/>
          <w:numId w:val="1377"/>
        </w:numPr>
        <w:pStyle w:val="Compact"/>
      </w:pPr>
      <w:r>
        <w:t xml:space="preserve">2016 · Chen WR ·</w:t>
      </w:r>
      <w:r>
        <w:t xml:space="preserve"> </w:t>
      </w:r>
      <w:r>
        <w:rPr>
          <w:iCs/>
          <w:i/>
        </w:rPr>
        <w:t xml:space="preserve">Int J Cardiol</w:t>
      </w:r>
      <w:r>
        <w:t xml:space="preserve"> </w:t>
      </w:r>
      <w:r>
        <w:t xml:space="preserve">· Effects of liraglutide on no-reflow in patients with acute ST-segment elevation myocardial infarction. PMID 26849684</w:t>
      </w:r>
    </w:p>
    <w:p>
      <w:pPr>
        <w:numPr>
          <w:ilvl w:val="0"/>
          <w:numId w:val="1377"/>
        </w:numPr>
        <w:pStyle w:val="Compact"/>
      </w:pPr>
      <w:r>
        <w:t xml:space="preserve">2016 · Wilding JP ·</w:t>
      </w:r>
      <w:r>
        <w:t xml:space="preserve"> </w:t>
      </w:r>
      <w:r>
        <w:rPr>
          <w:iCs/>
          <w:i/>
        </w:rPr>
        <w:t xml:space="preserve">Diabetes Obes Metab</w:t>
      </w:r>
      <w:r>
        <w:t xml:space="preserve"> </w:t>
      </w:r>
      <w:r>
        <w:t xml:space="preserve">· Exposure-response analyses of liraglutide 3.0 mg for weight management. PMID 26833744</w:t>
      </w:r>
    </w:p>
    <w:p>
      <w:pPr>
        <w:numPr>
          <w:ilvl w:val="0"/>
          <w:numId w:val="1377"/>
        </w:numPr>
        <w:pStyle w:val="Compact"/>
      </w:pPr>
      <w:r>
        <w:t xml:space="preserve">2016 · Farr OM ·</w:t>
      </w:r>
      <w:r>
        <w:t xml:space="preserve"> </w:t>
      </w:r>
      <w:r>
        <w:rPr>
          <w:iCs/>
          <w:i/>
        </w:rPr>
        <w:t xml:space="preserve">Diabetologia</w:t>
      </w:r>
      <w:r>
        <w:t xml:space="preserve"> </w:t>
      </w:r>
      <w:r>
        <w:t xml:space="preserve">· GLP-1 receptors exist in the parietal cortex, hypothalamus and medulla of human brains and the GLP-1 analogue liraglutide alters brain activity related to highly desirable food cues in individuals with diabetes: a crossover, randomised, placebo-controlled trial. PMID 26831302</w:t>
      </w:r>
    </w:p>
    <w:p>
      <w:pPr>
        <w:numPr>
          <w:ilvl w:val="0"/>
          <w:numId w:val="1377"/>
        </w:numPr>
        <w:pStyle w:val="Compact"/>
      </w:pPr>
      <w:r>
        <w:t xml:space="preserve">2016 · Kaku K ·</w:t>
      </w:r>
      <w:r>
        <w:t xml:space="preserve"> </w:t>
      </w:r>
      <w:r>
        <w:rPr>
          <w:iCs/>
          <w:i/>
        </w:rPr>
        <w:t xml:space="preserve">J Diabetes Investig</w:t>
      </w:r>
      <w:r>
        <w:t xml:space="preserve"> </w:t>
      </w:r>
      <w:r>
        <w:t xml:space="preserve">· Liraglutide is effective and well tolerated in combination with an oral antidiabetic drug in Japanese patients with type 2 diabetes: A randomized, 52-week, open-label, parallel-group trial. PMID 26816604</w:t>
      </w:r>
    </w:p>
    <w:p>
      <w:pPr>
        <w:numPr>
          <w:ilvl w:val="0"/>
          <w:numId w:val="1377"/>
        </w:numPr>
        <w:pStyle w:val="Compact"/>
      </w:pPr>
      <w:r>
        <w:t xml:space="preserve">2016 · Ard J ·</w:t>
      </w:r>
      <w:r>
        <w:t xml:space="preserve"> </w:t>
      </w:r>
      <w:r>
        <w:rPr>
          <w:iCs/>
          <w:i/>
        </w:rPr>
        <w:t xml:space="preserve">Diabetes Obes Metab</w:t>
      </w:r>
      <w:r>
        <w:t xml:space="preserve"> </w:t>
      </w:r>
      <w:r>
        <w:t xml:space="preserve">· Efficacy and safety of liraglutide 3.0 mg for weight management are similar across races: subgroup analysis across the SCALE and phase II randomized trials. PMID 26744025</w:t>
      </w:r>
    </w:p>
    <w:p>
      <w:pPr>
        <w:numPr>
          <w:ilvl w:val="0"/>
          <w:numId w:val="1377"/>
        </w:numPr>
        <w:pStyle w:val="Compact"/>
      </w:pPr>
      <w:r>
        <w:t xml:space="preserve">2016 · Nagakura J ·</w:t>
      </w:r>
      <w:r>
        <w:t xml:space="preserve"> </w:t>
      </w:r>
      <w:r>
        <w:rPr>
          <w:iCs/>
          <w:i/>
        </w:rPr>
        <w:t xml:space="preserve">Endocr J</w:t>
      </w:r>
      <w:r>
        <w:t xml:space="preserve"> </w:t>
      </w:r>
      <w:r>
        <w:t xml:space="preserve">· Effects of exenatide and liraglutide on 24-hour glucose fluctuations in type 2 diabetes. PMID 26743240</w:t>
      </w:r>
    </w:p>
    <w:p>
      <w:pPr>
        <w:numPr>
          <w:ilvl w:val="0"/>
          <w:numId w:val="1377"/>
        </w:numPr>
        <w:pStyle w:val="Compact"/>
      </w:pPr>
      <w:r>
        <w:t xml:space="preserve">2016 · Davies MJ ·</w:t>
      </w:r>
      <w:r>
        <w:t xml:space="preserve"> </w:t>
      </w:r>
      <w:r>
        <w:rPr>
          <w:iCs/>
          <w:i/>
        </w:rPr>
        <w:t xml:space="preserve">Diabetes Care</w:t>
      </w:r>
      <w:r>
        <w:t xml:space="preserve"> </w:t>
      </w:r>
      <w:r>
        <w:t xml:space="preserve">· Efficacy and Safety of Liraglutide Versus Placebo as Add-on to Glucose-Lowering Therapy in Patients With Type 2 Diabetes and Moderate Renal Impairment (LIRA-RENAL): A Randomized Clinical Trial. PMID 26681713</w:t>
      </w:r>
    </w:p>
    <w:p>
      <w:pPr>
        <w:numPr>
          <w:ilvl w:val="0"/>
          <w:numId w:val="1377"/>
        </w:numPr>
        <w:pStyle w:val="Compact"/>
      </w:pPr>
      <w:r>
        <w:t xml:space="preserve">2016 · Odawara M ·</w:t>
      </w:r>
      <w:r>
        <w:t xml:space="preserve"> </w:t>
      </w:r>
      <w:r>
        <w:rPr>
          <w:iCs/>
          <w:i/>
        </w:rPr>
        <w:t xml:space="preserve">Diabetes Obes Metab</w:t>
      </w:r>
      <w:r>
        <w:t xml:space="preserve"> </w:t>
      </w:r>
      <w:r>
        <w:t xml:space="preserve">· Once-weekly glucagon-like peptide-1 receptor agonist dulaglutide significantly decreases glycated haemoglobin compared with once-daily liraglutide in Japanese patients with type 2 diabetes: 52 weeks of treatment in a randomized phase III study. PMID 26661514</w:t>
      </w:r>
    </w:p>
    <w:p>
      <w:pPr>
        <w:numPr>
          <w:ilvl w:val="0"/>
          <w:numId w:val="1377"/>
        </w:numPr>
        <w:pStyle w:val="Compact"/>
      </w:pPr>
      <w:r>
        <w:t xml:space="preserve">2016 · Dejgaard TF ·</w:t>
      </w:r>
      <w:r>
        <w:t xml:space="preserve"> </w:t>
      </w:r>
      <w:r>
        <w:rPr>
          <w:iCs/>
          <w:i/>
        </w:rPr>
        <w:t xml:space="preserve">Lancet Diabetes Endocrinol</w:t>
      </w:r>
      <w:r>
        <w:t xml:space="preserve"> </w:t>
      </w:r>
      <w:r>
        <w:t xml:space="preserve">· Efficacy and safety of liraglutide for overweight adult patients with type 1 diabetes and insufficient glycaemic control (Lira-1): a randomised, double-blind, placebo-controlled trial. PMID 26656289</w:t>
      </w:r>
    </w:p>
    <w:p>
      <w:pPr>
        <w:numPr>
          <w:ilvl w:val="0"/>
          <w:numId w:val="1377"/>
        </w:numPr>
        <w:pStyle w:val="Compact"/>
      </w:pPr>
      <w:r>
        <w:t xml:space="preserve">2016 · Ke W ·</w:t>
      </w:r>
      <w:r>
        <w:t xml:space="preserve"> </w:t>
      </w:r>
      <w:r>
        <w:rPr>
          <w:iCs/>
          <w:i/>
        </w:rPr>
        <w:t xml:space="preserve">J Diabetes Res</w:t>
      </w:r>
      <w:r>
        <w:t xml:space="preserve"> </w:t>
      </w:r>
      <w:r>
        <w:t xml:space="preserve">· Effects of Liraglutide Combined with Short-Term Continuous Subcutaneous Insulin Infusion on Glycemic Control and Beta Cell Function in Patients with Newly Diagnosed Type 2 Diabetes Mellitus: A Pilot Study. PMID 26640805</w:t>
      </w:r>
    </w:p>
    <w:p>
      <w:pPr>
        <w:numPr>
          <w:ilvl w:val="0"/>
          <w:numId w:val="1377"/>
        </w:numPr>
        <w:pStyle w:val="Compact"/>
      </w:pPr>
      <w:r>
        <w:t xml:space="preserve">2016 · Armstrong MJ ·</w:t>
      </w:r>
      <w:r>
        <w:t xml:space="preserve"> </w:t>
      </w:r>
      <w:r>
        <w:rPr>
          <w:iCs/>
          <w:i/>
        </w:rPr>
        <w:t xml:space="preserve">Lancet</w:t>
      </w:r>
      <w:r>
        <w:t xml:space="preserve"> </w:t>
      </w:r>
      <w:r>
        <w:t xml:space="preserve">· Liraglutide safety and efficacy in patients with non-alcoholic steatohepatitis (LEAN): a multicentre, double-blind, randomised, placebo-controlled phase 2 study. PMID 26608256</w:t>
      </w:r>
    </w:p>
    <w:p>
      <w:pPr>
        <w:numPr>
          <w:ilvl w:val="0"/>
          <w:numId w:val="1377"/>
        </w:numPr>
        <w:pStyle w:val="Compact"/>
      </w:pPr>
      <w:r>
        <w:t xml:space="preserve">2016 · Gilbert MP ·</w:t>
      </w:r>
      <w:r>
        <w:t xml:space="preserve"> </w:t>
      </w:r>
      <w:r>
        <w:rPr>
          <w:iCs/>
          <w:i/>
        </w:rPr>
        <w:t xml:space="preserve">Endocr Pract</w:t>
      </w:r>
      <w:r>
        <w:t xml:space="preserve"> </w:t>
      </w:r>
      <w:r>
        <w:t xml:space="preserve">· COMPARISON OF THE LONG-TERM EFFECTS OF LIRAGLUTIDE AND GLIMEPIRIDE MONOTHERAPY ON BONE MINERAL DENSITY IN PATIENTS WITH TYPE 2 DIABETES. PMID 26574791</w:t>
      </w:r>
    </w:p>
    <w:p>
      <w:pPr>
        <w:numPr>
          <w:ilvl w:val="0"/>
          <w:numId w:val="1377"/>
        </w:numPr>
        <w:pStyle w:val="Compact"/>
      </w:pPr>
      <w:r>
        <w:t xml:space="preserve">2016 · Chen WR ·</w:t>
      </w:r>
      <w:r>
        <w:t xml:space="preserve"> </w:t>
      </w:r>
      <w:r>
        <w:rPr>
          <w:iCs/>
          <w:i/>
        </w:rPr>
        <w:t xml:space="preserve">Endocrine</w:t>
      </w:r>
      <w:r>
        <w:t xml:space="preserve"> </w:t>
      </w:r>
      <w:r>
        <w:t xml:space="preserve">· Effects of liraglutide on left ventricular function in patients with non-ST-segment elevation myocardial infarction. PMID 26573925</w:t>
      </w:r>
    </w:p>
    <w:p>
      <w:pPr>
        <w:numPr>
          <w:ilvl w:val="0"/>
          <w:numId w:val="1377"/>
        </w:numPr>
        <w:pStyle w:val="Compact"/>
      </w:pPr>
      <w:r>
        <w:t xml:space="preserve">2016 · de Wit HM ·</w:t>
      </w:r>
      <w:r>
        <w:t xml:space="preserve"> </w:t>
      </w:r>
      <w:r>
        <w:rPr>
          <w:iCs/>
          <w:i/>
        </w:rPr>
        <w:t xml:space="preserve">J Intern Med</w:t>
      </w:r>
      <w:r>
        <w:t xml:space="preserve"> </w:t>
      </w:r>
      <w:r>
        <w:t xml:space="preserve">· Durable efficacy of liraglutide in patients with type 2 diabetes and pronounced insulin-associated weight gain: 52-week results from the Effect of Liraglutide on insulin-associated wEight GAiN in patients with Type 2 diabetes’ (ELEGANT) randomized controlled trial. PMID 26553486</w:t>
      </w:r>
    </w:p>
    <w:p>
      <w:pPr>
        <w:numPr>
          <w:ilvl w:val="0"/>
          <w:numId w:val="1377"/>
        </w:numPr>
        <w:pStyle w:val="Compact"/>
      </w:pPr>
      <w:r>
        <w:t xml:space="preserve">2016 · Armstrong MJ ·</w:t>
      </w:r>
      <w:r>
        <w:t xml:space="preserve"> </w:t>
      </w:r>
      <w:r>
        <w:rPr>
          <w:iCs/>
          <w:i/>
        </w:rPr>
        <w:t xml:space="preserve">J Hepatol</w:t>
      </w:r>
      <w:r>
        <w:t xml:space="preserve"> </w:t>
      </w:r>
      <w:r>
        <w:t xml:space="preserve">· Glucagon-like peptide 1 decreases lipotoxicity in non-alcoholic steatohepatitis. PMID 26394161</w:t>
      </w:r>
    </w:p>
    <w:p>
      <w:pPr>
        <w:numPr>
          <w:ilvl w:val="0"/>
          <w:numId w:val="1377"/>
        </w:numPr>
        <w:pStyle w:val="Compact"/>
      </w:pPr>
      <w:r>
        <w:t xml:space="preserve">2016 · Nauck MA ·</w:t>
      </w:r>
      <w:r>
        <w:t xml:space="preserve"> </w:t>
      </w:r>
      <w:r>
        <w:rPr>
          <w:iCs/>
          <w:i/>
        </w:rPr>
        <w:t xml:space="preserve">Diabetes Care</w:t>
      </w:r>
      <w:r>
        <w:t xml:space="preserve"> </w:t>
      </w:r>
      <w:r>
        <w:t xml:space="preserve">· A Phase 2, Randomized, Dose-Finding Study of the Novel Once-Weekly Human GLP-1 Analog, Semaglutide, Compared With Placebo and Open-Label Liraglutide in Patients With Type 2 Diabetes. PMID 26358288</w:t>
      </w:r>
    </w:p>
    <w:p>
      <w:pPr>
        <w:numPr>
          <w:ilvl w:val="0"/>
          <w:numId w:val="1377"/>
        </w:numPr>
        <w:pStyle w:val="Compact"/>
      </w:pPr>
      <w:r>
        <w:t xml:space="preserve">2016 · Idorn T ·</w:t>
      </w:r>
      <w:r>
        <w:t xml:space="preserve"> </w:t>
      </w:r>
      <w:r>
        <w:rPr>
          <w:iCs/>
          <w:i/>
        </w:rPr>
        <w:t xml:space="preserve">Diabetes Care</w:t>
      </w:r>
      <w:r>
        <w:t xml:space="preserve"> </w:t>
      </w:r>
      <w:r>
        <w:t xml:space="preserve">· Safety and Efficacy of Liraglutide in Patients With Type 2 Diabetes and End-Stage Renal Disease: An Investigator-Initiated, Placebo-Controlled, Double-Blind, Parallel-Group, Randomized Trial. PMID 26283739</w:t>
      </w:r>
    </w:p>
    <w:p>
      <w:pPr>
        <w:numPr>
          <w:ilvl w:val="0"/>
          <w:numId w:val="1377"/>
        </w:numPr>
        <w:pStyle w:val="Compact"/>
      </w:pPr>
      <w:r>
        <w:t xml:space="preserve">2016 · Ten Kulve JS ·</w:t>
      </w:r>
      <w:r>
        <w:t xml:space="preserve"> </w:t>
      </w:r>
      <w:r>
        <w:rPr>
          <w:iCs/>
          <w:i/>
        </w:rPr>
        <w:t xml:space="preserve">Diabetes Care</w:t>
      </w:r>
      <w:r>
        <w:t xml:space="preserve"> </w:t>
      </w:r>
      <w:r>
        <w:t xml:space="preserve">· Liraglutide Reduces CNS Activation in Response to Visual Food Cues Only After Short-term Treatment in Patients With Type 2 Diabetes. PMID 26283736</w:t>
      </w:r>
    </w:p>
    <w:p>
      <w:pPr>
        <w:numPr>
          <w:ilvl w:val="0"/>
          <w:numId w:val="1377"/>
        </w:numPr>
        <w:pStyle w:val="Compact"/>
      </w:pPr>
      <w:r>
        <w:t xml:space="preserve">2015 · Smits MM ·</w:t>
      </w:r>
      <w:r>
        <w:t xml:space="preserve"> </w:t>
      </w:r>
      <w:r>
        <w:rPr>
          <w:iCs/>
          <w:i/>
        </w:rPr>
        <w:t xml:space="preserve">BMJ Open</w:t>
      </w:r>
      <w:r>
        <w:t xml:space="preserve"> </w:t>
      </w:r>
      <w:r>
        <w:t xml:space="preserve">· Cardiovascular, renal and gastrointestinal effects of incretin-based therapies: an acute and 12-week randomised, double-blind, placebo-controlled, mechanistic intervention trial in type 2 diabetes. PMID 26586327</w:t>
      </w:r>
    </w:p>
    <w:p>
      <w:pPr>
        <w:numPr>
          <w:ilvl w:val="0"/>
          <w:numId w:val="1377"/>
        </w:numPr>
        <w:pStyle w:val="Compact"/>
      </w:pPr>
      <w:r>
        <w:t xml:space="preserve">2015 · Chen WR ·</w:t>
      </w:r>
      <w:r>
        <w:t xml:space="preserve"> </w:t>
      </w:r>
      <w:r>
        <w:rPr>
          <w:iCs/>
          <w:i/>
        </w:rPr>
        <w:t xml:space="preserve">Am Heart J</w:t>
      </w:r>
      <w:r>
        <w:t xml:space="preserve"> </w:t>
      </w:r>
      <w:r>
        <w:t xml:space="preserve">· Effects of liraglutide on left ventricular function in patients with ST-segment elevation myocardial infarction undergoing primary percutaneous coronary intervention. PMID 26542491</w:t>
      </w:r>
    </w:p>
    <w:p>
      <w:pPr>
        <w:numPr>
          <w:ilvl w:val="0"/>
          <w:numId w:val="1377"/>
        </w:numPr>
        <w:pStyle w:val="Compact"/>
      </w:pPr>
      <w:r>
        <w:t xml:space="preserve">2015 · Lind M ·</w:t>
      </w:r>
      <w:r>
        <w:t xml:space="preserve"> </w:t>
      </w:r>
      <w:r>
        <w:rPr>
          <w:iCs/>
          <w:i/>
        </w:rPr>
        <w:t xml:space="preserve">BMJ</w:t>
      </w:r>
      <w:r>
        <w:t xml:space="preserve"> </w:t>
      </w:r>
      <w:r>
        <w:t xml:space="preserve">· Liraglutide in people treated for type 2 diabetes with multiple daily insulin injections: randomised clinical trial (MDI Liraglutide trial). PMID 26512041</w:t>
      </w:r>
    </w:p>
    <w:p>
      <w:pPr>
        <w:numPr>
          <w:ilvl w:val="0"/>
          <w:numId w:val="1377"/>
        </w:numPr>
        <w:pStyle w:val="Compact"/>
      </w:pPr>
      <w:r>
        <w:t xml:space="preserve">2015 · Frandsen CS ·</w:t>
      </w:r>
      <w:r>
        <w:t xml:space="preserve"> </w:t>
      </w:r>
      <w:r>
        <w:rPr>
          <w:iCs/>
          <w:i/>
        </w:rPr>
        <w:t xml:space="preserve">Diabetes Care</w:t>
      </w:r>
      <w:r>
        <w:t xml:space="preserve"> </w:t>
      </w:r>
      <w:r>
        <w:t xml:space="preserve">· Twelve-Week Treatment With Liraglutide as Add-on to Insulin in Normal-Weight Patients With Poorly Controlled Type 1 Diabetes: A Randomized, Placebo-Controlled, Double-Blind Parallel Study. PMID 26486191</w:t>
      </w:r>
    </w:p>
    <w:p>
      <w:pPr>
        <w:numPr>
          <w:ilvl w:val="0"/>
          <w:numId w:val="1377"/>
        </w:numPr>
        <w:pStyle w:val="Compact"/>
      </w:pPr>
      <w:r>
        <w:t xml:space="preserve">2015 · Holst JJ ·</w:t>
      </w:r>
      <w:r>
        <w:t xml:space="preserve"> </w:t>
      </w:r>
      <w:r>
        <w:rPr>
          <w:iCs/>
          <w:i/>
        </w:rPr>
        <w:t xml:space="preserve">J Diabetes Sci Technol</w:t>
      </w:r>
      <w:r>
        <w:t xml:space="preserve"> </w:t>
      </w:r>
      <w:r>
        <w:t xml:space="preserve">· IDegLira Improves Both Fasting and Postprandial Glucose Control as Demonstrated Using Continuous Glucose Monitoring and a Standardized Meal Test. PMID 26443290</w:t>
      </w:r>
    </w:p>
    <w:p>
      <w:pPr>
        <w:numPr>
          <w:ilvl w:val="0"/>
          <w:numId w:val="1377"/>
        </w:numPr>
        <w:pStyle w:val="Compact"/>
      </w:pPr>
      <w:r>
        <w:t xml:space="preserve">2015 · Malm-Erjefält M ·</w:t>
      </w:r>
      <w:r>
        <w:t xml:space="preserve"> </w:t>
      </w:r>
      <w:r>
        <w:rPr>
          <w:iCs/>
          <w:i/>
        </w:rPr>
        <w:t xml:space="preserve">Mol Pharm</w:t>
      </w:r>
      <w:r>
        <w:t xml:space="preserve"> </w:t>
      </w:r>
      <w:r>
        <w:t xml:space="preserve">· Effect on the Gastrointestinal Absorption of Drugs from Different Classes in the Biopharmaceutics Classification System, When Treating with Liraglutide. PMID 26426736</w:t>
      </w:r>
    </w:p>
    <w:p>
      <w:pPr>
        <w:numPr>
          <w:ilvl w:val="0"/>
          <w:numId w:val="1377"/>
        </w:numPr>
        <w:pStyle w:val="Compact"/>
      </w:pPr>
      <w:r>
        <w:t xml:space="preserve">2015 · Li D ·</w:t>
      </w:r>
      <w:r>
        <w:t xml:space="preserve"> </w:t>
      </w:r>
      <w:r>
        <w:rPr>
          <w:iCs/>
          <w:i/>
        </w:rPr>
        <w:t xml:space="preserve">Diabetes Res Clin Pract</w:t>
      </w:r>
      <w:r>
        <w:t xml:space="preserve"> </w:t>
      </w:r>
      <w:r>
        <w:t xml:space="preserve">· Liraglutide treatment causes upregulation of adiponectin and downregulation of resistin in Chinese type 2 diabetes. PMID 26376464</w:t>
      </w:r>
    </w:p>
    <w:p>
      <w:pPr>
        <w:numPr>
          <w:ilvl w:val="0"/>
          <w:numId w:val="1377"/>
        </w:numPr>
        <w:pStyle w:val="Compact"/>
      </w:pPr>
      <w:r>
        <w:t xml:space="preserve">2015 · Tanaka K ·</w:t>
      </w:r>
      <w:r>
        <w:t xml:space="preserve"> </w:t>
      </w:r>
      <w:r>
        <w:rPr>
          <w:iCs/>
          <w:i/>
        </w:rPr>
        <w:t xml:space="preserve">Clin Drug Investig</w:t>
      </w:r>
      <w:r>
        <w:t xml:space="preserve"> </w:t>
      </w:r>
      <w:r>
        <w:t xml:space="preserve">· Effects of Liraglutide Monotherapy on Beta Cell Function and Pancreatic Enzymes Compared with Metformin in Japanese Overweight/Obese Patients with Type 2 Diabetes Mellitus: A Subpopulation Analysis of the KIND-LM Randomized Trial. PMID 26369653</w:t>
      </w:r>
    </w:p>
    <w:p>
      <w:pPr>
        <w:numPr>
          <w:ilvl w:val="0"/>
          <w:numId w:val="1377"/>
        </w:numPr>
        <w:pStyle w:val="Compact"/>
      </w:pPr>
      <w:r>
        <w:t xml:space="preserve">2015 · Ma Z ·</w:t>
      </w:r>
      <w:r>
        <w:t xml:space="preserve"> </w:t>
      </w:r>
      <w:r>
        <w:rPr>
          <w:iCs/>
          <w:i/>
        </w:rPr>
        <w:t xml:space="preserve">Int J Clin Pharmacol Ther</w:t>
      </w:r>
      <w:r>
        <w:t xml:space="preserve"> </w:t>
      </w:r>
      <w:r>
        <w:t xml:space="preserve">· Effect of liraglutide vs. NPH in combination with metformin on blood glucose fluctuations assessed using continuous glucose monitoring in patients with newly diagnosed type 2 diabetes. PMID 26365337</w:t>
      </w:r>
    </w:p>
    <w:p>
      <w:pPr>
        <w:numPr>
          <w:ilvl w:val="0"/>
          <w:numId w:val="1377"/>
        </w:numPr>
        <w:pStyle w:val="Compact"/>
      </w:pPr>
      <w:r>
        <w:t xml:space="preserve">2015 · Østoft SH ·</w:t>
      </w:r>
      <w:r>
        <w:t xml:space="preserve"> </w:t>
      </w:r>
      <w:r>
        <w:rPr>
          <w:iCs/>
          <w:i/>
        </w:rPr>
        <w:t xml:space="preserve">Dan Med J</w:t>
      </w:r>
      <w:r>
        <w:t xml:space="preserve"> </w:t>
      </w:r>
      <w:r>
        <w:t xml:space="preserve">· Incretin hormones and maturity onset diabetes of the young–pathophysiological implications and anti-diabetic treatment potential. PMID 26324089</w:t>
      </w:r>
    </w:p>
    <w:p>
      <w:pPr>
        <w:numPr>
          <w:ilvl w:val="0"/>
          <w:numId w:val="1377"/>
        </w:numPr>
        <w:pStyle w:val="Compact"/>
      </w:pPr>
      <w:r>
        <w:t xml:space="preserve">2015 · Nomoto H ·</w:t>
      </w:r>
      <w:r>
        <w:t xml:space="preserve"> </w:t>
      </w:r>
      <w:r>
        <w:rPr>
          <w:iCs/>
          <w:i/>
        </w:rPr>
        <w:t xml:space="preserve">PLoS One</w:t>
      </w:r>
      <w:r>
        <w:t xml:space="preserve"> </w:t>
      </w:r>
      <w:r>
        <w:t xml:space="preserve">· A Comparison of the Effects of the GLP-1 Analogue Liraglutide and Insulin Glargine on Endothelial Function and Metabolic Parameters: A Randomized, Controlled Trial Sapporo Athero-Incretin Study 2 (SAIS2). PMID 26284918</w:t>
      </w:r>
    </w:p>
    <w:p>
      <w:pPr>
        <w:numPr>
          <w:ilvl w:val="0"/>
          <w:numId w:val="1377"/>
        </w:numPr>
        <w:pStyle w:val="Compact"/>
      </w:pPr>
      <w:r>
        <w:t xml:space="preserve">2015 · Davies MJ ·</w:t>
      </w:r>
      <w:r>
        <w:t xml:space="preserve"> </w:t>
      </w:r>
      <w:r>
        <w:rPr>
          <w:iCs/>
          <w:i/>
        </w:rPr>
        <w:t xml:space="preserve">JAMA</w:t>
      </w:r>
      <w:r>
        <w:t xml:space="preserve"> </w:t>
      </w:r>
      <w:r>
        <w:t xml:space="preserve">· Efficacy of Liraglutide for Weight Loss Among Patients With Type 2 Diabetes: The SCALE Diabetes Randomized Clinical Trial. PMID 26284720</w:t>
      </w:r>
    </w:p>
    <w:p>
      <w:pPr>
        <w:numPr>
          <w:ilvl w:val="0"/>
          <w:numId w:val="1377"/>
        </w:numPr>
        <w:pStyle w:val="Compact"/>
      </w:pPr>
      <w:r>
        <w:t xml:space="preserve">2015 · Yan L ·</w:t>
      </w:r>
      <w:r>
        <w:t xml:space="preserve"> </w:t>
      </w:r>
      <w:r>
        <w:rPr>
          <w:iCs/>
          <w:i/>
        </w:rPr>
        <w:t xml:space="preserve">Zhonghua Nei Ke Za Zhi</w:t>
      </w:r>
      <w:r>
        <w:t xml:space="preserve"> </w:t>
      </w:r>
      <w:r>
        <w:t xml:space="preserve">· [The efficacy and safety of human glucagon-like peptide-1 analogue liraglutide in newly diagnosed type 2 diabetes with glycosylated hemoglobin A1c &gt; 9]. PMID 26268058</w:t>
      </w:r>
    </w:p>
    <w:p>
      <w:pPr>
        <w:numPr>
          <w:ilvl w:val="0"/>
          <w:numId w:val="1377"/>
        </w:numPr>
        <w:pStyle w:val="Compact"/>
      </w:pPr>
      <w:r>
        <w:t xml:space="preserve">2015 · Kramer CK ·</w:t>
      </w:r>
      <w:r>
        <w:t xml:space="preserve"> </w:t>
      </w:r>
      <w:r>
        <w:rPr>
          <w:iCs/>
          <w:i/>
        </w:rPr>
        <w:t xml:space="preserve">J Clin Endocrinol Metab</w:t>
      </w:r>
      <w:r>
        <w:t xml:space="preserve"> </w:t>
      </w:r>
      <w:r>
        <w:t xml:space="preserve">· The Impact of Chronic Liraglutide Therapy on Glucagon Secretion in Type 2 Diabetes: Insight From the LIBRA Trial. PMID 26230296</w:t>
      </w:r>
    </w:p>
    <w:p>
      <w:pPr>
        <w:numPr>
          <w:ilvl w:val="0"/>
          <w:numId w:val="1377"/>
        </w:numPr>
        <w:pStyle w:val="Compact"/>
      </w:pPr>
      <w:r>
        <w:t xml:space="preserve">2015 · Rizvi AA ·</w:t>
      </w:r>
      <w:r>
        <w:t xml:space="preserve"> </w:t>
      </w:r>
      <w:r>
        <w:rPr>
          <w:iCs/>
          <w:i/>
        </w:rPr>
        <w:t xml:space="preserve">Expert Opin Biol Ther</w:t>
      </w:r>
      <w:r>
        <w:t xml:space="preserve"> </w:t>
      </w:r>
      <w:r>
        <w:t xml:space="preserve">· Liraglutide improves carotid intima-media thickness in patients with type 2 diabetes and non-alcoholic fatty liver disease: an 8-month prospective pilot study. PMID 26195184</w:t>
      </w:r>
    </w:p>
    <w:p>
      <w:pPr>
        <w:numPr>
          <w:ilvl w:val="0"/>
          <w:numId w:val="1377"/>
        </w:numPr>
        <w:pStyle w:val="Compact"/>
      </w:pPr>
      <w:r>
        <w:t xml:space="preserve">2015 · Fujioka K ·</w:t>
      </w:r>
      <w:r>
        <w:t xml:space="preserve"> </w:t>
      </w:r>
      <w:r>
        <w:rPr>
          <w:iCs/>
          <w:i/>
        </w:rPr>
        <w:t xml:space="preserve">J Diabetes Sci Technol</w:t>
      </w:r>
      <w:r>
        <w:t xml:space="preserve"> </w:t>
      </w:r>
      <w:r>
        <w:t xml:space="preserve">· Usability of the Novel Liraglutide 3.0 mg Pen Injector Among Overweight or Obese Adult Patients With or Without Prior Injection Experience. PMID 26183599</w:t>
      </w:r>
    </w:p>
    <w:p>
      <w:pPr>
        <w:numPr>
          <w:ilvl w:val="0"/>
          <w:numId w:val="1377"/>
        </w:numPr>
        <w:pStyle w:val="Compact"/>
      </w:pPr>
      <w:r>
        <w:t xml:space="preserve">2015 · Ahmann A ·</w:t>
      </w:r>
      <w:r>
        <w:t xml:space="preserve"> </w:t>
      </w:r>
      <w:r>
        <w:rPr>
          <w:iCs/>
          <w:i/>
        </w:rPr>
        <w:t xml:space="preserve">Diabetes Obes Metab</w:t>
      </w:r>
      <w:r>
        <w:t xml:space="preserve"> </w:t>
      </w:r>
      <w:r>
        <w:t xml:space="preserve">· Efficacy and safety of liraglutide versus placebo added to basal insulin analogues (with or without metformin) in patients with type 2 diabetes: a randomized, placebo-controlled trial. PMID 26179619</w:t>
      </w:r>
    </w:p>
    <w:p>
      <w:pPr>
        <w:numPr>
          <w:ilvl w:val="0"/>
          <w:numId w:val="1377"/>
        </w:numPr>
        <w:pStyle w:val="Compact"/>
      </w:pPr>
      <w:r>
        <w:t xml:space="preserve">2015 · Miyagawa J ·</w:t>
      </w:r>
      <w:r>
        <w:t xml:space="preserve"> </w:t>
      </w:r>
      <w:r>
        <w:rPr>
          <w:iCs/>
          <w:i/>
        </w:rPr>
        <w:t xml:space="preserve">Diabetes Obes Metab</w:t>
      </w:r>
      <w:r>
        <w:t xml:space="preserve"> </w:t>
      </w:r>
      <w:r>
        <w:t xml:space="preserve">· Once-weekly glucagon-like peptide-1 receptor agonist dulaglutide is non-inferior to once-daily liraglutide and superior to placebo in Japanese patients with type 2 diabetes: a 26-week randomized phase III study. PMID 26179187</w:t>
      </w:r>
    </w:p>
    <w:p>
      <w:pPr>
        <w:numPr>
          <w:ilvl w:val="0"/>
          <w:numId w:val="1377"/>
        </w:numPr>
        <w:pStyle w:val="Compact"/>
      </w:pPr>
      <w:r>
        <w:t xml:space="preserve">2015 · Pi-Sunyer X ·</w:t>
      </w:r>
      <w:r>
        <w:t xml:space="preserve"> </w:t>
      </w:r>
      <w:r>
        <w:rPr>
          <w:iCs/>
          <w:i/>
        </w:rPr>
        <w:t xml:space="preserve">N Engl J Med</w:t>
      </w:r>
      <w:r>
        <w:t xml:space="preserve"> </w:t>
      </w:r>
      <w:r>
        <w:t xml:space="preserve">· A Randomized, Controlled Trial of 3.0 mg of Liraglutide in Weight Management. PMID 26132939</w:t>
      </w:r>
    </w:p>
    <w:p>
      <w:pPr>
        <w:numPr>
          <w:ilvl w:val="0"/>
          <w:numId w:val="1377"/>
        </w:numPr>
        <w:pStyle w:val="Compact"/>
      </w:pPr>
      <w:r>
        <w:t xml:space="preserve">2015 · Iepsen EW ·</w:t>
      </w:r>
      <w:r>
        <w:t xml:space="preserve"> </w:t>
      </w:r>
      <w:r>
        <w:rPr>
          <w:iCs/>
          <w:i/>
        </w:rPr>
        <w:t xml:space="preserve">J Clin Endocrinol Metab</w:t>
      </w:r>
      <w:r>
        <w:t xml:space="preserve"> </w:t>
      </w:r>
      <w:r>
        <w:t xml:space="preserve">· GLP-1 Receptor Agonist Treatment Increases Bone Formation and Prevents Bone Loss in Weight-Reduced Obese Women. PMID 26043228</w:t>
      </w:r>
    </w:p>
    <w:p>
      <w:pPr>
        <w:numPr>
          <w:ilvl w:val="0"/>
          <w:numId w:val="1377"/>
        </w:numPr>
        <w:pStyle w:val="Compact"/>
      </w:pPr>
      <w:r>
        <w:t xml:space="preserve">2015 · Jensterle M ·</w:t>
      </w:r>
      <w:r>
        <w:t xml:space="preserve"> </w:t>
      </w:r>
      <w:r>
        <w:rPr>
          <w:iCs/>
          <w:i/>
        </w:rPr>
        <w:t xml:space="preserve">J Ovarian Res</w:t>
      </w:r>
      <w:r>
        <w:t xml:space="preserve"> </w:t>
      </w:r>
      <w:r>
        <w:t xml:space="preserve">· Short term monotherapy with GLP-1 receptor agonist liraglutide or PDE 4 inhibitor roflumilast is superior to metformin in weight loss in obese PCOS women: a pilot randomized study. PMID 26032655</w:t>
      </w:r>
    </w:p>
    <w:p>
      <w:pPr>
        <w:numPr>
          <w:ilvl w:val="0"/>
          <w:numId w:val="1377"/>
        </w:numPr>
        <w:pStyle w:val="Compact"/>
      </w:pPr>
      <w:r>
        <w:t xml:space="preserve">2015 · Kapitza C ·</w:t>
      </w:r>
      <w:r>
        <w:t xml:space="preserve"> </w:t>
      </w:r>
      <w:r>
        <w:rPr>
          <w:iCs/>
          <w:i/>
        </w:rPr>
        <w:t xml:space="preserve">J Clin Pharmacol</w:t>
      </w:r>
      <w:r>
        <w:t xml:space="preserve"> </w:t>
      </w:r>
      <w:r>
        <w:t xml:space="preserve">· Preserved pharmacokinetic exposure and distinct glycemic effects of insulin degludec and liraglutide in IDegLira, a fixed-ratio combination therapy. PMID 25998481</w:t>
      </w:r>
    </w:p>
    <w:p>
      <w:pPr>
        <w:numPr>
          <w:ilvl w:val="0"/>
          <w:numId w:val="1377"/>
        </w:numPr>
        <w:pStyle w:val="Compact"/>
      </w:pPr>
      <w:r>
        <w:t xml:space="preserve">2015 · Jensterle M ·</w:t>
      </w:r>
      <w:r>
        <w:t xml:space="preserve"> </w:t>
      </w:r>
      <w:r>
        <w:rPr>
          <w:iCs/>
          <w:i/>
        </w:rPr>
        <w:t xml:space="preserve">Eur J Clin Pharmacol</w:t>
      </w:r>
      <w:r>
        <w:t xml:space="preserve"> </w:t>
      </w:r>
      <w:r>
        <w:t xml:space="preserve">· Genetic variability in GLP-1 receptor is associated with inter-individual differences in weight lowering potential of liraglutide in obese women with PCOS: a pilot study. PMID 25991051</w:t>
      </w:r>
    </w:p>
    <w:p>
      <w:pPr>
        <w:numPr>
          <w:ilvl w:val="0"/>
          <w:numId w:val="1377"/>
        </w:numPr>
        <w:pStyle w:val="Compact"/>
      </w:pPr>
      <w:r>
        <w:t xml:space="preserve">2015 · Gough SC ·</w:t>
      </w:r>
      <w:r>
        <w:t xml:space="preserve"> </w:t>
      </w:r>
      <w:r>
        <w:rPr>
          <w:iCs/>
          <w:i/>
        </w:rPr>
        <w:t xml:space="preserve">Diabetes Obes Metab</w:t>
      </w:r>
      <w:r>
        <w:t xml:space="preserve"> </w:t>
      </w:r>
      <w:r>
        <w:t xml:space="preserve">· One-year efficacy and safety of a fixed combination of insulin degludec and liraglutide in patients with type 2 diabetes: results of a 26-week extension to a 26-week main trial. PMID 25980900</w:t>
      </w:r>
    </w:p>
    <w:p>
      <w:pPr>
        <w:numPr>
          <w:ilvl w:val="0"/>
          <w:numId w:val="1377"/>
        </w:numPr>
        <w:pStyle w:val="Compact"/>
      </w:pPr>
      <w:r>
        <w:t xml:space="preserve">2015 · von Scholten BJ ·</w:t>
      </w:r>
      <w:r>
        <w:t xml:space="preserve"> </w:t>
      </w:r>
      <w:r>
        <w:rPr>
          <w:iCs/>
          <w:i/>
        </w:rPr>
        <w:t xml:space="preserve">J Diabetes Complications</w:t>
      </w:r>
      <w:r>
        <w:t xml:space="preserve"> </w:t>
      </w:r>
      <w:r>
        <w:t xml:space="preserve">· Glucagon-like peptide 1 receptor agonist (GLP-1 RA): long-term effect on kidney function in patients with type 2 diabetes. PMID 25935863</w:t>
      </w:r>
    </w:p>
    <w:p>
      <w:pPr>
        <w:numPr>
          <w:ilvl w:val="0"/>
          <w:numId w:val="1377"/>
        </w:numPr>
        <w:pStyle w:val="Compact"/>
      </w:pPr>
      <w:r>
        <w:t xml:space="preserve">2015 · Faber R ·</w:t>
      </w:r>
      <w:r>
        <w:t xml:space="preserve"> </w:t>
      </w:r>
      <w:r>
        <w:rPr>
          <w:iCs/>
          <w:i/>
        </w:rPr>
        <w:t xml:space="preserve">Cardiovasc Diabetol</w:t>
      </w:r>
      <w:r>
        <w:t xml:space="preserve"> </w:t>
      </w:r>
      <w:r>
        <w:t xml:space="preserve">· Effect of the glucagon-like peptide-1 analogue liraglutide on coronary microvascular function in patients with type 2 diabetes - a randomized, single-blinded, cross-over pilot study. PMID 25896352</w:t>
      </w:r>
    </w:p>
    <w:p>
      <w:pPr>
        <w:numPr>
          <w:ilvl w:val="0"/>
          <w:numId w:val="1377"/>
        </w:numPr>
        <w:pStyle w:val="Compact"/>
      </w:pPr>
      <w:r>
        <w:t xml:space="preserve">2015 · Meier JJ ·</w:t>
      </w:r>
      <w:r>
        <w:t xml:space="preserve"> </w:t>
      </w:r>
      <w:r>
        <w:rPr>
          <w:iCs/>
          <w:i/>
        </w:rPr>
        <w:t xml:space="preserve">Diabetes Care</w:t>
      </w:r>
      <w:r>
        <w:t xml:space="preserve"> </w:t>
      </w:r>
      <w:r>
        <w:t xml:space="preserve">· Contrasting Effects of Lixisenatide and Liraglutide on Postprandial Glycemic Control, Gastric Emptying, and Safety Parameters in Patients With Type 2 Diabetes on Optimized Insulin Glargine With or Without Metformin: A Randomized, Open-Label Trial. PMID 25887358</w:t>
      </w:r>
    </w:p>
    <w:p>
      <w:pPr>
        <w:numPr>
          <w:ilvl w:val="0"/>
          <w:numId w:val="1377"/>
        </w:numPr>
        <w:pStyle w:val="Compact"/>
      </w:pPr>
      <w:r>
        <w:t xml:space="preserve">2015 · Jensterle M ·</w:t>
      </w:r>
      <w:r>
        <w:t xml:space="preserve"> </w:t>
      </w:r>
      <w:r>
        <w:rPr>
          <w:iCs/>
          <w:i/>
        </w:rPr>
        <w:t xml:space="preserve">Hormones (Athens)</w:t>
      </w:r>
      <w:r>
        <w:t xml:space="preserve"> </w:t>
      </w:r>
      <w:r>
        <w:t xml:space="preserve">· A 12-week treatment with the long-acting glucagon-like peptide 1 receptor agonist liraglutide leads to significant weight loss in a subset of obese women with newly diagnosed polycystic ovary syndrome. PMID 25885106</w:t>
      </w:r>
    </w:p>
    <w:p>
      <w:pPr>
        <w:numPr>
          <w:ilvl w:val="0"/>
          <w:numId w:val="1377"/>
        </w:numPr>
        <w:pStyle w:val="Compact"/>
      </w:pPr>
      <w:r>
        <w:t xml:space="preserve">2015 · Kahal H ·</w:t>
      </w:r>
      <w:r>
        <w:t xml:space="preserve"> </w:t>
      </w:r>
      <w:r>
        <w:rPr>
          <w:iCs/>
          <w:i/>
        </w:rPr>
        <w:t xml:space="preserve">BMC Endocr Disord</w:t>
      </w:r>
      <w:r>
        <w:t xml:space="preserve"> </w:t>
      </w:r>
      <w:r>
        <w:t xml:space="preserve">· The effects of treatment with liraglutide on atherothrombotic risk in obese young women with polycystic ovary syndrome and controls. PMID 25880805</w:t>
      </w:r>
    </w:p>
    <w:p>
      <w:pPr>
        <w:numPr>
          <w:ilvl w:val="0"/>
          <w:numId w:val="1377"/>
        </w:numPr>
        <w:pStyle w:val="Compact"/>
      </w:pPr>
      <w:r>
        <w:t xml:space="preserve">2015 · Robert SA ·</w:t>
      </w:r>
      <w:r>
        <w:t xml:space="preserve"> </w:t>
      </w:r>
      <w:r>
        <w:rPr>
          <w:iCs/>
          <w:i/>
        </w:rPr>
        <w:t xml:space="preserve">Obes Res Clin Pract</w:t>
      </w:r>
      <w:r>
        <w:t xml:space="preserve"> </w:t>
      </w:r>
      <w:r>
        <w:t xml:space="preserve">· Improvement in binge eating in non-diabetic obese individuals after 3 months of treatment with liraglutide - A pilot study. PMID 25870084</w:t>
      </w:r>
    </w:p>
    <w:p>
      <w:pPr>
        <w:numPr>
          <w:ilvl w:val="0"/>
          <w:numId w:val="1377"/>
        </w:numPr>
        <w:pStyle w:val="Compact"/>
      </w:pPr>
      <w:r>
        <w:t xml:space="preserve">2015 · Pieber TR ·</w:t>
      </w:r>
      <w:r>
        <w:t xml:space="preserve"> </w:t>
      </w:r>
      <w:r>
        <w:rPr>
          <w:iCs/>
          <w:i/>
        </w:rPr>
        <w:t xml:space="preserve">Diabetes Obes Metab</w:t>
      </w:r>
      <w:r>
        <w:t xml:space="preserve"> </w:t>
      </w:r>
      <w:r>
        <w:t xml:space="preserve">· Counter-regulatory hormone responses to hypoglycaemia in people with type 1 diabetes after 4 weeks of treatment with liraglutide adjunct to insulin: a randomized, placebo-controlled, double-blind, crossover trial. PMID 25855340</w:t>
      </w:r>
    </w:p>
    <w:p>
      <w:pPr>
        <w:numPr>
          <w:ilvl w:val="0"/>
          <w:numId w:val="1377"/>
        </w:numPr>
        <w:pStyle w:val="Compact"/>
      </w:pPr>
      <w:r>
        <w:t xml:space="preserve">2015 · Myat A ·</w:t>
      </w:r>
      <w:r>
        <w:t xml:space="preserve"> </w:t>
      </w:r>
      <w:r>
        <w:rPr>
          <w:iCs/>
          <w:i/>
        </w:rPr>
        <w:t xml:space="preserve">Cardiovasc Diabetol</w:t>
      </w:r>
      <w:r>
        <w:t xml:space="preserve"> </w:t>
      </w:r>
      <w:r>
        <w:t xml:space="preserve">· Design and rationale for the randomised, double-blinded, placebo-controlled Liraglutide to Improve corONary haemodynamics during Exercise streSS (LIONESS) crossover study. PMID 25848859</w:t>
      </w:r>
    </w:p>
    <w:p>
      <w:pPr>
        <w:numPr>
          <w:ilvl w:val="0"/>
          <w:numId w:val="1377"/>
        </w:numPr>
        <w:pStyle w:val="Compact"/>
      </w:pPr>
      <w:r>
        <w:t xml:space="preserve">2015 · Dejgaard TF ·</w:t>
      </w:r>
      <w:r>
        <w:t xml:space="preserve"> </w:t>
      </w:r>
      <w:r>
        <w:rPr>
          <w:iCs/>
          <w:i/>
        </w:rPr>
        <w:t xml:space="preserve">BMJ Open</w:t>
      </w:r>
      <w:r>
        <w:t xml:space="preserve"> </w:t>
      </w:r>
      <w:r>
        <w:t xml:space="preserve">· Efficacy and safety of the glucagon-like peptide-1 receptor agonist liraglutide added to insulin therapy in poorly regulated patients with type 1 diabetes–a protocol for a randomised, double-blind, placebo-controlled study: the Lira-1 study. PMID 25838513</w:t>
      </w:r>
    </w:p>
    <w:p>
      <w:pPr>
        <w:numPr>
          <w:ilvl w:val="0"/>
          <w:numId w:val="1377"/>
        </w:numPr>
        <w:pStyle w:val="Compact"/>
      </w:pPr>
      <w:r>
        <w:t xml:space="preserve">2015 · de Luis DA ·</w:t>
      </w:r>
      <w:r>
        <w:t xml:space="preserve"> </w:t>
      </w:r>
      <w:r>
        <w:rPr>
          <w:iCs/>
          <w:i/>
        </w:rPr>
        <w:t xml:space="preserve">J Diabetes Complications</w:t>
      </w:r>
      <w:r>
        <w:t xml:space="preserve"> </w:t>
      </w:r>
      <w:r>
        <w:t xml:space="preserve">· Evaluation of weight loss and metabolic changes in diabetic patients treated with liraglutide, effect of RS 6923761 gene variant of glucagon-like peptide 1 receptor. PMID 25825013</w:t>
      </w:r>
    </w:p>
    <w:p>
      <w:pPr>
        <w:numPr>
          <w:ilvl w:val="0"/>
          <w:numId w:val="1377"/>
        </w:numPr>
        <w:pStyle w:val="Compact"/>
      </w:pPr>
      <w:r>
        <w:t xml:space="preserve">2015 · Tang A ·</w:t>
      </w:r>
      <w:r>
        <w:t xml:space="preserve"> </w:t>
      </w:r>
      <w:r>
        <w:rPr>
          <w:iCs/>
          <w:i/>
        </w:rPr>
        <w:t xml:space="preserve">Diabetes Care</w:t>
      </w:r>
      <w:r>
        <w:t xml:space="preserve"> </w:t>
      </w:r>
      <w:r>
        <w:t xml:space="preserve">· Effects of Insulin Glargine and Liraglutide Therapy on Liver Fat as Measured by Magnetic Resonance in Patients With Type 2 Diabetes: A Randomized Trial. PMID 25813773</w:t>
      </w:r>
    </w:p>
    <w:p>
      <w:pPr>
        <w:numPr>
          <w:ilvl w:val="0"/>
          <w:numId w:val="1377"/>
        </w:numPr>
        <w:pStyle w:val="Compact"/>
      </w:pPr>
      <w:r>
        <w:t xml:space="preserve">2015 · Tanaka K ·</w:t>
      </w:r>
      <w:r>
        <w:t xml:space="preserve"> </w:t>
      </w:r>
      <w:r>
        <w:rPr>
          <w:iCs/>
          <w:i/>
        </w:rPr>
        <w:t xml:space="preserve">Endocr J</w:t>
      </w:r>
      <w:r>
        <w:t xml:space="preserve"> </w:t>
      </w:r>
      <w:r>
        <w:t xml:space="preserve">· Efficacy and safety of liraglutide monotherapy compared with metformin in Japanese overweight/obese patients with type 2 diabetes. PMID 25739726</w:t>
      </w:r>
    </w:p>
    <w:p>
      <w:pPr>
        <w:numPr>
          <w:ilvl w:val="0"/>
          <w:numId w:val="1377"/>
        </w:numPr>
        <w:pStyle w:val="Compact"/>
      </w:pPr>
      <w:r>
        <w:t xml:space="preserve">2015 · Ingwersen SH ·</w:t>
      </w:r>
      <w:r>
        <w:t xml:space="preserve"> </w:t>
      </w:r>
      <w:r>
        <w:rPr>
          <w:iCs/>
          <w:i/>
        </w:rPr>
        <w:t xml:space="preserve">Diabetes Res Clin Pract</w:t>
      </w:r>
      <w:r>
        <w:t xml:space="preserve"> </w:t>
      </w:r>
      <w:r>
        <w:t xml:space="preserve">· Liraglutide pharmacokinetics and dose-exposure response in Asian subjects with Type 2 diabetes from China, India and South Korea. PMID 25684604</w:t>
      </w:r>
    </w:p>
    <w:p>
      <w:pPr>
        <w:numPr>
          <w:ilvl w:val="0"/>
          <w:numId w:val="1377"/>
        </w:numPr>
        <w:pStyle w:val="Compact"/>
      </w:pPr>
      <w:r>
        <w:t xml:space="preserve">2015 · Inoue Y ·</w:t>
      </w:r>
      <w:r>
        <w:t xml:space="preserve"> </w:t>
      </w:r>
      <w:r>
        <w:rPr>
          <w:iCs/>
          <w:i/>
        </w:rPr>
        <w:t xml:space="preserve">J Clin Pharmacol</w:t>
      </w:r>
      <w:r>
        <w:t xml:space="preserve"> </w:t>
      </w:r>
      <w:r>
        <w:t xml:space="preserve">· A randomized controlled trial of liraglutide versus insulin detemir plus sitagliptin: Effective switch from intensive insulin therapy to the once-daily injection in patients with well-controlled type 2 diabetes. PMID 25677642</w:t>
      </w:r>
    </w:p>
    <w:p>
      <w:pPr>
        <w:numPr>
          <w:ilvl w:val="0"/>
          <w:numId w:val="1377"/>
        </w:numPr>
        <w:pStyle w:val="Compact"/>
      </w:pPr>
      <w:r>
        <w:t xml:space="preserve">2015 · Daniels GH ·</w:t>
      </w:r>
      <w:r>
        <w:t xml:space="preserve"> </w:t>
      </w:r>
      <w:r>
        <w:rPr>
          <w:iCs/>
          <w:i/>
        </w:rPr>
        <w:t xml:space="preserve">Diabetes Obes Metab</w:t>
      </w:r>
      <w:r>
        <w:t xml:space="preserve"> </w:t>
      </w:r>
      <w:r>
        <w:t xml:space="preserve">· LEADER 2: baseline calcitonin in 9340 people with type 2 diabetes enrolled in the Liraglutide Effect and Action in Diabetes: Evaluation of cardiovascular outcome Results (LEADER) trial: preliminary observations. PMID 25656058</w:t>
      </w:r>
    </w:p>
    <w:p>
      <w:pPr>
        <w:numPr>
          <w:ilvl w:val="0"/>
          <w:numId w:val="1377"/>
        </w:numPr>
        <w:pStyle w:val="Compact"/>
      </w:pPr>
      <w:r>
        <w:t xml:space="preserve">2015 · Feng P ·</w:t>
      </w:r>
      <w:r>
        <w:t xml:space="preserve"> </w:t>
      </w:r>
      <w:r>
        <w:rPr>
          <w:iCs/>
          <w:i/>
        </w:rPr>
        <w:t xml:space="preserve">Acta Pharmacol Sin</w:t>
      </w:r>
      <w:r>
        <w:t xml:space="preserve"> </w:t>
      </w:r>
      <w:r>
        <w:t xml:space="preserve">· Liraglutide reduces the body weight and waist circumference in Chinese overweight and obese type 2 diabetic patients. PMID 25619391</w:t>
      </w:r>
    </w:p>
    <w:p>
      <w:pPr>
        <w:numPr>
          <w:ilvl w:val="0"/>
          <w:numId w:val="1377"/>
        </w:numPr>
        <w:pStyle w:val="Compact"/>
      </w:pPr>
      <w:r>
        <w:t xml:space="preserve">2015 · Petri KC ·</w:t>
      </w:r>
      <w:r>
        <w:t xml:space="preserve"> </w:t>
      </w:r>
      <w:r>
        <w:rPr>
          <w:iCs/>
          <w:i/>
        </w:rPr>
        <w:t xml:space="preserve">Clin Pharmacokinet</w:t>
      </w:r>
      <w:r>
        <w:t xml:space="preserve"> </w:t>
      </w:r>
      <w:r>
        <w:t xml:space="preserve">· Comparable liraglutide pharmacokinetics in pediatric and adult populations with type 2 diabetes: a population pharmacokinetic analysis. PMID 25603819</w:t>
      </w:r>
    </w:p>
    <w:p>
      <w:pPr>
        <w:numPr>
          <w:ilvl w:val="0"/>
          <w:numId w:val="1377"/>
        </w:numPr>
        <w:pStyle w:val="Compact"/>
      </w:pPr>
      <w:r>
        <w:t xml:space="preserve">2015 · Lovshin JA ·</w:t>
      </w:r>
      <w:r>
        <w:t xml:space="preserve"> </w:t>
      </w:r>
      <w:r>
        <w:rPr>
          <w:iCs/>
          <w:i/>
        </w:rPr>
        <w:t xml:space="preserve">Diabetes Care</w:t>
      </w:r>
      <w:r>
        <w:t xml:space="preserve"> </w:t>
      </w:r>
      <w:r>
        <w:t xml:space="preserve">· Liraglutide promotes natriuresis but does not increase circulating levels of atrial natriuretic peptide in hypertensive subjects with type 2 diabetes. PMID 25414155</w:t>
      </w:r>
    </w:p>
    <w:p>
      <w:pPr>
        <w:numPr>
          <w:ilvl w:val="0"/>
          <w:numId w:val="1377"/>
        </w:numPr>
        <w:pStyle w:val="Compact"/>
      </w:pPr>
      <w:r>
        <w:t xml:space="preserve">2015 · Rizzo M ·</w:t>
      </w:r>
      <w:r>
        <w:t xml:space="preserve"> </w:t>
      </w:r>
      <w:r>
        <w:rPr>
          <w:iCs/>
          <w:i/>
        </w:rPr>
        <w:t xml:space="preserve">J Clin Endocrinol Metab</w:t>
      </w:r>
      <w:r>
        <w:t xml:space="preserve"> </w:t>
      </w:r>
      <w:r>
        <w:t xml:space="preserve">· Liraglutide reduces oxidative stress and restores heme oxygenase-1 and ghrelin levels in patients with type 2 diabetes: a prospective pilot study. PMID 25393640</w:t>
      </w:r>
    </w:p>
    <w:p>
      <w:pPr>
        <w:numPr>
          <w:ilvl w:val="0"/>
          <w:numId w:val="1377"/>
        </w:numPr>
        <w:pStyle w:val="Compact"/>
      </w:pPr>
      <w:r>
        <w:t xml:space="preserve">2015 · D’Alessio D ·</w:t>
      </w:r>
      <w:r>
        <w:t xml:space="preserve"> </w:t>
      </w:r>
      <w:r>
        <w:rPr>
          <w:iCs/>
          <w:i/>
        </w:rPr>
        <w:t xml:space="preserve">Diabetes Obes Metab</w:t>
      </w:r>
      <w:r>
        <w:t xml:space="preserve"> </w:t>
      </w:r>
      <w:r>
        <w:t xml:space="preserve">· Comparison of insulin glargine and liraglutide added to oral agents in patients with poorly controlled type 2 diabetes. PMID 25359159</w:t>
      </w:r>
    </w:p>
    <w:p>
      <w:pPr>
        <w:numPr>
          <w:ilvl w:val="0"/>
          <w:numId w:val="1377"/>
        </w:numPr>
        <w:pStyle w:val="Compact"/>
      </w:pPr>
      <w:r>
        <w:t xml:space="preserve">2015 · Jensterle M ·</w:t>
      </w:r>
      <w:r>
        <w:t xml:space="preserve"> </w:t>
      </w:r>
      <w:r>
        <w:rPr>
          <w:iCs/>
          <w:i/>
        </w:rPr>
        <w:t xml:space="preserve">Endocr Res</w:t>
      </w:r>
      <w:r>
        <w:t xml:space="preserve"> </w:t>
      </w:r>
      <w:r>
        <w:t xml:space="preserve">· Short-term intervention with liraglutide improved eating behavior in obese women with polycystic ovary syndrome. PMID 25330463</w:t>
      </w:r>
    </w:p>
    <w:p>
      <w:pPr>
        <w:numPr>
          <w:ilvl w:val="0"/>
          <w:numId w:val="1377"/>
        </w:numPr>
        <w:pStyle w:val="Compact"/>
      </w:pPr>
      <w:r>
        <w:t xml:space="preserve">2015 · Iepsen EW ·</w:t>
      </w:r>
      <w:r>
        <w:t xml:space="preserve"> </w:t>
      </w:r>
      <w:r>
        <w:rPr>
          <w:iCs/>
          <w:i/>
        </w:rPr>
        <w:t xml:space="preserve">Int J Obes (Lond)</w:t>
      </w:r>
      <w:r>
        <w:t xml:space="preserve"> </w:t>
      </w:r>
      <w:r>
        <w:t xml:space="preserve">· Treatment with a GLP-1 receptor agonist diminishes the decrease in free plasma leptin during maintenance of weight loss. PMID 25287751</w:t>
      </w:r>
    </w:p>
    <w:p>
      <w:pPr>
        <w:numPr>
          <w:ilvl w:val="0"/>
          <w:numId w:val="1377"/>
        </w:numPr>
        <w:pStyle w:val="Compact"/>
      </w:pPr>
      <w:r>
        <w:t xml:space="preserve">2015 · von Scholten BJ ·</w:t>
      </w:r>
      <w:r>
        <w:t xml:space="preserve"> </w:t>
      </w:r>
      <w:r>
        <w:rPr>
          <w:iCs/>
          <w:i/>
        </w:rPr>
        <w:t xml:space="preserve">Diabet Med</w:t>
      </w:r>
      <w:r>
        <w:t xml:space="preserve"> </w:t>
      </w:r>
      <w:r>
        <w:t xml:space="preserve">· Time course and mechanisms of the anti-hypertensive and renal effects of liraglutide treatment. PMID 25251901</w:t>
      </w:r>
    </w:p>
    <w:p>
      <w:pPr>
        <w:numPr>
          <w:ilvl w:val="0"/>
          <w:numId w:val="1377"/>
        </w:numPr>
        <w:pStyle w:val="Compact"/>
      </w:pPr>
      <w:r>
        <w:t xml:space="preserve">2015 · Lind M ·</w:t>
      </w:r>
      <w:r>
        <w:t xml:space="preserve"> </w:t>
      </w:r>
      <w:r>
        <w:rPr>
          <w:iCs/>
          <w:i/>
        </w:rPr>
        <w:t xml:space="preserve">Prim Care Diabetes</w:t>
      </w:r>
      <w:r>
        <w:t xml:space="preserve"> </w:t>
      </w:r>
      <w:r>
        <w:t xml:space="preserve">· Design and methods of a randomised double-blind trial of adding liraglutide to control HbA1c in patients with type 2 diabetes with impaired glycaemic control treated with multiple daily insulin injections (MDI-Liraglutide trial). PMID 25175385</w:t>
      </w:r>
    </w:p>
    <w:p>
      <w:pPr>
        <w:numPr>
          <w:ilvl w:val="0"/>
          <w:numId w:val="1377"/>
        </w:numPr>
        <w:pStyle w:val="Compact"/>
      </w:pPr>
      <w:r>
        <w:t xml:space="preserve">2015 · Faurschou A ·</w:t>
      </w:r>
      <w:r>
        <w:t xml:space="preserve"> </w:t>
      </w:r>
      <w:r>
        <w:rPr>
          <w:iCs/>
          <w:i/>
        </w:rPr>
        <w:t xml:space="preserve">J Eur Acad Dermatol Venereol</w:t>
      </w:r>
      <w:r>
        <w:t xml:space="preserve"> </w:t>
      </w:r>
      <w:r>
        <w:t xml:space="preserve">· Lack of effect of the glucagon-like peptide-1 receptor agonist liraglutide on psoriasis in glucose-tolerant patients–a randomized placebo-controlled trial. PMID 25139195</w:t>
      </w:r>
    </w:p>
    <w:p>
      <w:pPr>
        <w:numPr>
          <w:ilvl w:val="0"/>
          <w:numId w:val="1377"/>
        </w:numPr>
        <w:pStyle w:val="Compact"/>
      </w:pPr>
      <w:r>
        <w:t xml:space="preserve">2014 · Osonoi T ·</w:t>
      </w:r>
      <w:r>
        <w:t xml:space="preserve"> </w:t>
      </w:r>
      <w:r>
        <w:rPr>
          <w:iCs/>
          <w:i/>
        </w:rPr>
        <w:t xml:space="preserve">PLoS One</w:t>
      </w:r>
      <w:r>
        <w:t xml:space="preserve"> </w:t>
      </w:r>
      <w:r>
        <w:t xml:space="preserve">· Effect of hemodialysis on plasma glucose profile and plasma level of liraglutide in patients with type 2 diabetes mellitus and end-stage renal disease: a pilot study. PMID 25526642</w:t>
      </w:r>
    </w:p>
    <w:p>
      <w:pPr>
        <w:numPr>
          <w:ilvl w:val="0"/>
          <w:numId w:val="1377"/>
        </w:numPr>
        <w:pStyle w:val="Compact"/>
      </w:pPr>
      <w:r>
        <w:t xml:space="preserve">2014 · Polderman JA ·</w:t>
      </w:r>
      <w:r>
        <w:t xml:space="preserve"> </w:t>
      </w:r>
      <w:r>
        <w:rPr>
          <w:iCs/>
          <w:i/>
        </w:rPr>
        <w:t xml:space="preserve">BMC Anesthesiol</w:t>
      </w:r>
      <w:r>
        <w:t xml:space="preserve"> </w:t>
      </w:r>
      <w:r>
        <w:t xml:space="preserve">· Study protocol of a randomised controlled trial comparing perioperative intravenous insulin, GIK or GLP-1 treatment in diabetes-PILGRIM trial. PMID 25419179</w:t>
      </w:r>
    </w:p>
    <w:p>
      <w:pPr>
        <w:numPr>
          <w:ilvl w:val="0"/>
          <w:numId w:val="1377"/>
        </w:numPr>
        <w:pStyle w:val="Compact"/>
      </w:pPr>
      <w:r>
        <w:t xml:space="preserve">2014 · Steinberg WM ·</w:t>
      </w:r>
      <w:r>
        <w:t xml:space="preserve"> </w:t>
      </w:r>
      <w:r>
        <w:rPr>
          <w:iCs/>
          <w:i/>
        </w:rPr>
        <w:t xml:space="preserve">Pancreas</w:t>
      </w:r>
      <w:r>
        <w:t xml:space="preserve"> </w:t>
      </w:r>
      <w:r>
        <w:t xml:space="preserve">· LEADER 3–lipase and amylase activity in subjects with type 2 diabetes: baseline data from over 9000 subjects in the LEADER Trial. PMID 25275271</w:t>
      </w:r>
    </w:p>
    <w:p>
      <w:pPr>
        <w:numPr>
          <w:ilvl w:val="0"/>
          <w:numId w:val="1377"/>
        </w:numPr>
        <w:pStyle w:val="Compact"/>
      </w:pPr>
      <w:r>
        <w:t xml:space="preserve">2014 · Retnakaran R ·</w:t>
      </w:r>
      <w:r>
        <w:t xml:space="preserve"> </w:t>
      </w:r>
      <w:r>
        <w:rPr>
          <w:iCs/>
          <w:i/>
        </w:rPr>
        <w:t xml:space="preserve">Diabetes Care</w:t>
      </w:r>
      <w:r>
        <w:t xml:space="preserve"> </w:t>
      </w:r>
      <w:r>
        <w:t xml:space="preserve">· Liraglutide and the preservation of pancreatic β-cell function in early type 2 diabetes: the LIBRA trial. PMID 25249651</w:t>
      </w:r>
    </w:p>
    <w:p>
      <w:pPr>
        <w:numPr>
          <w:ilvl w:val="0"/>
          <w:numId w:val="1377"/>
        </w:numPr>
        <w:pStyle w:val="Compact"/>
      </w:pPr>
      <w:r>
        <w:t xml:space="preserve">2014 · Nandy D ·</w:t>
      </w:r>
      <w:r>
        <w:t xml:space="preserve"> </w:t>
      </w:r>
      <w:r>
        <w:rPr>
          <w:iCs/>
          <w:i/>
        </w:rPr>
        <w:t xml:space="preserve">Diab Vasc Dis Res</w:t>
      </w:r>
      <w:r>
        <w:t xml:space="preserve"> </w:t>
      </w:r>
      <w:r>
        <w:t xml:space="preserve">· The effect of liraglutide on endothelial function in patients with type 2 diabetes. PMID 25212693</w:t>
      </w:r>
    </w:p>
    <w:p>
      <w:pPr>
        <w:numPr>
          <w:ilvl w:val="0"/>
          <w:numId w:val="1377"/>
        </w:numPr>
        <w:pStyle w:val="Compact"/>
      </w:pPr>
      <w:r>
        <w:t xml:space="preserve">2014 · Gough SC ·</w:t>
      </w:r>
      <w:r>
        <w:t xml:space="preserve"> </w:t>
      </w:r>
      <w:r>
        <w:rPr>
          <w:iCs/>
          <w:i/>
        </w:rPr>
        <w:t xml:space="preserve">Lancet Diabetes Endocrinol</w:t>
      </w:r>
      <w:r>
        <w:t xml:space="preserve"> </w:t>
      </w:r>
      <w:r>
        <w:t xml:space="preserve">· Efficacy and safety of a fixed-ratio combination of insulin degludec and liraglutide (IDegLira) compared with its components given alone: results of a phase 3, open-label, randomised, 26-week, treat-to-target trial in insulin-naive patients with type 2 diabetes. PMID 25190523</w:t>
      </w:r>
    </w:p>
    <w:p>
      <w:pPr>
        <w:numPr>
          <w:ilvl w:val="0"/>
          <w:numId w:val="1377"/>
        </w:numPr>
        <w:pStyle w:val="Compact"/>
      </w:pPr>
      <w:r>
        <w:t xml:space="preserve">2014 · Voukali M ·</w:t>
      </w:r>
      <w:r>
        <w:t xml:space="preserve"> </w:t>
      </w:r>
      <w:r>
        <w:rPr>
          <w:iCs/>
          <w:i/>
        </w:rPr>
        <w:t xml:space="preserve">J Diabetes Res</w:t>
      </w:r>
      <w:r>
        <w:t xml:space="preserve"> </w:t>
      </w:r>
      <w:r>
        <w:t xml:space="preserve">· Study of postprandial lipaemia in type 2 diabetes mellitus: exenatide versus liraglutide. PMID 25165723</w:t>
      </w:r>
    </w:p>
    <w:p>
      <w:pPr>
        <w:numPr>
          <w:ilvl w:val="0"/>
          <w:numId w:val="1377"/>
        </w:numPr>
        <w:pStyle w:val="Compact"/>
      </w:pPr>
      <w:r>
        <w:t xml:space="preserve">2014 · Buse JB ·</w:t>
      </w:r>
      <w:r>
        <w:t xml:space="preserve"> </w:t>
      </w:r>
      <w:r>
        <w:rPr>
          <w:iCs/>
          <w:i/>
        </w:rPr>
        <w:t xml:space="preserve">Diabetes Care</w:t>
      </w:r>
      <w:r>
        <w:t xml:space="preserve"> </w:t>
      </w:r>
      <w:r>
        <w:t xml:space="preserve">· Contribution of liraglutide in the fixed-ratio combination of insulin degludec and liraglutide (IDegLira). PMID 25114296</w:t>
      </w:r>
    </w:p>
    <w:p>
      <w:pPr>
        <w:numPr>
          <w:ilvl w:val="0"/>
          <w:numId w:val="1377"/>
        </w:numPr>
        <w:pStyle w:val="Compact"/>
      </w:pPr>
      <w:r>
        <w:t xml:space="preserve">2014 · Klein DJ ·</w:t>
      </w:r>
      <w:r>
        <w:t xml:space="preserve"> </w:t>
      </w:r>
      <w:r>
        <w:rPr>
          <w:iCs/>
          <w:i/>
        </w:rPr>
        <w:t xml:space="preserve">Diabetes Technol Ther</w:t>
      </w:r>
      <w:r>
        <w:t xml:space="preserve"> </w:t>
      </w:r>
      <w:r>
        <w:t xml:space="preserve">· Liraglutide’s safety, tolerability, pharmacokinetics, and pharmacodynamics in pediatric type 2 diabetes: a randomized, double-blind, placebo-controlled trial. PMID 25036533</w:t>
      </w:r>
    </w:p>
    <w:p>
      <w:pPr>
        <w:numPr>
          <w:ilvl w:val="0"/>
          <w:numId w:val="1377"/>
        </w:numPr>
        <w:pStyle w:val="Compact"/>
      </w:pPr>
      <w:r>
        <w:t xml:space="preserve">2014 · Anholm C ·</w:t>
      </w:r>
      <w:r>
        <w:t xml:space="preserve"> </w:t>
      </w:r>
      <w:r>
        <w:rPr>
          <w:iCs/>
          <w:i/>
        </w:rPr>
        <w:t xml:space="preserve">BMJ Open</w:t>
      </w:r>
      <w:r>
        <w:t xml:space="preserve"> </w:t>
      </w:r>
      <w:r>
        <w:t xml:space="preserve">· Adding liraglutide to the backbone therapy of biguanide in patients with coronary artery disease and newly diagnosed type-2 diabetes (the AddHope2 study): a randomised controlled study protocol. PMID 25031198</w:t>
      </w:r>
    </w:p>
    <w:p>
      <w:pPr>
        <w:numPr>
          <w:ilvl w:val="0"/>
          <w:numId w:val="1377"/>
        </w:numPr>
        <w:pStyle w:val="Compact"/>
      </w:pPr>
      <w:r>
        <w:t xml:space="preserve">2014 · Dungan KM ·</w:t>
      </w:r>
      <w:r>
        <w:t xml:space="preserve"> </w:t>
      </w:r>
      <w:r>
        <w:rPr>
          <w:iCs/>
          <w:i/>
        </w:rPr>
        <w:t xml:space="preserve">Lancet</w:t>
      </w:r>
      <w:r>
        <w:t xml:space="preserve"> </w:t>
      </w:r>
      <w:r>
        <w:t xml:space="preserve">· Once-weekly dulaglutide versus once-daily liraglutide in metformin-treated patients with type 2 diabetes (AWARD-6): a randomised, open-label, phase 3, non-inferiority trial. PMID 25018121</w:t>
      </w:r>
    </w:p>
    <w:p>
      <w:pPr>
        <w:numPr>
          <w:ilvl w:val="0"/>
          <w:numId w:val="1377"/>
        </w:numPr>
        <w:pStyle w:val="Compact"/>
      </w:pPr>
      <w:r>
        <w:t xml:space="preserve">2014 · de Wit HM ·</w:t>
      </w:r>
      <w:r>
        <w:t xml:space="preserve"> </w:t>
      </w:r>
      <w:r>
        <w:rPr>
          <w:iCs/>
          <w:i/>
        </w:rPr>
        <w:t xml:space="preserve">Diabetologia</w:t>
      </w:r>
      <w:r>
        <w:t xml:space="preserve"> </w:t>
      </w:r>
      <w:r>
        <w:t xml:space="preserve">· Liraglutide reverses pronounced insulin-associated weight gain, improves glycaemic control and decreases insulin dose in patients with type 2 diabetes: a 26 week, randomised clinical trial (ELEGANT). PMID 24947583</w:t>
      </w:r>
    </w:p>
    <w:p>
      <w:pPr>
        <w:numPr>
          <w:ilvl w:val="0"/>
          <w:numId w:val="1377"/>
        </w:numPr>
        <w:pStyle w:val="Compact"/>
      </w:pPr>
      <w:r>
        <w:t xml:space="preserve">2014 · Østoft SH ·</w:t>
      </w:r>
      <w:r>
        <w:t xml:space="preserve"> </w:t>
      </w:r>
      <w:r>
        <w:rPr>
          <w:iCs/>
          <w:i/>
        </w:rPr>
        <w:t xml:space="preserve">Diabetes Care</w:t>
      </w:r>
      <w:r>
        <w:t xml:space="preserve"> </w:t>
      </w:r>
      <w:r>
        <w:t xml:space="preserve">· Glucose-lowering effects and low risk of hypoglycemia in patients with maturity-onset diabetes of the young when treated with a GLP-1 receptor agonist: a double-blind, randomized, crossover trial. PMID 24929431</w:t>
      </w:r>
    </w:p>
    <w:p>
      <w:pPr>
        <w:numPr>
          <w:ilvl w:val="0"/>
          <w:numId w:val="1377"/>
        </w:numPr>
        <w:pStyle w:val="Compact"/>
      </w:pPr>
      <w:r>
        <w:t xml:space="preserve">2014 · Jorsal A ·</w:t>
      </w:r>
      <w:r>
        <w:t xml:space="preserve"> </w:t>
      </w:r>
      <w:r>
        <w:rPr>
          <w:iCs/>
          <w:i/>
        </w:rPr>
        <w:t xml:space="preserve">BMJ Open</w:t>
      </w:r>
      <w:r>
        <w:t xml:space="preserve"> </w:t>
      </w:r>
      <w:r>
        <w:t xml:space="preserve">· A protocol for a randomised, double-blind, placebo-controlled study of the effect of LIraglutide on left VEntricular function in chronic heart failure patients with and without type 2 diabetes (The LIVE Study). PMID 24844271</w:t>
      </w:r>
    </w:p>
    <w:p>
      <w:pPr>
        <w:numPr>
          <w:ilvl w:val="0"/>
          <w:numId w:val="1377"/>
        </w:numPr>
        <w:pStyle w:val="Compact"/>
      </w:pPr>
      <w:r>
        <w:t xml:space="preserve">2014 · Li CJ ·</w:t>
      </w:r>
      <w:r>
        <w:t xml:space="preserve"> </w:t>
      </w:r>
      <w:r>
        <w:rPr>
          <w:iCs/>
          <w:i/>
        </w:rPr>
        <w:t xml:space="preserve">Exp Clin Endocrinol Diabetes</w:t>
      </w:r>
      <w:r>
        <w:t xml:space="preserve"> </w:t>
      </w:r>
      <w:r>
        <w:t xml:space="preserve">· Efficacy and safety comparison of add-on therapy with liraglutide, saxagliptin and vildagliptin, all in combination with current conventional oral hypoglycemic agents therapy in poorly controlled Chinese type 2 diabetes. PMID 24838155</w:t>
      </w:r>
    </w:p>
    <w:p>
      <w:pPr>
        <w:numPr>
          <w:ilvl w:val="0"/>
          <w:numId w:val="1377"/>
        </w:numPr>
        <w:pStyle w:val="Compact"/>
      </w:pPr>
      <w:r>
        <w:t xml:space="preserve">2014 · Pratley RE ·</w:t>
      </w:r>
      <w:r>
        <w:t xml:space="preserve"> </w:t>
      </w:r>
      <w:r>
        <w:rPr>
          <w:iCs/>
          <w:i/>
        </w:rPr>
        <w:t xml:space="preserve">Lancet Diabetes Endocrinol</w:t>
      </w:r>
      <w:r>
        <w:t xml:space="preserve"> </w:t>
      </w:r>
      <w:r>
        <w:t xml:space="preserve">· Once-weekly albiglutide versus once-daily liraglutide in patients with type 2 diabetes inadequately controlled on oral drugs (HARMONY 7): a randomised, open-label, multicentre, non-inferiority phase 3 study. PMID 24703047</w:t>
      </w:r>
    </w:p>
    <w:p>
      <w:pPr>
        <w:numPr>
          <w:ilvl w:val="0"/>
          <w:numId w:val="1377"/>
        </w:numPr>
        <w:pStyle w:val="Compact"/>
      </w:pPr>
      <w:r>
        <w:t xml:space="preserve">2014 · Larsen JR ·</w:t>
      </w:r>
      <w:r>
        <w:t xml:space="preserve"> </w:t>
      </w:r>
      <w:r>
        <w:rPr>
          <w:iCs/>
          <w:i/>
        </w:rPr>
        <w:t xml:space="preserve">BMJ Open</w:t>
      </w:r>
      <w:r>
        <w:t xml:space="preserve"> </w:t>
      </w:r>
      <w:r>
        <w:t xml:space="preserve">· Does a GLP-1 receptor agonist change glucose tolerance in patients treated with antipsychotic medications? Design of a randomised, double-blinded, placebo-controlled clinical trial. PMID 24667381</w:t>
      </w:r>
    </w:p>
    <w:p>
      <w:pPr>
        <w:numPr>
          <w:ilvl w:val="0"/>
          <w:numId w:val="1377"/>
        </w:numPr>
        <w:pStyle w:val="Compact"/>
      </w:pPr>
      <w:r>
        <w:t xml:space="preserve">2014 · Lane W ·</w:t>
      </w:r>
      <w:r>
        <w:t xml:space="preserve"> </w:t>
      </w:r>
      <w:r>
        <w:rPr>
          <w:iCs/>
          <w:i/>
        </w:rPr>
        <w:t xml:space="preserve">Diabetes Obes Metab</w:t>
      </w:r>
      <w:r>
        <w:t xml:space="preserve"> </w:t>
      </w:r>
      <w:r>
        <w:t xml:space="preserve">· The effect of addition of liraglutide to high-dose intensive insulin therapy: a randomized prospective trial. PMID 24589127</w:t>
      </w:r>
    </w:p>
    <w:p>
      <w:pPr>
        <w:numPr>
          <w:ilvl w:val="0"/>
          <w:numId w:val="1377"/>
        </w:numPr>
        <w:pStyle w:val="Compact"/>
      </w:pPr>
      <w:r>
        <w:t xml:space="preserve">2014 · Rizzo M ·</w:t>
      </w:r>
      <w:r>
        <w:t xml:space="preserve"> </w:t>
      </w:r>
      <w:r>
        <w:rPr>
          <w:iCs/>
          <w:i/>
        </w:rPr>
        <w:t xml:space="preserve">Cardiovasc Diabetol</w:t>
      </w:r>
      <w:r>
        <w:t xml:space="preserve"> </w:t>
      </w:r>
      <w:r>
        <w:t xml:space="preserve">· Liraglutide decreases carotid intima-media thickness in patients with type 2 diabetes: 8-month prospective pilot study. PMID 24559258</w:t>
      </w:r>
    </w:p>
    <w:p>
      <w:pPr>
        <w:numPr>
          <w:ilvl w:val="0"/>
          <w:numId w:val="1377"/>
        </w:numPr>
        <w:pStyle w:val="Compact"/>
      </w:pPr>
      <w:r>
        <w:t xml:space="preserve">2014 · Breitschaft A ·</w:t>
      </w:r>
      <w:r>
        <w:t xml:space="preserve"> </w:t>
      </w:r>
      <w:r>
        <w:rPr>
          <w:iCs/>
          <w:i/>
        </w:rPr>
        <w:t xml:space="preserve">Diabetes Res Clin Pract</w:t>
      </w:r>
      <w:r>
        <w:t xml:space="preserve"> </w:t>
      </w:r>
      <w:r>
        <w:t xml:space="preserve">· Management of hyperglycemia associated with pasireotide (SOM230): healthy volunteer study. PMID 24461109</w:t>
      </w:r>
    </w:p>
    <w:p>
      <w:pPr>
        <w:numPr>
          <w:ilvl w:val="0"/>
          <w:numId w:val="1377"/>
        </w:numPr>
        <w:pStyle w:val="Compact"/>
      </w:pPr>
      <w:r>
        <w:t xml:space="preserve">2014 · Mathieu C ·</w:t>
      </w:r>
      <w:r>
        <w:t xml:space="preserve"> </w:t>
      </w:r>
      <w:r>
        <w:rPr>
          <w:iCs/>
          <w:i/>
        </w:rPr>
        <w:t xml:space="preserve">Diabetes Obes Metab</w:t>
      </w:r>
      <w:r>
        <w:t xml:space="preserve"> </w:t>
      </w:r>
      <w:r>
        <w:t xml:space="preserve">· A comparison of adding liraglutide versus a single daily dose of insulin aspart to insulin degludec in subjects with type 2 diabetes (BEGIN: VICTOZA ADD-ON). PMID 24443830</w:t>
      </w:r>
    </w:p>
    <w:p>
      <w:pPr>
        <w:numPr>
          <w:ilvl w:val="0"/>
          <w:numId w:val="1377"/>
        </w:numPr>
        <w:pStyle w:val="Compact"/>
      </w:pPr>
      <w:r>
        <w:t xml:space="preserve">2014 · Brady EM ·</w:t>
      </w:r>
      <w:r>
        <w:t xml:space="preserve"> </w:t>
      </w:r>
      <w:r>
        <w:rPr>
          <w:iCs/>
          <w:i/>
        </w:rPr>
        <w:t xml:space="preserve">Diabetes Obes Metab</w:t>
      </w:r>
      <w:r>
        <w:t xml:space="preserve"> </w:t>
      </w:r>
      <w:r>
        <w:t xml:space="preserve">· A randomized controlled trial comparing the GLP-1 receptor agonist liraglutide to a sulphonylurea as add on to metformin in patients with established type 2 diabetes during Ramadan: the Treat 4 Ramadan Trial. PMID 24373063</w:t>
      </w:r>
    </w:p>
    <w:p>
      <w:pPr>
        <w:numPr>
          <w:ilvl w:val="0"/>
          <w:numId w:val="1377"/>
        </w:numPr>
        <w:pStyle w:val="Compact"/>
      </w:pPr>
      <w:r>
        <w:t xml:space="preserve">2014 · Jensterle Sever M ·</w:t>
      </w:r>
      <w:r>
        <w:t xml:space="preserve"> </w:t>
      </w:r>
      <w:r>
        <w:rPr>
          <w:iCs/>
          <w:i/>
        </w:rPr>
        <w:t xml:space="preserve">Eur J Endocrinol</w:t>
      </w:r>
      <w:r>
        <w:t xml:space="preserve"> </w:t>
      </w:r>
      <w:r>
        <w:t xml:space="preserve">· Short-term combined treatment with liraglutide and metformin leads to significant weight loss in obese women with polycystic ovary syndrome and previous poor response to metformin. PMID 24362411</w:t>
      </w:r>
    </w:p>
    <w:p>
      <w:pPr>
        <w:numPr>
          <w:ilvl w:val="0"/>
          <w:numId w:val="1377"/>
        </w:numPr>
        <w:pStyle w:val="Compact"/>
      </w:pPr>
      <w:r>
        <w:t xml:space="preserve">2014 · Kim SH ·</w:t>
      </w:r>
      <w:r>
        <w:t xml:space="preserve"> </w:t>
      </w:r>
      <w:r>
        <w:rPr>
          <w:iCs/>
          <w:i/>
        </w:rPr>
        <w:t xml:space="preserve">Diabetologia</w:t>
      </w:r>
      <w:r>
        <w:t xml:space="preserve"> </w:t>
      </w:r>
      <w:r>
        <w:t xml:space="preserve">· Pancreatic beta cell function following liraglutide-augmented weight loss in individuals with prediabetes: analysis of a randomised, placebo-controlled study. PMID 24326527</w:t>
      </w:r>
    </w:p>
    <w:p>
      <w:pPr>
        <w:numPr>
          <w:ilvl w:val="0"/>
          <w:numId w:val="1377"/>
        </w:numPr>
        <w:pStyle w:val="Compact"/>
      </w:pPr>
      <w:r>
        <w:t xml:space="preserve">2014 · Nagai Y ·</w:t>
      </w:r>
      <w:r>
        <w:t xml:space="preserve"> </w:t>
      </w:r>
      <w:r>
        <w:rPr>
          <w:iCs/>
          <w:i/>
        </w:rPr>
        <w:t xml:space="preserve">Diabetes Obes Metab</w:t>
      </w:r>
      <w:r>
        <w:t xml:space="preserve"> </w:t>
      </w:r>
      <w:r>
        <w:t xml:space="preserve">· Differing effects of liraglutide on gastric emptying in Japanese patients with type 2 diabetes. PMID 24320758</w:t>
      </w:r>
    </w:p>
    <w:p>
      <w:pPr>
        <w:numPr>
          <w:ilvl w:val="0"/>
          <w:numId w:val="1377"/>
        </w:numPr>
        <w:pStyle w:val="Compact"/>
      </w:pPr>
      <w:r>
        <w:t xml:space="preserve">2014 · RISE Consortium ·</w:t>
      </w:r>
      <w:r>
        <w:t xml:space="preserve"> </w:t>
      </w:r>
      <w:r>
        <w:rPr>
          <w:iCs/>
          <w:i/>
        </w:rPr>
        <w:t xml:space="preserve">Diabetes Care</w:t>
      </w:r>
      <w:r>
        <w:t xml:space="preserve"> </w:t>
      </w:r>
      <w:r>
        <w:t xml:space="preserve">· Restoring Insulin Secretion (RISE): design of studies of β-cell preservation in prediabetes and early type 2 diabetes across the life span. PMID 24194506</w:t>
      </w:r>
    </w:p>
    <w:p>
      <w:pPr>
        <w:numPr>
          <w:ilvl w:val="0"/>
          <w:numId w:val="1377"/>
        </w:numPr>
        <w:pStyle w:val="Compact"/>
      </w:pPr>
      <w:r>
        <w:t xml:space="preserve">2014 · van Can J ·</w:t>
      </w:r>
      <w:r>
        <w:t xml:space="preserve"> </w:t>
      </w:r>
      <w:r>
        <w:rPr>
          <w:iCs/>
          <w:i/>
        </w:rPr>
        <w:t xml:space="preserve">Int J Obes (Lond)</w:t>
      </w:r>
      <w:r>
        <w:t xml:space="preserve"> </w:t>
      </w:r>
      <w:r>
        <w:t xml:space="preserve">· Effects of the once-daily GLP-1 analog liraglutide on gastric emptying, glycemic parameters, appetite and energy metabolism in obese, non-diabetic adults. PMID 23999198</w:t>
      </w:r>
    </w:p>
    <w:p>
      <w:pPr>
        <w:numPr>
          <w:ilvl w:val="0"/>
          <w:numId w:val="1377"/>
        </w:numPr>
        <w:pStyle w:val="Compact"/>
      </w:pPr>
      <w:r>
        <w:t xml:space="preserve">2014 · Lean ME ·</w:t>
      </w:r>
      <w:r>
        <w:t xml:space="preserve"> </w:t>
      </w:r>
      <w:r>
        <w:rPr>
          <w:iCs/>
          <w:i/>
        </w:rPr>
        <w:t xml:space="preserve">Int J Obes (Lond)</w:t>
      </w:r>
      <w:r>
        <w:t xml:space="preserve"> </w:t>
      </w:r>
      <w:r>
        <w:t xml:space="preserve">· Tolerability of nausea and vomiting and associations with weight loss in a randomized trial of liraglutide in obese, non-diabetic adults. PMID 23942319</w:t>
      </w:r>
    </w:p>
    <w:p>
      <w:pPr>
        <w:numPr>
          <w:ilvl w:val="0"/>
          <w:numId w:val="1377"/>
        </w:numPr>
        <w:pStyle w:val="Compact"/>
      </w:pPr>
      <w:r>
        <w:t xml:space="preserve">2013 · Marso SP ·</w:t>
      </w:r>
      <w:r>
        <w:t xml:space="preserve"> </w:t>
      </w:r>
      <w:r>
        <w:rPr>
          <w:iCs/>
          <w:i/>
        </w:rPr>
        <w:t xml:space="preserve">Am Heart J</w:t>
      </w:r>
      <w:r>
        <w:t xml:space="preserve"> </w:t>
      </w:r>
      <w:r>
        <w:t xml:space="preserve">· Design of the liraglutide effect and action in diabetes: evaluation of cardiovascular outcome results (LEADER) trial. PMID 24176437</w:t>
      </w:r>
    </w:p>
    <w:p>
      <w:pPr>
        <w:numPr>
          <w:ilvl w:val="0"/>
          <w:numId w:val="1377"/>
        </w:numPr>
        <w:pStyle w:val="Compact"/>
      </w:pPr>
      <w:r>
        <w:t xml:space="preserve">2013 · Imamura S ·</w:t>
      </w:r>
      <w:r>
        <w:t xml:space="preserve"> </w:t>
      </w:r>
      <w:r>
        <w:rPr>
          <w:iCs/>
          <w:i/>
        </w:rPr>
        <w:t xml:space="preserve">Tohoku J Exp Med</w:t>
      </w:r>
      <w:r>
        <w:t xml:space="preserve"> </w:t>
      </w:r>
      <w:r>
        <w:t xml:space="preserve">· The glucagon-like peptide-1 receptor agonist, liraglutide, attenuates the progression of overt diabetic nephropathy in type 2 diabetic patients. PMID 24064677</w:t>
      </w:r>
    </w:p>
    <w:p>
      <w:pPr>
        <w:numPr>
          <w:ilvl w:val="0"/>
          <w:numId w:val="1377"/>
        </w:numPr>
        <w:pStyle w:val="Compact"/>
      </w:pPr>
      <w:r>
        <w:t xml:space="preserve">2013 · Kim SH ·</w:t>
      </w:r>
      <w:r>
        <w:t xml:space="preserve"> </w:t>
      </w:r>
      <w:r>
        <w:rPr>
          <w:iCs/>
          <w:i/>
        </w:rPr>
        <w:t xml:space="preserve">Diabetes Care</w:t>
      </w:r>
      <w:r>
        <w:t xml:space="preserve"> </w:t>
      </w:r>
      <w:r>
        <w:t xml:space="preserve">· Benefits of liraglutide treatment in overweight and obese older individuals with prediabetes. PMID 23835684</w:t>
      </w:r>
    </w:p>
    <w:p>
      <w:pPr>
        <w:numPr>
          <w:ilvl w:val="0"/>
          <w:numId w:val="1377"/>
        </w:numPr>
        <w:pStyle w:val="Compact"/>
      </w:pPr>
      <w:r>
        <w:t xml:space="preserve">2013 · Wadden TA ·</w:t>
      </w:r>
      <w:r>
        <w:t xml:space="preserve"> </w:t>
      </w:r>
      <w:r>
        <w:rPr>
          <w:iCs/>
          <w:i/>
        </w:rPr>
        <w:t xml:space="preserve">Int J Obes (Lond)</w:t>
      </w:r>
      <w:r>
        <w:t xml:space="preserve"> </w:t>
      </w:r>
      <w:r>
        <w:t xml:space="preserve">· Weight maintenance and additional weight loss with liraglutide after low-calorie-diet-induced weight loss: the SCALE Maintenance randomized study. PMID 23812094</w:t>
      </w:r>
    </w:p>
    <w:p>
      <w:pPr>
        <w:numPr>
          <w:ilvl w:val="0"/>
          <w:numId w:val="1377"/>
        </w:numPr>
        <w:pStyle w:val="Compact"/>
      </w:pPr>
      <w:r>
        <w:t xml:space="preserve">2013 · Fadini GP ·</w:t>
      </w:r>
      <w:r>
        <w:t xml:space="preserve"> </w:t>
      </w:r>
      <w:r>
        <w:rPr>
          <w:iCs/>
          <w:i/>
        </w:rPr>
        <w:t xml:space="preserve">Acta Diabetol</w:t>
      </w:r>
      <w:r>
        <w:t xml:space="preserve"> </w:t>
      </w:r>
      <w:r>
        <w:t xml:space="preserve">· Independent glucose and weight-reducing effects of Liraglutide in a real-world population of type 2 diabetic outpatients. PMID 23754673</w:t>
      </w:r>
    </w:p>
    <w:p>
      <w:pPr>
        <w:numPr>
          <w:ilvl w:val="0"/>
          <w:numId w:val="1377"/>
        </w:numPr>
        <w:pStyle w:val="Compact"/>
      </w:pPr>
      <w:r>
        <w:t xml:space="preserve">2013 · Rosenstock J ·</w:t>
      </w:r>
      <w:r>
        <w:t xml:space="preserve"> </w:t>
      </w:r>
      <w:r>
        <w:rPr>
          <w:iCs/>
          <w:i/>
        </w:rPr>
        <w:t xml:space="preserve">J Diabetes Complications</w:t>
      </w:r>
      <w:r>
        <w:t xml:space="preserve"> </w:t>
      </w:r>
      <w:r>
        <w:t xml:space="preserve">· One-year sustained glycemic control and weight reduction in type 2 diabetes after addition of liraglutide to metformin followed by insulin detemir according to HbA1c target. PMID 23746555</w:t>
      </w:r>
    </w:p>
    <w:p>
      <w:pPr>
        <w:numPr>
          <w:ilvl w:val="0"/>
          <w:numId w:val="1377"/>
        </w:numPr>
        <w:pStyle w:val="Compact"/>
      </w:pPr>
      <w:r>
        <w:t xml:space="preserve">2013 · Hermansen K ·</w:t>
      </w:r>
      <w:r>
        <w:t xml:space="preserve"> </w:t>
      </w:r>
      <w:r>
        <w:rPr>
          <w:iCs/>
          <w:i/>
        </w:rPr>
        <w:t xml:space="preserve">Diabetes Obes Metab</w:t>
      </w:r>
      <w:r>
        <w:t xml:space="preserve"> </w:t>
      </w:r>
      <w:r>
        <w:t xml:space="preserve">· Liraglutide suppresses postprandial triglyceride and apolipoprotein B48 elevations after a fat-rich meal in patients with type 2 diabetes: a randomized, double-blind, placebo-controlled, cross-over trial. PMID 23683069</w:t>
      </w:r>
    </w:p>
    <w:p>
      <w:pPr>
        <w:numPr>
          <w:ilvl w:val="0"/>
          <w:numId w:val="1377"/>
        </w:numPr>
        <w:pStyle w:val="Compact"/>
      </w:pPr>
      <w:r>
        <w:t xml:space="preserve">2013 · Suzuki D ·</w:t>
      </w:r>
      <w:r>
        <w:t xml:space="preserve"> </w:t>
      </w:r>
      <w:r>
        <w:rPr>
          <w:iCs/>
          <w:i/>
        </w:rPr>
        <w:t xml:space="preserve">Intern Med</w:t>
      </w:r>
      <w:r>
        <w:t xml:space="preserve"> </w:t>
      </w:r>
      <w:r>
        <w:t xml:space="preserve">· Effects of liraglutide, a human glucagon-like peptide-1 analogue, on body weight, body fat area and body fat-related markers in patients with type 2 diabetes mellitus. PMID 23676586</w:t>
      </w:r>
    </w:p>
    <w:p>
      <w:pPr>
        <w:numPr>
          <w:ilvl w:val="0"/>
          <w:numId w:val="1377"/>
        </w:numPr>
        <w:pStyle w:val="Compact"/>
      </w:pPr>
      <w:r>
        <w:t xml:space="preserve">2013 · Charbonnel B ·</w:t>
      </w:r>
      <w:r>
        <w:t xml:space="preserve"> </w:t>
      </w:r>
      <w:r>
        <w:rPr>
          <w:iCs/>
          <w:i/>
        </w:rPr>
        <w:t xml:space="preserve">Diabetologia</w:t>
      </w:r>
      <w:r>
        <w:t xml:space="preserve"> </w:t>
      </w:r>
      <w:r>
        <w:t xml:space="preserve">· Efficacy and safety over 26 weeks of an oral treatment strategy including sitagliptin compared with an injectable treatment strategy with liraglutide in patients with type 2 diabetes mellitus inadequately controlled on metformin: a randomised clinical trial. PMID 23604551</w:t>
      </w:r>
    </w:p>
    <w:p>
      <w:pPr>
        <w:numPr>
          <w:ilvl w:val="0"/>
          <w:numId w:val="1377"/>
        </w:numPr>
        <w:pStyle w:val="Compact"/>
      </w:pPr>
      <w:r>
        <w:t xml:space="preserve">2013 · Flint A ·</w:t>
      </w:r>
      <w:r>
        <w:t xml:space="preserve"> </w:t>
      </w:r>
      <w:r>
        <w:rPr>
          <w:iCs/>
          <w:i/>
        </w:rPr>
        <w:t xml:space="preserve">Diabetes Obes Metab</w:t>
      </w:r>
      <w:r>
        <w:t xml:space="preserve"> </w:t>
      </w:r>
      <w:r>
        <w:t xml:space="preserve">· The once-daily human GLP-1 analogue liraglutide impacts appetite and energy intake in patients with type 2 diabetes after short-term treatment. PMID 23551925</w:t>
      </w:r>
    </w:p>
    <w:p>
      <w:pPr>
        <w:numPr>
          <w:ilvl w:val="0"/>
          <w:numId w:val="1377"/>
        </w:numPr>
        <w:pStyle w:val="Compact"/>
      </w:pPr>
      <w:r>
        <w:t xml:space="preserve">2013 · Kapitza C ·</w:t>
      </w:r>
      <w:r>
        <w:t xml:space="preserve"> </w:t>
      </w:r>
      <w:r>
        <w:rPr>
          <w:iCs/>
          <w:i/>
        </w:rPr>
        <w:t xml:space="preserve">Diabetes Obes Metab</w:t>
      </w:r>
      <w:r>
        <w:t xml:space="preserve"> </w:t>
      </w:r>
      <w:r>
        <w:t xml:space="preserve">· Pharmacodynamic characteristics of lixisenatide once daily versus liraglutide once daily in patients with type 2 diabetes insufficiently controlled on metformin. PMID 23368510</w:t>
      </w:r>
    </w:p>
    <w:p>
      <w:pPr>
        <w:numPr>
          <w:ilvl w:val="0"/>
          <w:numId w:val="1377"/>
        </w:numPr>
        <w:pStyle w:val="Compact"/>
      </w:pPr>
      <w:r>
        <w:t xml:space="preserve">2013 · Yang M ·</w:t>
      </w:r>
      <w:r>
        <w:t xml:space="preserve"> </w:t>
      </w:r>
      <w:r>
        <w:rPr>
          <w:iCs/>
          <w:i/>
        </w:rPr>
        <w:t xml:space="preserve">Diabetes Care</w:t>
      </w:r>
      <w:r>
        <w:t xml:space="preserve"> </w:t>
      </w:r>
      <w:r>
        <w:t xml:space="preserve">· Zinc-α2-glycoprotein is associated with insulin resistance in humans and is regulated by hyperglycemia, hyperinsulinemia, or liraglutide administration: cross-sectional and interventional studies in normal subjects, insulin-resistant subjects, and subjects with newly diagnosed diabetes. PMID 23275352</w:t>
      </w:r>
    </w:p>
    <w:p>
      <w:pPr>
        <w:numPr>
          <w:ilvl w:val="0"/>
          <w:numId w:val="1377"/>
        </w:numPr>
        <w:pStyle w:val="Compact"/>
      </w:pPr>
      <w:r>
        <w:t xml:space="preserve">2013 · Hu W ·</w:t>
      </w:r>
      <w:r>
        <w:t xml:space="preserve"> </w:t>
      </w:r>
      <w:r>
        <w:rPr>
          <w:iCs/>
          <w:i/>
        </w:rPr>
        <w:t xml:space="preserve">J Clin Endocrinol Metab</w:t>
      </w:r>
      <w:r>
        <w:t xml:space="preserve"> </w:t>
      </w:r>
      <w:r>
        <w:t xml:space="preserve">· Circulating Sfrp5 is a signature of obesity-related metabolic disorders and is regulated by glucose and liraglutide in humans. PMID 23185036</w:t>
      </w:r>
    </w:p>
    <w:p>
      <w:pPr>
        <w:numPr>
          <w:ilvl w:val="0"/>
          <w:numId w:val="1377"/>
        </w:numPr>
        <w:pStyle w:val="Compact"/>
      </w:pPr>
      <w:r>
        <w:t xml:space="preserve">2013 · Buse JB ·</w:t>
      </w:r>
      <w:r>
        <w:t xml:space="preserve"> </w:t>
      </w:r>
      <w:r>
        <w:rPr>
          <w:iCs/>
          <w:i/>
        </w:rPr>
        <w:t xml:space="preserve">Lancet</w:t>
      </w:r>
      <w:r>
        <w:t xml:space="preserve"> </w:t>
      </w:r>
      <w:r>
        <w:t xml:space="preserve">· Exenatide once weekly versus liraglutide once daily in patients with type 2 diabetes (DURATION-6): a randomised, open-label study. PMID 23141817</w:t>
      </w:r>
    </w:p>
    <w:p>
      <w:pPr>
        <w:numPr>
          <w:ilvl w:val="0"/>
          <w:numId w:val="1377"/>
        </w:numPr>
        <w:pStyle w:val="Compact"/>
      </w:pPr>
      <w:r>
        <w:t xml:space="preserve">2013 · Iwao T ·</w:t>
      </w:r>
      <w:r>
        <w:t xml:space="preserve"> </w:t>
      </w:r>
      <w:r>
        <w:rPr>
          <w:iCs/>
          <w:i/>
        </w:rPr>
        <w:t xml:space="preserve">J Diabetes Complications</w:t>
      </w:r>
      <w:r>
        <w:t xml:space="preserve"> </w:t>
      </w:r>
      <w:r>
        <w:t xml:space="preserve">· Postprandial serum C-peptide is a useful parameter in the prediction of successful switching to liraglutide monotherapy from complex insulin therapy in Japanese patients with type 2 diabetes. PMID 22863615</w:t>
      </w:r>
    </w:p>
    <w:p>
      <w:pPr>
        <w:numPr>
          <w:ilvl w:val="0"/>
          <w:numId w:val="1377"/>
        </w:numPr>
        <w:pStyle w:val="Compact"/>
      </w:pPr>
      <w:r>
        <w:t xml:space="preserve">2013 · Niswender K ·</w:t>
      </w:r>
      <w:r>
        <w:t xml:space="preserve"> </w:t>
      </w:r>
      <w:r>
        <w:rPr>
          <w:iCs/>
          <w:i/>
        </w:rPr>
        <w:t xml:space="preserve">Diabetes Obes Metab</w:t>
      </w:r>
      <w:r>
        <w:t xml:space="preserve"> </w:t>
      </w:r>
      <w:r>
        <w:t xml:space="preserve">· Weight change with liraglutide and comparator therapies: an analysis of seven phase 3 trials from the liraglutide diabetes development programme. PMID 22862847</w:t>
      </w:r>
    </w:p>
    <w:p>
      <w:pPr>
        <w:numPr>
          <w:ilvl w:val="0"/>
          <w:numId w:val="1377"/>
        </w:numPr>
        <w:pStyle w:val="Compact"/>
      </w:pPr>
      <w:r>
        <w:t xml:space="preserve">2013 · Rotondo A ·</w:t>
      </w:r>
      <w:r>
        <w:t xml:space="preserve"> </w:t>
      </w:r>
      <w:r>
        <w:rPr>
          <w:iCs/>
          <w:i/>
        </w:rPr>
        <w:t xml:space="preserve">Int J Obes (Lond)</w:t>
      </w:r>
      <w:r>
        <w:t xml:space="preserve"> </w:t>
      </w:r>
      <w:r>
        <w:t xml:space="preserve">· Effect of the GLP-1 analog liraglutide on satiation and gastric sensorimotor function during nutrient-drink ingestion. PMID 22846777</w:t>
      </w:r>
    </w:p>
    <w:p>
      <w:pPr>
        <w:numPr>
          <w:ilvl w:val="0"/>
          <w:numId w:val="1377"/>
        </w:numPr>
        <w:pStyle w:val="Compact"/>
      </w:pPr>
      <w:r>
        <w:t xml:space="preserve">2012 · Egefjord L ·</w:t>
      </w:r>
      <w:r>
        <w:t xml:space="preserve"> </w:t>
      </w:r>
      <w:r>
        <w:rPr>
          <w:iCs/>
          <w:i/>
        </w:rPr>
        <w:t xml:space="preserve">Dan Med J</w:t>
      </w:r>
      <w:r>
        <w:t xml:space="preserve"> </w:t>
      </w:r>
      <w:r>
        <w:t xml:space="preserve">· Effects of liraglutide on neurodegeneration, blood flow and cognition in Alzheimer´s disease - protocol for a controlled, randomized double-blinded trial. PMID 23158895</w:t>
      </w:r>
    </w:p>
    <w:p>
      <w:pPr>
        <w:numPr>
          <w:ilvl w:val="0"/>
          <w:numId w:val="1377"/>
        </w:numPr>
        <w:pStyle w:val="Compact"/>
      </w:pPr>
      <w:r>
        <w:t xml:space="preserve">2012 · Li CJ ·</w:t>
      </w:r>
      <w:r>
        <w:t xml:space="preserve"> </w:t>
      </w:r>
      <w:r>
        <w:rPr>
          <w:iCs/>
          <w:i/>
        </w:rPr>
        <w:t xml:space="preserve">Cardiovasc Diabetol</w:t>
      </w:r>
      <w:r>
        <w:t xml:space="preserve"> </w:t>
      </w:r>
      <w:r>
        <w:t xml:space="preserve">· Efficacy and safety comparison between liraglutide as add-on therapy to insulin and insulin dose-increase in Chinese subjects with poorly controlled type 2 diabetes and abdominal obesity. PMID 23153177</w:t>
      </w:r>
    </w:p>
    <w:p>
      <w:pPr>
        <w:numPr>
          <w:ilvl w:val="0"/>
          <w:numId w:val="1377"/>
        </w:numPr>
        <w:pStyle w:val="Compact"/>
      </w:pPr>
      <w:r>
        <w:t xml:space="preserve">2012 · Pratley RE ·</w:t>
      </w:r>
      <w:r>
        <w:t xml:space="preserve"> </w:t>
      </w:r>
      <w:r>
        <w:rPr>
          <w:iCs/>
          <w:i/>
        </w:rPr>
        <w:t xml:space="preserve">Diabetes Care</w:t>
      </w:r>
      <w:r>
        <w:t xml:space="preserve"> </w:t>
      </w:r>
      <w:r>
        <w:t xml:space="preserve">· Efficacy and safety of switching from the DPP-4 inhibitor sitagliptin to the human GLP-1 analog liraglutide after 52 weeks in metformin-treated patients with type 2 diabetes: a randomized, open-label trial. PMID 22851600</w:t>
      </w:r>
    </w:p>
    <w:p>
      <w:pPr>
        <w:numPr>
          <w:ilvl w:val="0"/>
          <w:numId w:val="1377"/>
        </w:numPr>
        <w:pStyle w:val="Compact"/>
      </w:pPr>
      <w:r>
        <w:t xml:space="preserve">2012 · DeVries JH ·</w:t>
      </w:r>
      <w:r>
        <w:t xml:space="preserve"> </w:t>
      </w:r>
      <w:r>
        <w:rPr>
          <w:iCs/>
          <w:i/>
        </w:rPr>
        <w:t xml:space="preserve">Diabetes Care</w:t>
      </w:r>
      <w:r>
        <w:t xml:space="preserve"> </w:t>
      </w:r>
      <w:r>
        <w:t xml:space="preserve">· Sequential intensification of metformin treatment in type 2 diabetes with liraglutide followed by randomized addition of basal insulin prompted by A1C targets. PMID 22584132</w:t>
      </w:r>
    </w:p>
    <w:p>
      <w:pPr>
        <w:numPr>
          <w:ilvl w:val="0"/>
          <w:numId w:val="1377"/>
        </w:numPr>
        <w:pStyle w:val="Compact"/>
      </w:pPr>
      <w:r>
        <w:t xml:space="preserve">2012 · Horowitz M ·</w:t>
      </w:r>
      <w:r>
        <w:t xml:space="preserve"> </w:t>
      </w:r>
      <w:r>
        <w:rPr>
          <w:iCs/>
          <w:i/>
        </w:rPr>
        <w:t xml:space="preserve">Diabetes Res Clin Pract</w:t>
      </w:r>
      <w:r>
        <w:t xml:space="preserve"> </w:t>
      </w:r>
      <w:r>
        <w:t xml:space="preserve">· Effect of the once-daily human GLP-1 analogue liraglutide on appetite, energy intake, energy expenditure and gastric emptying in type 2 diabetes. PMID 22446097</w:t>
      </w:r>
    </w:p>
    <w:p>
      <w:pPr>
        <w:numPr>
          <w:ilvl w:val="0"/>
          <w:numId w:val="1377"/>
        </w:numPr>
        <w:pStyle w:val="Compact"/>
      </w:pPr>
      <w:r>
        <w:t xml:space="preserve">2012 · Forst T ·</w:t>
      </w:r>
      <w:r>
        <w:t xml:space="preserve"> </w:t>
      </w:r>
      <w:r>
        <w:rPr>
          <w:iCs/>
          <w:i/>
        </w:rPr>
        <w:t xml:space="preserve">Diabet Med</w:t>
      </w:r>
      <w:r>
        <w:t xml:space="preserve"> </w:t>
      </w:r>
      <w:r>
        <w:t xml:space="preserve">· Addition of liraglutide in patients with Type 2 diabetes well controlled on metformin monotherapy improves several markers of vascular function. PMID 22288732</w:t>
      </w:r>
    </w:p>
    <w:p>
      <w:pPr>
        <w:numPr>
          <w:ilvl w:val="0"/>
          <w:numId w:val="1377"/>
        </w:numPr>
        <w:pStyle w:val="Compact"/>
      </w:pPr>
      <w:r>
        <w:t xml:space="preserve">2012 · Ingwersen SH ·</w:t>
      </w:r>
      <w:r>
        <w:t xml:space="preserve"> </w:t>
      </w:r>
      <w:r>
        <w:rPr>
          <w:iCs/>
          <w:i/>
        </w:rPr>
        <w:t xml:space="preserve">J Clin Pharmacol</w:t>
      </w:r>
      <w:r>
        <w:t xml:space="preserve"> </w:t>
      </w:r>
      <w:r>
        <w:t xml:space="preserve">· Dosing rationale for liraglutide in type 2 diabetes mellitus: a pharmacometric assessment. PMID 22174428</w:t>
      </w:r>
    </w:p>
    <w:p>
      <w:pPr>
        <w:numPr>
          <w:ilvl w:val="0"/>
          <w:numId w:val="1377"/>
        </w:numPr>
        <w:pStyle w:val="Compact"/>
      </w:pPr>
      <w:r>
        <w:t xml:space="preserve">2012 · Astrup A ·</w:t>
      </w:r>
      <w:r>
        <w:t xml:space="preserve"> </w:t>
      </w:r>
      <w:r>
        <w:rPr>
          <w:iCs/>
          <w:i/>
        </w:rPr>
        <w:t xml:space="preserve">Int J Obes (Lond)</w:t>
      </w:r>
      <w:r>
        <w:t xml:space="preserve"> </w:t>
      </w:r>
      <w:r>
        <w:t xml:space="preserve">· Safety, tolerability and sustained weight loss over 2 years with the once-daily human GLP-1 analog, liraglutide. PMID 21844879</w:t>
      </w:r>
    </w:p>
    <w:p>
      <w:pPr>
        <w:numPr>
          <w:ilvl w:val="0"/>
          <w:numId w:val="1377"/>
        </w:numPr>
        <w:pStyle w:val="Compact"/>
      </w:pPr>
      <w:r>
        <w:t xml:space="preserve">2011 · Mori Y ·</w:t>
      </w:r>
      <w:r>
        <w:t xml:space="preserve"> </w:t>
      </w:r>
      <w:r>
        <w:rPr>
          <w:iCs/>
          <w:i/>
        </w:rPr>
        <w:t xml:space="preserve">Diabetes Technol Ther</w:t>
      </w:r>
      <w:r>
        <w:t xml:space="preserve"> </w:t>
      </w:r>
      <w:r>
        <w:t xml:space="preserve">· Liraglutide narrows the range of circadian glycemic variations in Japanese type 2 diabetes patients and nearly flattens these variations in drug-naive type 2 diabetes patients: a continuous glucose monitoring-based study. PMID 21877924</w:t>
      </w:r>
    </w:p>
    <w:p>
      <w:pPr>
        <w:numPr>
          <w:ilvl w:val="0"/>
          <w:numId w:val="1377"/>
        </w:numPr>
        <w:pStyle w:val="Compact"/>
      </w:pPr>
      <w:r>
        <w:t xml:space="preserve">2011 · Kapitza C ·</w:t>
      </w:r>
      <w:r>
        <w:t xml:space="preserve"> </w:t>
      </w:r>
      <w:r>
        <w:rPr>
          <w:iCs/>
          <w:i/>
        </w:rPr>
        <w:t xml:space="preserve">Adv Ther</w:t>
      </w:r>
      <w:r>
        <w:t xml:space="preserve"> </w:t>
      </w:r>
      <w:r>
        <w:t xml:space="preserve">· The effect of the once-daily human glucagon-like peptide 1 analog liraglutide on the pharmacokinetics of acetaminophen. PMID 21792552</w:t>
      </w:r>
    </w:p>
    <w:p>
      <w:pPr>
        <w:numPr>
          <w:ilvl w:val="0"/>
          <w:numId w:val="1377"/>
        </w:numPr>
        <w:pStyle w:val="Compact"/>
      </w:pPr>
      <w:r>
        <w:t xml:space="preserve">2011 · Kielgast U ·</w:t>
      </w:r>
      <w:r>
        <w:t xml:space="preserve"> </w:t>
      </w:r>
      <w:r>
        <w:rPr>
          <w:iCs/>
          <w:i/>
        </w:rPr>
        <w:t xml:space="preserve">Diabetes Care</w:t>
      </w:r>
      <w:r>
        <w:t xml:space="preserve"> </w:t>
      </w:r>
      <w:r>
        <w:t xml:space="preserve">· Four weeks of treatment with liraglutide reduces insulin dose without loss of glycemic control in type 1 diabetic patients with and without residual beta-cell function. PMID 21593296</w:t>
      </w:r>
    </w:p>
    <w:p>
      <w:pPr>
        <w:numPr>
          <w:ilvl w:val="0"/>
          <w:numId w:val="1377"/>
        </w:numPr>
        <w:pStyle w:val="Compact"/>
      </w:pPr>
      <w:r>
        <w:t xml:space="preserve">2011 · Yan P ·</w:t>
      </w:r>
      <w:r>
        <w:t xml:space="preserve"> </w:t>
      </w:r>
      <w:r>
        <w:rPr>
          <w:iCs/>
          <w:i/>
        </w:rPr>
        <w:t xml:space="preserve">Diabetes Res Clin Pract</w:t>
      </w:r>
      <w:r>
        <w:t xml:space="preserve"> </w:t>
      </w:r>
      <w:r>
        <w:t xml:space="preserve">· Effects of the long-acting human glucagon-like peptide-1 analog liraglutide on plasma omentin-1 levels in patients with type 2 diabetes mellitus. PMID 21458097</w:t>
      </w:r>
    </w:p>
    <w:p>
      <w:pPr>
        <w:numPr>
          <w:ilvl w:val="0"/>
          <w:numId w:val="1377"/>
        </w:numPr>
        <w:pStyle w:val="Compact"/>
      </w:pPr>
      <w:r>
        <w:t xml:space="preserve">2011 · Buse JB ·</w:t>
      </w:r>
      <w:r>
        <w:t xml:space="preserve"> </w:t>
      </w:r>
      <w:r>
        <w:rPr>
          <w:iCs/>
          <w:i/>
        </w:rPr>
        <w:t xml:space="preserve">J Clin Endocrinol Metab</w:t>
      </w:r>
      <w:r>
        <w:t xml:space="preserve"> </w:t>
      </w:r>
      <w:r>
        <w:t xml:space="preserve">· Liraglutide treatment is associated with a low frequency and magnitude of antibody formation with no apparent impact on glycemic response or increased frequency of adverse events: results from the Liraglutide Effect and Action in Diabetes (LEAD) trials. PMID 21450987</w:t>
      </w:r>
    </w:p>
    <w:p>
      <w:pPr>
        <w:numPr>
          <w:ilvl w:val="0"/>
          <w:numId w:val="1377"/>
        </w:numPr>
        <w:pStyle w:val="Compact"/>
      </w:pPr>
      <w:r>
        <w:t xml:space="preserve">2011 · Schmidt WE ·</w:t>
      </w:r>
      <w:r>
        <w:t xml:space="preserve"> </w:t>
      </w:r>
      <w:r>
        <w:rPr>
          <w:iCs/>
          <w:i/>
        </w:rPr>
        <w:t xml:space="preserve">Diabet Med</w:t>
      </w:r>
      <w:r>
        <w:t xml:space="preserve"> </w:t>
      </w:r>
      <w:r>
        <w:t xml:space="preserve">· Patient-reported outcomes are superior in patients with Type 2 diabetes treated with liraglutide as compared with exenatide, when added to metformin, sulphonylurea or both: results from a randomized, open-label study. PMID 21388442</w:t>
      </w:r>
    </w:p>
    <w:p>
      <w:pPr>
        <w:numPr>
          <w:ilvl w:val="0"/>
          <w:numId w:val="1377"/>
        </w:numPr>
        <w:pStyle w:val="Compact"/>
      </w:pPr>
      <w:r>
        <w:t xml:space="preserve">2011 · Pratley R ·</w:t>
      </w:r>
      <w:r>
        <w:t xml:space="preserve"> </w:t>
      </w:r>
      <w:r>
        <w:rPr>
          <w:iCs/>
          <w:i/>
        </w:rPr>
        <w:t xml:space="preserve">Int J Clin Pract</w:t>
      </w:r>
      <w:r>
        <w:t xml:space="preserve"> </w:t>
      </w:r>
      <w:r>
        <w:t xml:space="preserve">· One year of liraglutide treatment offers sustained and more effective glycaemic control and weight reduction compared with sitagliptin, both in combination with metformin, in patients with type 2 diabetes: a randomised, parallel-group, open-label trial. PMID 21355967</w:t>
      </w:r>
    </w:p>
    <w:p>
      <w:pPr>
        <w:numPr>
          <w:ilvl w:val="0"/>
          <w:numId w:val="1377"/>
        </w:numPr>
        <w:pStyle w:val="Compact"/>
      </w:pPr>
      <w:r>
        <w:t xml:space="preserve">2011 · Lee WC ·</w:t>
      </w:r>
      <w:r>
        <w:t xml:space="preserve"> </w:t>
      </w:r>
      <w:r>
        <w:rPr>
          <w:iCs/>
          <w:i/>
        </w:rPr>
        <w:t xml:space="preserve">Curr Med Res Opin</w:t>
      </w:r>
      <w:r>
        <w:t xml:space="preserve"> </w:t>
      </w:r>
      <w:r>
        <w:t xml:space="preserve">· Cost-effectiveness of liraglutide versus rosiglitazone, both in combination with glimepiride in treatment of type 2 diabetes in the US. PMID 21348806</w:t>
      </w:r>
    </w:p>
    <w:p>
      <w:pPr>
        <w:numPr>
          <w:ilvl w:val="0"/>
          <w:numId w:val="1377"/>
        </w:numPr>
        <w:pStyle w:val="Compact"/>
      </w:pPr>
      <w:r>
        <w:t xml:space="preserve">2011 · Flint A ·</w:t>
      </w:r>
      <w:r>
        <w:t xml:space="preserve"> </w:t>
      </w:r>
      <w:r>
        <w:rPr>
          <w:iCs/>
          <w:i/>
        </w:rPr>
        <w:t xml:space="preserve">Adv Ther</w:t>
      </w:r>
      <w:r>
        <w:t xml:space="preserve"> </w:t>
      </w:r>
      <w:r>
        <w:t xml:space="preserve">· The once-daily human glucagon-like peptide-1 (GLP-1) analog liraglutide improves postprandial glucose levels in type 2 diabetes patients. PMID 21340616</w:t>
      </w:r>
    </w:p>
    <w:p>
      <w:pPr>
        <w:numPr>
          <w:ilvl w:val="0"/>
          <w:numId w:val="1377"/>
        </w:numPr>
        <w:pStyle w:val="Compact"/>
      </w:pPr>
      <w:r>
        <w:t xml:space="preserve">2011 · Davies M ·</w:t>
      </w:r>
      <w:r>
        <w:t xml:space="preserve"> </w:t>
      </w:r>
      <w:r>
        <w:rPr>
          <w:iCs/>
          <w:i/>
        </w:rPr>
        <w:t xml:space="preserve">Diabet Med</w:t>
      </w:r>
      <w:r>
        <w:t xml:space="preserve"> </w:t>
      </w:r>
      <w:r>
        <w:t xml:space="preserve">· Liraglutide improves treatment satisfaction in people with Type 2 diabetes compared with sitagliptin, each as an add on to metformin. PMID 21309842</w:t>
      </w:r>
    </w:p>
    <w:p>
      <w:pPr>
        <w:numPr>
          <w:ilvl w:val="0"/>
          <w:numId w:val="1377"/>
        </w:numPr>
        <w:pStyle w:val="Compact"/>
      </w:pPr>
      <w:r>
        <w:t xml:space="preserve">2011 · Jiang J ·</w:t>
      </w:r>
      <w:r>
        <w:t xml:space="preserve"> </w:t>
      </w:r>
      <w:r>
        <w:rPr>
          <w:iCs/>
          <w:i/>
        </w:rPr>
        <w:t xml:space="preserve">J Clin Pharmacol</w:t>
      </w:r>
      <w:r>
        <w:t xml:space="preserve"> </w:t>
      </w:r>
      <w:r>
        <w:t xml:space="preserve">· The pharmacokinetics, pharmacodynamics, and tolerability of liraglutide, a once-daily human GLP-1 analogue, after multiple subcutaneous administration in healthy Chinese male subjects. PMID 21273395</w:t>
      </w:r>
    </w:p>
    <w:p>
      <w:pPr>
        <w:numPr>
          <w:ilvl w:val="0"/>
          <w:numId w:val="1377"/>
        </w:numPr>
        <w:pStyle w:val="Compact"/>
      </w:pPr>
      <w:r>
        <w:t xml:space="preserve">2011 · Jacobsen LV ·</w:t>
      </w:r>
      <w:r>
        <w:t xml:space="preserve"> </w:t>
      </w:r>
      <w:r>
        <w:rPr>
          <w:iCs/>
          <w:i/>
        </w:rPr>
        <w:t xml:space="preserve">J Clin Pharmacol</w:t>
      </w:r>
      <w:r>
        <w:t xml:space="preserve"> </w:t>
      </w:r>
      <w:r>
        <w:t xml:space="preserve">· Treatment with liraglutide–a once-daily GLP-1 analog–does not reduce the bioavailability of ethinyl estradiol/levonorgestrel taken as an oral combination contraceptive drug. PMID 21228406</w:t>
      </w:r>
    </w:p>
    <w:p>
      <w:pPr>
        <w:numPr>
          <w:ilvl w:val="0"/>
          <w:numId w:val="1377"/>
        </w:numPr>
        <w:pStyle w:val="Compact"/>
      </w:pPr>
      <w:r>
        <w:t xml:space="preserve">2011 · Hegedüs L ·</w:t>
      </w:r>
      <w:r>
        <w:t xml:space="preserve"> </w:t>
      </w:r>
      <w:r>
        <w:rPr>
          <w:iCs/>
          <w:i/>
        </w:rPr>
        <w:t xml:space="preserve">J Clin Endocrinol Metab</w:t>
      </w:r>
      <w:r>
        <w:t xml:space="preserve"> </w:t>
      </w:r>
      <w:r>
        <w:t xml:space="preserve">· GLP-1 and calcitonin concentration in humans: lack of evidence of calcitonin release from sequential screening in over 5000 subjects with type 2 diabetes or nondiabetic obese subjects treated with the human GLP-1 analog, liraglutide. PMID 21209033</w:t>
      </w:r>
    </w:p>
    <w:p>
      <w:pPr>
        <w:numPr>
          <w:ilvl w:val="0"/>
          <w:numId w:val="1377"/>
        </w:numPr>
        <w:pStyle w:val="Compact"/>
      </w:pPr>
      <w:r>
        <w:t xml:space="preserve">2011 · Garber A ·</w:t>
      </w:r>
      <w:r>
        <w:t xml:space="preserve"> </w:t>
      </w:r>
      <w:r>
        <w:rPr>
          <w:iCs/>
          <w:i/>
        </w:rPr>
        <w:t xml:space="preserve">Diabetes Obes Metab</w:t>
      </w:r>
      <w:r>
        <w:t xml:space="preserve"> </w:t>
      </w:r>
      <w:r>
        <w:t xml:space="preserve">· Liraglutide, a once-daily human glucagon-like peptide 1 analogue, provides sustained improvements in glycaemic control and weight for 2 years as monotherapy compared with glimepiride in patients with type 2 diabetes. PMID 21205128</w:t>
      </w:r>
    </w:p>
    <w:p>
      <w:pPr>
        <w:numPr>
          <w:ilvl w:val="0"/>
          <w:numId w:val="1377"/>
        </w:numPr>
        <w:pStyle w:val="Compact"/>
      </w:pPr>
      <w:r>
        <w:t xml:space="preserve">2011 · Yang W ·</w:t>
      </w:r>
      <w:r>
        <w:t xml:space="preserve"> </w:t>
      </w:r>
      <w:r>
        <w:rPr>
          <w:iCs/>
          <w:i/>
        </w:rPr>
        <w:t xml:space="preserve">Diabetes Obes Metab</w:t>
      </w:r>
      <w:r>
        <w:t xml:space="preserve"> </w:t>
      </w:r>
      <w:r>
        <w:t xml:space="preserve">· Liraglutide provides similar glycaemic control as glimepiride (both in combination with metformin) and reduces body weight and systolic blood pressure in Asian population with type 2 diabetes from China, South Korea and India: a 16-week, randomized, double-blind, active control trial(*). PMID 21114607</w:t>
      </w:r>
    </w:p>
    <w:p>
      <w:pPr>
        <w:numPr>
          <w:ilvl w:val="0"/>
          <w:numId w:val="1377"/>
        </w:numPr>
        <w:pStyle w:val="Compact"/>
      </w:pPr>
      <w:r>
        <w:t xml:space="preserve">2011 · Kapitza C ·</w:t>
      </w:r>
      <w:r>
        <w:t xml:space="preserve"> </w:t>
      </w:r>
      <w:r>
        <w:rPr>
          <w:iCs/>
          <w:i/>
        </w:rPr>
        <w:t xml:space="preserve">J Clin Pharmacol</w:t>
      </w:r>
      <w:r>
        <w:t xml:space="preserve"> </w:t>
      </w:r>
      <w:r>
        <w:t xml:space="preserve">· Effect of three different injection sites on the pharmacokinetics of the once-daily human GLP-1 analogue liraglutide. PMID 20671294</w:t>
      </w:r>
    </w:p>
    <w:p>
      <w:pPr>
        <w:numPr>
          <w:ilvl w:val="0"/>
          <w:numId w:val="1377"/>
        </w:numPr>
        <w:pStyle w:val="Compact"/>
      </w:pPr>
      <w:r>
        <w:t xml:space="preserve">2010 · García-Hernández P ·</w:t>
      </w:r>
      <w:r>
        <w:t xml:space="preserve"> </w:t>
      </w:r>
      <w:r>
        <w:rPr>
          <w:iCs/>
          <w:i/>
        </w:rPr>
        <w:t xml:space="preserve">Rev Med Inst Mex Seguro Soc</w:t>
      </w:r>
      <w:r>
        <w:t xml:space="preserve"> </w:t>
      </w:r>
      <w:r>
        <w:t xml:space="preserve">· [Liraglutide and glimepiride on glycaemic control in type 2 diabetes in the Mexican cohort (LEAD 3)]. PMID 21205505</w:t>
      </w:r>
    </w:p>
    <w:p>
      <w:pPr>
        <w:numPr>
          <w:ilvl w:val="0"/>
          <w:numId w:val="1377"/>
        </w:numPr>
        <w:pStyle w:val="Compact"/>
      </w:pPr>
      <w:r>
        <w:t xml:space="preserve">2010 · Flint A ·</w:t>
      </w:r>
      <w:r>
        <w:t xml:space="preserve"> </w:t>
      </w:r>
      <w:r>
        <w:rPr>
          <w:iCs/>
          <w:i/>
        </w:rPr>
        <w:t xml:space="preserve">Br J Clin Pharmacol</w:t>
      </w:r>
      <w:r>
        <w:t xml:space="preserve"> </w:t>
      </w:r>
      <w:r>
        <w:t xml:space="preserve">· Influence of hepatic impairment on pharmacokinetics of the human GLP-1 analogue, liraglutide. PMID 21175436</w:t>
      </w:r>
    </w:p>
    <w:p>
      <w:pPr>
        <w:numPr>
          <w:ilvl w:val="0"/>
          <w:numId w:val="1377"/>
        </w:numPr>
        <w:pStyle w:val="Compact"/>
      </w:pPr>
      <w:r>
        <w:t xml:space="preserve">2010 · Malm-Erjefält M ·</w:t>
      </w:r>
      <w:r>
        <w:t xml:space="preserve"> </w:t>
      </w:r>
      <w:r>
        <w:rPr>
          <w:iCs/>
          <w:i/>
        </w:rPr>
        <w:t xml:space="preserve">Drug Metab Dispos</w:t>
      </w:r>
      <w:r>
        <w:t xml:space="preserve"> </w:t>
      </w:r>
      <w:r>
        <w:t xml:space="preserve">· Metabolism and excretion of the once-daily human glucagon-like peptide-1 analog liraglutide in healthy male subjects and its in vitro degradation by dipeptidyl peptidase IV and neutral endopeptidase. PMID 20709939</w:t>
      </w:r>
    </w:p>
    <w:p>
      <w:pPr>
        <w:numPr>
          <w:ilvl w:val="0"/>
          <w:numId w:val="1377"/>
        </w:numPr>
        <w:pStyle w:val="Compact"/>
      </w:pPr>
      <w:r>
        <w:t xml:space="preserve">2010 · Bode BW ·</w:t>
      </w:r>
      <w:r>
        <w:t xml:space="preserve"> </w:t>
      </w:r>
      <w:r>
        <w:rPr>
          <w:iCs/>
          <w:i/>
        </w:rPr>
        <w:t xml:space="preserve">Diabetes Obes Metab</w:t>
      </w:r>
      <w:r>
        <w:t xml:space="preserve"> </w:t>
      </w:r>
      <w:r>
        <w:t xml:space="preserve">· Patient-reported outcomes following treatment with the human GLP-1 analogue liraglutide or glimepiride in monotherapy: results from a randomized controlled trial in patients with type 2 diabetes. PMID 20590735</w:t>
      </w:r>
    </w:p>
    <w:p>
      <w:pPr>
        <w:numPr>
          <w:ilvl w:val="0"/>
          <w:numId w:val="1377"/>
        </w:numPr>
        <w:pStyle w:val="Compact"/>
      </w:pPr>
      <w:r>
        <w:t xml:space="preserve">2010 · Hermansen K ·</w:t>
      </w:r>
      <w:r>
        <w:t xml:space="preserve"> </w:t>
      </w:r>
      <w:r>
        <w:rPr>
          <w:iCs/>
          <w:i/>
        </w:rPr>
        <w:t xml:space="preserve">Prim Care Diabetes</w:t>
      </w:r>
      <w:r>
        <w:t xml:space="preserve"> </w:t>
      </w:r>
      <w:r>
        <w:t xml:space="preserve">· Patient-reported outcomes in patients with type 2 diabetes treated with liraglutide or glimepiride, both as add-on to metformin. PMID 20444662</w:t>
      </w:r>
    </w:p>
    <w:p>
      <w:pPr>
        <w:numPr>
          <w:ilvl w:val="0"/>
          <w:numId w:val="1377"/>
        </w:numPr>
        <w:pStyle w:val="Compact"/>
      </w:pPr>
      <w:r>
        <w:t xml:space="preserve">2010 · Pratley RE ·</w:t>
      </w:r>
      <w:r>
        <w:t xml:space="preserve"> </w:t>
      </w:r>
      <w:r>
        <w:rPr>
          <w:iCs/>
          <w:i/>
        </w:rPr>
        <w:t xml:space="preserve">Lancet</w:t>
      </w:r>
      <w:r>
        <w:t xml:space="preserve"> </w:t>
      </w:r>
      <w:r>
        <w:t xml:space="preserve">· Liraglutide versus sitagliptin for patients with type 2 diabetes who did not have adequate glycaemic control with metformin: a 26-week, randomised, parallel-group, open-label trial. PMID 20417856</w:t>
      </w:r>
    </w:p>
    <w:p>
      <w:pPr>
        <w:numPr>
          <w:ilvl w:val="0"/>
          <w:numId w:val="1377"/>
        </w:numPr>
        <w:pStyle w:val="Compact"/>
      </w:pPr>
      <w:r>
        <w:t xml:space="preserve">2010 · Kaku K ·</w:t>
      </w:r>
      <w:r>
        <w:t xml:space="preserve"> </w:t>
      </w:r>
      <w:r>
        <w:rPr>
          <w:iCs/>
          <w:i/>
        </w:rPr>
        <w:t xml:space="preserve">Diabetes Obes Metab</w:t>
      </w:r>
      <w:r>
        <w:t xml:space="preserve"> </w:t>
      </w:r>
      <w:r>
        <w:t xml:space="preserve">· Improved glycaemic control with minimal hypoglycaemia and no weight change with the once-daily human glucagon-like peptide-1 analogue liraglutide as add-on to sulphonylurea in Japanese patients with type 2 diabetes. PMID 20380655</w:t>
      </w:r>
    </w:p>
    <w:p>
      <w:pPr>
        <w:numPr>
          <w:ilvl w:val="0"/>
          <w:numId w:val="1377"/>
        </w:numPr>
        <w:pStyle w:val="Compact"/>
      </w:pPr>
      <w:r>
        <w:t xml:space="preserve">2010 · Buse JB ·</w:t>
      </w:r>
      <w:r>
        <w:t xml:space="preserve"> </w:t>
      </w:r>
      <w:r>
        <w:rPr>
          <w:iCs/>
          <w:i/>
        </w:rPr>
        <w:t xml:space="preserve">Diabetes Care</w:t>
      </w:r>
      <w:r>
        <w:t xml:space="preserve"> </w:t>
      </w:r>
      <w:r>
        <w:t xml:space="preserve">· Switching to once-daily liraglutide from twice-daily exenatide further improves glycemic control in patients with type 2 diabetes using oral agents. PMID 20332351</w:t>
      </w:r>
    </w:p>
    <w:p>
      <w:pPr>
        <w:numPr>
          <w:ilvl w:val="0"/>
          <w:numId w:val="1377"/>
        </w:numPr>
        <w:pStyle w:val="Compact"/>
      </w:pPr>
      <w:r>
        <w:t xml:space="preserve">2010 · Bjerre Knudsen L ·</w:t>
      </w:r>
      <w:r>
        <w:t xml:space="preserve"> </w:t>
      </w:r>
      <w:r>
        <w:rPr>
          <w:iCs/>
          <w:i/>
        </w:rPr>
        <w:t xml:space="preserve">Endocrinology</w:t>
      </w:r>
      <w:r>
        <w:t xml:space="preserve"> </w:t>
      </w:r>
      <w:r>
        <w:t xml:space="preserve">· Glucagon-like Peptide-1 receptor agonists activate rodent thyroid C-cells causing calcitonin release and C-cell proliferation. PMID 20203154</w:t>
      </w:r>
    </w:p>
    <w:p>
      <w:pPr>
        <w:numPr>
          <w:ilvl w:val="0"/>
          <w:numId w:val="1377"/>
        </w:numPr>
        <w:pStyle w:val="Compact"/>
      </w:pPr>
      <w:r>
        <w:t xml:space="preserve">2010 · Seino Y ·</w:t>
      </w:r>
      <w:r>
        <w:t xml:space="preserve"> </w:t>
      </w:r>
      <w:r>
        <w:rPr>
          <w:iCs/>
          <w:i/>
        </w:rPr>
        <w:t xml:space="preserve">Curr Med Res Opin</w:t>
      </w:r>
      <w:r>
        <w:t xml:space="preserve"> </w:t>
      </w:r>
      <w:r>
        <w:t xml:space="preserve">· Efficacy and safety of the once-daily human GLP-1 analogue, liraglutide, vs glibenclamide monotherapy in Japanese patients with type 2 diabetes. PMID 20199137</w:t>
      </w:r>
    </w:p>
    <w:p>
      <w:pPr>
        <w:numPr>
          <w:ilvl w:val="0"/>
          <w:numId w:val="1377"/>
        </w:numPr>
        <w:pStyle w:val="Compact"/>
      </w:pPr>
      <w:r>
        <w:t xml:space="preserve">2010 · Gallwitz B ·</w:t>
      </w:r>
      <w:r>
        <w:t xml:space="preserve"> </w:t>
      </w:r>
      <w:r>
        <w:rPr>
          <w:iCs/>
          <w:i/>
        </w:rPr>
        <w:t xml:space="preserve">Int J Clin Pract</w:t>
      </w:r>
      <w:r>
        <w:t xml:space="preserve"> </w:t>
      </w:r>
      <w:r>
        <w:t xml:space="preserve">· Adding liraglutide to oral antidiabetic drug therapy: onset of treatment effects over time. PMID 19925617</w:t>
      </w:r>
    </w:p>
    <w:p>
      <w:pPr>
        <w:numPr>
          <w:ilvl w:val="0"/>
          <w:numId w:val="1377"/>
        </w:numPr>
        <w:pStyle w:val="Compact"/>
      </w:pPr>
      <w:r>
        <w:t xml:space="preserve">2009 · Jacobsen LV ·</w:t>
      </w:r>
      <w:r>
        <w:t xml:space="preserve"> </w:t>
      </w:r>
      <w:r>
        <w:rPr>
          <w:iCs/>
          <w:i/>
        </w:rPr>
        <w:t xml:space="preserve">Br J Clin Pharmacol</w:t>
      </w:r>
      <w:r>
        <w:t xml:space="preserve"> </w:t>
      </w:r>
      <w:r>
        <w:t xml:space="preserve">· Effect of renal impairment on the pharmacokinetics of the GLP-1 analogue liraglutide. PMID 20002084</w:t>
      </w:r>
    </w:p>
    <w:p>
      <w:pPr>
        <w:numPr>
          <w:ilvl w:val="0"/>
          <w:numId w:val="1377"/>
        </w:numPr>
        <w:pStyle w:val="Compact"/>
      </w:pPr>
      <w:r>
        <w:t xml:space="preserve">2009 · Jendle J ·</w:t>
      </w:r>
      <w:r>
        <w:t xml:space="preserve"> </w:t>
      </w:r>
      <w:r>
        <w:rPr>
          <w:iCs/>
          <w:i/>
        </w:rPr>
        <w:t xml:space="preserve">Diabetes Obes Metab</w:t>
      </w:r>
      <w:r>
        <w:t xml:space="preserve"> </w:t>
      </w:r>
      <w:r>
        <w:t xml:space="preserve">· Weight loss with liraglutide, a once-daily human glucagon-like peptide-1 analogue for type 2 diabetes treatment as monotherapy or added to metformin, is primarily as a result of a reduction in fat tissue. PMID 19930006</w:t>
      </w:r>
    </w:p>
    <w:p>
      <w:pPr>
        <w:numPr>
          <w:ilvl w:val="0"/>
          <w:numId w:val="1377"/>
        </w:numPr>
        <w:pStyle w:val="Compact"/>
      </w:pPr>
      <w:r>
        <w:t xml:space="preserve">2009 · Sullivan SD ·</w:t>
      </w:r>
      <w:r>
        <w:t xml:space="preserve"> </w:t>
      </w:r>
      <w:r>
        <w:rPr>
          <w:iCs/>
          <w:i/>
        </w:rPr>
        <w:t xml:space="preserve">Pharmacotherapy</w:t>
      </w:r>
      <w:r>
        <w:t xml:space="preserve"> </w:t>
      </w:r>
      <w:r>
        <w:t xml:space="preserve">· A simulation of the comparative long-term effectiveness of liraglutide and glimepiride monotherapies in patients with type 2 diabetes mellitus. PMID 19873688</w:t>
      </w:r>
    </w:p>
    <w:p>
      <w:pPr>
        <w:numPr>
          <w:ilvl w:val="0"/>
          <w:numId w:val="1377"/>
        </w:numPr>
        <w:pStyle w:val="Compact"/>
      </w:pPr>
      <w:r>
        <w:t xml:space="preserve">2009 · Astrup A ·</w:t>
      </w:r>
      <w:r>
        <w:t xml:space="preserve"> </w:t>
      </w:r>
      <w:r>
        <w:rPr>
          <w:iCs/>
          <w:i/>
        </w:rPr>
        <w:t xml:space="preserve">Lancet</w:t>
      </w:r>
      <w:r>
        <w:t xml:space="preserve"> </w:t>
      </w:r>
      <w:r>
        <w:t xml:space="preserve">· Effects of liraglutide in the treatment of obesity: a randomised, double-blind, placebo-controlled study. PMID 19853906</w:t>
      </w:r>
    </w:p>
    <w:p>
      <w:pPr>
        <w:numPr>
          <w:ilvl w:val="0"/>
          <w:numId w:val="1377"/>
        </w:numPr>
        <w:pStyle w:val="Compact"/>
      </w:pPr>
      <w:r>
        <w:t xml:space="preserve">2009 · Chatterjee DJ ·</w:t>
      </w:r>
      <w:r>
        <w:t xml:space="preserve"> </w:t>
      </w:r>
      <w:r>
        <w:rPr>
          <w:iCs/>
          <w:i/>
        </w:rPr>
        <w:t xml:space="preserve">J Clin Pharmacol</w:t>
      </w:r>
      <w:r>
        <w:t xml:space="preserve"> </w:t>
      </w:r>
      <w:r>
        <w:t xml:space="preserve">· Absence of QTc prolongation in a thorough QT study with subcutaneous liraglutide, a once-daily human GLP-1 analog for treatment of type 2 diabetes. PMID 19737980</w:t>
      </w:r>
    </w:p>
    <w:p>
      <w:pPr>
        <w:numPr>
          <w:ilvl w:val="0"/>
          <w:numId w:val="1377"/>
        </w:numPr>
        <w:pStyle w:val="Compact"/>
      </w:pPr>
      <w:r>
        <w:t xml:space="preserve">2009 · Russell-Jones D ·</w:t>
      </w:r>
      <w:r>
        <w:t xml:space="preserve"> </w:t>
      </w:r>
      <w:r>
        <w:rPr>
          <w:iCs/>
          <w:i/>
        </w:rPr>
        <w:t xml:space="preserve">Diabetologia</w:t>
      </w:r>
      <w:r>
        <w:t xml:space="preserve"> </w:t>
      </w:r>
      <w:r>
        <w:t xml:space="preserve">· Liraglutide vs insulin glargine and placebo in combination with metformin and sulfonylurea therapy in type 2 diabetes mellitus (LEAD-5 met+SU): a randomised controlled trial. PMID 19688338</w:t>
      </w:r>
    </w:p>
    <w:p>
      <w:pPr>
        <w:numPr>
          <w:ilvl w:val="0"/>
          <w:numId w:val="1377"/>
        </w:numPr>
        <w:pStyle w:val="Compact"/>
      </w:pPr>
      <w:r>
        <w:t xml:space="preserve">2009 · Buse JB ·</w:t>
      </w:r>
      <w:r>
        <w:t xml:space="preserve"> </w:t>
      </w:r>
      <w:r>
        <w:rPr>
          <w:iCs/>
          <w:i/>
        </w:rPr>
        <w:t xml:space="preserve">Lancet</w:t>
      </w:r>
      <w:r>
        <w:t xml:space="preserve"> </w:t>
      </w:r>
      <w:r>
        <w:t xml:space="preserve">· Liraglutide once a day versus exenatide twice a day for type 2 diabetes: a 26-week randomised, parallel-group, multinational, open-label trial (LEAD-6). PMID 19515413</w:t>
      </w:r>
    </w:p>
    <w:p>
      <w:pPr>
        <w:numPr>
          <w:ilvl w:val="0"/>
          <w:numId w:val="1377"/>
        </w:numPr>
        <w:pStyle w:val="Compact"/>
      </w:pPr>
      <w:r>
        <w:t xml:space="preserve">2009 · Nauck M ·</w:t>
      </w:r>
      <w:r>
        <w:t xml:space="preserve"> </w:t>
      </w:r>
      <w:r>
        <w:rPr>
          <w:iCs/>
          <w:i/>
        </w:rPr>
        <w:t xml:space="preserve">Postgrad Med</w:t>
      </w:r>
      <w:r>
        <w:t xml:space="preserve"> </w:t>
      </w:r>
      <w:r>
        <w:t xml:space="preserve">· Adding liraglutide to oral antidiabetic drug monotherapy: efficacy and weight benefits. PMID 19491535</w:t>
      </w:r>
    </w:p>
    <w:p>
      <w:pPr>
        <w:numPr>
          <w:ilvl w:val="0"/>
          <w:numId w:val="1377"/>
        </w:numPr>
        <w:pStyle w:val="Compact"/>
      </w:pPr>
      <w:r>
        <w:t xml:space="preserve">2009 · Marre M ·</w:t>
      </w:r>
      <w:r>
        <w:t xml:space="preserve"> </w:t>
      </w:r>
      <w:r>
        <w:rPr>
          <w:iCs/>
          <w:i/>
        </w:rPr>
        <w:t xml:space="preserve">Diabet Med</w:t>
      </w:r>
      <w:r>
        <w:t xml:space="preserve"> </w:t>
      </w:r>
      <w:r>
        <w:t xml:space="preserve">· Liraglutide, a once-daily human GLP-1 analogue, added to a sulphonylurea over 26 weeks produces greater improvements in glycaemic and weight control compared with adding rosiglitazone or placebo in subjects with Type 2 diabetes (LEAD-1 SU). PMID 19317822</w:t>
      </w:r>
    </w:p>
    <w:p>
      <w:pPr>
        <w:numPr>
          <w:ilvl w:val="0"/>
          <w:numId w:val="1377"/>
        </w:numPr>
        <w:pStyle w:val="Compact"/>
      </w:pPr>
      <w:r>
        <w:t xml:space="preserve">2009 · Zinman B ·</w:t>
      </w:r>
      <w:r>
        <w:t xml:space="preserve"> </w:t>
      </w:r>
      <w:r>
        <w:rPr>
          <w:iCs/>
          <w:i/>
        </w:rPr>
        <w:t xml:space="preserve">Diabetes Care</w:t>
      </w:r>
      <w:r>
        <w:t xml:space="preserve"> </w:t>
      </w:r>
      <w:r>
        <w:t xml:space="preserve">· Efficacy and safety of the human glucagon-like peptide-1 analog liraglutide in combination with metformin and thiazolidinedione in patients with type 2 diabetes (LEAD-4 Met+TZD). PMID 19289857</w:t>
      </w:r>
    </w:p>
    <w:p>
      <w:pPr>
        <w:numPr>
          <w:ilvl w:val="0"/>
          <w:numId w:val="1377"/>
        </w:numPr>
        <w:pStyle w:val="Compact"/>
      </w:pPr>
      <w:r>
        <w:t xml:space="preserve">2009 · Sullivan SD ·</w:t>
      </w:r>
      <w:r>
        <w:t xml:space="preserve"> </w:t>
      </w:r>
      <w:r>
        <w:rPr>
          <w:iCs/>
          <w:i/>
        </w:rPr>
        <w:t xml:space="preserve">Cardiovasc Diabetol</w:t>
      </w:r>
      <w:r>
        <w:t xml:space="preserve"> </w:t>
      </w:r>
      <w:r>
        <w:t xml:space="preserve">· Long-term outcomes in patients with type 2 diabetes receiving glimepiride combined with liraglutide or rosiglitazone. PMID 19245711</w:t>
      </w:r>
    </w:p>
    <w:p>
      <w:pPr>
        <w:numPr>
          <w:ilvl w:val="0"/>
          <w:numId w:val="1377"/>
        </w:numPr>
        <w:pStyle w:val="Compact"/>
      </w:pPr>
      <w:r>
        <w:t xml:space="preserve">2009 · Nauck M ·</w:t>
      </w:r>
      <w:r>
        <w:t xml:space="preserve"> </w:t>
      </w:r>
      <w:r>
        <w:rPr>
          <w:iCs/>
          <w:i/>
        </w:rPr>
        <w:t xml:space="preserve">Diabetes Care</w:t>
      </w:r>
      <w:r>
        <w:t xml:space="preserve"> </w:t>
      </w:r>
      <w:r>
        <w:t xml:space="preserve">· Efficacy and safety comparison of liraglutide, glimepiride, and placebo, all in combination with metformin, in type 2 diabetes: the LEAD (liraglutide effect and action in diabetes)-2 study. PMID 18931095</w:t>
      </w:r>
    </w:p>
    <w:p>
      <w:pPr>
        <w:numPr>
          <w:ilvl w:val="0"/>
          <w:numId w:val="1377"/>
        </w:numPr>
        <w:pStyle w:val="Compact"/>
      </w:pPr>
      <w:r>
        <w:t xml:space="preserve">2009 · Garber A ·</w:t>
      </w:r>
      <w:r>
        <w:t xml:space="preserve"> </w:t>
      </w:r>
      <w:r>
        <w:rPr>
          <w:iCs/>
          <w:i/>
        </w:rPr>
        <w:t xml:space="preserve">Lancet</w:t>
      </w:r>
      <w:r>
        <w:t xml:space="preserve"> </w:t>
      </w:r>
      <w:r>
        <w:t xml:space="preserve">· Liraglutide versus glimepiride monotherapy for type 2 diabetes (LEAD-3 Mono): a randomised, 52-week, phase III, double-blind, parallel-treatment trial. PMID 18819705</w:t>
      </w:r>
    </w:p>
    <w:p>
      <w:pPr>
        <w:numPr>
          <w:ilvl w:val="0"/>
          <w:numId w:val="1377"/>
        </w:numPr>
        <w:pStyle w:val="Compact"/>
      </w:pPr>
      <w:r>
        <w:t xml:space="preserve">2008 · Courrèges JP ·</w:t>
      </w:r>
      <w:r>
        <w:t xml:space="preserve"> </w:t>
      </w:r>
      <w:r>
        <w:rPr>
          <w:iCs/>
          <w:i/>
        </w:rPr>
        <w:t xml:space="preserve">Diabet Med</w:t>
      </w:r>
      <w:r>
        <w:t xml:space="preserve"> </w:t>
      </w:r>
      <w:r>
        <w:t xml:space="preserve">· Beneficial effects of once-daily liraglutide, a human glucagon-like peptide-1 analogue, on cardiovascular risk biomarkers in patients with Type 2 diabetes. PMID 19183322</w:t>
      </w:r>
    </w:p>
    <w:p>
      <w:pPr>
        <w:numPr>
          <w:ilvl w:val="0"/>
          <w:numId w:val="1377"/>
        </w:numPr>
        <w:pStyle w:val="Compact"/>
      </w:pPr>
      <w:r>
        <w:t xml:space="preserve">2008 · Irie S ·</w:t>
      </w:r>
      <w:r>
        <w:t xml:space="preserve"> </w:t>
      </w:r>
      <w:r>
        <w:rPr>
          <w:iCs/>
          <w:i/>
        </w:rPr>
        <w:t xml:space="preserve">Int J Clin Pharmacol Ther</w:t>
      </w:r>
      <w:r>
        <w:t xml:space="preserve"> </w:t>
      </w:r>
      <w:r>
        <w:t xml:space="preserve">· Tolerability, pharmacokinetics and pharmacodynamics of the once-daily human GLP-1 analog liraglutide in Japanese healthy subjects: a randomized, double-blind, placebo-controlled dose-escalation study. PMID 18541123</w:t>
      </w:r>
    </w:p>
    <w:p>
      <w:pPr>
        <w:numPr>
          <w:ilvl w:val="0"/>
          <w:numId w:val="1377"/>
        </w:numPr>
        <w:pStyle w:val="Compact"/>
      </w:pPr>
      <w:r>
        <w:t xml:space="preserve">2008 · Seino Y ·</w:t>
      </w:r>
      <w:r>
        <w:t xml:space="preserve"> </w:t>
      </w:r>
      <w:r>
        <w:rPr>
          <w:iCs/>
          <w:i/>
        </w:rPr>
        <w:t xml:space="preserve">Diabetes Res Clin Pract</w:t>
      </w:r>
      <w:r>
        <w:t xml:space="preserve"> </w:t>
      </w:r>
      <w:r>
        <w:t xml:space="preserve">· Dose-dependent improvement in glycemia with once-daily liraglutide without hypoglycemia or weight gain: A double-blind, randomized, controlled trial in Japanese patients with type 2 diabetes. PMID 18495285</w:t>
      </w:r>
    </w:p>
    <w:p>
      <w:pPr>
        <w:numPr>
          <w:ilvl w:val="0"/>
          <w:numId w:val="1377"/>
        </w:numPr>
        <w:pStyle w:val="Compact"/>
      </w:pPr>
      <w:r>
        <w:t xml:space="preserve">2008 · Horowitz M ·</w:t>
      </w:r>
      <w:r>
        <w:t xml:space="preserve"> </w:t>
      </w:r>
      <w:r>
        <w:rPr>
          <w:iCs/>
          <w:i/>
        </w:rPr>
        <w:t xml:space="preserve">Diabetes Obes Metab</w:t>
      </w:r>
      <w:r>
        <w:t xml:space="preserve"> </w:t>
      </w:r>
      <w:r>
        <w:t xml:space="preserve">· Patient-reported rating of gastrointestinal adverse effects during treatment of type 2 diabetes with the once-daily human GLP-1 analogue, liraglutide. PMID 18435773</w:t>
      </w:r>
    </w:p>
    <w:p>
      <w:pPr>
        <w:numPr>
          <w:ilvl w:val="0"/>
          <w:numId w:val="1377"/>
        </w:numPr>
        <w:pStyle w:val="Compact"/>
      </w:pPr>
      <w:r>
        <w:t xml:space="preserve">2008 · Vilsbøll T ·</w:t>
      </w:r>
      <w:r>
        <w:t xml:space="preserve"> </w:t>
      </w:r>
      <w:r>
        <w:rPr>
          <w:iCs/>
          <w:i/>
        </w:rPr>
        <w:t xml:space="preserve">Diabet Med</w:t>
      </w:r>
      <w:r>
        <w:t xml:space="preserve"> </w:t>
      </w:r>
      <w:r>
        <w:t xml:space="preserve">· Liraglutide, a once-daily human GLP-1 analogue, improves pancreatic B-cell function and arginine-stimulated insulin secretion during hyperglycaemia in patients with Type 2 diabetes mellitus. PMID 18201212</w:t>
      </w:r>
    </w:p>
    <w:p>
      <w:pPr>
        <w:numPr>
          <w:ilvl w:val="0"/>
          <w:numId w:val="1377"/>
        </w:numPr>
        <w:pStyle w:val="Compact"/>
      </w:pPr>
      <w:r>
        <w:t xml:space="preserve">2007 · Mari A ·</w:t>
      </w:r>
      <w:r>
        <w:t xml:space="preserve"> </w:t>
      </w:r>
      <w:r>
        <w:rPr>
          <w:iCs/>
          <w:i/>
        </w:rPr>
        <w:t xml:space="preserve">Diabetes Care</w:t>
      </w:r>
      <w:r>
        <w:t xml:space="preserve"> </w:t>
      </w:r>
      <w:r>
        <w:t xml:space="preserve">· Effects of the long-acting human glucagon-like peptide-1 analog liraglutide on beta-cell function in normal living conditions. PMID 17468345</w:t>
      </w:r>
    </w:p>
    <w:p>
      <w:pPr>
        <w:numPr>
          <w:ilvl w:val="0"/>
          <w:numId w:val="1377"/>
        </w:numPr>
        <w:pStyle w:val="Compact"/>
      </w:pPr>
      <w:r>
        <w:t xml:space="preserve">2007 · Vilsbøll T ·</w:t>
      </w:r>
      <w:r>
        <w:t xml:space="preserve"> </w:t>
      </w:r>
      <w:r>
        <w:rPr>
          <w:iCs/>
          <w:i/>
        </w:rPr>
        <w:t xml:space="preserve">Diabetes Care</w:t>
      </w:r>
      <w:r>
        <w:t xml:space="preserve"> </w:t>
      </w:r>
      <w:r>
        <w:t xml:space="preserve">· Liraglutide, a long-acting human glucagon-like peptide-1 analog, given as monotherapy significantly improves glycemic control and lowers body weight without risk of hypoglycemia in patients with type 2 diabetes. PMID 17372153</w:t>
      </w:r>
    </w:p>
    <w:p>
      <w:pPr>
        <w:numPr>
          <w:ilvl w:val="0"/>
          <w:numId w:val="1377"/>
        </w:numPr>
        <w:pStyle w:val="Compact"/>
      </w:pPr>
      <w:r>
        <w:t xml:space="preserve">2006 · Nauck MA ·</w:t>
      </w:r>
      <w:r>
        <w:t xml:space="preserve"> </w:t>
      </w:r>
      <w:r>
        <w:rPr>
          <w:iCs/>
          <w:i/>
        </w:rPr>
        <w:t xml:space="preserve">Exp Clin Endocrinol Diabetes</w:t>
      </w:r>
      <w:r>
        <w:t xml:space="preserve"> </w:t>
      </w:r>
      <w:r>
        <w:t xml:space="preserve">· Five weeks of treatment with the GLP-1 analogue liraglutide improves glycaemic control and lowers body weight in subjects with type 2 diabetes. PMID 17039422</w:t>
      </w:r>
    </w:p>
    <w:p>
      <w:pPr>
        <w:numPr>
          <w:ilvl w:val="0"/>
          <w:numId w:val="1377"/>
        </w:numPr>
        <w:pStyle w:val="Compact"/>
      </w:pPr>
      <w:r>
        <w:t xml:space="preserve">2006 · Damholt B ·</w:t>
      </w:r>
      <w:r>
        <w:t xml:space="preserve"> </w:t>
      </w:r>
      <w:r>
        <w:rPr>
          <w:iCs/>
          <w:i/>
        </w:rPr>
        <w:t xml:space="preserve">J Clin Pharmacol</w:t>
      </w:r>
      <w:r>
        <w:t xml:space="preserve"> </w:t>
      </w:r>
      <w:r>
        <w:t xml:space="preserve">· An open-label, parallel group study investigating the effects of age and gender on the pharmacokinetics of the once-daily glucagon-like peptide-1 analogue liraglutide. PMID 16707410</w:t>
      </w:r>
    </w:p>
    <w:p>
      <w:pPr>
        <w:numPr>
          <w:ilvl w:val="0"/>
          <w:numId w:val="1377"/>
        </w:numPr>
        <w:pStyle w:val="Compact"/>
      </w:pPr>
      <w:r>
        <w:t xml:space="preserve">2005 · Feinglos MN ·</w:t>
      </w:r>
      <w:r>
        <w:t xml:space="preserve"> </w:t>
      </w:r>
      <w:r>
        <w:rPr>
          <w:iCs/>
          <w:i/>
        </w:rPr>
        <w:t xml:space="preserve">Diabet Med</w:t>
      </w:r>
      <w:r>
        <w:t xml:space="preserve"> </w:t>
      </w:r>
      <w:r>
        <w:t xml:space="preserve">· Effects of liraglutide (NN2211), a long-acting GLP-1 analogue, on glycaemic control and bodyweight in subjects with Type 2 diabetes. PMID 16026367</w:t>
      </w:r>
    </w:p>
    <w:p>
      <w:pPr>
        <w:numPr>
          <w:ilvl w:val="0"/>
          <w:numId w:val="1377"/>
        </w:numPr>
        <w:pStyle w:val="Compact"/>
      </w:pPr>
      <w:r>
        <w:t xml:space="preserve">2004 · Harder H ·</w:t>
      </w:r>
      <w:r>
        <w:t xml:space="preserve"> </w:t>
      </w:r>
      <w:r>
        <w:rPr>
          <w:iCs/>
          <w:i/>
        </w:rPr>
        <w:t xml:space="preserve">Diabetes Care</w:t>
      </w:r>
      <w:r>
        <w:t xml:space="preserve"> </w:t>
      </w:r>
      <w:r>
        <w:t xml:space="preserve">· The effect of liraglutide, a long-acting glucagon-like peptide 1 derivative, on glycemic control, body composition, and 24-h energy expenditure in patients with type 2 diabetes. PMID 15277417</w:t>
      </w:r>
    </w:p>
    <w:p>
      <w:pPr>
        <w:numPr>
          <w:ilvl w:val="0"/>
          <w:numId w:val="1377"/>
        </w:numPr>
        <w:pStyle w:val="Compact"/>
      </w:pPr>
      <w:r>
        <w:t xml:space="preserve">2004 · Madsbad S ·</w:t>
      </w:r>
      <w:r>
        <w:t xml:space="preserve"> </w:t>
      </w:r>
      <w:r>
        <w:rPr>
          <w:iCs/>
          <w:i/>
        </w:rPr>
        <w:t xml:space="preserve">Diabetes Care</w:t>
      </w:r>
      <w:r>
        <w:t xml:space="preserve"> </w:t>
      </w:r>
      <w:r>
        <w:t xml:space="preserve">· Improved glycemic control with no weight increase in patients with type 2 diabetes after once-daily treatment with the long-acting glucagon-like peptide 1 analog liraglutide (NN2211): a 12-week, double-blind, randomized, controlled trial. PMID 15161785</w:t>
      </w:r>
    </w:p>
    <w:p>
      <w:pPr>
        <w:numPr>
          <w:ilvl w:val="0"/>
          <w:numId w:val="1377"/>
        </w:numPr>
        <w:pStyle w:val="Compact"/>
      </w:pPr>
      <w:r>
        <w:t xml:space="preserve">2004 · Degn KB ·</w:t>
      </w:r>
      <w:r>
        <w:t xml:space="preserve"> </w:t>
      </w:r>
      <w:r>
        <w:rPr>
          <w:iCs/>
          <w:i/>
        </w:rPr>
        <w:t xml:space="preserve">Diabetes</w:t>
      </w:r>
      <w:r>
        <w:t xml:space="preserve"> </w:t>
      </w:r>
      <w:r>
        <w:t xml:space="preserve">· One week’s treatment with the long-acting glucagon-like peptide 1 derivative liraglutide (NN2211) markedly improves 24-h glycemia and alpha- and beta-cell function and reduces endogenous glucose release in patients with type 2 diabetes. PMID 15111485</w:t>
      </w:r>
    </w:p>
    <w:bookmarkEnd w:id="3014"/>
    <w:bookmarkStart w:id="3015" w:name="dulaglutide-158"/>
    <w:p>
      <w:pPr>
        <w:pStyle w:val="Heading2"/>
      </w:pPr>
      <w:r>
        <w:t xml:space="preserve">Dulaglutide (158)</w:t>
      </w:r>
    </w:p>
    <w:p>
      <w:pPr>
        <w:numPr>
          <w:ilvl w:val="0"/>
          <w:numId w:val="1378"/>
        </w:numPr>
        <w:pStyle w:val="Compact"/>
      </w:pPr>
      <w:r>
        <w:t xml:space="preserve">2026 · Adly AAM ·</w:t>
      </w:r>
      <w:r>
        <w:t xml:space="preserve"> </w:t>
      </w:r>
      <w:r>
        <w:rPr>
          <w:iCs/>
          <w:i/>
        </w:rPr>
        <w:t xml:space="preserve">Diabetologia</w:t>
      </w:r>
      <w:r>
        <w:t xml:space="preserve"> </w:t>
      </w:r>
      <w:r>
        <w:t xml:space="preserve">· Dulaglutide vs insulin in adolescents with thalassaemia-induced diabetes: effect on metabolism and atherogenesis (DIADEMA). PMID 42618811</w:t>
      </w:r>
    </w:p>
    <w:p>
      <w:pPr>
        <w:numPr>
          <w:ilvl w:val="0"/>
          <w:numId w:val="1378"/>
        </w:numPr>
        <w:pStyle w:val="Compact"/>
      </w:pPr>
      <w:r>
        <w:t xml:space="preserve">2026 · Ruotolo G ·</w:t>
      </w:r>
      <w:r>
        <w:t xml:space="preserve"> </w:t>
      </w:r>
      <w:r>
        <w:rPr>
          <w:iCs/>
          <w:i/>
        </w:rPr>
        <w:t xml:space="preserve">Diabetes Obes Metab</w:t>
      </w:r>
      <w:r>
        <w:t xml:space="preserve"> </w:t>
      </w:r>
      <w:r>
        <w:t xml:space="preserve">· Retatrutide-Associated Improvements in Cardiovascular Risk Biomarkers in Adults With Obesity With or Without Type 2 Diabetes. PMID 42608321</w:t>
      </w:r>
    </w:p>
    <w:p>
      <w:pPr>
        <w:numPr>
          <w:ilvl w:val="0"/>
          <w:numId w:val="1378"/>
        </w:numPr>
        <w:pStyle w:val="Compact"/>
      </w:pPr>
      <w:r>
        <w:t xml:space="preserve">2026 · Jun JE ·</w:t>
      </w:r>
      <w:r>
        <w:t xml:space="preserve"> </w:t>
      </w:r>
      <w:r>
        <w:rPr>
          <w:iCs/>
          <w:i/>
        </w:rPr>
        <w:t xml:space="preserve">Front Endocrinol (Lausanne)</w:t>
      </w:r>
      <w:r>
        <w:t xml:space="preserve"> </w:t>
      </w:r>
      <w:r>
        <w:t xml:space="preserve">· Dulaglutide versus empagliflozin as add-on therapy to metformin and sulfonylurea in type 2 diabetes: a randomized pilot study with exploratory metabolomic and microbiome analyses. PMID 42388875</w:t>
      </w:r>
    </w:p>
    <w:p>
      <w:pPr>
        <w:numPr>
          <w:ilvl w:val="0"/>
          <w:numId w:val="1378"/>
        </w:numPr>
        <w:pStyle w:val="Compact"/>
      </w:pPr>
      <w:r>
        <w:t xml:space="preserve">2026 · Heise T ·</w:t>
      </w:r>
      <w:r>
        <w:t xml:space="preserve"> </w:t>
      </w:r>
      <w:r>
        <w:rPr>
          <w:iCs/>
          <w:i/>
        </w:rPr>
        <w:t xml:space="preserve">Diabetes Obes Metab</w:t>
      </w:r>
      <w:r>
        <w:t xml:space="preserve"> </w:t>
      </w:r>
      <w:r>
        <w:t xml:space="preserve">· Insulin Sensitivity and Beta Cell Function With Macupatide Alone or With Dulaglutide in Type 2 Diabetes: A Phase 1b, Randomised Controlled Trial. PMID 42229460</w:t>
      </w:r>
    </w:p>
    <w:p>
      <w:pPr>
        <w:numPr>
          <w:ilvl w:val="0"/>
          <w:numId w:val="1378"/>
        </w:numPr>
        <w:pStyle w:val="Compact"/>
      </w:pPr>
      <w:r>
        <w:t xml:space="preserve">2026 · Pearson MJ ·</w:t>
      </w:r>
      <w:r>
        <w:t xml:space="preserve"> </w:t>
      </w:r>
      <w:r>
        <w:rPr>
          <w:iCs/>
          <w:i/>
        </w:rPr>
        <w:t xml:space="preserve">J Clin Endocrinol Metab</w:t>
      </w:r>
      <w:r>
        <w:t xml:space="preserve"> </w:t>
      </w:r>
      <w:r>
        <w:t xml:space="preserve">· Retatrutide and lipid and metabolite profiles in participants with obesity with or without type 2 diabetes. PMID 42135195</w:t>
      </w:r>
    </w:p>
    <w:p>
      <w:pPr>
        <w:numPr>
          <w:ilvl w:val="0"/>
          <w:numId w:val="1378"/>
        </w:numPr>
        <w:pStyle w:val="Compact"/>
      </w:pPr>
      <w:r>
        <w:t xml:space="preserve">2026 · Zoungas S ·</w:t>
      </w:r>
      <w:r>
        <w:t xml:space="preserve"> </w:t>
      </w:r>
      <w:r>
        <w:rPr>
          <w:iCs/>
          <w:i/>
        </w:rPr>
        <w:t xml:space="preserve">Lancet Diabetes Endocrinol</w:t>
      </w:r>
      <w:r>
        <w:t xml:space="preserve"> </w:t>
      </w:r>
      <w:r>
        <w:t xml:space="preserve">· A comparison of the effects of tirzepatide and dulaglutide on major kidney events in people with type 2 diabetes: pre-specified exploratory analyses of the SURPASS-CVOT trial. PMID 42114520</w:t>
      </w:r>
    </w:p>
    <w:p>
      <w:pPr>
        <w:numPr>
          <w:ilvl w:val="0"/>
          <w:numId w:val="1378"/>
        </w:numPr>
        <w:pStyle w:val="Compact"/>
      </w:pPr>
      <w:r>
        <w:t xml:space="preserve">2026 · Wilson JM ·</w:t>
      </w:r>
      <w:r>
        <w:t xml:space="preserve"> </w:t>
      </w:r>
      <w:r>
        <w:rPr>
          <w:iCs/>
          <w:i/>
        </w:rPr>
        <w:t xml:space="preserve">Alzheimers Dement</w:t>
      </w:r>
      <w:r>
        <w:t xml:space="preserve"> </w:t>
      </w:r>
      <w:r>
        <w:t xml:space="preserve">· Dulaglutide and neurodegeneration biomarkers: REWIND post hoc analysis. PMID 41988866</w:t>
      </w:r>
    </w:p>
    <w:p>
      <w:pPr>
        <w:numPr>
          <w:ilvl w:val="0"/>
          <w:numId w:val="1378"/>
        </w:numPr>
        <w:pStyle w:val="Compact"/>
      </w:pPr>
      <w:r>
        <w:t xml:space="preserve">2026 · Sattar N ·</w:t>
      </w:r>
      <w:r>
        <w:t xml:space="preserve"> </w:t>
      </w:r>
      <w:r>
        <w:rPr>
          <w:iCs/>
          <w:i/>
        </w:rPr>
        <w:t xml:space="preserve">Diabetes Care</w:t>
      </w:r>
      <w:r>
        <w:t xml:space="preserve"> </w:t>
      </w:r>
      <w:r>
        <w:t xml:space="preserve">· Estimating the True MACE Benefits From Tirzepatide in SURPASS-CVOT Using an Imputed Placebo Analysis of REWIND. PMID 41940793</w:t>
      </w:r>
    </w:p>
    <w:p>
      <w:pPr>
        <w:numPr>
          <w:ilvl w:val="0"/>
          <w:numId w:val="1378"/>
        </w:numPr>
        <w:pStyle w:val="Compact"/>
      </w:pPr>
      <w:r>
        <w:t xml:space="preserve">2026 · Violante-Ortiz R ·</w:t>
      </w:r>
      <w:r>
        <w:t xml:space="preserve"> </w:t>
      </w:r>
      <w:r>
        <w:rPr>
          <w:iCs/>
          <w:i/>
        </w:rPr>
        <w:t xml:space="preserve">BMJ Open Diabetes Res Care</w:t>
      </w:r>
      <w:r>
        <w:t xml:space="preserve"> </w:t>
      </w:r>
      <w:r>
        <w:t xml:space="preserve">· Safety and efficacy of switching from dulaglutide to tirzepatide across clinically relevant baseline characteristics in participants with T2D: subgroup analysis of SURPASS-SWITCH. PMID 41912265</w:t>
      </w:r>
    </w:p>
    <w:p>
      <w:pPr>
        <w:numPr>
          <w:ilvl w:val="0"/>
          <w:numId w:val="1378"/>
        </w:numPr>
        <w:pStyle w:val="Compact"/>
      </w:pPr>
      <w:r>
        <w:t xml:space="preserve">2026 · Nissen SE ·</w:t>
      </w:r>
      <w:r>
        <w:t xml:space="preserve"> </w:t>
      </w:r>
      <w:r>
        <w:rPr>
          <w:iCs/>
          <w:i/>
        </w:rPr>
        <w:t xml:space="preserve">JAMA Cardiol</w:t>
      </w:r>
      <w:r>
        <w:t xml:space="preserve"> </w:t>
      </w:r>
      <w:r>
        <w:t xml:space="preserve">· Cardiorenal Outcomes With Tirzepatide Compared With Dulaglutide in Patients With Diabetes and Cardiovascular Disease: A Post Hoc Analysis of the SURPASS-CVOT Randomized Clinical Trial. PMID 41903177</w:t>
      </w:r>
    </w:p>
    <w:p>
      <w:pPr>
        <w:numPr>
          <w:ilvl w:val="0"/>
          <w:numId w:val="1378"/>
        </w:numPr>
        <w:pStyle w:val="Compact"/>
      </w:pPr>
      <w:r>
        <w:t xml:space="preserve">2026 · Scheen A ·</w:t>
      </w:r>
      <w:r>
        <w:t xml:space="preserve"> </w:t>
      </w:r>
      <w:r>
        <w:rPr>
          <w:iCs/>
          <w:i/>
        </w:rPr>
        <w:t xml:space="preserve">Rev Med Liege</w:t>
      </w:r>
      <w:r>
        <w:t xml:space="preserve"> </w:t>
      </w:r>
      <w:r>
        <w:t xml:space="preserve">· [SURPASS CVOT : cardiovascular benefits with tirzepatide versus dulaglutide in type 2 diabetes]. PMID 41815032</w:t>
      </w:r>
    </w:p>
    <w:p>
      <w:pPr>
        <w:numPr>
          <w:ilvl w:val="0"/>
          <w:numId w:val="1378"/>
        </w:numPr>
        <w:pStyle w:val="Compact"/>
      </w:pPr>
      <w:r>
        <w:t xml:space="preserve">2026 · Leibnitz S ·</w:t>
      </w:r>
      <w:r>
        <w:t xml:space="preserve"> </w:t>
      </w:r>
      <w:r>
        <w:rPr>
          <w:iCs/>
          <w:i/>
        </w:rPr>
        <w:t xml:space="preserve">Eur J Endocrinol</w:t>
      </w:r>
      <w:r>
        <w:t xml:space="preserve"> </w:t>
      </w:r>
      <w:r>
        <w:t xml:space="preserve">· Effects of GLP-1 receptor agonists on copeptin in euvolemic participants. PMID 41525326</w:t>
      </w:r>
    </w:p>
    <w:p>
      <w:pPr>
        <w:numPr>
          <w:ilvl w:val="0"/>
          <w:numId w:val="1378"/>
        </w:numPr>
        <w:pStyle w:val="Compact"/>
      </w:pPr>
      <w:r>
        <w:t xml:space="preserve">2026 · Guo L ·</w:t>
      </w:r>
      <w:r>
        <w:t xml:space="preserve"> </w:t>
      </w:r>
      <w:r>
        <w:rPr>
          <w:iCs/>
          <w:i/>
        </w:rPr>
        <w:t xml:space="preserve">Nature</w:t>
      </w:r>
      <w:r>
        <w:t xml:space="preserve"> </w:t>
      </w:r>
      <w:r>
        <w:t xml:space="preserve">· Mazdutide versus dulaglutide in Chinese adults with type 2 diabetes. PMID 41407860</w:t>
      </w:r>
    </w:p>
    <w:p>
      <w:pPr>
        <w:numPr>
          <w:ilvl w:val="0"/>
          <w:numId w:val="1378"/>
        </w:numPr>
        <w:pStyle w:val="Compact"/>
      </w:pPr>
      <w:r>
        <w:t xml:space="preserve">2025 · Nicholls SJ ·</w:t>
      </w:r>
      <w:r>
        <w:t xml:space="preserve"> </w:t>
      </w:r>
      <w:r>
        <w:rPr>
          <w:iCs/>
          <w:i/>
        </w:rPr>
        <w:t xml:space="preserve">N Engl J Med</w:t>
      </w:r>
      <w:r>
        <w:t xml:space="preserve"> </w:t>
      </w:r>
      <w:r>
        <w:t xml:space="preserve">· Cardiovascular Outcomes with Tirzepatide versus Dulaglutide in Type 2 Diabetes. PMID 41406444</w:t>
      </w:r>
    </w:p>
    <w:p>
      <w:pPr>
        <w:numPr>
          <w:ilvl w:val="0"/>
          <w:numId w:val="1378"/>
        </w:numPr>
        <w:pStyle w:val="Compact"/>
      </w:pPr>
      <w:r>
        <w:t xml:space="preserve">2025 · Gao R ·</w:t>
      </w:r>
      <w:r>
        <w:t xml:space="preserve"> </w:t>
      </w:r>
      <w:r>
        <w:rPr>
          <w:iCs/>
          <w:i/>
        </w:rPr>
        <w:t xml:space="preserve">Pak J Pharm Sci</w:t>
      </w:r>
      <w:r>
        <w:t xml:space="preserve"> </w:t>
      </w:r>
      <w:r>
        <w:t xml:space="preserve">· Effect of ketogenic diet plus dulaglutide on glucose and lipid metabolism in diabetes mellitus. PMID 41241797</w:t>
      </w:r>
    </w:p>
    <w:p>
      <w:pPr>
        <w:numPr>
          <w:ilvl w:val="0"/>
          <w:numId w:val="1378"/>
        </w:numPr>
        <w:pStyle w:val="Compact"/>
      </w:pPr>
      <w:r>
        <w:t xml:space="preserve">2025 · Kanu C ·</w:t>
      </w:r>
      <w:r>
        <w:t xml:space="preserve"> </w:t>
      </w:r>
      <w:r>
        <w:rPr>
          <w:iCs/>
          <w:i/>
        </w:rPr>
        <w:t xml:space="preserve">Diabetes Obes Metab</w:t>
      </w:r>
      <w:r>
        <w:t xml:space="preserve"> </w:t>
      </w:r>
      <w:r>
        <w:t xml:space="preserve">· Appetite, eating attitudes, and eating behaviours during treatment with retatrutide in adults with type 2 diabetes: Results of a phase 2 study. PMID 40916752</w:t>
      </w:r>
    </w:p>
    <w:p>
      <w:pPr>
        <w:numPr>
          <w:ilvl w:val="0"/>
          <w:numId w:val="1378"/>
        </w:numPr>
        <w:pStyle w:val="Compact"/>
      </w:pPr>
      <w:r>
        <w:t xml:space="preserve">2025 · He Y ·</w:t>
      </w:r>
      <w:r>
        <w:t xml:space="preserve"> </w:t>
      </w:r>
      <w:r>
        <w:rPr>
          <w:iCs/>
          <w:i/>
        </w:rPr>
        <w:t xml:space="preserve">Lancet Diabetes Endocrinol</w:t>
      </w:r>
      <w:r>
        <w:t xml:space="preserve"> </w:t>
      </w:r>
      <w:r>
        <w:t xml:space="preserve">· Efficacy and safety of cAMP-biased GLP-1 receptor agonist ecnoglutide versus dulaglutide in patients with type 2 diabetes and elevated glucose concentrations on metformin monotherapy (EECOH-2): a 52-week, multicentre, open-label, non-inferiority, randomised, phase 3 trial. PMID 40854315</w:t>
      </w:r>
    </w:p>
    <w:p>
      <w:pPr>
        <w:numPr>
          <w:ilvl w:val="0"/>
          <w:numId w:val="1378"/>
        </w:numPr>
        <w:pStyle w:val="Compact"/>
      </w:pPr>
      <w:r>
        <w:t xml:space="preserve">2025 · Rosenstock J ·</w:t>
      </w:r>
      <w:r>
        <w:t xml:space="preserve"> </w:t>
      </w:r>
      <w:r>
        <w:rPr>
          <w:iCs/>
          <w:i/>
        </w:rPr>
        <w:t xml:space="preserve">Diabetes Obes Metab</w:t>
      </w:r>
      <w:r>
        <w:t xml:space="preserve"> </w:t>
      </w:r>
      <w:r>
        <w:t xml:space="preserve">· Orforglipron, an oral non-peptide glucagon-like peptide-1 receptor agonist, improves markers of β-cell function and insulin sensitivity in type 2 diabetes. PMID 40808573</w:t>
      </w:r>
    </w:p>
    <w:p>
      <w:pPr>
        <w:numPr>
          <w:ilvl w:val="0"/>
          <w:numId w:val="1378"/>
        </w:numPr>
        <w:pStyle w:val="Compact"/>
      </w:pPr>
      <w:r>
        <w:t xml:space="preserve">2025 · Coskun T ·</w:t>
      </w:r>
      <w:r>
        <w:t xml:space="preserve"> </w:t>
      </w:r>
      <w:r>
        <w:rPr>
          <w:iCs/>
          <w:i/>
        </w:rPr>
        <w:t xml:space="preserve">Lancet Diabetes Endocrinol</w:t>
      </w:r>
      <w:r>
        <w:t xml:space="preserve"> </w:t>
      </w:r>
      <w:r>
        <w:t xml:space="preserve">· Effects of retatrutide on body composition in people with type 2 diabetes: a substudy of a phase 2, double-blind, parallel-group, placebo-controlled, randomised trial. PMID 40609566</w:t>
      </w:r>
    </w:p>
    <w:p>
      <w:pPr>
        <w:numPr>
          <w:ilvl w:val="0"/>
          <w:numId w:val="1378"/>
        </w:numPr>
        <w:pStyle w:val="Compact"/>
      </w:pPr>
      <w:r>
        <w:t xml:space="preserve">2025 · Wharton S ·</w:t>
      </w:r>
      <w:r>
        <w:t xml:space="preserve"> </w:t>
      </w:r>
      <w:r>
        <w:rPr>
          <w:iCs/>
          <w:i/>
        </w:rPr>
        <w:t xml:space="preserve">Cardiovasc Diabetol</w:t>
      </w:r>
      <w:r>
        <w:t xml:space="preserve"> </w:t>
      </w:r>
      <w:r>
        <w:t xml:space="preserve">· Treatment with orforglipron, an oral glucagon like peptide-1 receptor agonist, is associated with improvements of CV risk biomarkers in participants with type 2 diabetes or obesity without diabetes. PMID 40481478</w:t>
      </w:r>
    </w:p>
    <w:p>
      <w:pPr>
        <w:numPr>
          <w:ilvl w:val="0"/>
          <w:numId w:val="1378"/>
        </w:numPr>
        <w:pStyle w:val="Compact"/>
      </w:pPr>
      <w:r>
        <w:t xml:space="preserve">2025 · Tian J ·</w:t>
      </w:r>
      <w:r>
        <w:t xml:space="preserve"> </w:t>
      </w:r>
      <w:r>
        <w:rPr>
          <w:iCs/>
          <w:i/>
        </w:rPr>
        <w:t xml:space="preserve">Hormones (Athens)</w:t>
      </w:r>
      <w:r>
        <w:t xml:space="preserve"> </w:t>
      </w:r>
      <w:r>
        <w:t xml:space="preserve">· Comparative evaluation of dulaglutide alone vs. dulaglutide combined with probiotics on cardiovascular risk factors in T2DM. PMID 40214965</w:t>
      </w:r>
    </w:p>
    <w:p>
      <w:pPr>
        <w:numPr>
          <w:ilvl w:val="0"/>
          <w:numId w:val="1378"/>
        </w:numPr>
        <w:pStyle w:val="Compact"/>
      </w:pPr>
      <w:r>
        <w:t xml:space="preserve">2025 · Liu L ·</w:t>
      </w:r>
      <w:r>
        <w:t xml:space="preserve"> </w:t>
      </w:r>
      <w:r>
        <w:rPr>
          <w:iCs/>
          <w:i/>
        </w:rPr>
        <w:t xml:space="preserve">J Diabetes</w:t>
      </w:r>
      <w:r>
        <w:t xml:space="preserve"> </w:t>
      </w:r>
      <w:r>
        <w:t xml:space="preserve">· Efficacy and Safety of Dulaglutide Biosimilar LY05008 Versus the Reference Product Dulaglutide (Trulicity) in Chinese Adults With Type 2 Diabetes Mellitus: A Randomized, Open-Label, Active Comparator Study. PMID 40214296</w:t>
      </w:r>
    </w:p>
    <w:p>
      <w:pPr>
        <w:numPr>
          <w:ilvl w:val="0"/>
          <w:numId w:val="1378"/>
        </w:numPr>
        <w:pStyle w:val="Compact"/>
      </w:pPr>
      <w:r>
        <w:t xml:space="preserve">2025 · Billings LK ·</w:t>
      </w:r>
      <w:r>
        <w:t xml:space="preserve"> </w:t>
      </w:r>
      <w:r>
        <w:rPr>
          <w:iCs/>
          <w:i/>
        </w:rPr>
        <w:t xml:space="preserve">Ann Intern Med</w:t>
      </w:r>
      <w:r>
        <w:t xml:space="preserve"> </w:t>
      </w:r>
      <w:r>
        <w:t xml:space="preserve">· Comparison of Dose Escalation Versus Switching to Tirzepatide Among People With Type 2 Diabetes Inadequately Controlled on Lower Doses of Dulaglutide : A Randomized Clinical Trial. PMID 40183678</w:t>
      </w:r>
    </w:p>
    <w:p>
      <w:pPr>
        <w:numPr>
          <w:ilvl w:val="0"/>
          <w:numId w:val="1378"/>
        </w:numPr>
        <w:pStyle w:val="Compact"/>
      </w:pPr>
      <w:r>
        <w:t xml:space="preserve">2025 · Beck J ·</w:t>
      </w:r>
      <w:r>
        <w:t xml:space="preserve"> </w:t>
      </w:r>
      <w:r>
        <w:rPr>
          <w:iCs/>
          <w:i/>
        </w:rPr>
        <w:t xml:space="preserve">Eur J Prev Cardiol</w:t>
      </w:r>
      <w:r>
        <w:t xml:space="preserve"> </w:t>
      </w:r>
      <w:r>
        <w:t xml:space="preserve">· Blood pressure changes during smoking cessation in a randomized, double-blind, placebo-controlled trial of dulaglutide treatment. PMID 40037282</w:t>
      </w:r>
    </w:p>
    <w:p>
      <w:pPr>
        <w:numPr>
          <w:ilvl w:val="0"/>
          <w:numId w:val="1378"/>
        </w:numPr>
        <w:pStyle w:val="Compact"/>
      </w:pPr>
      <w:r>
        <w:t xml:space="preserve">2025 · Mimura H ·</w:t>
      </w:r>
      <w:r>
        <w:t xml:space="preserve"> </w:t>
      </w:r>
      <w:r>
        <w:rPr>
          <w:iCs/>
          <w:i/>
        </w:rPr>
        <w:t xml:space="preserve">J Diabetes Investig</w:t>
      </w:r>
      <w:r>
        <w:t xml:space="preserve"> </w:t>
      </w:r>
      <w:r>
        <w:t xml:space="preserve">· Association of bodyweight loss with changes in lipids, blood pressure, and fasting serum glucose following tirzepatide treatment in Japanese participants with type 2 diabetes: A post hoc analysis of the SURPASS J-mono trial. PMID 39891527</w:t>
      </w:r>
    </w:p>
    <w:p>
      <w:pPr>
        <w:numPr>
          <w:ilvl w:val="0"/>
          <w:numId w:val="1378"/>
        </w:numPr>
        <w:pStyle w:val="Compact"/>
      </w:pPr>
      <w:r>
        <w:t xml:space="preserve">2025 · Liu C ·</w:t>
      </w:r>
      <w:r>
        <w:t xml:space="preserve"> </w:t>
      </w:r>
      <w:r>
        <w:rPr>
          <w:iCs/>
          <w:i/>
        </w:rPr>
        <w:t xml:space="preserve">Endocrinol Diabetes Metab</w:t>
      </w:r>
      <w:r>
        <w:t xml:space="preserve"> </w:t>
      </w:r>
      <w:r>
        <w:t xml:space="preserve">· Reduction of Hepatic Fat Content by Dulaglutide for the Treatment of Diabetes Mellitus: A Two-Centre Open, Single-Arm Trial. PMID 39718468</w:t>
      </w:r>
    </w:p>
    <w:p>
      <w:pPr>
        <w:numPr>
          <w:ilvl w:val="0"/>
          <w:numId w:val="1378"/>
        </w:numPr>
        <w:pStyle w:val="Compact"/>
      </w:pPr>
      <w:r>
        <w:t xml:space="preserve">2025 · Harrison SA ·</w:t>
      </w:r>
      <w:r>
        <w:t xml:space="preserve"> </w:t>
      </w:r>
      <w:r>
        <w:rPr>
          <w:iCs/>
          <w:i/>
        </w:rPr>
        <w:t xml:space="preserve">Clin Gastroenterol Hepatol</w:t>
      </w:r>
      <w:r>
        <w:t xml:space="preserve"> </w:t>
      </w:r>
      <w:r>
        <w:t xml:space="preserve">· Safety and Efficacy of Efruxifermin in Combination With a GLP-1 Receptor Agonist in Patients With NASH/MASH and Type 2 Diabetes in a Randomized Phase 2 Study. PMID 38447814</w:t>
      </w:r>
    </w:p>
    <w:p>
      <w:pPr>
        <w:numPr>
          <w:ilvl w:val="0"/>
          <w:numId w:val="1378"/>
        </w:numPr>
        <w:pStyle w:val="Compact"/>
      </w:pPr>
      <w:r>
        <w:t xml:space="preserve">2024 · Lengsfeld S ·</w:t>
      </w:r>
      <w:r>
        <w:t xml:space="preserve"> </w:t>
      </w:r>
      <w:r>
        <w:rPr>
          <w:iCs/>
          <w:i/>
        </w:rPr>
        <w:t xml:space="preserve">EBioMedicine</w:t>
      </w:r>
      <w:r>
        <w:t xml:space="preserve"> </w:t>
      </w:r>
      <w:r>
        <w:t xml:space="preserve">· Effects of the glucagon-like peptide-1 receptor agonist dulaglutide on sexuality in healthy men: a randomised, double-blind, placebo-controlled crossover study. PMID 39232425</w:t>
      </w:r>
    </w:p>
    <w:p>
      <w:pPr>
        <w:numPr>
          <w:ilvl w:val="0"/>
          <w:numId w:val="1378"/>
        </w:numPr>
        <w:pStyle w:val="Compact"/>
      </w:pPr>
      <w:r>
        <w:t xml:space="preserve">2024 · Fujihara K ·</w:t>
      </w:r>
      <w:r>
        <w:t xml:space="preserve"> </w:t>
      </w:r>
      <w:r>
        <w:rPr>
          <w:iCs/>
          <w:i/>
        </w:rPr>
        <w:t xml:space="preserve">Diabetes Obes Metab</w:t>
      </w:r>
      <w:r>
        <w:t xml:space="preserve"> </w:t>
      </w:r>
      <w:r>
        <w:t xml:space="preserve">· Achieving normoglycaemia with tirzepatide: Post hoc exploratory analysis of the SURPASS J-mono and J-combo studies. PMID 39192522</w:t>
      </w:r>
    </w:p>
    <w:p>
      <w:pPr>
        <w:numPr>
          <w:ilvl w:val="0"/>
          <w:numId w:val="1378"/>
        </w:numPr>
        <w:pStyle w:val="Compact"/>
      </w:pPr>
      <w:r>
        <w:t xml:space="preserve">2024 · Bjornstad P ·</w:t>
      </w:r>
      <w:r>
        <w:t xml:space="preserve"> </w:t>
      </w:r>
      <w:r>
        <w:rPr>
          <w:iCs/>
          <w:i/>
        </w:rPr>
        <w:t xml:space="preserve">Diabetes Care</w:t>
      </w:r>
      <w:r>
        <w:t xml:space="preserve"> </w:t>
      </w:r>
      <w:r>
        <w:t xml:space="preserve">· Dulaglutide and Glomerular Hyperfiltration, Proteinuria, and Albuminuria in Youth With Type 2 Diabetes: Post Hoc Analysis of the AWARD-PEDS Study. PMID 38954432</w:t>
      </w:r>
    </w:p>
    <w:p>
      <w:pPr>
        <w:numPr>
          <w:ilvl w:val="0"/>
          <w:numId w:val="1378"/>
        </w:numPr>
        <w:pStyle w:val="Compact"/>
      </w:pPr>
      <w:r>
        <w:t xml:space="preserve">2024 · Morioka T ·</w:t>
      </w:r>
      <w:r>
        <w:t xml:space="preserve"> </w:t>
      </w:r>
      <w:r>
        <w:rPr>
          <w:iCs/>
          <w:i/>
        </w:rPr>
        <w:t xml:space="preserve">Diabetes Obes Metab</w:t>
      </w:r>
      <w:r>
        <w:t xml:space="preserve"> </w:t>
      </w:r>
      <w:r>
        <w:t xml:space="preserve">· A randomized, double-blind trial assessing the efficacy and safety of two doses of dulaglutide in Japanese participants with type 2 diabetes (AWARD-JPN). PMID 38715179</w:t>
      </w:r>
    </w:p>
    <w:p>
      <w:pPr>
        <w:numPr>
          <w:ilvl w:val="0"/>
          <w:numId w:val="1378"/>
        </w:numPr>
        <w:pStyle w:val="Compact"/>
      </w:pPr>
      <w:r>
        <w:t xml:space="preserve">2024 · Gao X ·</w:t>
      </w:r>
      <w:r>
        <w:t xml:space="preserve"> </w:t>
      </w:r>
      <w:r>
        <w:rPr>
          <w:iCs/>
          <w:i/>
        </w:rPr>
        <w:t xml:space="preserve">Clin Transl Sci</w:t>
      </w:r>
      <w:r>
        <w:t xml:space="preserve"> </w:t>
      </w:r>
      <w:r>
        <w:t xml:space="preserve">· A pharmacokinetic study comparing the biosimilar HEC14028 and Dulaglutide (Trulicity®) in healthy Chinese subjects. PMID 38651744</w:t>
      </w:r>
    </w:p>
    <w:p>
      <w:pPr>
        <w:numPr>
          <w:ilvl w:val="0"/>
          <w:numId w:val="1378"/>
        </w:numPr>
        <w:pStyle w:val="Compact"/>
      </w:pPr>
      <w:r>
        <w:t xml:space="preserve">2024 · Zhang B ·</w:t>
      </w:r>
      <w:r>
        <w:t xml:space="preserve"> </w:t>
      </w:r>
      <w:r>
        <w:rPr>
          <w:iCs/>
          <w:i/>
        </w:rPr>
        <w:t xml:space="preserve">Diabetes Care</w:t>
      </w:r>
      <w:r>
        <w:t xml:space="preserve"> </w:t>
      </w:r>
      <w:r>
        <w:t xml:space="preserve">· Efficacy and Safety of Mazdutide in Chinese Patients With Type 2 Diabetes: A Randomized, Double-Blind, Placebo-Controlled Phase 2 Trial. PMID 37943529</w:t>
      </w:r>
    </w:p>
    <w:p>
      <w:pPr>
        <w:numPr>
          <w:ilvl w:val="0"/>
          <w:numId w:val="1378"/>
        </w:numPr>
        <w:pStyle w:val="Compact"/>
      </w:pPr>
      <w:r>
        <w:t xml:space="preserve">2024 · Osonoi T ·</w:t>
      </w:r>
      <w:r>
        <w:t xml:space="preserve"> </w:t>
      </w:r>
      <w:r>
        <w:rPr>
          <w:iCs/>
          <w:i/>
        </w:rPr>
        <w:t xml:space="preserve">Diabetes Obes Metab</w:t>
      </w:r>
      <w:r>
        <w:t xml:space="preserve"> </w:t>
      </w:r>
      <w:r>
        <w:t xml:space="preserve">· Glycaemic control, body weight, and safety of tirzepatide versus dulaglutide by baseline glycated haemoglobin level in Japanese patients with type 2 diabetes: A subgroup analysis of the SURPASS J-mono study. PMID 37794628</w:t>
      </w:r>
    </w:p>
    <w:p>
      <w:pPr>
        <w:numPr>
          <w:ilvl w:val="0"/>
          <w:numId w:val="1378"/>
        </w:numPr>
        <w:pStyle w:val="Compact"/>
      </w:pPr>
      <w:r>
        <w:t xml:space="preserve">2023 · Probst L ·</w:t>
      </w:r>
      <w:r>
        <w:t xml:space="preserve"> </w:t>
      </w:r>
      <w:r>
        <w:rPr>
          <w:iCs/>
          <w:i/>
        </w:rPr>
        <w:t xml:space="preserve">JCI Insight</w:t>
      </w:r>
      <w:r>
        <w:t xml:space="preserve"> </w:t>
      </w:r>
      <w:r>
        <w:t xml:space="preserve">· Effects of dulaglutide on alcohol consumption during smoking cessation. PMID 37991022</w:t>
      </w:r>
    </w:p>
    <w:p>
      <w:pPr>
        <w:numPr>
          <w:ilvl w:val="0"/>
          <w:numId w:val="1378"/>
        </w:numPr>
        <w:pStyle w:val="Compact"/>
      </w:pPr>
      <w:r>
        <w:t xml:space="preserve">2023 · Wang W ·</w:t>
      </w:r>
      <w:r>
        <w:t xml:space="preserve"> </w:t>
      </w:r>
      <w:r>
        <w:rPr>
          <w:iCs/>
          <w:i/>
        </w:rPr>
        <w:t xml:space="preserve">Diabetes Obes Metab</w:t>
      </w:r>
      <w:r>
        <w:t xml:space="preserve"> </w:t>
      </w:r>
      <w:r>
        <w:t xml:space="preserve">· Efficacy and safety of adding once-weekly dulaglutide to basal insulin for inadequately controlled type 2 diabetes in Chinese patients (AWARD-CHN3): A randomized, double-blind, placebo-controlled, phase III trial. PMID 37732487</w:t>
      </w:r>
    </w:p>
    <w:p>
      <w:pPr>
        <w:numPr>
          <w:ilvl w:val="0"/>
          <w:numId w:val="1378"/>
        </w:numPr>
        <w:pStyle w:val="Compact"/>
      </w:pPr>
      <w:r>
        <w:t xml:space="preserve">2023 · Kimura T ·</w:t>
      </w:r>
      <w:r>
        <w:t xml:space="preserve"> </w:t>
      </w:r>
      <w:r>
        <w:rPr>
          <w:iCs/>
          <w:i/>
        </w:rPr>
        <w:t xml:space="preserve">Diabetes Obes Metab</w:t>
      </w:r>
      <w:r>
        <w:t xml:space="preserve"> </w:t>
      </w:r>
      <w:r>
        <w:t xml:space="preserve">· Comparison of clinical efficacy and safety of weekly glucagon-like peptide-1 receptor agonists dulaglutide and semaglutide in Japanese patients with type 2 diabetes: Randomized, parallel-group, multicentre, open-label trial (COMING study). PMID 37646192</w:t>
      </w:r>
    </w:p>
    <w:p>
      <w:pPr>
        <w:numPr>
          <w:ilvl w:val="0"/>
          <w:numId w:val="1378"/>
        </w:numPr>
        <w:pStyle w:val="Compact"/>
      </w:pPr>
      <w:r>
        <w:t xml:space="preserve">2023 · Lee EY ·</w:t>
      </w:r>
      <w:r>
        <w:t xml:space="preserve"> </w:t>
      </w:r>
      <w:r>
        <w:rPr>
          <w:iCs/>
          <w:i/>
        </w:rPr>
        <w:t xml:space="preserve">Diabetes Res Clin Pract</w:t>
      </w:r>
      <w:r>
        <w:t xml:space="preserve"> </w:t>
      </w:r>
      <w:r>
        <w:t xml:space="preserve">· Glucometabolic control of once-weekly dulaglutide switched from DPP4 inhibitor versus daily empagliflozin add-on in patients with type 2 diabetes inadequately controlled with metformin, sulfonylurea, and DPP4 inhibitor: A randomised trial. PMID 37595844</w:t>
      </w:r>
    </w:p>
    <w:p>
      <w:pPr>
        <w:numPr>
          <w:ilvl w:val="0"/>
          <w:numId w:val="1378"/>
        </w:numPr>
        <w:pStyle w:val="Compact"/>
      </w:pPr>
      <w:r>
        <w:t xml:space="preserve">2023 · Rosenstock J ·</w:t>
      </w:r>
      <w:r>
        <w:t xml:space="preserve"> </w:t>
      </w:r>
      <w:r>
        <w:rPr>
          <w:iCs/>
          <w:i/>
        </w:rPr>
        <w:t xml:space="preserve">Lancet</w:t>
      </w:r>
      <w:r>
        <w:t xml:space="preserve"> </w:t>
      </w:r>
      <w:r>
        <w:t xml:space="preserve">· Retatrutide, a GIP, GLP-1 and glucagon receptor agonist, for people with type 2 diabetes: a randomised, double-blind, placebo and active-controlled, parallel-group, phase 2 trial conducted in the USA. PMID 37385280</w:t>
      </w:r>
    </w:p>
    <w:p>
      <w:pPr>
        <w:numPr>
          <w:ilvl w:val="0"/>
          <w:numId w:val="1378"/>
        </w:numPr>
        <w:pStyle w:val="Compact"/>
      </w:pPr>
      <w:r>
        <w:t xml:space="preserve">2023 · Frias JP ·</w:t>
      </w:r>
      <w:r>
        <w:t xml:space="preserve"> </w:t>
      </w:r>
      <w:r>
        <w:rPr>
          <w:iCs/>
          <w:i/>
        </w:rPr>
        <w:t xml:space="preserve">Lancet</w:t>
      </w:r>
      <w:r>
        <w:t xml:space="preserve"> </w:t>
      </w:r>
      <w:r>
        <w:t xml:space="preserve">· Efficacy and safety of oral orforglipron in patients with type 2 diabetes: a multicentre, randomised, dose-response, phase 2 study. PMID 37369232</w:t>
      </w:r>
    </w:p>
    <w:p>
      <w:pPr>
        <w:numPr>
          <w:ilvl w:val="0"/>
          <w:numId w:val="1378"/>
        </w:numPr>
        <w:pStyle w:val="Compact"/>
      </w:pPr>
      <w:r>
        <w:t xml:space="preserve">2023 · Gerstein HC ·</w:t>
      </w:r>
      <w:r>
        <w:t xml:space="preserve"> </w:t>
      </w:r>
      <w:r>
        <w:rPr>
          <w:iCs/>
          <w:i/>
        </w:rPr>
        <w:t xml:space="preserve">Diabetes Care</w:t>
      </w:r>
      <w:r>
        <w:t xml:space="preserve"> </w:t>
      </w:r>
      <w:r>
        <w:t xml:space="preserve">· Biomarker Changes Associated With Both Dulaglutide and Cardiovascular Events in the REWIND Randomized Controlled Trial: A Nested Case-Control Post Hoc Analysis. PMID 36897834</w:t>
      </w:r>
    </w:p>
    <w:p>
      <w:pPr>
        <w:numPr>
          <w:ilvl w:val="0"/>
          <w:numId w:val="1378"/>
        </w:numPr>
        <w:pStyle w:val="Compact"/>
      </w:pPr>
      <w:r>
        <w:t xml:space="preserve">2023 · Zhang Q ·</w:t>
      </w:r>
      <w:r>
        <w:t xml:space="preserve"> </w:t>
      </w:r>
      <w:r>
        <w:rPr>
          <w:iCs/>
          <w:i/>
        </w:rPr>
        <w:t xml:space="preserve">Expert Opin Biol Ther</w:t>
      </w:r>
      <w:r>
        <w:t xml:space="preserve"> </w:t>
      </w:r>
      <w:r>
        <w:t xml:space="preserve">· Pharmacokinetic similarity study comparing the biosimilar candidate, LY05008, with its reference product dulaglutide in healthy Chinese male subjects. PMID 36880118</w:t>
      </w:r>
    </w:p>
    <w:p>
      <w:pPr>
        <w:numPr>
          <w:ilvl w:val="0"/>
          <w:numId w:val="1378"/>
        </w:numPr>
        <w:pStyle w:val="Compact"/>
      </w:pPr>
      <w:r>
        <w:t xml:space="preserve">2023 · Iijima T ·</w:t>
      </w:r>
      <w:r>
        <w:t xml:space="preserve"> </w:t>
      </w:r>
      <w:r>
        <w:rPr>
          <w:iCs/>
          <w:i/>
        </w:rPr>
        <w:t xml:space="preserve">J Diabetes Investig</w:t>
      </w:r>
      <w:r>
        <w:t xml:space="preserve"> </w:t>
      </w:r>
      <w:r>
        <w:t xml:space="preserve">· Effects of switching from liraglutide to semaglutide or dulaglutide in patients with type 2 diabetes: A randomized controlled trial. PMID 36871272</w:t>
      </w:r>
    </w:p>
    <w:p>
      <w:pPr>
        <w:numPr>
          <w:ilvl w:val="0"/>
          <w:numId w:val="1378"/>
        </w:numPr>
        <w:pStyle w:val="Compact"/>
      </w:pPr>
      <w:r>
        <w:t xml:space="preserve">2023 · Thivolet C ·</w:t>
      </w:r>
      <w:r>
        <w:t xml:space="preserve"> </w:t>
      </w:r>
      <w:r>
        <w:rPr>
          <w:iCs/>
          <w:i/>
        </w:rPr>
        <w:t xml:space="preserve">Diabetes Metab</w:t>
      </w:r>
      <w:r>
        <w:t xml:space="preserve"> </w:t>
      </w:r>
      <w:r>
        <w:t xml:space="preserve">· Dulaglutide and insulin microsecretion in people with type 1 diabetes (DIAMOND-GLP-1): A randomized double-blind placebo-controlled trial. PMID 36781064</w:t>
      </w:r>
    </w:p>
    <w:p>
      <w:pPr>
        <w:numPr>
          <w:ilvl w:val="0"/>
          <w:numId w:val="1378"/>
        </w:numPr>
        <w:pStyle w:val="Compact"/>
      </w:pPr>
      <w:r>
        <w:t xml:space="preserve">2023 · Zhang Y ·</w:t>
      </w:r>
      <w:r>
        <w:t xml:space="preserve"> </w:t>
      </w:r>
      <w:r>
        <w:rPr>
          <w:iCs/>
          <w:i/>
        </w:rPr>
        <w:t xml:space="preserve">Nutrients</w:t>
      </w:r>
      <w:r>
        <w:t xml:space="preserve"> </w:t>
      </w:r>
      <w:r>
        <w:t xml:space="preserve">· Effects of a Dulaglutide plus Calorie-Restricted Diet versus a Calorie-Restricted Diet on Visceral Fat and Metabolic Profiles in Women with Polycystic Ovary Syndrome: A Randomized Controlled Trial. PMID 36771262</w:t>
      </w:r>
    </w:p>
    <w:p>
      <w:pPr>
        <w:numPr>
          <w:ilvl w:val="0"/>
          <w:numId w:val="1378"/>
        </w:numPr>
        <w:pStyle w:val="Compact"/>
      </w:pPr>
      <w:r>
        <w:t xml:space="preserve">2023 · Su Y ·</w:t>
      </w:r>
      <w:r>
        <w:t xml:space="preserve"> </w:t>
      </w:r>
      <w:r>
        <w:rPr>
          <w:iCs/>
          <w:i/>
        </w:rPr>
        <w:t xml:space="preserve">Front Endocrinol (Lausanne)</w:t>
      </w:r>
      <w:r>
        <w:t xml:space="preserve"> </w:t>
      </w:r>
      <w:r>
        <w:t xml:space="preserve">· Pharmacoeconomic analysis (CER) of Dulaglutide and Liraglutide in the treatment of patients with type 2 diabetes. PMID 36755915</w:t>
      </w:r>
    </w:p>
    <w:p>
      <w:pPr>
        <w:numPr>
          <w:ilvl w:val="0"/>
          <w:numId w:val="1378"/>
        </w:numPr>
        <w:pStyle w:val="Compact"/>
      </w:pPr>
      <w:r>
        <w:t xml:space="preserve">2023 · Takahashi Y ·</w:t>
      </w:r>
      <w:r>
        <w:t xml:space="preserve"> </w:t>
      </w:r>
      <w:r>
        <w:rPr>
          <w:iCs/>
          <w:i/>
        </w:rPr>
        <w:t xml:space="preserve">Diabetes Obes Metab</w:t>
      </w:r>
      <w:r>
        <w:t xml:space="preserve"> </w:t>
      </w:r>
      <w:r>
        <w:t xml:space="preserve">· Improvement of glycaemic control and treatment satisfaction by switching from liraglutide or dulaglutide to subcutaneous semaglutide in patients with type 2 diabetes: A multicentre, prospective, randomized, open-label, parallel-group comparison study (SWITCH-SEMA 1 study). PMID 36722623</w:t>
      </w:r>
    </w:p>
    <w:p>
      <w:pPr>
        <w:numPr>
          <w:ilvl w:val="0"/>
          <w:numId w:val="1378"/>
        </w:numPr>
        <w:pStyle w:val="Compact"/>
      </w:pPr>
      <w:r>
        <w:t xml:space="preserve">2023 · Yabe D ·</w:t>
      </w:r>
      <w:r>
        <w:t xml:space="preserve"> </w:t>
      </w:r>
      <w:r>
        <w:rPr>
          <w:iCs/>
          <w:i/>
        </w:rPr>
        <w:t xml:space="preserve">Diabetes Obes Metab</w:t>
      </w:r>
      <w:r>
        <w:t xml:space="preserve"> </w:t>
      </w:r>
      <w:r>
        <w:t xml:space="preserve">· Change in pharmacodynamic variables following once-weekly tirzepatide treatment versus dulaglutide in Japanese patients with type 2 diabetes (SURPASS J-mono substudy). PMID 36184780</w:t>
      </w:r>
    </w:p>
    <w:p>
      <w:pPr>
        <w:numPr>
          <w:ilvl w:val="0"/>
          <w:numId w:val="1378"/>
        </w:numPr>
        <w:pStyle w:val="Compact"/>
      </w:pPr>
      <w:r>
        <w:t xml:space="preserve">2022 · Urva S ·</w:t>
      </w:r>
      <w:r>
        <w:t xml:space="preserve"> </w:t>
      </w:r>
      <w:r>
        <w:rPr>
          <w:iCs/>
          <w:i/>
        </w:rPr>
        <w:t xml:space="preserve">Lancet</w:t>
      </w:r>
      <w:r>
        <w:t xml:space="preserve"> </w:t>
      </w:r>
      <w:r>
        <w:t xml:space="preserve">· LY3437943, a novel triple GIP, GLP-1, and glucagon receptor agonist in people with type 2 diabetes: a phase 1b, multicentre, double-blind, placebo-controlled, randomised, multiple-ascending dose trial. PMID 36354040</w:t>
      </w:r>
    </w:p>
    <w:p>
      <w:pPr>
        <w:numPr>
          <w:ilvl w:val="0"/>
          <w:numId w:val="1378"/>
        </w:numPr>
        <w:pStyle w:val="Compact"/>
      </w:pPr>
      <w:r>
        <w:t xml:space="preserve">2022 · Branch KRH ·</w:t>
      </w:r>
      <w:r>
        <w:t xml:space="preserve"> </w:t>
      </w:r>
      <w:r>
        <w:rPr>
          <w:iCs/>
          <w:i/>
        </w:rPr>
        <w:t xml:space="preserve">Eur J Heart Fail</w:t>
      </w:r>
      <w:r>
        <w:t xml:space="preserve"> </w:t>
      </w:r>
      <w:r>
        <w:t xml:space="preserve">· Dulaglutide and cardiovascular and heart failure outcomes in patients with and without heart failure: a post-hoc analysis from the REWIND randomized trial. PMID 36073143</w:t>
      </w:r>
    </w:p>
    <w:p>
      <w:pPr>
        <w:numPr>
          <w:ilvl w:val="0"/>
          <w:numId w:val="1378"/>
        </w:numPr>
        <w:pStyle w:val="Compact"/>
      </w:pPr>
      <w:r>
        <w:t xml:space="preserve">2022 · Scheen AJ ·</w:t>
      </w:r>
      <w:r>
        <w:t xml:space="preserve"> </w:t>
      </w:r>
      <w:r>
        <w:rPr>
          <w:iCs/>
          <w:i/>
        </w:rPr>
        <w:t xml:space="preserve">Rev Med Suisse</w:t>
      </w:r>
      <w:r>
        <w:t xml:space="preserve"> </w:t>
      </w:r>
      <w:r>
        <w:t xml:space="preserve">· [Focus on tirzepatide, a dual unimolecular GIP-GLP-1 receptor agonist in type 2 diabetes]. PMID 36004653</w:t>
      </w:r>
    </w:p>
    <w:p>
      <w:pPr>
        <w:numPr>
          <w:ilvl w:val="0"/>
          <w:numId w:val="1378"/>
        </w:numPr>
        <w:pStyle w:val="Compact"/>
      </w:pPr>
      <w:r>
        <w:t xml:space="preserve">2022 · Inagaki N ·</w:t>
      </w:r>
      <w:r>
        <w:t xml:space="preserve"> </w:t>
      </w:r>
      <w:r>
        <w:rPr>
          <w:iCs/>
          <w:i/>
        </w:rPr>
        <w:t xml:space="preserve">Lancet Diabetes Endocrinol</w:t>
      </w:r>
      <w:r>
        <w:t xml:space="preserve"> </w:t>
      </w:r>
      <w:r>
        <w:t xml:space="preserve">· Efficacy and safety of tirzepatide monotherapy compared with dulaglutide in Japanese patients with type 2 diabetes (SURPASS J-mono): a double-blind, multicentre, randomised, phase 3 trial. PMID 35914543</w:t>
      </w:r>
    </w:p>
    <w:p>
      <w:pPr>
        <w:numPr>
          <w:ilvl w:val="0"/>
          <w:numId w:val="1378"/>
        </w:numPr>
        <w:pStyle w:val="Compact"/>
      </w:pPr>
      <w:r>
        <w:t xml:space="preserve">2022 · Jiang H ·</w:t>
      </w:r>
      <w:r>
        <w:t xml:space="preserve"> </w:t>
      </w:r>
      <w:r>
        <w:rPr>
          <w:iCs/>
          <w:i/>
        </w:rPr>
        <w:t xml:space="preserve">Nat Commun</w:t>
      </w:r>
      <w:r>
        <w:t xml:space="preserve"> </w:t>
      </w:r>
      <w:r>
        <w:t xml:space="preserve">· A phase 1b randomised controlled trial of a glucagon-like peptide-1 and glucagon receptor dual agonist IBI362 (LY3305677) in Chinese patients with type 2 diabetes. PMID 35750681</w:t>
      </w:r>
    </w:p>
    <w:p>
      <w:pPr>
        <w:numPr>
          <w:ilvl w:val="0"/>
          <w:numId w:val="1378"/>
        </w:numPr>
        <w:pStyle w:val="Compact"/>
      </w:pPr>
      <w:r>
        <w:t xml:space="preserve">2022 · Arslanian SA ·</w:t>
      </w:r>
      <w:r>
        <w:t xml:space="preserve"> </w:t>
      </w:r>
      <w:r>
        <w:rPr>
          <w:iCs/>
          <w:i/>
        </w:rPr>
        <w:t xml:space="preserve">N Engl J Med</w:t>
      </w:r>
      <w:r>
        <w:t xml:space="preserve"> </w:t>
      </w:r>
      <w:r>
        <w:t xml:space="preserve">· Once-Weekly Dulaglutide for the Treatment of Youths with Type 2 Diabetes. PMID 35658022</w:t>
      </w:r>
    </w:p>
    <w:p>
      <w:pPr>
        <w:numPr>
          <w:ilvl w:val="0"/>
          <w:numId w:val="1378"/>
        </w:numPr>
        <w:pStyle w:val="Compact"/>
      </w:pPr>
      <w:r>
        <w:t xml:space="preserve">2022 · Cox DA ·</w:t>
      </w:r>
      <w:r>
        <w:t xml:space="preserve"> </w:t>
      </w:r>
      <w:r>
        <w:rPr>
          <w:iCs/>
          <w:i/>
        </w:rPr>
        <w:t xml:space="preserve">Diabetes Obes Metab</w:t>
      </w:r>
      <w:r>
        <w:t xml:space="preserve"> </w:t>
      </w:r>
      <w:r>
        <w:t xml:space="preserve">· Effect of expanded dulaglutide weekly doses (3.0 mg and 4.5 mg) on cardiovascular disease risk factors in participants with type 2 diabetes at increased cardiovascular disease risk: a post hoc analysis of the AWARD-11 study. PMID 35546790</w:t>
      </w:r>
    </w:p>
    <w:p>
      <w:pPr>
        <w:numPr>
          <w:ilvl w:val="0"/>
          <w:numId w:val="1378"/>
        </w:numPr>
        <w:pStyle w:val="Compact"/>
      </w:pPr>
      <w:r>
        <w:t xml:space="preserve">2022 · Vukajlovic T ·</w:t>
      </w:r>
      <w:r>
        <w:t xml:space="preserve"> </w:t>
      </w:r>
      <w:r>
        <w:rPr>
          <w:iCs/>
          <w:i/>
        </w:rPr>
        <w:t xml:space="preserve">J Clin Endocrinol Metab</w:t>
      </w:r>
      <w:r>
        <w:t xml:space="preserve"> </w:t>
      </w:r>
      <w:r>
        <w:t xml:space="preserve">· Effect of a 3-Week Treatment with GLP-1 Receptor Agonists on Vasoactive Hormones in Euvolemic Participants. PMID 35134170</w:t>
      </w:r>
    </w:p>
    <w:p>
      <w:pPr>
        <w:numPr>
          <w:ilvl w:val="0"/>
          <w:numId w:val="1378"/>
        </w:numPr>
        <w:pStyle w:val="Compact"/>
      </w:pPr>
      <w:r>
        <w:t xml:space="preserve">2022 · Yabe D ·</w:t>
      </w:r>
      <w:r>
        <w:t xml:space="preserve"> </w:t>
      </w:r>
      <w:r>
        <w:rPr>
          <w:iCs/>
          <w:i/>
        </w:rPr>
        <w:t xml:space="preserve">J Diabetes Investig</w:t>
      </w:r>
      <w:r>
        <w:t xml:space="preserve"> </w:t>
      </w:r>
      <w:r>
        <w:t xml:space="preserve">· Efficacy and safety of oral semaglutide in Japanese patients with type 2 diabetes: A subgroup analysis by baseline variables in the PIONEER 9 and PIONEER 10 trials. PMID 35112504</w:t>
      </w:r>
    </w:p>
    <w:p>
      <w:pPr>
        <w:numPr>
          <w:ilvl w:val="0"/>
          <w:numId w:val="1378"/>
        </w:numPr>
        <w:pStyle w:val="Compact"/>
      </w:pPr>
      <w:r>
        <w:t xml:space="preserve">2022 · Kwan AYM ·</w:t>
      </w:r>
      <w:r>
        <w:t xml:space="preserve"> </w:t>
      </w:r>
      <w:r>
        <w:rPr>
          <w:iCs/>
          <w:i/>
        </w:rPr>
        <w:t xml:space="preserve">Diabetes Care</w:t>
      </w:r>
      <w:r>
        <w:t xml:space="preserve"> </w:t>
      </w:r>
      <w:r>
        <w:t xml:space="preserve">· HbA1c Reduction in Dulaglutide-Treated Patients Irrespective of Duration of Diabetes, Microvascular Disease, and BMI: A Post Hoc Analysis From the REWIND Trial. PMID 35043140</w:t>
      </w:r>
    </w:p>
    <w:p>
      <w:pPr>
        <w:numPr>
          <w:ilvl w:val="0"/>
          <w:numId w:val="1378"/>
        </w:numPr>
        <w:pStyle w:val="Compact"/>
      </w:pPr>
      <w:r>
        <w:t xml:space="preserve">2022 · Raubenheimer PJ ·</w:t>
      </w:r>
      <w:r>
        <w:t xml:space="preserve"> </w:t>
      </w:r>
      <w:r>
        <w:rPr>
          <w:iCs/>
          <w:i/>
        </w:rPr>
        <w:t xml:space="preserve">Diabetes Obes Metab</w:t>
      </w:r>
      <w:r>
        <w:t xml:space="preserve"> </w:t>
      </w:r>
      <w:r>
        <w:t xml:space="preserve">· Dulaglutide and incident atrial fibrillation or flutter in patients with type 2 diabetes: A post hoc analysis from the REWIND randomized trial. PMID 34984808</w:t>
      </w:r>
    </w:p>
    <w:p>
      <w:pPr>
        <w:numPr>
          <w:ilvl w:val="0"/>
          <w:numId w:val="1378"/>
        </w:numPr>
        <w:pStyle w:val="Compact"/>
      </w:pPr>
      <w:r>
        <w:t xml:space="preserve">2022 · Xu J ·</w:t>
      </w:r>
      <w:r>
        <w:t xml:space="preserve"> </w:t>
      </w:r>
      <w:r>
        <w:rPr>
          <w:iCs/>
          <w:i/>
        </w:rPr>
        <w:t xml:space="preserve">Adv Ther</w:t>
      </w:r>
      <w:r>
        <w:t xml:space="preserve"> </w:t>
      </w:r>
      <w:r>
        <w:t xml:space="preserve">· Pharmacokinetics, Pharmacodynamics, and Safety of Dulaglutide After Single or Multiple Doses in Chinese Healthy Subjects and Patients with T2DM: A Randomized, Placebo-Controlled, Phase I Study. PMID 34787823</w:t>
      </w:r>
    </w:p>
    <w:p>
      <w:pPr>
        <w:numPr>
          <w:ilvl w:val="0"/>
          <w:numId w:val="1378"/>
        </w:numPr>
        <w:pStyle w:val="Compact"/>
      </w:pPr>
      <w:r>
        <w:t xml:space="preserve">2022 · Yamada Y ·</w:t>
      </w:r>
      <w:r>
        <w:t xml:space="preserve"> </w:t>
      </w:r>
      <w:r>
        <w:rPr>
          <w:iCs/>
          <w:i/>
        </w:rPr>
        <w:t xml:space="preserve">Diabetes Obes Metab</w:t>
      </w:r>
      <w:r>
        <w:t xml:space="preserve"> </w:t>
      </w:r>
      <w:r>
        <w:t xml:space="preserve">· Efficacy and safety of oral semaglutide by baseline age in Japanese patients with type 2 diabetes: A subgroup analysis of the PIONEER 9 and 10 Japan trials. PMID 34622548</w:t>
      </w:r>
    </w:p>
    <w:p>
      <w:pPr>
        <w:numPr>
          <w:ilvl w:val="0"/>
          <w:numId w:val="1378"/>
        </w:numPr>
        <w:pStyle w:val="Compact"/>
      </w:pPr>
      <w:r>
        <w:t xml:space="preserve">2022 · Pirro V ·</w:t>
      </w:r>
      <w:r>
        <w:t xml:space="preserve"> </w:t>
      </w:r>
      <w:r>
        <w:rPr>
          <w:iCs/>
          <w:i/>
        </w:rPr>
        <w:t xml:space="preserve">J Clin Endocrinol Metab</w:t>
      </w:r>
      <w:r>
        <w:t xml:space="preserve"> </w:t>
      </w:r>
      <w:r>
        <w:t xml:space="preserve">· Effects of Tirzepatide, a Dual GIP and GLP-1 RA, on Lipid and Metabolite Profiles in Subjects With Type 2 Diabetes. PMID 34608929</w:t>
      </w:r>
    </w:p>
    <w:p>
      <w:pPr>
        <w:numPr>
          <w:ilvl w:val="0"/>
          <w:numId w:val="1378"/>
        </w:numPr>
        <w:pStyle w:val="Compact"/>
      </w:pPr>
      <w:r>
        <w:t xml:space="preserve">2022 · Wilson JM ·</w:t>
      </w:r>
      <w:r>
        <w:t xml:space="preserve"> </w:t>
      </w:r>
      <w:r>
        <w:rPr>
          <w:iCs/>
          <w:i/>
        </w:rPr>
        <w:t xml:space="preserve">Diabetes Obes Metab</w:t>
      </w:r>
      <w:r>
        <w:t xml:space="preserve"> </w:t>
      </w:r>
      <w:r>
        <w:t xml:space="preserve">· The dual glucose-dependent insulinotropic polypeptide and glucagon-like peptide-1 receptor agonist tirzepatide improves cardiovascular risk biomarkers in patients with type 2 diabetes: A post hoc analysis. PMID 34542221</w:t>
      </w:r>
    </w:p>
    <w:p>
      <w:pPr>
        <w:numPr>
          <w:ilvl w:val="0"/>
          <w:numId w:val="1378"/>
        </w:numPr>
        <w:pStyle w:val="Compact"/>
      </w:pPr>
      <w:r>
        <w:t xml:space="preserve">2021 · Tuttle KR ·</w:t>
      </w:r>
      <w:r>
        <w:t xml:space="preserve"> </w:t>
      </w:r>
      <w:r>
        <w:rPr>
          <w:iCs/>
          <w:i/>
        </w:rPr>
        <w:t xml:space="preserve">Kidney360</w:t>
      </w:r>
      <w:r>
        <w:t xml:space="preserve"> </w:t>
      </w:r>
      <w:r>
        <w:t xml:space="preserve">· Clinical Outcomes by Albuminuria Status with Dulaglutide versus Insulin Glargine in Participants with Diabetes and CKD: AWARD-7 Exploratory Analysis. PMID 35373017</w:t>
      </w:r>
    </w:p>
    <w:p>
      <w:pPr>
        <w:numPr>
          <w:ilvl w:val="0"/>
          <w:numId w:val="1378"/>
        </w:numPr>
        <w:pStyle w:val="Compact"/>
      </w:pPr>
      <w:r>
        <w:t xml:space="preserve">2021 · Cai TT ·</w:t>
      </w:r>
      <w:r>
        <w:t xml:space="preserve"> </w:t>
      </w:r>
      <w:r>
        <w:rPr>
          <w:iCs/>
          <w:i/>
        </w:rPr>
        <w:t xml:space="preserve">Biomed Res Int</w:t>
      </w:r>
      <w:r>
        <w:t xml:space="preserve"> </w:t>
      </w:r>
      <w:r>
        <w:t xml:space="preserve">· Effects of GLP-1 Receptor Agonists on Bone Mineral Density in Patients with Type 2 Diabetes Mellitus: A 52-Week Clinical Study. PMID 34580638</w:t>
      </w:r>
    </w:p>
    <w:p>
      <w:pPr>
        <w:numPr>
          <w:ilvl w:val="0"/>
          <w:numId w:val="1378"/>
        </w:numPr>
        <w:pStyle w:val="Compact"/>
      </w:pPr>
      <w:r>
        <w:t xml:space="preserve">2021 · Konig M ·</w:t>
      </w:r>
      <w:r>
        <w:t xml:space="preserve"> </w:t>
      </w:r>
      <w:r>
        <w:rPr>
          <w:iCs/>
          <w:i/>
        </w:rPr>
        <w:t xml:space="preserve">Cardiovasc Diabetol</w:t>
      </w:r>
      <w:r>
        <w:t xml:space="preserve"> </w:t>
      </w:r>
      <w:r>
        <w:t xml:space="preserve">· Exploring potential mediators of the cardiovascular benefit of dulaglutide in type 2 diabetes patients in REWIND. PMID 34563178</w:t>
      </w:r>
    </w:p>
    <w:p>
      <w:pPr>
        <w:numPr>
          <w:ilvl w:val="0"/>
          <w:numId w:val="1378"/>
        </w:numPr>
        <w:pStyle w:val="Compact"/>
      </w:pPr>
      <w:r>
        <w:t xml:space="preserve">2021 · Winzeler B ·</w:t>
      </w:r>
      <w:r>
        <w:t xml:space="preserve"> </w:t>
      </w:r>
      <w:r>
        <w:rPr>
          <w:iCs/>
          <w:i/>
        </w:rPr>
        <w:t xml:space="preserve">J Clin Invest</w:t>
      </w:r>
      <w:r>
        <w:t xml:space="preserve"> </w:t>
      </w:r>
      <w:r>
        <w:t xml:space="preserve">· A randomized controlled trial of the GLP-1 receptor agonist dulaglutide in primary polydipsia. PMID 34473645</w:t>
      </w:r>
    </w:p>
    <w:p>
      <w:pPr>
        <w:numPr>
          <w:ilvl w:val="0"/>
          <w:numId w:val="1378"/>
        </w:numPr>
        <w:pStyle w:val="Compact"/>
      </w:pPr>
      <w:r>
        <w:t xml:space="preserve">2021 · Frias JP ·</w:t>
      </w:r>
      <w:r>
        <w:t xml:space="preserve"> </w:t>
      </w:r>
      <w:r>
        <w:rPr>
          <w:iCs/>
          <w:i/>
        </w:rPr>
        <w:t xml:space="preserve">Diabetes Obes Metab</w:t>
      </w:r>
      <w:r>
        <w:t xml:space="preserve"> </w:t>
      </w:r>
      <w:r>
        <w:t xml:space="preserve">· Glycaemic efficacy of an expanded dose range of dulaglutide according to baseline glycated haemoglobin (HbA1c) subgroup: Post hoc analysis of AWARD-11. PMID 34463420</w:t>
      </w:r>
    </w:p>
    <w:p>
      <w:pPr>
        <w:numPr>
          <w:ilvl w:val="0"/>
          <w:numId w:val="1378"/>
        </w:numPr>
        <w:pStyle w:val="Compact"/>
      </w:pPr>
      <w:r>
        <w:t xml:space="preserve">2021 · Bonora E ·</w:t>
      </w:r>
      <w:r>
        <w:t xml:space="preserve"> </w:t>
      </w:r>
      <w:r>
        <w:rPr>
          <w:iCs/>
          <w:i/>
        </w:rPr>
        <w:t xml:space="preserve">Diabetes Obes Metab</w:t>
      </w:r>
      <w:r>
        <w:t xml:space="preserve"> </w:t>
      </w:r>
      <w:r>
        <w:t xml:space="preserve">· Effect of dulaglutide 3.0 and 4.5 mg on weight in patients with type 2 diabetes: Exploratory analyses of AWARD-11. PMID 34189841</w:t>
      </w:r>
    </w:p>
    <w:p>
      <w:pPr>
        <w:numPr>
          <w:ilvl w:val="0"/>
          <w:numId w:val="1378"/>
        </w:numPr>
        <w:pStyle w:val="Compact"/>
      </w:pPr>
      <w:r>
        <w:t xml:space="preserve">2021 · Frias JP ·</w:t>
      </w:r>
      <w:r>
        <w:t xml:space="preserve"> </w:t>
      </w:r>
      <w:r>
        <w:rPr>
          <w:iCs/>
          <w:i/>
        </w:rPr>
        <w:t xml:space="preserve">Diabetes Obes Metab</w:t>
      </w:r>
      <w:r>
        <w:t xml:space="preserve"> </w:t>
      </w:r>
      <w:r>
        <w:t xml:space="preserve">· Efficacy and safety of dulaglutide 3.0 and 4.5 mg in patients aged younger than 65 and 65 years or older: Post hoc analysis of the AWARD-11 trial. PMID 34159708</w:t>
      </w:r>
    </w:p>
    <w:p>
      <w:pPr>
        <w:numPr>
          <w:ilvl w:val="0"/>
          <w:numId w:val="1378"/>
        </w:numPr>
        <w:pStyle w:val="Compact"/>
      </w:pPr>
      <w:r>
        <w:t xml:space="preserve">2021 · Bajaj HS ·</w:t>
      </w:r>
      <w:r>
        <w:t xml:space="preserve"> </w:t>
      </w:r>
      <w:r>
        <w:rPr>
          <w:iCs/>
          <w:i/>
        </w:rPr>
        <w:t xml:space="preserve">Lancet Diabetes Endocrinol</w:t>
      </w:r>
      <w:r>
        <w:t xml:space="preserve"> </w:t>
      </w:r>
      <w:r>
        <w:t xml:space="preserve">· Erectile function in men with type 2 diabetes treated with dulaglutide: an exploratory analysis of the REWIND placebo-controlled randomised trial. PMID 34153269</w:t>
      </w:r>
    </w:p>
    <w:p>
      <w:pPr>
        <w:numPr>
          <w:ilvl w:val="0"/>
          <w:numId w:val="1378"/>
        </w:numPr>
        <w:pStyle w:val="Compact"/>
      </w:pPr>
      <w:r>
        <w:t xml:space="preserve">2021 · Snitker S ·</w:t>
      </w:r>
      <w:r>
        <w:t xml:space="preserve"> </w:t>
      </w:r>
      <w:r>
        <w:rPr>
          <w:iCs/>
          <w:i/>
        </w:rPr>
        <w:t xml:space="preserve">Diabetes Obes Metab</w:t>
      </w:r>
      <w:r>
        <w:t xml:space="preserve"> </w:t>
      </w:r>
      <w:r>
        <w:t xml:space="preserve">· Comparison of the injection-site experience of the starting doses with semaglutide and dulaglutide: A randomized, double-blind trial in healthy subjects. PMID 33591618</w:t>
      </w:r>
    </w:p>
    <w:p>
      <w:pPr>
        <w:numPr>
          <w:ilvl w:val="0"/>
          <w:numId w:val="1378"/>
        </w:numPr>
        <w:pStyle w:val="Compact"/>
      </w:pPr>
      <w:r>
        <w:t xml:space="preserve">2021 · Riddle MC ·</w:t>
      </w:r>
      <w:r>
        <w:t xml:space="preserve"> </w:t>
      </w:r>
      <w:r>
        <w:rPr>
          <w:iCs/>
          <w:i/>
        </w:rPr>
        <w:t xml:space="preserve">J Clin Endocrinol Metab</w:t>
      </w:r>
      <w:r>
        <w:t xml:space="preserve"> </w:t>
      </w:r>
      <w:r>
        <w:t xml:space="preserve">· Efficacy and Safety of Dulaglutide in Older Patients: A post hoc Analysis of the REWIND trial. PMID 33537745</w:t>
      </w:r>
    </w:p>
    <w:p>
      <w:pPr>
        <w:numPr>
          <w:ilvl w:val="0"/>
          <w:numId w:val="1378"/>
        </w:numPr>
        <w:pStyle w:val="Compact"/>
      </w:pPr>
      <w:r>
        <w:t xml:space="preserve">2021 · Frias JP ·</w:t>
      </w:r>
      <w:r>
        <w:t xml:space="preserve"> </w:t>
      </w:r>
      <w:r>
        <w:rPr>
          <w:iCs/>
          <w:i/>
        </w:rPr>
        <w:t xml:space="preserve">Diabetes Care</w:t>
      </w:r>
      <w:r>
        <w:t xml:space="preserve"> </w:t>
      </w:r>
      <w:r>
        <w:t xml:space="preserve">· Efficacy and Safety of Dulaglutide 3.0 mg and 4.5 mg Versus Dulaglutide 1.5 mg in Metformin-Treated Patients With Type 2 Diabetes in a Randomized Controlled Trial (AWARD-11). PMID 33397768</w:t>
      </w:r>
    </w:p>
    <w:p>
      <w:pPr>
        <w:numPr>
          <w:ilvl w:val="0"/>
          <w:numId w:val="1378"/>
        </w:numPr>
        <w:pStyle w:val="Compact"/>
      </w:pPr>
      <w:r>
        <w:t xml:space="preserve">2021 · Tuttolomondo A ·</w:t>
      </w:r>
      <w:r>
        <w:t xml:space="preserve"> </w:t>
      </w:r>
      <w:r>
        <w:rPr>
          <w:iCs/>
          <w:i/>
        </w:rPr>
        <w:t xml:space="preserve">Cardiovasc Diabetol</w:t>
      </w:r>
      <w:r>
        <w:t xml:space="preserve"> </w:t>
      </w:r>
      <w:r>
        <w:t xml:space="preserve">· Efficacy of dulaglutide on vascular health indexes in subjects with type 2 diabetes: a randomized trial. PMID 33397395</w:t>
      </w:r>
    </w:p>
    <w:p>
      <w:pPr>
        <w:numPr>
          <w:ilvl w:val="0"/>
          <w:numId w:val="1378"/>
        </w:numPr>
        <w:pStyle w:val="Compact"/>
      </w:pPr>
      <w:r>
        <w:t xml:space="preserve">2021 · Thomas MK ·</w:t>
      </w:r>
      <w:r>
        <w:t xml:space="preserve"> </w:t>
      </w:r>
      <w:r>
        <w:rPr>
          <w:iCs/>
          <w:i/>
        </w:rPr>
        <w:t xml:space="preserve">J Clin Endocrinol Metab</w:t>
      </w:r>
      <w:r>
        <w:t xml:space="preserve"> </w:t>
      </w:r>
      <w:r>
        <w:t xml:space="preserve">· Dual GIP and GLP-1 Receptor Agonist Tirzepatide Improves Beta-cell Function and Insulin Sensitivity in Type 2 Diabetes. PMID 33236115</w:t>
      </w:r>
    </w:p>
    <w:p>
      <w:pPr>
        <w:numPr>
          <w:ilvl w:val="0"/>
          <w:numId w:val="1378"/>
        </w:numPr>
        <w:pStyle w:val="Compact"/>
      </w:pPr>
      <w:r>
        <w:t xml:space="preserve">2021 · Ferrannini G ·</w:t>
      </w:r>
      <w:r>
        <w:t xml:space="preserve"> </w:t>
      </w:r>
      <w:r>
        <w:rPr>
          <w:iCs/>
          <w:i/>
        </w:rPr>
        <w:t xml:space="preserve">Eur Heart J</w:t>
      </w:r>
      <w:r>
        <w:t xml:space="preserve"> </w:t>
      </w:r>
      <w:r>
        <w:t xml:space="preserve">· Similar cardiovascular outcomes in patients with diabetes and established or high risk for coronary vascular disease treated with dulaglutide with and without baseline metformin. PMID 33197271</w:t>
      </w:r>
    </w:p>
    <w:p>
      <w:pPr>
        <w:numPr>
          <w:ilvl w:val="0"/>
          <w:numId w:val="1378"/>
        </w:numPr>
        <w:pStyle w:val="Compact"/>
      </w:pPr>
      <w:r>
        <w:t xml:space="preserve">2020 · Wilson JM ·</w:t>
      </w:r>
      <w:r>
        <w:t xml:space="preserve"> </w:t>
      </w:r>
      <w:r>
        <w:rPr>
          <w:iCs/>
          <w:i/>
        </w:rPr>
        <w:t xml:space="preserve">Diabetes Obes Metab</w:t>
      </w:r>
      <w:r>
        <w:t xml:space="preserve"> </w:t>
      </w:r>
      <w:r>
        <w:t xml:space="preserve">· The dual glucose-dependent insulinotropic peptide and glucagon-like peptide-1 receptor agonist, tirzepatide, improves lipoprotein biomarkers associated with insulin resistance and cardiovascular risk in patients with type 2 diabetes. PMID 33462955</w:t>
      </w:r>
    </w:p>
    <w:p>
      <w:pPr>
        <w:numPr>
          <w:ilvl w:val="0"/>
          <w:numId w:val="1378"/>
        </w:numPr>
        <w:pStyle w:val="Compact"/>
      </w:pPr>
      <w:r>
        <w:t xml:space="preserve">2020 · Dagenais GR ·</w:t>
      </w:r>
      <w:r>
        <w:t xml:space="preserve"> </w:t>
      </w:r>
      <w:r>
        <w:rPr>
          <w:iCs/>
          <w:i/>
        </w:rPr>
        <w:t xml:space="preserve">Cardiovasc Diabetol</w:t>
      </w:r>
      <w:r>
        <w:t xml:space="preserve"> </w:t>
      </w:r>
      <w:r>
        <w:t xml:space="preserve">· Total cardiovascular or fatal events in people with type 2 diabetes and cardiovascular risk factors treated with dulaglutide in the REWIND trail: a post hoc analysis. PMID 33239067</w:t>
      </w:r>
    </w:p>
    <w:p>
      <w:pPr>
        <w:numPr>
          <w:ilvl w:val="0"/>
          <w:numId w:val="1378"/>
        </w:numPr>
        <w:pStyle w:val="Compact"/>
      </w:pPr>
      <w:r>
        <w:t xml:space="preserve">2020 · Kuchay MS ·</w:t>
      </w:r>
      <w:r>
        <w:t xml:space="preserve"> </w:t>
      </w:r>
      <w:r>
        <w:rPr>
          <w:iCs/>
          <w:i/>
        </w:rPr>
        <w:t xml:space="preserve">Diabetologia</w:t>
      </w:r>
      <w:r>
        <w:t xml:space="preserve"> </w:t>
      </w:r>
      <w:r>
        <w:t xml:space="preserve">· Effect of dulaglutide on liver fat in patients with type 2 diabetes and NAFLD: randomised controlled trial (D-LIFT trial). PMID 32865597</w:t>
      </w:r>
    </w:p>
    <w:p>
      <w:pPr>
        <w:numPr>
          <w:ilvl w:val="0"/>
          <w:numId w:val="1378"/>
        </w:numPr>
        <w:pStyle w:val="Compact"/>
      </w:pPr>
      <w:r>
        <w:t xml:space="preserve">2020 · Winzeler B ·</w:t>
      </w:r>
      <w:r>
        <w:t xml:space="preserve"> </w:t>
      </w:r>
      <w:r>
        <w:rPr>
          <w:iCs/>
          <w:i/>
        </w:rPr>
        <w:t xml:space="preserve">Endocrine</w:t>
      </w:r>
      <w:r>
        <w:t xml:space="preserve"> </w:t>
      </w:r>
      <w:r>
        <w:t xml:space="preserve">· Effects of glucagon-like peptide-1 receptor agonists on fluid intake in healthy volunteers. PMID 32623637</w:t>
      </w:r>
    </w:p>
    <w:p>
      <w:pPr>
        <w:numPr>
          <w:ilvl w:val="0"/>
          <w:numId w:val="1378"/>
        </w:numPr>
        <w:pStyle w:val="Compact"/>
      </w:pPr>
      <w:r>
        <w:t xml:space="preserve">2020 · Cukierman-Yaffe T ·</w:t>
      </w:r>
      <w:r>
        <w:t xml:space="preserve"> </w:t>
      </w:r>
      <w:r>
        <w:rPr>
          <w:iCs/>
          <w:i/>
        </w:rPr>
        <w:t xml:space="preserve">Lancet Neurol</w:t>
      </w:r>
      <w:r>
        <w:t xml:space="preserve"> </w:t>
      </w:r>
      <w:r>
        <w:t xml:space="preserve">· Effect of dulaglutide on cognitive impairment in type 2 diabetes: an exploratory analysis of the REWIND trial. PMID 32562683</w:t>
      </w:r>
    </w:p>
    <w:p>
      <w:pPr>
        <w:numPr>
          <w:ilvl w:val="0"/>
          <w:numId w:val="1378"/>
        </w:numPr>
        <w:pStyle w:val="Compact"/>
      </w:pPr>
      <w:r>
        <w:t xml:space="preserve">2020 · Yabe D ·</w:t>
      </w:r>
      <w:r>
        <w:t xml:space="preserve"> </w:t>
      </w:r>
      <w:r>
        <w:rPr>
          <w:iCs/>
          <w:i/>
        </w:rPr>
        <w:t xml:space="preserve">Lancet Diabetes Endocrinol</w:t>
      </w:r>
      <w:r>
        <w:t xml:space="preserve"> </w:t>
      </w:r>
      <w:r>
        <w:t xml:space="preserve">· Safety and efficacy of oral semaglutide versus dulaglutide in Japanese patients with type 2 diabetes (PIONEER 10): an open-label, randomised, active-controlled, phase 3a trial. PMID 32333876</w:t>
      </w:r>
    </w:p>
    <w:p>
      <w:pPr>
        <w:numPr>
          <w:ilvl w:val="0"/>
          <w:numId w:val="1378"/>
        </w:numPr>
        <w:pStyle w:val="Compact"/>
      </w:pPr>
      <w:r>
        <w:t xml:space="preserve">2020 · An IB ·</w:t>
      </w:r>
      <w:r>
        <w:t xml:space="preserve"> </w:t>
      </w:r>
      <w:r>
        <w:rPr>
          <w:iCs/>
          <w:i/>
        </w:rPr>
        <w:t xml:space="preserve">Diabetes Obes Metab</w:t>
      </w:r>
      <w:r>
        <w:t xml:space="preserve"> </w:t>
      </w:r>
      <w:r>
        <w:t xml:space="preserve">· A glycosylated Fc-fused glucagon-like peptide-1 receptor agonist exhibits equivalent glucose lowering to but fewer gastrointestinal side effects than dulaglutide. PMID 32314505</w:t>
      </w:r>
    </w:p>
    <w:p>
      <w:pPr>
        <w:numPr>
          <w:ilvl w:val="0"/>
          <w:numId w:val="1378"/>
        </w:numPr>
        <w:pStyle w:val="Compact"/>
      </w:pPr>
      <w:r>
        <w:t xml:space="preserve">2020 · Hartman ML ·</w:t>
      </w:r>
      <w:r>
        <w:t xml:space="preserve"> </w:t>
      </w:r>
      <w:r>
        <w:rPr>
          <w:iCs/>
          <w:i/>
        </w:rPr>
        <w:t xml:space="preserve">Diabetes Care</w:t>
      </w:r>
      <w:r>
        <w:t xml:space="preserve"> </w:t>
      </w:r>
      <w:r>
        <w:t xml:space="preserve">· Effects of Novel Dual GIP and GLP-1 Receptor Agonist Tirzepatide on Biomarkers of Nonalcoholic Steatohepatitis in Patients With Type 2 Diabetes. PMID 32291277</w:t>
      </w:r>
    </w:p>
    <w:p>
      <w:pPr>
        <w:numPr>
          <w:ilvl w:val="0"/>
          <w:numId w:val="1378"/>
        </w:numPr>
        <w:pStyle w:val="Compact"/>
      </w:pPr>
      <w:r>
        <w:t xml:space="preserve">2020 · Romera I ·</w:t>
      </w:r>
      <w:r>
        <w:t xml:space="preserve"> </w:t>
      </w:r>
      <w:r>
        <w:rPr>
          <w:iCs/>
          <w:i/>
        </w:rPr>
        <w:t xml:space="preserve">J Diabetes Complications</w:t>
      </w:r>
      <w:r>
        <w:t xml:space="preserve"> </w:t>
      </w:r>
      <w:r>
        <w:t xml:space="preserve">· Once-weekly dulaglutide versus insulin glargine in the early control of fasting serum glucose and HbA1c. PMID 32220551</w:t>
      </w:r>
    </w:p>
    <w:p>
      <w:pPr>
        <w:numPr>
          <w:ilvl w:val="0"/>
          <w:numId w:val="1378"/>
        </w:numPr>
        <w:pStyle w:val="Compact"/>
      </w:pPr>
      <w:r>
        <w:t xml:space="preserve">2020 · Asakura T ·</w:t>
      </w:r>
      <w:r>
        <w:t xml:space="preserve"> </w:t>
      </w:r>
      <w:r>
        <w:rPr>
          <w:iCs/>
          <w:i/>
        </w:rPr>
        <w:t xml:space="preserve">Curr Med Res Opin</w:t>
      </w:r>
      <w:r>
        <w:t xml:space="preserve"> </w:t>
      </w:r>
      <w:r>
        <w:t xml:space="preserve">· Comparative study of dulaglutide single-use pen Ateos versus insulin degludec FlexTouch on learning and mock administration time in Japanese patients with type 2 diabetes mellitus - a post-hoc analysis. PMID 32141343</w:t>
      </w:r>
    </w:p>
    <w:p>
      <w:pPr>
        <w:numPr>
          <w:ilvl w:val="0"/>
          <w:numId w:val="1378"/>
        </w:numPr>
        <w:pStyle w:val="Compact"/>
      </w:pPr>
      <w:r>
        <w:t xml:space="preserve">2020 · Gerstein HC ·</w:t>
      </w:r>
      <w:r>
        <w:t xml:space="preserve"> </w:t>
      </w:r>
      <w:r>
        <w:rPr>
          <w:iCs/>
          <w:i/>
        </w:rPr>
        <w:t xml:space="preserve">Lancet Diabetes Endocrinol</w:t>
      </w:r>
      <w:r>
        <w:t xml:space="preserve"> </w:t>
      </w:r>
      <w:r>
        <w:t xml:space="preserve">· The effect of dulaglutide on stroke: an exploratory analysis of the REWIND trial. PMID 31924562</w:t>
      </w:r>
    </w:p>
    <w:p>
      <w:pPr>
        <w:numPr>
          <w:ilvl w:val="0"/>
          <w:numId w:val="1378"/>
        </w:numPr>
        <w:pStyle w:val="Compact"/>
      </w:pPr>
      <w:r>
        <w:t xml:space="preserve">2020 · DeSouza C ·</w:t>
      </w:r>
      <w:r>
        <w:t xml:space="preserve"> </w:t>
      </w:r>
      <w:r>
        <w:rPr>
          <w:iCs/>
          <w:i/>
        </w:rPr>
        <w:t xml:space="preserve">J Clin Endocrinol Metab</w:t>
      </w:r>
      <w:r>
        <w:t xml:space="preserve"> </w:t>
      </w:r>
      <w:r>
        <w:t xml:space="preserve">· Efficacy and Safety of Semaglutide for Type 2 Diabetes by Race and Ethnicity: A Post Hoc Analysis of the SUSTAIN Trials. PMID 31769496</w:t>
      </w:r>
    </w:p>
    <w:p>
      <w:pPr>
        <w:numPr>
          <w:ilvl w:val="0"/>
          <w:numId w:val="1378"/>
        </w:numPr>
        <w:pStyle w:val="Compact"/>
      </w:pPr>
      <w:r>
        <w:t xml:space="preserve">2020 · Xiao X ·</w:t>
      </w:r>
      <w:r>
        <w:t xml:space="preserve"> </w:t>
      </w:r>
      <w:r>
        <w:rPr>
          <w:iCs/>
          <w:i/>
        </w:rPr>
        <w:t xml:space="preserve">J Diabetes Investig</w:t>
      </w:r>
      <w:r>
        <w:t xml:space="preserve"> </w:t>
      </w:r>
      <w:r>
        <w:t xml:space="preserve">· Achieving the composite end-point of glycated hemoglobin &lt;7.0% without weight gain or hypoglycemia with once-weekly dulaglutide in Chinese patients with type 2 diabetes: A post-hoc analysis. PMID 31758850</w:t>
      </w:r>
    </w:p>
    <w:p>
      <w:pPr>
        <w:numPr>
          <w:ilvl w:val="0"/>
          <w:numId w:val="1378"/>
        </w:numPr>
        <w:pStyle w:val="Compact"/>
      </w:pPr>
      <w:r>
        <w:t xml:space="preserve">2020 · Matza LS ·</w:t>
      </w:r>
      <w:r>
        <w:t xml:space="preserve"> </w:t>
      </w:r>
      <w:r>
        <w:rPr>
          <w:iCs/>
          <w:i/>
        </w:rPr>
        <w:t xml:space="preserve">Diabetes Obes Metab</w:t>
      </w:r>
      <w:r>
        <w:t xml:space="preserve"> </w:t>
      </w:r>
      <w:r>
        <w:t xml:space="preserve">· Assessing patient PREFERence between the dulaglutide pen and the semaglutide pen: A crossover study (PREFER). PMID 31646727</w:t>
      </w:r>
    </w:p>
    <w:p>
      <w:pPr>
        <w:numPr>
          <w:ilvl w:val="0"/>
          <w:numId w:val="1378"/>
        </w:numPr>
        <w:pStyle w:val="Compact"/>
      </w:pPr>
      <w:r>
        <w:t xml:space="preserve">2020 · Fushimi N ·</w:t>
      </w:r>
      <w:r>
        <w:t xml:space="preserve"> </w:t>
      </w:r>
      <w:r>
        <w:rPr>
          <w:iCs/>
          <w:i/>
        </w:rPr>
        <w:t xml:space="preserve">J Diabetes Investig</w:t>
      </w:r>
      <w:r>
        <w:t xml:space="preserve"> </w:t>
      </w:r>
      <w:r>
        <w:t xml:space="preserve">· Dulaglutide-combined basal plus correction insulin therapy contributes to ideal glycemic control in non-critical hospitalized patients. PMID 31168938</w:t>
      </w:r>
    </w:p>
    <w:p>
      <w:pPr>
        <w:numPr>
          <w:ilvl w:val="0"/>
          <w:numId w:val="1378"/>
        </w:numPr>
        <w:pStyle w:val="Compact"/>
      </w:pPr>
      <w:r>
        <w:t xml:space="preserve">2020 · Shi LX ·</w:t>
      </w:r>
      <w:r>
        <w:t xml:space="preserve"> </w:t>
      </w:r>
      <w:r>
        <w:rPr>
          <w:iCs/>
          <w:i/>
        </w:rPr>
        <w:t xml:space="preserve">J Diabetes Investig</w:t>
      </w:r>
      <w:r>
        <w:t xml:space="preserve"> </w:t>
      </w:r>
      <w:r>
        <w:t xml:space="preserve">· Efficacy and safety of dulaglutide monotherapy compared with glimepiride in Chinese patients with type 2 diabetes: Post-hoc analyses of a randomized, double-blind, phase III study. PMID 31102326</w:t>
      </w:r>
    </w:p>
    <w:p>
      <w:pPr>
        <w:numPr>
          <w:ilvl w:val="0"/>
          <w:numId w:val="1378"/>
        </w:numPr>
        <w:pStyle w:val="Compact"/>
      </w:pPr>
      <w:r>
        <w:t xml:space="preserve">2019 · Wang J ·</w:t>
      </w:r>
      <w:r>
        <w:t xml:space="preserve"> </w:t>
      </w:r>
      <w:r>
        <w:rPr>
          <w:iCs/>
          <w:i/>
        </w:rPr>
        <w:t xml:space="preserve">Biomed Res Int</w:t>
      </w:r>
      <w:r>
        <w:t xml:space="preserve"> </w:t>
      </w:r>
      <w:r>
        <w:t xml:space="preserve">· The Effects of Once-Weekly Dulaglutide and Insulin Glargine on Glucose Fluctuation in Poorly Oral-Antidiabetic Controlled Patients with Type 2 Diabetes Mellitus. PMID 31950036</w:t>
      </w:r>
    </w:p>
    <w:p>
      <w:pPr>
        <w:numPr>
          <w:ilvl w:val="0"/>
          <w:numId w:val="1378"/>
        </w:numPr>
        <w:pStyle w:val="Compact"/>
      </w:pPr>
      <w:r>
        <w:t xml:space="preserve">2019 · Blonde L ·</w:t>
      </w:r>
      <w:r>
        <w:t xml:space="preserve"> </w:t>
      </w:r>
      <w:r>
        <w:rPr>
          <w:iCs/>
          <w:i/>
        </w:rPr>
        <w:t xml:space="preserve">Diabetes Care</w:t>
      </w:r>
      <w:r>
        <w:t xml:space="preserve"> </w:t>
      </w:r>
      <w:r>
        <w:t xml:space="preserve">· Switching to iGlarLixi Versus Continuing Daily or Weekly GLP-1 RA in Type 2 Diabetes Inadequately Controlled by GLP-1 RA and Oral Antihyperglycemic Therapy: The LixiLan-G Randomized Clinical Trial. PMID 31530665</w:t>
      </w:r>
    </w:p>
    <w:p>
      <w:pPr>
        <w:numPr>
          <w:ilvl w:val="0"/>
          <w:numId w:val="1378"/>
        </w:numPr>
        <w:pStyle w:val="Compact"/>
      </w:pPr>
      <w:r>
        <w:t xml:space="preserve">2019 · Kutoh E ·</w:t>
      </w:r>
      <w:r>
        <w:t xml:space="preserve"> </w:t>
      </w:r>
      <w:r>
        <w:rPr>
          <w:iCs/>
          <w:i/>
        </w:rPr>
        <w:t xml:space="preserve">Endocr Regul</w:t>
      </w:r>
      <w:r>
        <w:t xml:space="preserve"> </w:t>
      </w:r>
      <w:r>
        <w:t xml:space="preserve">· Efficacy and safety of dulaglutide in patients with absolute insulin deficiency. PMID 31517629</w:t>
      </w:r>
    </w:p>
    <w:p>
      <w:pPr>
        <w:numPr>
          <w:ilvl w:val="0"/>
          <w:numId w:val="1378"/>
        </w:numPr>
        <w:pStyle w:val="Compact"/>
      </w:pPr>
      <w:r>
        <w:t xml:space="preserve">2019 · Gentilella R ·</w:t>
      </w:r>
      <w:r>
        <w:t xml:space="preserve"> </w:t>
      </w:r>
      <w:r>
        <w:rPr>
          <w:iCs/>
          <w:i/>
        </w:rPr>
        <w:t xml:space="preserve">Diabetes Obes Metab</w:t>
      </w:r>
      <w:r>
        <w:t xml:space="preserve"> </w:t>
      </w:r>
      <w:r>
        <w:t xml:space="preserve">· Dulaglutide is an effective treatment for lowering HbA1c in patients with type 2 diabetes regardless of body mass index. PMID 31392822</w:t>
      </w:r>
    </w:p>
    <w:p>
      <w:pPr>
        <w:numPr>
          <w:ilvl w:val="0"/>
          <w:numId w:val="1378"/>
        </w:numPr>
        <w:pStyle w:val="Compact"/>
      </w:pPr>
      <w:r>
        <w:t xml:space="preserve">2019 · Jendle J ·</w:t>
      </w:r>
      <w:r>
        <w:t xml:space="preserve"> </w:t>
      </w:r>
      <w:r>
        <w:rPr>
          <w:iCs/>
          <w:i/>
        </w:rPr>
        <w:t xml:space="preserve">Diabetes Obes Metab</w:t>
      </w:r>
      <w:r>
        <w:t xml:space="preserve"> </w:t>
      </w:r>
      <w:r>
        <w:t xml:space="preserve">· Improved treatment satisfaction in patients with type 2 diabetes treated with once-weekly semaglutide in the SUSTAIN trials. PMID 31215727</w:t>
      </w:r>
    </w:p>
    <w:p>
      <w:pPr>
        <w:numPr>
          <w:ilvl w:val="0"/>
          <w:numId w:val="1378"/>
        </w:numPr>
        <w:pStyle w:val="Compact"/>
      </w:pPr>
      <w:r>
        <w:t xml:space="preserve">2019 · Gerstein HC ·</w:t>
      </w:r>
      <w:r>
        <w:t xml:space="preserve"> </w:t>
      </w:r>
      <w:r>
        <w:rPr>
          <w:iCs/>
          <w:i/>
        </w:rPr>
        <w:t xml:space="preserve">Lancet</w:t>
      </w:r>
      <w:r>
        <w:t xml:space="preserve"> </w:t>
      </w:r>
      <w:r>
        <w:t xml:space="preserve">· Dulaglutide and cardiovascular outcomes in type 2 diabetes (REWIND): a double-blind, randomised placebo-controlled trial. PMID 31189511</w:t>
      </w:r>
    </w:p>
    <w:p>
      <w:pPr>
        <w:numPr>
          <w:ilvl w:val="0"/>
          <w:numId w:val="1378"/>
        </w:numPr>
        <w:pStyle w:val="Compact"/>
      </w:pPr>
      <w:r>
        <w:t xml:space="preserve">2019 · Gerstein HC ·</w:t>
      </w:r>
      <w:r>
        <w:t xml:space="preserve"> </w:t>
      </w:r>
      <w:r>
        <w:rPr>
          <w:iCs/>
          <w:i/>
        </w:rPr>
        <w:t xml:space="preserve">Lancet</w:t>
      </w:r>
      <w:r>
        <w:t xml:space="preserve"> </w:t>
      </w:r>
      <w:r>
        <w:t xml:space="preserve">· Dulaglutide and renal outcomes in type 2 diabetes: an exploratory analysis of the REWIND randomised, placebo-controlled trial. PMID 31189509</w:t>
      </w:r>
    </w:p>
    <w:p>
      <w:pPr>
        <w:numPr>
          <w:ilvl w:val="0"/>
          <w:numId w:val="1378"/>
        </w:numPr>
        <w:pStyle w:val="Compact"/>
      </w:pPr>
      <w:r>
        <w:t xml:space="preserve">2019 · Li H ·</w:t>
      </w:r>
      <w:r>
        <w:t xml:space="preserve"> </w:t>
      </w:r>
      <w:r>
        <w:rPr>
          <w:iCs/>
          <w:i/>
        </w:rPr>
        <w:t xml:space="preserve">J Diabetes Res</w:t>
      </w:r>
      <w:r>
        <w:t xml:space="preserve"> </w:t>
      </w:r>
      <w:r>
        <w:t xml:space="preserve">· A Randomized Study to Compare the Effects of Once-Weekly Dulaglutide Injection and Once-Daily Glimepiride on Glucose Fluctuation of Type 2 Diabetes Mellitus Patients: A 26-Week Follow-Up. PMID 31183384</w:t>
      </w:r>
    </w:p>
    <w:p>
      <w:pPr>
        <w:numPr>
          <w:ilvl w:val="0"/>
          <w:numId w:val="1378"/>
        </w:numPr>
        <w:pStyle w:val="Compact"/>
      </w:pPr>
      <w:r>
        <w:t xml:space="preserve">2019 · Frias JP ·</w:t>
      </w:r>
      <w:r>
        <w:t xml:space="preserve"> </w:t>
      </w:r>
      <w:r>
        <w:rPr>
          <w:iCs/>
          <w:i/>
        </w:rPr>
        <w:t xml:space="preserve">Diabetes Obes Metab</w:t>
      </w:r>
      <w:r>
        <w:t xml:space="preserve"> </w:t>
      </w:r>
      <w:r>
        <w:t xml:space="preserve">· Efficacy and safety of an expanded dulaglutide dose range: A phase 2, placebo-controlled trial in patients with type 2 diabetes using metformin. PMID 31050143</w:t>
      </w:r>
    </w:p>
    <w:p>
      <w:pPr>
        <w:numPr>
          <w:ilvl w:val="0"/>
          <w:numId w:val="1378"/>
        </w:numPr>
        <w:pStyle w:val="Compact"/>
      </w:pPr>
      <w:r>
        <w:t xml:space="preserve">2019 · Tuttle KR ·</w:t>
      </w:r>
      <w:r>
        <w:t xml:space="preserve"> </w:t>
      </w:r>
      <w:r>
        <w:rPr>
          <w:iCs/>
          <w:i/>
        </w:rPr>
        <w:t xml:space="preserve">Diabetes Obes Metab</w:t>
      </w:r>
      <w:r>
        <w:t xml:space="preserve"> </w:t>
      </w:r>
      <w:r>
        <w:t xml:space="preserve">· Body weight and eGFR during dulaglutide treatment in type 2 diabetes and moderate-to-severe chronic kidney disease (AWARD-7). PMID 30762290</w:t>
      </w:r>
    </w:p>
    <w:p>
      <w:pPr>
        <w:numPr>
          <w:ilvl w:val="0"/>
          <w:numId w:val="1378"/>
        </w:numPr>
        <w:pStyle w:val="Compact"/>
      </w:pPr>
      <w:r>
        <w:t xml:space="preserve">2019 · Fuechtenbusch M ·</w:t>
      </w:r>
      <w:r>
        <w:t xml:space="preserve"> </w:t>
      </w:r>
      <w:r>
        <w:rPr>
          <w:iCs/>
          <w:i/>
        </w:rPr>
        <w:t xml:space="preserve">Diabetes Obes Metab</w:t>
      </w:r>
      <w:r>
        <w:t xml:space="preserve"> </w:t>
      </w:r>
      <w:r>
        <w:t xml:space="preserve">· Weight loss in patients with type 2 diabetes receiving once-weekly dulaglutide plus insulin lispro or insulin glargine plus insulin lispro: A post-hoc analysis of the AWARD-4 study across baseline body mass index subgroups. PMID 30737891</w:t>
      </w:r>
    </w:p>
    <w:p>
      <w:pPr>
        <w:numPr>
          <w:ilvl w:val="0"/>
          <w:numId w:val="1378"/>
        </w:numPr>
        <w:pStyle w:val="Compact"/>
      </w:pPr>
      <w:r>
        <w:t xml:space="preserve">2019 · Wang W ·</w:t>
      </w:r>
      <w:r>
        <w:t xml:space="preserve"> </w:t>
      </w:r>
      <w:r>
        <w:rPr>
          <w:iCs/>
          <w:i/>
        </w:rPr>
        <w:t xml:space="preserve">Diabetes Obes Metab</w:t>
      </w:r>
      <w:r>
        <w:t xml:space="preserve"> </w:t>
      </w:r>
      <w:r>
        <w:t xml:space="preserve">· Efficacy and safety of once-weekly dulaglutide versus insulin glargine in mainly Asian patients with type 2 diabetes mellitus on metformin and/or a sulphonylurea: A 52-week open-label, randomized phase III trial. PMID 30129089</w:t>
      </w:r>
    </w:p>
    <w:p>
      <w:pPr>
        <w:numPr>
          <w:ilvl w:val="0"/>
          <w:numId w:val="1378"/>
        </w:numPr>
        <w:pStyle w:val="Compact"/>
      </w:pPr>
      <w:r>
        <w:t xml:space="preserve">2019 · Takase T ·</w:t>
      </w:r>
      <w:r>
        <w:t xml:space="preserve"> </w:t>
      </w:r>
      <w:r>
        <w:rPr>
          <w:iCs/>
          <w:i/>
        </w:rPr>
        <w:t xml:space="preserve">J Diabetes Investig</w:t>
      </w:r>
      <w:r>
        <w:t xml:space="preserve"> </w:t>
      </w:r>
      <w:r>
        <w:t xml:space="preserve">· Improvement in treatment satisfaction after switching from liraglutide to dulaglutide in patients with type 2 diabetes: A randomized controlled trial. PMID 30076787</w:t>
      </w:r>
    </w:p>
    <w:p>
      <w:pPr>
        <w:numPr>
          <w:ilvl w:val="0"/>
          <w:numId w:val="1378"/>
        </w:numPr>
        <w:pStyle w:val="Compact"/>
      </w:pPr>
      <w:r>
        <w:t xml:space="preserve">2019 · Overgaard RV ·</w:t>
      </w:r>
      <w:r>
        <w:t xml:space="preserve"> </w:t>
      </w:r>
      <w:r>
        <w:rPr>
          <w:iCs/>
          <w:i/>
        </w:rPr>
        <w:t xml:space="preserve">Diabetes Obes Metab</w:t>
      </w:r>
      <w:r>
        <w:t xml:space="preserve"> </w:t>
      </w:r>
      <w:r>
        <w:t xml:space="preserve">· Impact on HbA1c and body weight of switching from other GLP-1 receptor agonists to semaglutide: A model-based approach. PMID 30047216</w:t>
      </w:r>
    </w:p>
    <w:p>
      <w:pPr>
        <w:numPr>
          <w:ilvl w:val="0"/>
          <w:numId w:val="1378"/>
        </w:numPr>
        <w:pStyle w:val="Compact"/>
      </w:pPr>
      <w:r>
        <w:t xml:space="preserve">2018 · Coskun T ·</w:t>
      </w:r>
      <w:r>
        <w:t xml:space="preserve"> </w:t>
      </w:r>
      <w:r>
        <w:rPr>
          <w:iCs/>
          <w:i/>
        </w:rPr>
        <w:t xml:space="preserve">Mol Metab</w:t>
      </w:r>
      <w:r>
        <w:t xml:space="preserve"> </w:t>
      </w:r>
      <w:r>
        <w:t xml:space="preserve">· LY3298176, a novel dual GIP and GLP-1 receptor agonist for the treatment of type 2 diabetes mellitus: From discovery to clinical proof of concept. PMID 30473097</w:t>
      </w:r>
    </w:p>
    <w:p>
      <w:pPr>
        <w:numPr>
          <w:ilvl w:val="0"/>
          <w:numId w:val="1378"/>
        </w:numPr>
        <w:pStyle w:val="Compact"/>
      </w:pPr>
      <w:r>
        <w:t xml:space="preserve">2018 · Frias JP ·</w:t>
      </w:r>
      <w:r>
        <w:t xml:space="preserve"> </w:t>
      </w:r>
      <w:r>
        <w:rPr>
          <w:iCs/>
          <w:i/>
        </w:rPr>
        <w:t xml:space="preserve">Lancet</w:t>
      </w:r>
      <w:r>
        <w:t xml:space="preserve"> </w:t>
      </w:r>
      <w:r>
        <w:t xml:space="preserve">· Efficacy and safety of LY3298176, a novel dual GIP and GLP-1 receptor agonist, in patients with type 2 diabetes: a randomised, placebo-controlled and active comparator-controlled phase 2 trial. PMID 30293770</w:t>
      </w:r>
    </w:p>
    <w:p>
      <w:pPr>
        <w:numPr>
          <w:ilvl w:val="0"/>
          <w:numId w:val="1378"/>
        </w:numPr>
        <w:pStyle w:val="Compact"/>
      </w:pPr>
      <w:r>
        <w:t xml:space="preserve">2018 · Tuttle KR ·</w:t>
      </w:r>
      <w:r>
        <w:t xml:space="preserve"> </w:t>
      </w:r>
      <w:r>
        <w:rPr>
          <w:iCs/>
          <w:i/>
        </w:rPr>
        <w:t xml:space="preserve">Lancet Diabetes Endocrinol</w:t>
      </w:r>
      <w:r>
        <w:t xml:space="preserve"> </w:t>
      </w:r>
      <w:r>
        <w:t xml:space="preserve">· Dulaglutide versus insulin glargine in patients with type 2 diabetes and moderate-to-severe chronic kidney disease (AWARD-7): a multicentre, open-label, randomised trial. PMID 29910024</w:t>
      </w:r>
    </w:p>
    <w:p>
      <w:pPr>
        <w:numPr>
          <w:ilvl w:val="0"/>
          <w:numId w:val="1378"/>
        </w:numPr>
        <w:pStyle w:val="Compact"/>
      </w:pPr>
      <w:r>
        <w:t xml:space="preserve">2018 · Chen YH ·</w:t>
      </w:r>
      <w:r>
        <w:t xml:space="preserve"> </w:t>
      </w:r>
      <w:r>
        <w:rPr>
          <w:iCs/>
          <w:i/>
        </w:rPr>
        <w:t xml:space="preserve">Diabetes Obes Metab</w:t>
      </w:r>
      <w:r>
        <w:t xml:space="preserve"> </w:t>
      </w:r>
      <w:r>
        <w:t xml:space="preserve">· Efficacy and safety of dulaglutide monotherapy compared with glimepiride in East-Asian patients with type 2 diabetes in a multicentre, double-blind, randomized, parallel-arm, active comparator, phase III trial. PMID 29708650</w:t>
      </w:r>
    </w:p>
    <w:p>
      <w:pPr>
        <w:numPr>
          <w:ilvl w:val="0"/>
          <w:numId w:val="1378"/>
        </w:numPr>
        <w:pStyle w:val="Compact"/>
      </w:pPr>
      <w:r>
        <w:t xml:space="preserve">2018 · Mathieu C ·</w:t>
      </w:r>
      <w:r>
        <w:t xml:space="preserve"> </w:t>
      </w:r>
      <w:r>
        <w:rPr>
          <w:iCs/>
          <w:i/>
        </w:rPr>
        <w:t xml:space="preserve">Diabetes Obes Metab</w:t>
      </w:r>
      <w:r>
        <w:t xml:space="preserve"> </w:t>
      </w:r>
      <w:r>
        <w:t xml:space="preserve">· Effect of once weekly dulaglutide by baseline beta-cell function in people with type 2 diabetes in the AWARD programme. PMID 29603872</w:t>
      </w:r>
    </w:p>
    <w:p>
      <w:pPr>
        <w:numPr>
          <w:ilvl w:val="0"/>
          <w:numId w:val="1378"/>
        </w:numPr>
        <w:pStyle w:val="Compact"/>
      </w:pPr>
      <w:r>
        <w:t xml:space="preserve">2018 · Asakura T ·</w:t>
      </w:r>
      <w:r>
        <w:t xml:space="preserve"> </w:t>
      </w:r>
      <w:r>
        <w:rPr>
          <w:iCs/>
          <w:i/>
        </w:rPr>
        <w:t xml:space="preserve">Curr Med Res Opin</w:t>
      </w:r>
      <w:r>
        <w:t xml:space="preserve"> </w:t>
      </w:r>
      <w:r>
        <w:t xml:space="preserve">· Comparative usability study of the dulaglutide single-use pen versus the insulin degludec FlexTouch(®) among self-injection-naïve patients with type 2 diabetes mellitus in Japan. PMID 29504812</w:t>
      </w:r>
    </w:p>
    <w:p>
      <w:pPr>
        <w:numPr>
          <w:ilvl w:val="0"/>
          <w:numId w:val="1378"/>
        </w:numPr>
        <w:pStyle w:val="Compact"/>
      </w:pPr>
      <w:r>
        <w:t xml:space="preserve">2018 · Ludvik B ·</w:t>
      </w:r>
      <w:r>
        <w:t xml:space="preserve"> </w:t>
      </w:r>
      <w:r>
        <w:rPr>
          <w:iCs/>
          <w:i/>
        </w:rPr>
        <w:t xml:space="preserve">Lancet Diabetes Endocrinol</w:t>
      </w:r>
      <w:r>
        <w:t xml:space="preserve"> </w:t>
      </w:r>
      <w:r>
        <w:t xml:space="preserve">· Dulaglutide as add-on therapy to SGLT2 inhibitors in patients with inadequately controlled type 2 diabetes (AWARD-10): a 24-week, randomised, double-blind, placebo-controlled trial. PMID 29483060</w:t>
      </w:r>
    </w:p>
    <w:p>
      <w:pPr>
        <w:numPr>
          <w:ilvl w:val="0"/>
          <w:numId w:val="1378"/>
        </w:numPr>
        <w:pStyle w:val="Compact"/>
      </w:pPr>
      <w:r>
        <w:t xml:space="preserve">2018 · Pantalone KM ·</w:t>
      </w:r>
      <w:r>
        <w:t xml:space="preserve"> </w:t>
      </w:r>
      <w:r>
        <w:rPr>
          <w:iCs/>
          <w:i/>
        </w:rPr>
        <w:t xml:space="preserve">Diabetes Obes Metab</w:t>
      </w:r>
      <w:r>
        <w:t xml:space="preserve"> </w:t>
      </w:r>
      <w:r>
        <w:t xml:space="preserve">· Dulaglutide 1.5 mg as an add-on option for patients uncontrolled on insulin: Subgroup analysis by age, duration of diabetes and baseline glycated haemoglobin concentration. PMID 29430801</w:t>
      </w:r>
    </w:p>
    <w:p>
      <w:pPr>
        <w:numPr>
          <w:ilvl w:val="0"/>
          <w:numId w:val="1378"/>
        </w:numPr>
        <w:pStyle w:val="Compact"/>
      </w:pPr>
      <w:r>
        <w:t xml:space="preserve">2018 · Pratley RE ·</w:t>
      </w:r>
      <w:r>
        <w:t xml:space="preserve"> </w:t>
      </w:r>
      <w:r>
        <w:rPr>
          <w:iCs/>
          <w:i/>
        </w:rPr>
        <w:t xml:space="preserve">Lancet Diabetes Endocrinol</w:t>
      </w:r>
      <w:r>
        <w:t xml:space="preserve"> </w:t>
      </w:r>
      <w:r>
        <w:t xml:space="preserve">· Semaglutide versus dulaglutide once weekly in patients with type 2 diabetes (SUSTAIN 7): a randomised, open-label, phase 3b trial. PMID 29397376</w:t>
      </w:r>
    </w:p>
    <w:p>
      <w:pPr>
        <w:numPr>
          <w:ilvl w:val="0"/>
          <w:numId w:val="1378"/>
        </w:numPr>
        <w:pStyle w:val="Compact"/>
      </w:pPr>
      <w:r>
        <w:t xml:space="preserve">2018 · Pozzilli P ·</w:t>
      </w:r>
      <w:r>
        <w:t xml:space="preserve"> </w:t>
      </w:r>
      <w:r>
        <w:rPr>
          <w:iCs/>
          <w:i/>
        </w:rPr>
        <w:t xml:space="preserve">Diabetes Obes Metab</w:t>
      </w:r>
      <w:r>
        <w:t xml:space="preserve"> </w:t>
      </w:r>
      <w:r>
        <w:t xml:space="preserve">· Dulaglutide treatment results in effective glycaemic control in latent autoimmune diabetes in adults (LADA): A post-hoc analysis of the AWARD-2, -4 and -5 Trials. PMID 29377522</w:t>
      </w:r>
    </w:p>
    <w:p>
      <w:pPr>
        <w:numPr>
          <w:ilvl w:val="0"/>
          <w:numId w:val="1378"/>
        </w:numPr>
        <w:pStyle w:val="Compact"/>
      </w:pPr>
      <w:r>
        <w:t xml:space="preserve">2018 · Gallwitz B ·</w:t>
      </w:r>
      <w:r>
        <w:t xml:space="preserve"> </w:t>
      </w:r>
      <w:r>
        <w:rPr>
          <w:iCs/>
          <w:i/>
        </w:rPr>
        <w:t xml:space="preserve">Diabetes Obes Metab</w:t>
      </w:r>
      <w:r>
        <w:t xml:space="preserve"> </w:t>
      </w:r>
      <w:r>
        <w:t xml:space="preserve">· Effect of once-weekly dulaglutide on glycated haemoglobin (HbA1c) and fasting blood glucose in patient subpopulations by gender, duration of diabetes and baseline HbA1c. PMID 28817231</w:t>
      </w:r>
    </w:p>
    <w:p>
      <w:pPr>
        <w:numPr>
          <w:ilvl w:val="0"/>
          <w:numId w:val="1378"/>
        </w:numPr>
        <w:pStyle w:val="Compact"/>
      </w:pPr>
      <w:r>
        <w:t xml:space="preserve">2017 · Yu M ·</w:t>
      </w:r>
      <w:r>
        <w:t xml:space="preserve"> </w:t>
      </w:r>
      <w:r>
        <w:rPr>
          <w:iCs/>
          <w:i/>
        </w:rPr>
        <w:t xml:space="preserve">Clin Ther</w:t>
      </w:r>
      <w:r>
        <w:t xml:space="preserve"> </w:t>
      </w:r>
      <w:r>
        <w:t xml:space="preserve">· Patient-reported Outcomes in Patients with Type 2 Diabetes Treated with Dulaglutide Added to Titrated Insulin Glargine (AWARD-9). PMID 29110972</w:t>
      </w:r>
    </w:p>
    <w:p>
      <w:pPr>
        <w:numPr>
          <w:ilvl w:val="0"/>
          <w:numId w:val="1378"/>
        </w:numPr>
        <w:pStyle w:val="Compact"/>
      </w:pPr>
      <w:r>
        <w:t xml:space="preserve">2017 · Kaneko S ·</w:t>
      </w:r>
      <w:r>
        <w:t xml:space="preserve"> </w:t>
      </w:r>
      <w:r>
        <w:rPr>
          <w:iCs/>
          <w:i/>
        </w:rPr>
        <w:t xml:space="preserve">Endocr J</w:t>
      </w:r>
      <w:r>
        <w:t xml:space="preserve"> </w:t>
      </w:r>
      <w:r>
        <w:t xml:space="preserve">· Efficacy and safety of subgroup analysis stratified by baseline HbA1c in a Japanese phase 3 study of dulaglutide 0.75 mg compared with insulin glargine in patients with type 2 diabetes. PMID 28904247</w:t>
      </w:r>
    </w:p>
    <w:p>
      <w:pPr>
        <w:numPr>
          <w:ilvl w:val="0"/>
          <w:numId w:val="1378"/>
        </w:numPr>
        <w:pStyle w:val="Compact"/>
      </w:pPr>
      <w:r>
        <w:t xml:space="preserve">2017 · Suzuki S ·</w:t>
      </w:r>
      <w:r>
        <w:t xml:space="preserve"> </w:t>
      </w:r>
      <w:r>
        <w:rPr>
          <w:iCs/>
          <w:i/>
        </w:rPr>
        <w:t xml:space="preserve">Health Qual Life Outcomes</w:t>
      </w:r>
      <w:r>
        <w:t xml:space="preserve"> </w:t>
      </w:r>
      <w:r>
        <w:t xml:space="preserve">· Evaluation of the impact of once weekly dulaglutide on patient-reported outcomes in Japanese patients with type 2 diabetes: comparisons with liraglutide, insulin glargine, and placebo in two randomized studies. PMID 28606095</w:t>
      </w:r>
    </w:p>
    <w:p>
      <w:pPr>
        <w:numPr>
          <w:ilvl w:val="0"/>
          <w:numId w:val="1378"/>
        </w:numPr>
        <w:pStyle w:val="Compact"/>
      </w:pPr>
      <w:r>
        <w:t xml:space="preserve">2017 · Onishi Y ·</w:t>
      </w:r>
      <w:r>
        <w:t xml:space="preserve"> </w:t>
      </w:r>
      <w:r>
        <w:rPr>
          <w:iCs/>
          <w:i/>
        </w:rPr>
        <w:t xml:space="preserve">Endocr J</w:t>
      </w:r>
      <w:r>
        <w:t xml:space="preserve"> </w:t>
      </w:r>
      <w:r>
        <w:t xml:space="preserve">· Analysis of efficacy and safety of dulaglutide 0.75 mg stratified by sex in patients with type 2 diabetes in 2 randomized, controlled phase 3 studies in Japan. PMID 28367916</w:t>
      </w:r>
    </w:p>
    <w:p>
      <w:pPr>
        <w:numPr>
          <w:ilvl w:val="0"/>
          <w:numId w:val="1378"/>
        </w:numPr>
        <w:pStyle w:val="Compact"/>
      </w:pPr>
      <w:r>
        <w:t xml:space="preserve">2017 · de la Peña A ·</w:t>
      </w:r>
      <w:r>
        <w:t xml:space="preserve"> </w:t>
      </w:r>
      <w:r>
        <w:rPr>
          <w:iCs/>
          <w:i/>
        </w:rPr>
        <w:t xml:space="preserve">Clin Pharmacokinet</w:t>
      </w:r>
      <w:r>
        <w:t xml:space="preserve"> </w:t>
      </w:r>
      <w:r>
        <w:t xml:space="preserve">· No Dose Adjustment is Recommended for Digoxin, Warfarin, Atorvastatin or a Combination Oral Contraceptive When Coadministered with Dulaglutide. PMID 28357715</w:t>
      </w:r>
    </w:p>
    <w:p>
      <w:pPr>
        <w:numPr>
          <w:ilvl w:val="0"/>
          <w:numId w:val="1378"/>
        </w:numPr>
        <w:pStyle w:val="Compact"/>
      </w:pPr>
      <w:r>
        <w:t xml:space="preserve">2017 · Hamano K ·</w:t>
      </w:r>
      <w:r>
        <w:t xml:space="preserve"> </w:t>
      </w:r>
      <w:r>
        <w:rPr>
          <w:iCs/>
          <w:i/>
        </w:rPr>
        <w:t xml:space="preserve">Endocr J</w:t>
      </w:r>
      <w:r>
        <w:t xml:space="preserve"> </w:t>
      </w:r>
      <w:r>
        <w:t xml:space="preserve">· Efficacy and safety analyses across 4 subgroups combining low and high age and body mass index groups in Japanese phase 3 studies of dulaglutide 0.75 mg after 26 weeks of treatment. PMID 28302958</w:t>
      </w:r>
    </w:p>
    <w:p>
      <w:pPr>
        <w:numPr>
          <w:ilvl w:val="0"/>
          <w:numId w:val="1378"/>
        </w:numPr>
        <w:pStyle w:val="Compact"/>
      </w:pPr>
      <w:r>
        <w:t xml:space="preserve">2017 · Pozzilli P ·</w:t>
      </w:r>
      <w:r>
        <w:t xml:space="preserve"> </w:t>
      </w:r>
      <w:r>
        <w:rPr>
          <w:iCs/>
          <w:i/>
        </w:rPr>
        <w:t xml:space="preserve">Diabetes Obes Metab</w:t>
      </w:r>
      <w:r>
        <w:t xml:space="preserve"> </w:t>
      </w:r>
      <w:r>
        <w:t xml:space="preserve">· Placebo-controlled, randomized trial of the addition of once-weekly glucagon-like peptide-1 receptor agonist dulaglutide to titrated daily insulin glargine in patients with type 2 diabetes (AWARD-9). PMID 28294499</w:t>
      </w:r>
    </w:p>
    <w:p>
      <w:pPr>
        <w:numPr>
          <w:ilvl w:val="0"/>
          <w:numId w:val="1378"/>
        </w:numPr>
        <w:pStyle w:val="Compact"/>
      </w:pPr>
      <w:r>
        <w:t xml:space="preserve">2017 · de la Peña A ·</w:t>
      </w:r>
      <w:r>
        <w:t xml:space="preserve"> </w:t>
      </w:r>
      <w:r>
        <w:rPr>
          <w:iCs/>
          <w:i/>
        </w:rPr>
        <w:t xml:space="preserve">Diabetes Obes Metab</w:t>
      </w:r>
      <w:r>
        <w:t xml:space="preserve"> </w:t>
      </w:r>
      <w:r>
        <w:t xml:space="preserve">· Once-weekly dulaglutide 1.5 mg restores insulin secretion in response to intravenous glucose infusion. PMID 27976833</w:t>
      </w:r>
    </w:p>
    <w:p>
      <w:pPr>
        <w:numPr>
          <w:ilvl w:val="0"/>
          <w:numId w:val="1378"/>
        </w:numPr>
        <w:pStyle w:val="Compact"/>
      </w:pPr>
      <w:r>
        <w:t xml:space="preserve">2017 · Emoto M ·</w:t>
      </w:r>
      <w:r>
        <w:t xml:space="preserve"> </w:t>
      </w:r>
      <w:r>
        <w:rPr>
          <w:iCs/>
          <w:i/>
        </w:rPr>
        <w:t xml:space="preserve">Endocr J</w:t>
      </w:r>
      <w:r>
        <w:t xml:space="preserve"> </w:t>
      </w:r>
      <w:r>
        <w:t xml:space="preserve">· Pancreatic safety in Japanese patients with type 2 diabetes treated with once weekly dulaglutide 0.75 mg up to 52 weeks in phase 3 clinical trials. PMID 27853058</w:t>
      </w:r>
    </w:p>
    <w:p>
      <w:pPr>
        <w:numPr>
          <w:ilvl w:val="0"/>
          <w:numId w:val="1378"/>
        </w:numPr>
        <w:pStyle w:val="Compact"/>
      </w:pPr>
      <w:r>
        <w:t xml:space="preserve">2016 · Davidson JA ·</w:t>
      </w:r>
      <w:r>
        <w:t xml:space="preserve"> </w:t>
      </w:r>
      <w:r>
        <w:rPr>
          <w:iCs/>
          <w:i/>
        </w:rPr>
        <w:t xml:space="preserve">Endocr Pract</w:t>
      </w:r>
      <w:r>
        <w:t xml:space="preserve"> </w:t>
      </w:r>
      <w:r>
        <w:t xml:space="preserve">· EFFICACY AND SAFETY OF DULAGLUTIDE IN HISPANIC/LATINO PATIENTS WITH TYPE 2 DIABETES IN THE AWARD CLINICAL PROGRAM. PMID 27540883</w:t>
      </w:r>
    </w:p>
    <w:p>
      <w:pPr>
        <w:numPr>
          <w:ilvl w:val="0"/>
          <w:numId w:val="1378"/>
        </w:numPr>
        <w:pStyle w:val="Compact"/>
      </w:pPr>
      <w:r>
        <w:t xml:space="preserve">2016 · Inagaki N ·</w:t>
      </w:r>
      <w:r>
        <w:t xml:space="preserve"> </w:t>
      </w:r>
      <w:r>
        <w:rPr>
          <w:iCs/>
          <w:i/>
        </w:rPr>
        <w:t xml:space="preserve">Diabetes Obes Metab</w:t>
      </w:r>
      <w:r>
        <w:t xml:space="preserve"> </w:t>
      </w:r>
      <w:r>
        <w:t xml:space="preserve">· The combination of dulaglutide and biguanide reduced bodyweight in Japanese patients with type 2 diabetes. PMID 27488246</w:t>
      </w:r>
    </w:p>
    <w:p>
      <w:pPr>
        <w:numPr>
          <w:ilvl w:val="0"/>
          <w:numId w:val="1378"/>
        </w:numPr>
        <w:pStyle w:val="Compact"/>
      </w:pPr>
      <w:r>
        <w:t xml:space="preserve">2016 · Jendle J ·</w:t>
      </w:r>
      <w:r>
        <w:t xml:space="preserve"> </w:t>
      </w:r>
      <w:r>
        <w:rPr>
          <w:iCs/>
          <w:i/>
        </w:rPr>
        <w:t xml:space="preserve">Diabetes Obes Metab</w:t>
      </w:r>
      <w:r>
        <w:t xml:space="preserve"> </w:t>
      </w:r>
      <w:r>
        <w:t xml:space="preserve">· Continuous glucose monitoring in patients with type 2 diabetes treated with glucagon-like peptide-1 receptor agonist dulaglutide in combination with prandial insulin lispro: an AWARD-4 substudy. PMID 27279266</w:t>
      </w:r>
    </w:p>
    <w:p>
      <w:pPr>
        <w:numPr>
          <w:ilvl w:val="0"/>
          <w:numId w:val="1378"/>
        </w:numPr>
        <w:pStyle w:val="Compact"/>
      </w:pPr>
      <w:r>
        <w:t xml:space="preserve">2016 · Wysham C ·</w:t>
      </w:r>
      <w:r>
        <w:t xml:space="preserve"> </w:t>
      </w:r>
      <w:r>
        <w:rPr>
          <w:iCs/>
          <w:i/>
        </w:rPr>
        <w:t xml:space="preserve">Diabetes Obes Metab</w:t>
      </w:r>
      <w:r>
        <w:t xml:space="preserve"> </w:t>
      </w:r>
      <w:r>
        <w:t xml:space="preserve">· Baseline factors associated with glycaemic response to treatment with once-weekly dulaglutide in patients with type 2 diabetes. PMID 27265893</w:t>
      </w:r>
    </w:p>
    <w:p>
      <w:pPr>
        <w:numPr>
          <w:ilvl w:val="0"/>
          <w:numId w:val="1378"/>
        </w:numPr>
        <w:pStyle w:val="Compact"/>
      </w:pPr>
      <w:r>
        <w:t xml:space="preserve">2016 · Umpierrez GE ·</w:t>
      </w:r>
      <w:r>
        <w:t xml:space="preserve"> </w:t>
      </w:r>
      <w:r>
        <w:rPr>
          <w:iCs/>
          <w:i/>
        </w:rPr>
        <w:t xml:space="preserve">Diabetes Obes Metab</w:t>
      </w:r>
      <w:r>
        <w:t xml:space="preserve"> </w:t>
      </w:r>
      <w:r>
        <w:t xml:space="preserve">· Relationship between weight change and glycaemic control in patients with type 2 diabetes receiving once-weekly dulaglutide treatment. PMID 26969812</w:t>
      </w:r>
    </w:p>
    <w:p>
      <w:pPr>
        <w:numPr>
          <w:ilvl w:val="0"/>
          <w:numId w:val="1378"/>
        </w:numPr>
        <w:pStyle w:val="Compact"/>
      </w:pPr>
      <w:r>
        <w:t xml:space="preserve">2016 · Milicevic Z ·</w:t>
      </w:r>
      <w:r>
        <w:t xml:space="preserve"> </w:t>
      </w:r>
      <w:r>
        <w:rPr>
          <w:iCs/>
          <w:i/>
        </w:rPr>
        <w:t xml:space="preserve">Diabetes Obes Metab</w:t>
      </w:r>
      <w:r>
        <w:t xml:space="preserve"> </w:t>
      </w:r>
      <w:r>
        <w:t xml:space="preserve">· Low incidence of anti-drug antibodies in patients with type 2 diabetes treated with once-weekly glucagon-like peptide-1 receptor agonist dulaglutide. PMID 26847401</w:t>
      </w:r>
    </w:p>
    <w:p>
      <w:pPr>
        <w:numPr>
          <w:ilvl w:val="0"/>
          <w:numId w:val="1378"/>
        </w:numPr>
        <w:pStyle w:val="Compact"/>
      </w:pPr>
      <w:r>
        <w:t xml:space="preserve">2016 · Dungan KM ·</w:t>
      </w:r>
      <w:r>
        <w:t xml:space="preserve"> </w:t>
      </w:r>
      <w:r>
        <w:rPr>
          <w:iCs/>
          <w:i/>
        </w:rPr>
        <w:t xml:space="preserve">Diabetes Obes Metab</w:t>
      </w:r>
      <w:r>
        <w:t xml:space="preserve"> </w:t>
      </w:r>
      <w:r>
        <w:t xml:space="preserve">· A 24-week study to evaluate the efficacy and safety of once-weekly dulaglutide added on to glimepiride in type 2 diabetes (AWARD-8). PMID 26799540</w:t>
      </w:r>
    </w:p>
    <w:p>
      <w:pPr>
        <w:numPr>
          <w:ilvl w:val="0"/>
          <w:numId w:val="1378"/>
        </w:numPr>
        <w:pStyle w:val="Compact"/>
      </w:pPr>
      <w:r>
        <w:t xml:space="preserve">2016 · Onishi Y ·</w:t>
      </w:r>
      <w:r>
        <w:t xml:space="preserve"> </w:t>
      </w:r>
      <w:r>
        <w:rPr>
          <w:iCs/>
          <w:i/>
        </w:rPr>
        <w:t xml:space="preserve">Endocr J</w:t>
      </w:r>
      <w:r>
        <w:t xml:space="preserve"> </w:t>
      </w:r>
      <w:r>
        <w:t xml:space="preserve">· Subgroup analysis of phase 3 studies of dulaglutide in Japanese patients with type 2 diabetes. PMID 26698689</w:t>
      </w:r>
    </w:p>
    <w:p>
      <w:pPr>
        <w:numPr>
          <w:ilvl w:val="0"/>
          <w:numId w:val="1378"/>
        </w:numPr>
        <w:pStyle w:val="Compact"/>
      </w:pPr>
      <w:r>
        <w:t xml:space="preserve">2016 · Yu M ·</w:t>
      </w:r>
      <w:r>
        <w:t xml:space="preserve"> </w:t>
      </w:r>
      <w:r>
        <w:rPr>
          <w:iCs/>
          <w:i/>
        </w:rPr>
        <w:t xml:space="preserve">Diabetes Obes Metab</w:t>
      </w:r>
      <w:r>
        <w:t xml:space="preserve"> </w:t>
      </w:r>
      <w:r>
        <w:t xml:space="preserve">· Patient-reported outcome results in patients with type 2 diabetes treated with once-weekly dulaglutide: data from the AWARD phase III clinical trial programme. PMID 26691396</w:t>
      </w:r>
    </w:p>
    <w:p>
      <w:pPr>
        <w:numPr>
          <w:ilvl w:val="0"/>
          <w:numId w:val="1378"/>
        </w:numPr>
        <w:pStyle w:val="Compact"/>
      </w:pPr>
      <w:r>
        <w:t xml:space="preserve">2016 · Odawara M ·</w:t>
      </w:r>
      <w:r>
        <w:t xml:space="preserve"> </w:t>
      </w:r>
      <w:r>
        <w:rPr>
          <w:iCs/>
          <w:i/>
        </w:rPr>
        <w:t xml:space="preserve">Diabetes Obes Metab</w:t>
      </w:r>
      <w:r>
        <w:t xml:space="preserve"> </w:t>
      </w:r>
      <w:r>
        <w:t xml:space="preserve">· Once-weekly glucagon-like peptide-1 receptor agonist dulaglutide significantly decreases glycated haemoglobin compared with once-daily liraglutide in Japanese patients with type 2 diabetes: 52 weeks of treatment in a randomized phase III study. PMID 26661514</w:t>
      </w:r>
    </w:p>
    <w:p>
      <w:pPr>
        <w:numPr>
          <w:ilvl w:val="0"/>
          <w:numId w:val="1378"/>
        </w:numPr>
        <w:pStyle w:val="Compact"/>
      </w:pPr>
      <w:r>
        <w:t xml:space="preserve">2016 · Geiser JS ·</w:t>
      </w:r>
      <w:r>
        <w:t xml:space="preserve"> </w:t>
      </w:r>
      <w:r>
        <w:rPr>
          <w:iCs/>
          <w:i/>
        </w:rPr>
        <w:t xml:space="preserve">Clin Pharmacokinet</w:t>
      </w:r>
      <w:r>
        <w:t xml:space="preserve"> </w:t>
      </w:r>
      <w:r>
        <w:t xml:space="preserve">· Clinical Pharmacokinetics of Dulaglutide in Patients with Type 2 Diabetes: Analyses of Data from Clinical Trials. PMID 26507721</w:t>
      </w:r>
    </w:p>
    <w:p>
      <w:pPr>
        <w:numPr>
          <w:ilvl w:val="0"/>
          <w:numId w:val="1378"/>
        </w:numPr>
        <w:pStyle w:val="Compact"/>
      </w:pPr>
      <w:r>
        <w:t xml:space="preserve">2016 · Grunberger G ·</w:t>
      </w:r>
      <w:r>
        <w:t xml:space="preserve"> </w:t>
      </w:r>
      <w:r>
        <w:rPr>
          <w:iCs/>
          <w:i/>
        </w:rPr>
        <w:t xml:space="preserve">Diabet Med</w:t>
      </w:r>
      <w:r>
        <w:t xml:space="preserve"> </w:t>
      </w:r>
      <w:r>
        <w:t xml:space="preserve">· Early fasting glucose measurements can predict later glycaemic response to once weekly dulaglutide. PMID 26179454</w:t>
      </w:r>
    </w:p>
    <w:p>
      <w:pPr>
        <w:numPr>
          <w:ilvl w:val="0"/>
          <w:numId w:val="1378"/>
        </w:numPr>
        <w:pStyle w:val="Compact"/>
      </w:pPr>
      <w:r>
        <w:t xml:space="preserve">2015 · Emoto M ·</w:t>
      </w:r>
      <w:r>
        <w:t xml:space="preserve"> </w:t>
      </w:r>
      <w:r>
        <w:rPr>
          <w:iCs/>
          <w:i/>
        </w:rPr>
        <w:t xml:space="preserve">Endocr J</w:t>
      </w:r>
      <w:r>
        <w:t xml:space="preserve"> </w:t>
      </w:r>
      <w:r>
        <w:t xml:space="preserve">· A 1-year safety study of dulaglutide in Japanese patients with type 2 diabetes on a single oral hypoglycemic agent: an open-label, nonrandomized, phase 3 trial. PMID 26477324</w:t>
      </w:r>
    </w:p>
    <w:p>
      <w:pPr>
        <w:numPr>
          <w:ilvl w:val="0"/>
          <w:numId w:val="1378"/>
        </w:numPr>
        <w:pStyle w:val="Compact"/>
      </w:pPr>
      <w:r>
        <w:t xml:space="preserve">2015 · Usborne A ·</w:t>
      </w:r>
      <w:r>
        <w:t xml:space="preserve"> </w:t>
      </w:r>
      <w:r>
        <w:rPr>
          <w:iCs/>
          <w:i/>
        </w:rPr>
        <w:t xml:space="preserve">Toxicol Pathol</w:t>
      </w:r>
      <w:r>
        <w:t xml:space="preserve"> </w:t>
      </w:r>
      <w:r>
        <w:t xml:space="preserve">· An Investigative Study of Pancreatic Exocrine Biomarkers, Histology, and Histomorphometry in Male Zucker Diabetic Fatty (ZDF) Rats Given Dulaglutide by Subcutaneous Injection Twice Weekly for 13 Weeks. PMID 26269615</w:t>
      </w:r>
    </w:p>
    <w:p>
      <w:pPr>
        <w:numPr>
          <w:ilvl w:val="0"/>
          <w:numId w:val="1378"/>
        </w:numPr>
        <w:pStyle w:val="Compact"/>
      </w:pPr>
      <w:r>
        <w:t xml:space="preserve">2015 · Araki E ·</w:t>
      </w:r>
      <w:r>
        <w:t xml:space="preserve"> </w:t>
      </w:r>
      <w:r>
        <w:rPr>
          <w:iCs/>
          <w:i/>
        </w:rPr>
        <w:t xml:space="preserve">Diabetes Obes Metab</w:t>
      </w:r>
      <w:r>
        <w:t xml:space="preserve"> </w:t>
      </w:r>
      <w:r>
        <w:t xml:space="preserve">· Efficacy and safety of once-weekly dulaglutide in combination with sulphonylurea and/or biguanide compared with once-daily insulin glargine in Japanese patients with type 2 diabetes: a randomized, open-label, phase III, non-inferiority study. PMID 26179754</w:t>
      </w:r>
    </w:p>
    <w:p>
      <w:pPr>
        <w:numPr>
          <w:ilvl w:val="0"/>
          <w:numId w:val="1378"/>
        </w:numPr>
        <w:pStyle w:val="Compact"/>
      </w:pPr>
      <w:r>
        <w:t xml:space="preserve">2015 · Miyagawa J ·</w:t>
      </w:r>
      <w:r>
        <w:t xml:space="preserve"> </w:t>
      </w:r>
      <w:r>
        <w:rPr>
          <w:iCs/>
          <w:i/>
        </w:rPr>
        <w:t xml:space="preserve">Diabetes Obes Metab</w:t>
      </w:r>
      <w:r>
        <w:t xml:space="preserve"> </w:t>
      </w:r>
      <w:r>
        <w:t xml:space="preserve">· Once-weekly glucagon-like peptide-1 receptor agonist dulaglutide is non-inferior to once-daily liraglutide and superior to placebo in Japanese patients with type 2 diabetes: a 26-week randomized phase III study. PMID 26179187</w:t>
      </w:r>
    </w:p>
    <w:p>
      <w:pPr>
        <w:numPr>
          <w:ilvl w:val="0"/>
          <w:numId w:val="1378"/>
        </w:numPr>
        <w:pStyle w:val="Compact"/>
      </w:pPr>
      <w:r>
        <w:t xml:space="preserve">2015 · Reaney M ·</w:t>
      </w:r>
      <w:r>
        <w:t xml:space="preserve"> </w:t>
      </w:r>
      <w:r>
        <w:rPr>
          <w:iCs/>
          <w:i/>
        </w:rPr>
        <w:t xml:space="preserve">Diabetes Obes Metab</w:t>
      </w:r>
      <w:r>
        <w:t xml:space="preserve"> </w:t>
      </w:r>
      <w:r>
        <w:t xml:space="preserve">· Treatment satisfaction in people with type 2 diabetes mellitus treated with once-weekly dulaglutide: data from the AWARD-1 and AWARD-3 clinical trials. PMID 26095190</w:t>
      </w:r>
    </w:p>
    <w:p>
      <w:pPr>
        <w:numPr>
          <w:ilvl w:val="0"/>
          <w:numId w:val="1378"/>
        </w:numPr>
        <w:pStyle w:val="Compact"/>
      </w:pPr>
      <w:r>
        <w:t xml:space="preserve">2015 · Giorgino F ·</w:t>
      </w:r>
      <w:r>
        <w:t xml:space="preserve"> </w:t>
      </w:r>
      <w:r>
        <w:rPr>
          <w:iCs/>
          <w:i/>
        </w:rPr>
        <w:t xml:space="preserve">Diabetes Care</w:t>
      </w:r>
      <w:r>
        <w:t xml:space="preserve"> </w:t>
      </w:r>
      <w:r>
        <w:t xml:space="preserve">· Efficacy and Safety of Once-Weekly Dulaglutide Versus Insulin Glargine in Patients With Type 2 Diabetes on Metformin and Glimepiride (AWARD-2). PMID 26089386</w:t>
      </w:r>
    </w:p>
    <w:p>
      <w:pPr>
        <w:numPr>
          <w:ilvl w:val="0"/>
          <w:numId w:val="1378"/>
        </w:numPr>
        <w:pStyle w:val="Compact"/>
      </w:pPr>
      <w:r>
        <w:t xml:space="preserve">2015 · Blonde L ·</w:t>
      </w:r>
      <w:r>
        <w:t xml:space="preserve"> </w:t>
      </w:r>
      <w:r>
        <w:rPr>
          <w:iCs/>
          <w:i/>
        </w:rPr>
        <w:t xml:space="preserve">Lancet</w:t>
      </w:r>
      <w:r>
        <w:t xml:space="preserve"> </w:t>
      </w:r>
      <w:r>
        <w:t xml:space="preserve">· Once-weekly dulaglutide versus bedtime insulin glargine, both in combination with prandial insulin lispro, in patients with type 2 diabetes (AWARD-4): a randomised, open-label, phase 3, non-inferiority study. PMID 26009229</w:t>
      </w:r>
    </w:p>
    <w:p>
      <w:pPr>
        <w:numPr>
          <w:ilvl w:val="0"/>
          <w:numId w:val="1378"/>
        </w:numPr>
        <w:pStyle w:val="Compact"/>
      </w:pPr>
      <w:r>
        <w:t xml:space="preserve">2015 · Weinstock RS ·</w:t>
      </w:r>
      <w:r>
        <w:t xml:space="preserve"> </w:t>
      </w:r>
      <w:r>
        <w:rPr>
          <w:iCs/>
          <w:i/>
        </w:rPr>
        <w:t xml:space="preserve">Diabetes Obes Metab</w:t>
      </w:r>
      <w:r>
        <w:t xml:space="preserve"> </w:t>
      </w:r>
      <w:r>
        <w:t xml:space="preserve">· Safety and efficacy of once-weekly dulaglutide versus sitagliptin after 2 years in metformin-treated patients with type 2 diabetes (AWARD-5): a randomized, phase III study. PMID 25912221</w:t>
      </w:r>
    </w:p>
    <w:p>
      <w:pPr>
        <w:numPr>
          <w:ilvl w:val="0"/>
          <w:numId w:val="1378"/>
        </w:numPr>
        <w:pStyle w:val="Compact"/>
      </w:pPr>
      <w:r>
        <w:t xml:space="preserve">2015 · Matfin G ·</w:t>
      </w:r>
      <w:r>
        <w:t xml:space="preserve"> </w:t>
      </w:r>
      <w:r>
        <w:rPr>
          <w:iCs/>
          <w:i/>
        </w:rPr>
        <w:t xml:space="preserve">J Diabetes Sci Technol</w:t>
      </w:r>
      <w:r>
        <w:t xml:space="preserve"> </w:t>
      </w:r>
      <w:r>
        <w:t xml:space="preserve">· Safe and Effective Use of the Once Weekly Dulaglutide Single-Dose Pen in Injection-Naïve Patients With Type 2 Diabetes. PMID 25901022</w:t>
      </w:r>
    </w:p>
    <w:p>
      <w:pPr>
        <w:numPr>
          <w:ilvl w:val="0"/>
          <w:numId w:val="1378"/>
        </w:numPr>
        <w:pStyle w:val="Compact"/>
      </w:pPr>
      <w:r>
        <w:t xml:space="preserve">2014 · Terauchi Y ·</w:t>
      </w:r>
      <w:r>
        <w:t xml:space="preserve"> </w:t>
      </w:r>
      <w:r>
        <w:rPr>
          <w:iCs/>
          <w:i/>
        </w:rPr>
        <w:t xml:space="preserve">Endocr J</w:t>
      </w:r>
      <w:r>
        <w:t xml:space="preserve"> </w:t>
      </w:r>
      <w:r>
        <w:t xml:space="preserve">· Monotherapy with the once weekly GLP-1 receptor agonist dulaglutide for 12 weeks in Japanese patients with type 2 diabetes: dose-dependent effects on glycaemic control in a randomised, double-blind, placebo-controlled study. PMID 25029955</w:t>
      </w:r>
    </w:p>
    <w:p>
      <w:pPr>
        <w:numPr>
          <w:ilvl w:val="0"/>
          <w:numId w:val="1378"/>
        </w:numPr>
        <w:pStyle w:val="Compact"/>
      </w:pPr>
      <w:r>
        <w:t xml:space="preserve">2014 · Dungan KM ·</w:t>
      </w:r>
      <w:r>
        <w:t xml:space="preserve"> </w:t>
      </w:r>
      <w:r>
        <w:rPr>
          <w:iCs/>
          <w:i/>
        </w:rPr>
        <w:t xml:space="preserve">Lancet</w:t>
      </w:r>
      <w:r>
        <w:t xml:space="preserve"> </w:t>
      </w:r>
      <w:r>
        <w:t xml:space="preserve">· Once-weekly dulaglutide versus once-daily liraglutide in metformin-treated patients with type 2 diabetes (AWARD-6): a randomised, open-label, phase 3, non-inferiority trial. PMID 25018121</w:t>
      </w:r>
    </w:p>
    <w:p>
      <w:pPr>
        <w:numPr>
          <w:ilvl w:val="0"/>
          <w:numId w:val="1378"/>
        </w:numPr>
        <w:pStyle w:val="Compact"/>
      </w:pPr>
      <w:r>
        <w:t xml:space="preserve">2014 · Ferdinand KC ·</w:t>
      </w:r>
      <w:r>
        <w:t xml:space="preserve"> </w:t>
      </w:r>
      <w:r>
        <w:rPr>
          <w:iCs/>
          <w:i/>
        </w:rPr>
        <w:t xml:space="preserve">Hypertension</w:t>
      </w:r>
      <w:r>
        <w:t xml:space="preserve"> </w:t>
      </w:r>
      <w:r>
        <w:t xml:space="preserve">· Effects of the once-weekly glucagon-like peptide-1 receptor agonist dulaglutide on ambulatory blood pressure and heart rate in patients with type 2 diabetes mellitus. PMID 24980665</w:t>
      </w:r>
    </w:p>
    <w:p>
      <w:pPr>
        <w:numPr>
          <w:ilvl w:val="0"/>
          <w:numId w:val="1378"/>
        </w:numPr>
        <w:pStyle w:val="Compact"/>
      </w:pPr>
      <w:r>
        <w:t xml:space="preserve">2014 · Wysham C ·</w:t>
      </w:r>
      <w:r>
        <w:t xml:space="preserve"> </w:t>
      </w:r>
      <w:r>
        <w:rPr>
          <w:iCs/>
          <w:i/>
        </w:rPr>
        <w:t xml:space="preserve">Diabetes Care</w:t>
      </w:r>
      <w:r>
        <w:t xml:space="preserve"> </w:t>
      </w:r>
      <w:r>
        <w:t xml:space="preserve">· Efficacy and safety of dulaglutide added onto pioglitazone and metformin versus exenatide in type 2 diabetes in a randomized controlled trial (AWARD-1). PMID 24879836</w:t>
      </w:r>
    </w:p>
    <w:p>
      <w:pPr>
        <w:numPr>
          <w:ilvl w:val="0"/>
          <w:numId w:val="1378"/>
        </w:numPr>
        <w:pStyle w:val="Compact"/>
      </w:pPr>
      <w:r>
        <w:t xml:space="preserve">2014 · Umpierrez G ·</w:t>
      </w:r>
      <w:r>
        <w:t xml:space="preserve"> </w:t>
      </w:r>
      <w:r>
        <w:rPr>
          <w:iCs/>
          <w:i/>
        </w:rPr>
        <w:t xml:space="preserve">Diabetes Care</w:t>
      </w:r>
      <w:r>
        <w:t xml:space="preserve"> </w:t>
      </w:r>
      <w:r>
        <w:t xml:space="preserve">· Efficacy and safety of dulaglutide monotherapy versus metformin in type 2 diabetes in a randomized controlled trial (AWARD-3). PMID 24842985</w:t>
      </w:r>
    </w:p>
    <w:p>
      <w:pPr>
        <w:numPr>
          <w:ilvl w:val="0"/>
          <w:numId w:val="1378"/>
        </w:numPr>
        <w:pStyle w:val="Compact"/>
      </w:pPr>
      <w:r>
        <w:t xml:space="preserve">2014 · Skrivanek Z ·</w:t>
      </w:r>
      <w:r>
        <w:t xml:space="preserve"> </w:t>
      </w:r>
      <w:r>
        <w:rPr>
          <w:iCs/>
          <w:i/>
        </w:rPr>
        <w:t xml:space="preserve">Diabetes Obes Metab</w:t>
      </w:r>
      <w:r>
        <w:t xml:space="preserve"> </w:t>
      </w:r>
      <w:r>
        <w:t xml:space="preserve">· Dose-finding results in an adaptive, seamless, randomized trial of once-weekly dulaglutide combined with metformin in type 2 diabetes patients (AWARD-5). PMID 24762094</w:t>
      </w:r>
    </w:p>
    <w:p>
      <w:pPr>
        <w:numPr>
          <w:ilvl w:val="0"/>
          <w:numId w:val="1378"/>
        </w:numPr>
        <w:pStyle w:val="Compact"/>
      </w:pPr>
      <w:r>
        <w:t xml:space="preserve">2014 · Nauck M ·</w:t>
      </w:r>
      <w:r>
        <w:t xml:space="preserve"> </w:t>
      </w:r>
      <w:r>
        <w:rPr>
          <w:iCs/>
          <w:i/>
        </w:rPr>
        <w:t xml:space="preserve">Diabetes Care</w:t>
      </w:r>
      <w:r>
        <w:t xml:space="preserve"> </w:t>
      </w:r>
      <w:r>
        <w:t xml:space="preserve">· Efficacy and safety of dulaglutide versus sitagliptin after 52 weeks in type 2 diabetes in a randomized controlled trial (AWARD-5). PMID 24742660</w:t>
      </w:r>
    </w:p>
    <w:p>
      <w:pPr>
        <w:numPr>
          <w:ilvl w:val="0"/>
          <w:numId w:val="1378"/>
        </w:numPr>
        <w:pStyle w:val="Compact"/>
      </w:pPr>
      <w:r>
        <w:t xml:space="preserve">2012 · Geiger MJ ·</w:t>
      </w:r>
      <w:r>
        <w:t xml:space="preserve"> </w:t>
      </w:r>
      <w:r>
        <w:rPr>
          <w:iCs/>
          <w:i/>
        </w:rPr>
        <w:t xml:space="preserve">J Diabetes Sci Technol</w:t>
      </w:r>
      <w:r>
        <w:t xml:space="preserve"> </w:t>
      </w:r>
      <w:r>
        <w:t xml:space="preserve">· An adaptive, dose-finding, seamless phase 2/3 study of a long-acting glucagon-like peptide-1 analog (dulaglutide): trial design and baseline characteristics. PMID 23294776</w:t>
      </w:r>
    </w:p>
    <w:p>
      <w:pPr>
        <w:numPr>
          <w:ilvl w:val="0"/>
          <w:numId w:val="1378"/>
        </w:numPr>
        <w:pStyle w:val="Compact"/>
      </w:pPr>
      <w:r>
        <w:t xml:space="preserve">2012 · Skrivanek Z ·</w:t>
      </w:r>
      <w:r>
        <w:t xml:space="preserve"> </w:t>
      </w:r>
      <w:r>
        <w:rPr>
          <w:iCs/>
          <w:i/>
        </w:rPr>
        <w:t xml:space="preserve">J Diabetes Sci Technol</w:t>
      </w:r>
      <w:r>
        <w:t xml:space="preserve"> </w:t>
      </w:r>
      <w:r>
        <w:t xml:space="preserve">· Application of adaptive design methodology in development of a long-acting glucagon-like peptide-1 analog (dulaglutide): statistical design and simulations. PMID 23294775</w:t>
      </w:r>
    </w:p>
    <w:p>
      <w:pPr>
        <w:numPr>
          <w:ilvl w:val="0"/>
          <w:numId w:val="1378"/>
        </w:numPr>
        <w:pStyle w:val="Compact"/>
      </w:pPr>
      <w:r>
        <w:t xml:space="preserve">2012 · Grunberger G ·</w:t>
      </w:r>
      <w:r>
        <w:t xml:space="preserve"> </w:t>
      </w:r>
      <w:r>
        <w:rPr>
          <w:iCs/>
          <w:i/>
        </w:rPr>
        <w:t xml:space="preserve">Diabet Med</w:t>
      </w:r>
      <w:r>
        <w:t xml:space="preserve"> </w:t>
      </w:r>
      <w:r>
        <w:t xml:space="preserve">· Monotherapy with the once-weekly GLP-1 analogue dulaglutide for 12 weeks in patients with Type 2 diabetes: dose-dependent effects on glycaemic control in a randomized, double-blind, placebo-controlled study. PMID 22804250</w:t>
      </w:r>
    </w:p>
    <w:bookmarkEnd w:id="3015"/>
    <w:bookmarkStart w:id="3016" w:name="sémaglutide-342"/>
    <w:p>
      <w:pPr>
        <w:pStyle w:val="Heading2"/>
      </w:pPr>
      <w:r>
        <w:t xml:space="preserve">Sémaglutide (342)</w:t>
      </w:r>
    </w:p>
    <w:p>
      <w:pPr>
        <w:numPr>
          <w:ilvl w:val="0"/>
          <w:numId w:val="1379"/>
        </w:numPr>
        <w:pStyle w:val="Compact"/>
      </w:pPr>
      <w:r>
        <w:t xml:space="preserve">2026 · Zhang Z ·</w:t>
      </w:r>
      <w:r>
        <w:t xml:space="preserve"> </w:t>
      </w:r>
      <w:r>
        <w:rPr>
          <w:iCs/>
          <w:i/>
        </w:rPr>
        <w:t xml:space="preserve">Psychol Med</w:t>
      </w:r>
      <w:r>
        <w:t xml:space="preserve"> </w:t>
      </w:r>
      <w:r>
        <w:t xml:space="preserve">· Semaglutide modulates explore/exploit decision-making in major depressive disorder: A randomized clinical trial. PMID 42904347</w:t>
      </w:r>
    </w:p>
    <w:p>
      <w:pPr>
        <w:numPr>
          <w:ilvl w:val="0"/>
          <w:numId w:val="1379"/>
        </w:numPr>
        <w:pStyle w:val="Compact"/>
      </w:pPr>
      <w:r>
        <w:t xml:space="preserve">2026 · Estica M ·</w:t>
      </w:r>
      <w:r>
        <w:t xml:space="preserve"> </w:t>
      </w:r>
      <w:r>
        <w:rPr>
          <w:iCs/>
          <w:i/>
        </w:rPr>
        <w:t xml:space="preserve">Rev Med Chil</w:t>
      </w:r>
      <w:r>
        <w:t xml:space="preserve"> </w:t>
      </w:r>
      <w:r>
        <w:t xml:space="preserve">· Effectiveness of Weekly Semaglutide Treatment (0.5 or 1 mg) in Chilean Patients with Type 2 Diabetes Mellitus. PMID 42899606</w:t>
      </w:r>
    </w:p>
    <w:p>
      <w:pPr>
        <w:numPr>
          <w:ilvl w:val="0"/>
          <w:numId w:val="1379"/>
        </w:numPr>
        <w:pStyle w:val="Compact"/>
      </w:pPr>
      <w:r>
        <w:t xml:space="preserve">2026 · Gullaksen S ·</w:t>
      </w:r>
      <w:r>
        <w:t xml:space="preserve"> </w:t>
      </w:r>
      <w:r>
        <w:rPr>
          <w:iCs/>
          <w:i/>
        </w:rPr>
        <w:t xml:space="preserve">J Diabetes Complications</w:t>
      </w:r>
      <w:r>
        <w:t xml:space="preserve"> </w:t>
      </w:r>
      <w:r>
        <w:t xml:space="preserve">· Effects of semaglutide and empagliflozin on markers of endothelial function in persons with type 2 diabetes: A post hoc analysis of a randomized clinical trial. PMID 42679726</w:t>
      </w:r>
    </w:p>
    <w:p>
      <w:pPr>
        <w:numPr>
          <w:ilvl w:val="0"/>
          <w:numId w:val="1379"/>
        </w:numPr>
        <w:pStyle w:val="Compact"/>
      </w:pPr>
      <w:r>
        <w:t xml:space="preserve">2026 · Montaser E ·</w:t>
      </w:r>
      <w:r>
        <w:t xml:space="preserve"> </w:t>
      </w:r>
      <w:r>
        <w:rPr>
          <w:iCs/>
          <w:i/>
        </w:rPr>
        <w:t xml:space="preserve">Diabetes Obes Metab</w:t>
      </w:r>
      <w:r>
        <w:t xml:space="preserve"> </w:t>
      </w:r>
      <w:r>
        <w:t xml:space="preserve">· Glycaemic Changes After Semaglutide Discontinuation in Adults With Type 1 Diabetes Using Automated Insulin Delivery: Analysis of the ADJUST-T1D Extension Study. PMID 42675550</w:t>
      </w:r>
    </w:p>
    <w:p>
      <w:pPr>
        <w:numPr>
          <w:ilvl w:val="0"/>
          <w:numId w:val="1379"/>
        </w:numPr>
        <w:pStyle w:val="Compact"/>
      </w:pPr>
      <w:r>
        <w:t xml:space="preserve">2026 · Plutzky J ·</w:t>
      </w:r>
      <w:r>
        <w:t xml:space="preserve"> </w:t>
      </w:r>
      <w:r>
        <w:rPr>
          <w:iCs/>
          <w:i/>
        </w:rPr>
        <w:t xml:space="preserve">Circulation</w:t>
      </w:r>
      <w:r>
        <w:t xml:space="preserve"> </w:t>
      </w:r>
      <w:r>
        <w:t xml:space="preserve">· Effect of Semaglutide on the Inflammatory Biomarker High-Sensitivity CRP in Patients With Established Cardiovascular Disease and Overweight or Obesity in SELECT: A Prespecified Secondary Analysis. PMID 42610271</w:t>
      </w:r>
    </w:p>
    <w:p>
      <w:pPr>
        <w:numPr>
          <w:ilvl w:val="0"/>
          <w:numId w:val="1379"/>
        </w:numPr>
        <w:pStyle w:val="Compact"/>
      </w:pPr>
      <w:r>
        <w:t xml:space="preserve">2026 · Miyake T ·</w:t>
      </w:r>
      <w:r>
        <w:t xml:space="preserve"> </w:t>
      </w:r>
      <w:r>
        <w:rPr>
          <w:iCs/>
          <w:i/>
        </w:rPr>
        <w:t xml:space="preserve">Diabetes Obes Metab</w:t>
      </w:r>
      <w:r>
        <w:t xml:space="preserve"> </w:t>
      </w:r>
      <w:r>
        <w:t xml:space="preserve">· Efficacy of Luseogliflozin Added to Semaglutide in Patients With Metabolic Dysfunction-Associated Steatohepatitis and Type 2 Diabetes Mellitus: A Randomised, Open-Label Trial. PMID 42605535</w:t>
      </w:r>
    </w:p>
    <w:p>
      <w:pPr>
        <w:numPr>
          <w:ilvl w:val="0"/>
          <w:numId w:val="1379"/>
        </w:numPr>
        <w:pStyle w:val="Compact"/>
      </w:pPr>
      <w:r>
        <w:t xml:space="preserve">2026 · Ji L ·</w:t>
      </w:r>
      <w:r>
        <w:t xml:space="preserve"> </w:t>
      </w:r>
      <w:r>
        <w:rPr>
          <w:iCs/>
          <w:i/>
        </w:rPr>
        <w:t xml:space="preserve">Lancet Diabetes Endocrinol</w:t>
      </w:r>
      <w:r>
        <w:t xml:space="preserve"> </w:t>
      </w:r>
      <w:r>
        <w:t xml:space="preserve">· Once-weekly IcoSema versus once-daily insulin glargine U100 in type 2 diabetes management (COMBINE 4): an open-label, multicentre, treat-to-target, randomised, phase 3b trial. PMID 42594928</w:t>
      </w:r>
    </w:p>
    <w:p>
      <w:pPr>
        <w:numPr>
          <w:ilvl w:val="0"/>
          <w:numId w:val="1379"/>
        </w:numPr>
        <w:pStyle w:val="Compact"/>
      </w:pPr>
      <w:r>
        <w:t xml:space="preserve">2026 · Guo L ·</w:t>
      </w:r>
      <w:r>
        <w:t xml:space="preserve"> </w:t>
      </w:r>
      <w:r>
        <w:rPr>
          <w:iCs/>
          <w:i/>
        </w:rPr>
        <w:t xml:space="preserve">Lancet Diabetes Endocrinol</w:t>
      </w:r>
      <w:r>
        <w:t xml:space="preserve"> </w:t>
      </w:r>
      <w:r>
        <w:t xml:space="preserve">· Efficacy and safety of once-weekly semaglutide 2·4 mg in Chinese adults with overweight or obesity (STEP 12): a randomised, double-blind, placebo-controlled, multicentre, phase 3b trial. PMID 42575111</w:t>
      </w:r>
    </w:p>
    <w:p>
      <w:pPr>
        <w:numPr>
          <w:ilvl w:val="0"/>
          <w:numId w:val="1379"/>
        </w:numPr>
        <w:pStyle w:val="Compact"/>
      </w:pPr>
      <w:r>
        <w:t xml:space="preserve">2026 · Mann JFE ·</w:t>
      </w:r>
      <w:r>
        <w:t xml:space="preserve"> </w:t>
      </w:r>
      <w:r>
        <w:rPr>
          <w:iCs/>
          <w:i/>
        </w:rPr>
        <w:t xml:space="preserve">Lancet Diabetes Endocrinol</w:t>
      </w:r>
      <w:r>
        <w:t xml:space="preserve"> </w:t>
      </w:r>
      <w:r>
        <w:t xml:space="preserve">· Effect of semaglutide on kidney outcomes in the SELECT, FLOW, and SOUL trials: a prespecified pooled analysis. PMID 42567173</w:t>
      </w:r>
    </w:p>
    <w:p>
      <w:pPr>
        <w:numPr>
          <w:ilvl w:val="0"/>
          <w:numId w:val="1379"/>
        </w:numPr>
        <w:pStyle w:val="Compact"/>
      </w:pPr>
      <w:r>
        <w:t xml:space="preserve">2026 · Ji L ·</w:t>
      </w:r>
      <w:r>
        <w:t xml:space="preserve"> </w:t>
      </w:r>
      <w:r>
        <w:rPr>
          <w:iCs/>
          <w:i/>
        </w:rPr>
        <w:t xml:space="preserve">Diabetes Obes Metab</w:t>
      </w:r>
      <w:r>
        <w:t xml:space="preserve"> </w:t>
      </w:r>
      <w:r>
        <w:t xml:space="preserve">· Efficacy and Hypoglycaemia Outcomes With Once-Weekly IcoSema Versus Comparators in Individuals With Type 2 Diabetes by Kidney and Liver Function: A Post Hoc Analysis of the COMBINE 1-3 Trials. PMID 42557064</w:t>
      </w:r>
    </w:p>
    <w:p>
      <w:pPr>
        <w:numPr>
          <w:ilvl w:val="0"/>
          <w:numId w:val="1379"/>
        </w:numPr>
        <w:pStyle w:val="Compact"/>
      </w:pPr>
      <w:r>
        <w:t xml:space="preserve">2026 · Schacht JP ·</w:t>
      </w:r>
      <w:r>
        <w:t xml:space="preserve"> </w:t>
      </w:r>
      <w:r>
        <w:rPr>
          <w:iCs/>
          <w:i/>
        </w:rPr>
        <w:t xml:space="preserve">Am J Psychiatry</w:t>
      </w:r>
      <w:r>
        <w:t xml:space="preserve"> </w:t>
      </w:r>
      <w:r>
        <w:t xml:space="preserve">· Oral Semaglutide for Alcohol Use Disorder: A Randomized Clinical Trial. PMID 42522065</w:t>
      </w:r>
    </w:p>
    <w:p>
      <w:pPr>
        <w:numPr>
          <w:ilvl w:val="0"/>
          <w:numId w:val="1379"/>
        </w:numPr>
        <w:pStyle w:val="Compact"/>
      </w:pPr>
      <w:r>
        <w:t xml:space="preserve">2026 · Lake JE ·</w:t>
      </w:r>
      <w:r>
        <w:t xml:space="preserve"> </w:t>
      </w:r>
      <w:r>
        <w:rPr>
          <w:iCs/>
          <w:i/>
        </w:rPr>
        <w:t xml:space="preserve">HIV Med</w:t>
      </w:r>
      <w:r>
        <w:t xml:space="preserve"> </w:t>
      </w:r>
      <w:r>
        <w:t xml:space="preserve">· Semaglutide improves MASLD and MASH in people with HIV: The SLIM LIVER study. PMID 42517548</w:t>
      </w:r>
    </w:p>
    <w:p>
      <w:pPr>
        <w:numPr>
          <w:ilvl w:val="0"/>
          <w:numId w:val="1379"/>
        </w:numPr>
        <w:pStyle w:val="Compact"/>
      </w:pPr>
      <w:r>
        <w:t xml:space="preserve">2026 · Rodbard HW ·</w:t>
      </w:r>
      <w:r>
        <w:t xml:space="preserve"> </w:t>
      </w:r>
      <w:r>
        <w:rPr>
          <w:iCs/>
          <w:i/>
        </w:rPr>
        <w:t xml:space="preserve">Diabetes Obes Metab</w:t>
      </w:r>
      <w:r>
        <w:t xml:space="preserve"> </w:t>
      </w:r>
      <w:r>
        <w:t xml:space="preserve">· Efficacy and Safety of Once-Weekly Semaglutide 2.0 mg as an Add-On to Dose-Reduced Insulin Glargine versus Dose-Titrated Insulin Glargine in People With Type 2 Diabetes and Overweight (SUSTAIN OPTIMIZE). PMID 42504064</w:t>
      </w:r>
    </w:p>
    <w:p>
      <w:pPr>
        <w:numPr>
          <w:ilvl w:val="0"/>
          <w:numId w:val="1379"/>
        </w:numPr>
        <w:pStyle w:val="Compact"/>
      </w:pPr>
      <w:r>
        <w:t xml:space="preserve">2026 · Busetto L ·</w:t>
      </w:r>
      <w:r>
        <w:t xml:space="preserve"> </w:t>
      </w:r>
      <w:r>
        <w:rPr>
          <w:iCs/>
          <w:i/>
        </w:rPr>
        <w:t xml:space="preserve">Diabetes Obes Metab</w:t>
      </w:r>
      <w:r>
        <w:t xml:space="preserve"> </w:t>
      </w:r>
      <w:r>
        <w:t xml:space="preserve">· Efficacy of CagriSema for Reaching Anthropometric Treatment Targets and Cardiometabolic Outcomes: A Secondary, Post hoc Analysis of REDEFINE 1. PMID 42503495</w:t>
      </w:r>
    </w:p>
    <w:p>
      <w:pPr>
        <w:numPr>
          <w:ilvl w:val="0"/>
          <w:numId w:val="1379"/>
        </w:numPr>
        <w:pStyle w:val="Compact"/>
      </w:pPr>
      <w:r>
        <w:t xml:space="preserve">2026 · Timmons JG ·</w:t>
      </w:r>
      <w:r>
        <w:t xml:space="preserve"> </w:t>
      </w:r>
      <w:r>
        <w:rPr>
          <w:iCs/>
          <w:i/>
        </w:rPr>
        <w:t xml:space="preserve">Diabetes Obes Metab</w:t>
      </w:r>
      <w:r>
        <w:t xml:space="preserve"> </w:t>
      </w:r>
      <w:r>
        <w:t xml:space="preserve">· Insulin, Semaglutide and Dapagliflozin in Adults With Type 1 Diabetes: Design and Methods of Triple Therapy for Type 1 Diabetes (TTT1)-An International Phase 3 Clinical Trial. PMID 42473259</w:t>
      </w:r>
    </w:p>
    <w:p>
      <w:pPr>
        <w:numPr>
          <w:ilvl w:val="0"/>
          <w:numId w:val="1379"/>
        </w:numPr>
        <w:pStyle w:val="Compact"/>
      </w:pPr>
      <w:r>
        <w:t xml:space="preserve">2026 · Loomba R ·</w:t>
      </w:r>
      <w:r>
        <w:t xml:space="preserve"> </w:t>
      </w:r>
      <w:r>
        <w:rPr>
          <w:iCs/>
          <w:i/>
        </w:rPr>
        <w:t xml:space="preserve">Lancet Gastroenterol Hepatol</w:t>
      </w:r>
      <w:r>
        <w:t xml:space="preserve"> </w:t>
      </w:r>
      <w:r>
        <w:t xml:space="preserve">· Efficacy and safety of zalfermin co-administered with semaglutide in participants with fibrosis and cirrhosis due to metabolic dysfunction-associated steatohepatitis: a phase 2, dose-ranging, double-blind, randomised controlled trial. PMID 42456707</w:t>
      </w:r>
    </w:p>
    <w:p>
      <w:pPr>
        <w:numPr>
          <w:ilvl w:val="0"/>
          <w:numId w:val="1379"/>
        </w:numPr>
        <w:pStyle w:val="Compact"/>
      </w:pPr>
      <w:r>
        <w:t xml:space="preserve">2026 · Kitamoto T ·</w:t>
      </w:r>
      <w:r>
        <w:t xml:space="preserve"> </w:t>
      </w:r>
      <w:r>
        <w:rPr>
          <w:iCs/>
          <w:i/>
        </w:rPr>
        <w:t xml:space="preserve">Curr Med Res Opin</w:t>
      </w:r>
      <w:r>
        <w:t xml:space="preserve"> </w:t>
      </w:r>
      <w:r>
        <w:t xml:space="preserve">· Tirzepatide compared with semaglutide in obesity disease: a subpopulation analysis applying Japan Society for the Study of Obesity criteria in the global SURMOUNT-5 trial. PMID 42434924</w:t>
      </w:r>
    </w:p>
    <w:p>
      <w:pPr>
        <w:numPr>
          <w:ilvl w:val="0"/>
          <w:numId w:val="1379"/>
        </w:numPr>
        <w:pStyle w:val="Compact"/>
      </w:pPr>
      <w:r>
        <w:t xml:space="preserve">2026 · Rahman E ·</w:t>
      </w:r>
      <w:r>
        <w:t xml:space="preserve"> </w:t>
      </w:r>
      <w:r>
        <w:rPr>
          <w:iCs/>
          <w:i/>
        </w:rPr>
        <w:t xml:space="preserve">Aesthetic Plast Surg</w:t>
      </w:r>
      <w:r>
        <w:t xml:space="preserve"> </w:t>
      </w:r>
      <w:r>
        <w:t xml:space="preserve">· Computational Trial of Prophylactic Biostimulator Interventions to Mitigate Facial Sagging Associated With GLP-1 Receptor Agonist Induced Weight Loss. PMID 42414642</w:t>
      </w:r>
    </w:p>
    <w:p>
      <w:pPr>
        <w:numPr>
          <w:ilvl w:val="0"/>
          <w:numId w:val="1379"/>
        </w:numPr>
        <w:pStyle w:val="Compact"/>
      </w:pPr>
      <w:r>
        <w:t xml:space="preserve">2026 · Ambika Gopalakrishnan U ·</w:t>
      </w:r>
      <w:r>
        <w:t xml:space="preserve"> </w:t>
      </w:r>
      <w:r>
        <w:rPr>
          <w:iCs/>
          <w:i/>
        </w:rPr>
        <w:t xml:space="preserve">Diabetes Obes Metab</w:t>
      </w:r>
      <w:r>
        <w:t xml:space="preserve"> </w:t>
      </w:r>
      <w:r>
        <w:t xml:space="preserve">· Semaglutide Injection Once-Weekly for Weight Management in Adults: Results From A Randomized Phase III, Active-Controlled Study. PMID 42403263</w:t>
      </w:r>
    </w:p>
    <w:p>
      <w:pPr>
        <w:numPr>
          <w:ilvl w:val="0"/>
          <w:numId w:val="1379"/>
        </w:numPr>
        <w:pStyle w:val="Compact"/>
      </w:pPr>
      <w:r>
        <w:t xml:space="preserve">2026 · Strojek K ·</w:t>
      </w:r>
      <w:r>
        <w:t xml:space="preserve"> </w:t>
      </w:r>
      <w:r>
        <w:rPr>
          <w:iCs/>
          <w:i/>
        </w:rPr>
        <w:t xml:space="preserve">Diabetes Obes Metab</w:t>
      </w:r>
      <w:r>
        <w:t xml:space="preserve"> </w:t>
      </w:r>
      <w:r>
        <w:t xml:space="preserve">· Efficacy and Safety of Intensifying Once-Weekly Insulin Icodec Treatment With Once-Weekly Semaglutide in Adults With Type 2 Diabetes: A Single-Arm, Open-Label, Treat-to-Target, Phase 3b Trial (ONWARDS 8). PMID 42387310</w:t>
      </w:r>
    </w:p>
    <w:p>
      <w:pPr>
        <w:numPr>
          <w:ilvl w:val="0"/>
          <w:numId w:val="1379"/>
        </w:numPr>
        <w:pStyle w:val="Compact"/>
      </w:pPr>
      <w:r>
        <w:t xml:space="preserve">2026 · Liu M ·</w:t>
      </w:r>
      <w:r>
        <w:t xml:space="preserve"> </w:t>
      </w:r>
      <w:r>
        <w:rPr>
          <w:iCs/>
          <w:i/>
        </w:rPr>
        <w:t xml:space="preserve">Ann Intern Med</w:t>
      </w:r>
      <w:r>
        <w:t xml:space="preserve"> </w:t>
      </w:r>
      <w:r>
        <w:t xml:space="preserve">· Weekly and Biweekly Treatment With Bofanglutide Versus Semaglutide in Chinese Patients With Type 2 Diabetes : A Phase 2b Randomized Clinical Trial. PMID 42372276</w:t>
      </w:r>
    </w:p>
    <w:p>
      <w:pPr>
        <w:numPr>
          <w:ilvl w:val="0"/>
          <w:numId w:val="1379"/>
        </w:numPr>
        <w:pStyle w:val="Compact"/>
      </w:pPr>
      <w:r>
        <w:t xml:space="preserve">2026 · Wharton S ·</w:t>
      </w:r>
      <w:r>
        <w:t xml:space="preserve"> </w:t>
      </w:r>
      <w:r>
        <w:rPr>
          <w:iCs/>
          <w:i/>
        </w:rPr>
        <w:t xml:space="preserve">Diabetes Obes Metab</w:t>
      </w:r>
      <w:r>
        <w:t xml:space="preserve"> </w:t>
      </w:r>
      <w:r>
        <w:t xml:space="preserve">· Hepatic Safety of Orforglipron in Adults With Obesity or Overweight and/or Type 2 Diabetes: A Pooled Analysis of the Orforglipron Phase 3 Clinical Trials. PMID 42338042</w:t>
      </w:r>
    </w:p>
    <w:p>
      <w:pPr>
        <w:numPr>
          <w:ilvl w:val="0"/>
          <w:numId w:val="1379"/>
        </w:numPr>
        <w:pStyle w:val="Compact"/>
      </w:pPr>
      <w:r>
        <w:t xml:space="preserve">2026 · Ekinci EI ·</w:t>
      </w:r>
      <w:r>
        <w:t xml:space="preserve"> </w:t>
      </w:r>
      <w:r>
        <w:rPr>
          <w:iCs/>
          <w:i/>
        </w:rPr>
        <w:t xml:space="preserve">Diabetes Obes Metab</w:t>
      </w:r>
      <w:r>
        <w:t xml:space="preserve"> </w:t>
      </w:r>
      <w:r>
        <w:t xml:space="preserve">· Dual Glucagon and GLP-1 Receptor Agonist Survodutide Improves Biomarkers of Beta-Cell Function and Insulin Sensitivity in People With Type 2 Diabetes or Living With Overweight/Obesity. PMID 42331726</w:t>
      </w:r>
    </w:p>
    <w:p>
      <w:pPr>
        <w:numPr>
          <w:ilvl w:val="0"/>
          <w:numId w:val="1379"/>
        </w:numPr>
        <w:pStyle w:val="Compact"/>
      </w:pPr>
      <w:r>
        <w:t xml:space="preserve">2026 · Tronieri JS ·</w:t>
      </w:r>
      <w:r>
        <w:t xml:space="preserve"> </w:t>
      </w:r>
      <w:r>
        <w:rPr>
          <w:iCs/>
          <w:i/>
        </w:rPr>
        <w:t xml:space="preserve">Am J Clin Nutr</w:t>
      </w:r>
      <w:r>
        <w:t xml:space="preserve"> </w:t>
      </w:r>
      <w:r>
        <w:t xml:space="preserve">· Short- and long-term effects of semaglutide 2.4 mg on energy intake, appetite, and food reward: a 60-week, double-blind randomized controlled trial. PMID 42323166</w:t>
      </w:r>
    </w:p>
    <w:p>
      <w:pPr>
        <w:numPr>
          <w:ilvl w:val="0"/>
          <w:numId w:val="1379"/>
        </w:numPr>
        <w:pStyle w:val="Compact"/>
      </w:pPr>
      <w:r>
        <w:t xml:space="preserve">2026 · Rahman E ·</w:t>
      </w:r>
      <w:r>
        <w:t xml:space="preserve"> </w:t>
      </w:r>
      <w:r>
        <w:rPr>
          <w:iCs/>
          <w:i/>
        </w:rPr>
        <w:t xml:space="preserve">Aesthetic Plast Surg</w:t>
      </w:r>
      <w:r>
        <w:t xml:space="preserve"> </w:t>
      </w:r>
      <w:r>
        <w:t xml:space="preserve">· A Computational Trial of Dermal Mechanotransduction in GLP-1 Receptor Agonist-Associated Premature Facial Ageing. PMID 42310090</w:t>
      </w:r>
    </w:p>
    <w:p>
      <w:pPr>
        <w:numPr>
          <w:ilvl w:val="0"/>
          <w:numId w:val="1379"/>
        </w:numPr>
        <w:pStyle w:val="Compact"/>
      </w:pPr>
      <w:r>
        <w:t xml:space="preserve">2026 · Heerspink HJL ·</w:t>
      </w:r>
      <w:r>
        <w:t xml:space="preserve"> </w:t>
      </w:r>
      <w:r>
        <w:rPr>
          <w:iCs/>
          <w:i/>
        </w:rPr>
        <w:t xml:space="preserve">Clin J Am Soc Nephrol</w:t>
      </w:r>
      <w:r>
        <w:t xml:space="preserve"> </w:t>
      </w:r>
      <w:r>
        <w:t xml:space="preserve">· Effects of Semaglutide on Body Composition and GFR: A Prespecified Analysis of the SMART Trial. PMID 42308057</w:t>
      </w:r>
    </w:p>
    <w:p>
      <w:pPr>
        <w:numPr>
          <w:ilvl w:val="0"/>
          <w:numId w:val="1379"/>
        </w:numPr>
        <w:pStyle w:val="Compact"/>
      </w:pPr>
      <w:r>
        <w:t xml:space="preserve">2026 · Aroda VR ·</w:t>
      </w:r>
      <w:r>
        <w:t xml:space="preserve"> </w:t>
      </w:r>
      <w:r>
        <w:rPr>
          <w:iCs/>
          <w:i/>
        </w:rPr>
        <w:t xml:space="preserve">Lancet</w:t>
      </w:r>
      <w:r>
        <w:t xml:space="preserve"> </w:t>
      </w:r>
      <w:r>
        <w:t xml:space="preserve">· Elecoglipron, an oral small molecule GLP-1 receptor agonist in adults with type 2 diabetes (SOLSTICE): a multicentre, phase 2b, randomised, placebo-controlled trial. PMID 42259343</w:t>
      </w:r>
    </w:p>
    <w:p>
      <w:pPr>
        <w:numPr>
          <w:ilvl w:val="0"/>
          <w:numId w:val="1379"/>
        </w:numPr>
        <w:pStyle w:val="Compact"/>
      </w:pPr>
      <w:r>
        <w:t xml:space="preserve">2026 · Aroda VR ·</w:t>
      </w:r>
      <w:r>
        <w:t xml:space="preserve"> </w:t>
      </w:r>
      <w:r>
        <w:rPr>
          <w:iCs/>
          <w:i/>
        </w:rPr>
        <w:t xml:space="preserve">Lancet Diabetes Endocrinol</w:t>
      </w:r>
      <w:r>
        <w:t xml:space="preserve"> </w:t>
      </w:r>
      <w:r>
        <w:t xml:space="preserve">· Efficacy and safety of once-weekly cagrilintide-semaglutide (CagriSema) in adults with type 2 diabetes inadequately controlled on diet and exercise (REIMAGINE 1): a randomised, double-blind, placebo-controlled, phase 3a study. PMID 42251860</w:t>
      </w:r>
    </w:p>
    <w:p>
      <w:pPr>
        <w:numPr>
          <w:ilvl w:val="0"/>
          <w:numId w:val="1379"/>
        </w:numPr>
        <w:pStyle w:val="Compact"/>
      </w:pPr>
      <w:r>
        <w:t xml:space="preserve">2026 · Buse JB ·</w:t>
      </w:r>
      <w:r>
        <w:t xml:space="preserve"> </w:t>
      </w:r>
      <w:r>
        <w:rPr>
          <w:iCs/>
          <w:i/>
        </w:rPr>
        <w:t xml:space="preserve">Lancet Diabetes Endocrinol</w:t>
      </w:r>
      <w:r>
        <w:t xml:space="preserve"> </w:t>
      </w:r>
      <w:r>
        <w:t xml:space="preserve">· Cagrilintide-semaglutide (CagriSema) versus semaglutide or cagrilintide in people with type 2 diabetes (REIMAGINE 2): a double-blind, randomised, controlled, phase 3 study. PMID 42251859</w:t>
      </w:r>
    </w:p>
    <w:p>
      <w:pPr>
        <w:numPr>
          <w:ilvl w:val="0"/>
          <w:numId w:val="1379"/>
        </w:numPr>
        <w:pStyle w:val="Compact"/>
      </w:pPr>
      <w:r>
        <w:t xml:space="preserve">2026 · Rosenstock J ·</w:t>
      </w:r>
      <w:r>
        <w:t xml:space="preserve"> </w:t>
      </w:r>
      <w:r>
        <w:rPr>
          <w:iCs/>
          <w:i/>
        </w:rPr>
        <w:t xml:space="preserve">Lancet</w:t>
      </w:r>
      <w:r>
        <w:t xml:space="preserve"> </w:t>
      </w:r>
      <w:r>
        <w:t xml:space="preserve">· Cagrilintide-semaglutide (CagriSema) as an add-on to basal insulin in adults with type 2 diabetes (REIMAGINE 3): a randomised, double-blind, placebo-controlled, multicentre, phase 3 study. PMID 42251856</w:t>
      </w:r>
    </w:p>
    <w:p>
      <w:pPr>
        <w:numPr>
          <w:ilvl w:val="0"/>
          <w:numId w:val="1379"/>
        </w:numPr>
        <w:pStyle w:val="Compact"/>
      </w:pPr>
      <w:r>
        <w:t xml:space="preserve">2026 · Tuttle KR ·</w:t>
      </w:r>
      <w:r>
        <w:t xml:space="preserve"> </w:t>
      </w:r>
      <w:r>
        <w:rPr>
          <w:iCs/>
          <w:i/>
        </w:rPr>
        <w:t xml:space="preserve">J Am Coll Cardiol</w:t>
      </w:r>
      <w:r>
        <w:t xml:space="preserve"> </w:t>
      </w:r>
      <w:r>
        <w:t xml:space="preserve">· Kidney and Survival Benefits of Semaglutide in Diabetes With Chronic Kidney Disease: FLOW Trial Cardiovascular Subgroup Analyses. PMID 42233552</w:t>
      </w:r>
    </w:p>
    <w:p>
      <w:pPr>
        <w:numPr>
          <w:ilvl w:val="0"/>
          <w:numId w:val="1379"/>
        </w:numPr>
        <w:pStyle w:val="Compact"/>
      </w:pPr>
      <w:r>
        <w:t xml:space="preserve">2026 · Nielsen MJF ·</w:t>
      </w:r>
      <w:r>
        <w:t xml:space="preserve"> </w:t>
      </w:r>
      <w:r>
        <w:rPr>
          <w:iCs/>
          <w:i/>
        </w:rPr>
        <w:t xml:space="preserve">Clin Pharmacokinet</w:t>
      </w:r>
      <w:r>
        <w:t xml:space="preserve"> </w:t>
      </w:r>
      <w:r>
        <w:t xml:space="preserve">· Renal or Hepatic Impairment Does Not Affect Pharmacokinetics, Safety, or Tolerability of Subcutaneous Cagrilintide. PMID 42228334</w:t>
      </w:r>
    </w:p>
    <w:p>
      <w:pPr>
        <w:numPr>
          <w:ilvl w:val="0"/>
          <w:numId w:val="1379"/>
        </w:numPr>
        <w:pStyle w:val="Compact"/>
      </w:pPr>
      <w:r>
        <w:t xml:space="preserve">2026 · Plotkin M ·</w:t>
      </w:r>
      <w:r>
        <w:t xml:space="preserve"> </w:t>
      </w:r>
      <w:r>
        <w:rPr>
          <w:iCs/>
          <w:i/>
        </w:rPr>
        <w:t xml:space="preserve">Diabetes Obes Metab</w:t>
      </w:r>
      <w:r>
        <w:t xml:space="preserve"> </w:t>
      </w:r>
      <w:r>
        <w:t xml:space="preserve">· Semaglutide 25 mg Oral Versus Semaglutide 2.4 mg Injectable: An Indirect Treatment Comparison of Weight Loss Outcomes. PMID 42225300</w:t>
      </w:r>
    </w:p>
    <w:p>
      <w:pPr>
        <w:numPr>
          <w:ilvl w:val="0"/>
          <w:numId w:val="1379"/>
        </w:numPr>
        <w:pStyle w:val="Compact"/>
      </w:pPr>
      <w:r>
        <w:t xml:space="preserve">2026 · Ambika Gopalakrishnan U ·</w:t>
      </w:r>
      <w:r>
        <w:t xml:space="preserve"> </w:t>
      </w:r>
      <w:r>
        <w:rPr>
          <w:iCs/>
          <w:i/>
        </w:rPr>
        <w:t xml:space="preserve">Diabetes Obes Metab</w:t>
      </w:r>
      <w:r>
        <w:t xml:space="preserve"> </w:t>
      </w:r>
      <w:r>
        <w:t xml:space="preserve">· Semaglutide Injection in Indian Patients With Type 2 Diabetes Mellitus: A Randomised, Phase III, Active-Controlled Study. PMID 42219226</w:t>
      </w:r>
    </w:p>
    <w:p>
      <w:pPr>
        <w:numPr>
          <w:ilvl w:val="0"/>
          <w:numId w:val="1379"/>
        </w:numPr>
        <w:pStyle w:val="Compact"/>
      </w:pPr>
      <w:r>
        <w:t xml:space="preserve">2026 · Jin P ·</w:t>
      </w:r>
      <w:r>
        <w:t xml:space="preserve"> </w:t>
      </w:r>
      <w:r>
        <w:rPr>
          <w:iCs/>
          <w:i/>
        </w:rPr>
        <w:t xml:space="preserve">Diabetes Obes Metab</w:t>
      </w:r>
      <w:r>
        <w:t xml:space="preserve"> </w:t>
      </w:r>
      <w:r>
        <w:t xml:space="preserve">· Evaluation of the Safety, Efficacy and Pharmacokinetics of BGM0504 in Chinese Adults With Type 2 Diabetes: A Multicentre, Randomised, Controlled and Double-Blind Phase II Trial. PMID 42219225</w:t>
      </w:r>
    </w:p>
    <w:p>
      <w:pPr>
        <w:numPr>
          <w:ilvl w:val="0"/>
          <w:numId w:val="1379"/>
        </w:numPr>
        <w:pStyle w:val="Compact"/>
      </w:pPr>
      <w:r>
        <w:t xml:space="preserve">2026 · Hendershot CS ·</w:t>
      </w:r>
      <w:r>
        <w:t xml:space="preserve"> </w:t>
      </w:r>
      <w:r>
        <w:rPr>
          <w:iCs/>
          <w:i/>
        </w:rPr>
        <w:t xml:space="preserve">JAMA Netw Open</w:t>
      </w:r>
      <w:r>
        <w:t xml:space="preserve"> </w:t>
      </w:r>
      <w:r>
        <w:t xml:space="preserve">· Once-Weekly Semaglutide in Adults With Daily Cigarette Use: A Randomized Clinical Trial. PMID 42189538</w:t>
      </w:r>
    </w:p>
    <w:p>
      <w:pPr>
        <w:numPr>
          <w:ilvl w:val="0"/>
          <w:numId w:val="1379"/>
        </w:numPr>
        <w:pStyle w:val="Compact"/>
      </w:pPr>
      <w:r>
        <w:t xml:space="preserve">2026 · Stanley C ·</w:t>
      </w:r>
      <w:r>
        <w:t xml:space="preserve"> </w:t>
      </w:r>
      <w:r>
        <w:rPr>
          <w:iCs/>
          <w:i/>
        </w:rPr>
        <w:t xml:space="preserve">Nat Med</w:t>
      </w:r>
      <w:r>
        <w:t xml:space="preserve"> </w:t>
      </w:r>
      <w:r>
        <w:t xml:space="preserve">· Semaglutide versus placebo in individuals with poor weight loss after bariatric surgery: a double-blinded, randomized, placebo-controlled trial. PMID 42174253</w:t>
      </w:r>
    </w:p>
    <w:p>
      <w:pPr>
        <w:numPr>
          <w:ilvl w:val="0"/>
          <w:numId w:val="1379"/>
        </w:numPr>
        <w:pStyle w:val="Compact"/>
      </w:pPr>
      <w:r>
        <w:t xml:space="preserve">2026 · Huang YS ·</w:t>
      </w:r>
      <w:r>
        <w:t xml:space="preserve"> </w:t>
      </w:r>
      <w:r>
        <w:rPr>
          <w:iCs/>
          <w:i/>
        </w:rPr>
        <w:t xml:space="preserve">Obes Surg</w:t>
      </w:r>
      <w:r>
        <w:t xml:space="preserve"> </w:t>
      </w:r>
      <w:r>
        <w:t xml:space="preserve">· Early Adjuvant Treatment with Semaglutide After Sleeve Gastrectomy in Patients with Class II-III Obesity: A Prospective Non-Randomized Controlled Study. PMID 42174244</w:t>
      </w:r>
    </w:p>
    <w:p>
      <w:pPr>
        <w:numPr>
          <w:ilvl w:val="0"/>
          <w:numId w:val="1379"/>
        </w:numPr>
        <w:pStyle w:val="Compact"/>
      </w:pPr>
      <w:r>
        <w:t xml:space="preserve">2026 · Helsted MM ·</w:t>
      </w:r>
      <w:r>
        <w:t xml:space="preserve"> </w:t>
      </w:r>
      <w:r>
        <w:rPr>
          <w:iCs/>
          <w:i/>
        </w:rPr>
        <w:t xml:space="preserve">Lancet Diabetes Endocrinol</w:t>
      </w:r>
      <w:r>
        <w:t xml:space="preserve"> </w:t>
      </w:r>
      <w:r>
        <w:t xml:space="preserve">· Effects of a 6-week subcutaneous infusion of native GIP alone or as add-on to semaglutide in people with type 2 diabetes: a single-centre, double-blind, parallel-group, randomised, placebo-controlled trial. PMID 42173109</w:t>
      </w:r>
    </w:p>
    <w:p>
      <w:pPr>
        <w:numPr>
          <w:ilvl w:val="0"/>
          <w:numId w:val="1379"/>
        </w:numPr>
        <w:pStyle w:val="Compact"/>
      </w:pPr>
      <w:r>
        <w:t xml:space="preserve">2026 · Long W ·</w:t>
      </w:r>
      <w:r>
        <w:t xml:space="preserve"> </w:t>
      </w:r>
      <w:r>
        <w:rPr>
          <w:iCs/>
          <w:i/>
        </w:rPr>
        <w:t xml:space="preserve">Pak J Pharm Sci</w:t>
      </w:r>
      <w:r>
        <w:t xml:space="preserve"> </w:t>
      </w:r>
      <w:r>
        <w:t xml:space="preserve">· Short-term comparative effects of semaglutide, either alone or in conjunction with canagliflozin, on early diabetic kidney disease. PMID 42170981</w:t>
      </w:r>
    </w:p>
    <w:p>
      <w:pPr>
        <w:numPr>
          <w:ilvl w:val="0"/>
          <w:numId w:val="1379"/>
        </w:numPr>
        <w:pStyle w:val="Compact"/>
      </w:pPr>
      <w:r>
        <w:t xml:space="preserve">2026 · Corley MJ ·</w:t>
      </w:r>
      <w:r>
        <w:t xml:space="preserve"> </w:t>
      </w:r>
      <w:r>
        <w:rPr>
          <w:iCs/>
          <w:i/>
        </w:rPr>
        <w:t xml:space="preserve">Nat Commun</w:t>
      </w:r>
      <w:r>
        <w:t xml:space="preserve"> </w:t>
      </w:r>
      <w:r>
        <w:t xml:space="preserve">· Semaglutide slows epigenetic aging in a randomized trial of HIV-associated lipohypertrophy. PMID 42156721</w:t>
      </w:r>
    </w:p>
    <w:p>
      <w:pPr>
        <w:numPr>
          <w:ilvl w:val="0"/>
          <w:numId w:val="1379"/>
        </w:numPr>
        <w:pStyle w:val="Compact"/>
      </w:pPr>
      <w:r>
        <w:t xml:space="preserve">2026 · Aronne LJ ·</w:t>
      </w:r>
      <w:r>
        <w:t xml:space="preserve"> </w:t>
      </w:r>
      <w:r>
        <w:rPr>
          <w:iCs/>
          <w:i/>
        </w:rPr>
        <w:t xml:space="preserve">Nat Med</w:t>
      </w:r>
      <w:r>
        <w:t xml:space="preserve"> </w:t>
      </w:r>
      <w:r>
        <w:t xml:space="preserve">· Orforglipron for maintenance of body weight reduction: the double-blind, randomized phase 3b ATTAIN-MAINTAIN trial. PMID 42120723</w:t>
      </w:r>
    </w:p>
    <w:p>
      <w:pPr>
        <w:numPr>
          <w:ilvl w:val="0"/>
          <w:numId w:val="1379"/>
        </w:numPr>
        <w:pStyle w:val="Compact"/>
      </w:pPr>
      <w:r>
        <w:t xml:space="preserve">2026 · Lake JE ·</w:t>
      </w:r>
      <w:r>
        <w:t xml:space="preserve"> </w:t>
      </w:r>
      <w:r>
        <w:rPr>
          <w:iCs/>
          <w:i/>
        </w:rPr>
        <w:t xml:space="preserve">AIDS</w:t>
      </w:r>
      <w:r>
        <w:t xml:space="preserve"> </w:t>
      </w:r>
      <w:r>
        <w:t xml:space="preserve">· Semaglutide improves markers of cardiovascular risk in people with HIV. PMID 42084141</w:t>
      </w:r>
    </w:p>
    <w:p>
      <w:pPr>
        <w:numPr>
          <w:ilvl w:val="0"/>
          <w:numId w:val="1379"/>
        </w:numPr>
        <w:pStyle w:val="Compact"/>
      </w:pPr>
      <w:r>
        <w:t xml:space="preserve">2026 · Klausen MK ·</w:t>
      </w:r>
      <w:r>
        <w:t xml:space="preserve"> </w:t>
      </w:r>
      <w:r>
        <w:rPr>
          <w:iCs/>
          <w:i/>
        </w:rPr>
        <w:t xml:space="preserve">Lancet</w:t>
      </w:r>
      <w:r>
        <w:t xml:space="preserve"> </w:t>
      </w:r>
      <w:r>
        <w:t xml:space="preserve">· Once-weekly semaglutide versus placebo in patients with alcohol use disorder and comorbid obesity: a randomised, double-blind, placebo-controlled trial. PMID 42070571</w:t>
      </w:r>
    </w:p>
    <w:p>
      <w:pPr>
        <w:numPr>
          <w:ilvl w:val="0"/>
          <w:numId w:val="1379"/>
        </w:numPr>
        <w:pStyle w:val="Compact"/>
      </w:pPr>
      <w:r>
        <w:t xml:space="preserve">2026 · Gill H ·</w:t>
      </w:r>
      <w:r>
        <w:t xml:space="preserve"> </w:t>
      </w:r>
      <w:r>
        <w:rPr>
          <w:iCs/>
          <w:i/>
        </w:rPr>
        <w:t xml:space="preserve">JAMA Psychiatry</w:t>
      </w:r>
      <w:r>
        <w:t xml:space="preserve"> </w:t>
      </w:r>
      <w:r>
        <w:t xml:space="preserve">· Semaglutide and Effort-Based Decision-Making in Major Depressive Disorder: A Randomized Clinical Trial. PMID 42054055</w:t>
      </w:r>
    </w:p>
    <w:p>
      <w:pPr>
        <w:numPr>
          <w:ilvl w:val="0"/>
          <w:numId w:val="1379"/>
        </w:numPr>
        <w:pStyle w:val="Compact"/>
      </w:pPr>
      <w:r>
        <w:t xml:space="preserve">2026 · Cronenberger C ·</w:t>
      </w:r>
      <w:r>
        <w:t xml:space="preserve"> </w:t>
      </w:r>
      <w:r>
        <w:rPr>
          <w:iCs/>
          <w:i/>
        </w:rPr>
        <w:t xml:space="preserve">J Clin Pharmacol</w:t>
      </w:r>
      <w:r>
        <w:t xml:space="preserve"> </w:t>
      </w:r>
      <w:r>
        <w:t xml:space="preserve">· Assessment of the Drug-Drug Interaction Potential of Lotiglipron (PF-07081532) with Midazolam, Omeprazole, Dabigatran, Rosuvastatin, and the Oral Contraceptives Levonorgestrel and Ethinyl Estradiol. PMID 42053447</w:t>
      </w:r>
    </w:p>
    <w:p>
      <w:pPr>
        <w:numPr>
          <w:ilvl w:val="0"/>
          <w:numId w:val="1379"/>
        </w:numPr>
        <w:pStyle w:val="Compact"/>
      </w:pPr>
      <w:r>
        <w:t xml:space="preserve">2026 · Johansson E ·</w:t>
      </w:r>
      <w:r>
        <w:t xml:space="preserve"> </w:t>
      </w:r>
      <w:r>
        <w:rPr>
          <w:iCs/>
          <w:i/>
        </w:rPr>
        <w:t xml:space="preserve">J Med Econ</w:t>
      </w:r>
      <w:r>
        <w:t xml:space="preserve"> </w:t>
      </w:r>
      <w:r>
        <w:t xml:space="preserve">· Cost-effectiveness of tirzepatide versus semaglutide for patients with obesity or overweight in the US: evidence from the SURMOUNT-5 head-to-head phase-3 trial. PMID 42012820</w:t>
      </w:r>
    </w:p>
    <w:p>
      <w:pPr>
        <w:numPr>
          <w:ilvl w:val="0"/>
          <w:numId w:val="1379"/>
        </w:numPr>
        <w:pStyle w:val="Compact"/>
      </w:pPr>
      <w:r>
        <w:t xml:space="preserve">2026 · Yamauchi T ·</w:t>
      </w:r>
      <w:r>
        <w:t xml:space="preserve"> </w:t>
      </w:r>
      <w:r>
        <w:rPr>
          <w:iCs/>
          <w:i/>
        </w:rPr>
        <w:t xml:space="preserve">Lancet Diabetes Endocrinol</w:t>
      </w:r>
      <w:r>
        <w:t xml:space="preserve"> </w:t>
      </w:r>
      <w:r>
        <w:t xml:space="preserve">· Efficacy and safety of co-administered cagrilintide and semaglutide versus semaglutide alone in adults with overweight or obesity with or without type 2 diabetes in Japan and Taiwan (REDEFINE 5): a multicentre, randomised, active-controlled, phase 3a trial. PMID 42009015</w:t>
      </w:r>
    </w:p>
    <w:p>
      <w:pPr>
        <w:numPr>
          <w:ilvl w:val="0"/>
          <w:numId w:val="1379"/>
        </w:numPr>
        <w:pStyle w:val="Compact"/>
      </w:pPr>
      <w:r>
        <w:t xml:space="preserve">2026 · Zaccardi F ·</w:t>
      </w:r>
      <w:r>
        <w:t xml:space="preserve"> </w:t>
      </w:r>
      <w:r>
        <w:rPr>
          <w:iCs/>
          <w:i/>
        </w:rPr>
        <w:t xml:space="preserve">Diabetes Obes Metab</w:t>
      </w:r>
      <w:r>
        <w:t xml:space="preserve"> </w:t>
      </w:r>
      <w:r>
        <w:t xml:space="preserve">· Semaglutide Treatment in Young Adults Living With Type 2 Diabetes: A Post Hoc Analysis From the SUSTAIN and PIONEER Clinical Trials. PMID 41994903</w:t>
      </w:r>
    </w:p>
    <w:p>
      <w:pPr>
        <w:numPr>
          <w:ilvl w:val="0"/>
          <w:numId w:val="1379"/>
        </w:numPr>
        <w:pStyle w:val="Compact"/>
      </w:pPr>
      <w:r>
        <w:t xml:space="preserve">2026 · Meyhöfer SM ·</w:t>
      </w:r>
      <w:r>
        <w:t xml:space="preserve"> </w:t>
      </w:r>
      <w:r>
        <w:rPr>
          <w:iCs/>
          <w:i/>
        </w:rPr>
        <w:t xml:space="preserve">Nat Med</w:t>
      </w:r>
      <w:r>
        <w:t xml:space="preserve"> </w:t>
      </w:r>
      <w:r>
        <w:t xml:space="preserve">· Semaglutide on liver fibrosis and heart outcomes in patients at high risk of liver fibrosis: a prespecified analysis of the SELECT randomized trial. PMID 41928037</w:t>
      </w:r>
    </w:p>
    <w:p>
      <w:pPr>
        <w:numPr>
          <w:ilvl w:val="0"/>
          <w:numId w:val="1379"/>
        </w:numPr>
        <w:pStyle w:val="Compact"/>
      </w:pPr>
      <w:r>
        <w:t xml:space="preserve">2026 · Moreno-Pérez Ó ·</w:t>
      </w:r>
      <w:r>
        <w:t xml:space="preserve"> </w:t>
      </w:r>
      <w:r>
        <w:rPr>
          <w:iCs/>
          <w:i/>
        </w:rPr>
        <w:t xml:space="preserve">Cardiovasc Diabetol</w:t>
      </w:r>
      <w:r>
        <w:t xml:space="preserve"> </w:t>
      </w:r>
      <w:r>
        <w:t xml:space="preserve">· Inpatient safety, effectiveness of SGLT2 inhibitors and GLP-1 RAs in type 2 diabetes: ENDOCARE, a pragmatic prospective cohort study. PMID 41913157</w:t>
      </w:r>
    </w:p>
    <w:p>
      <w:pPr>
        <w:numPr>
          <w:ilvl w:val="0"/>
          <w:numId w:val="1379"/>
        </w:numPr>
        <w:pStyle w:val="Compact"/>
      </w:pPr>
      <w:r>
        <w:t xml:space="preserve">2026 · Mulvagh SL ·</w:t>
      </w:r>
      <w:r>
        <w:t xml:space="preserve"> </w:t>
      </w:r>
      <w:r>
        <w:rPr>
          <w:iCs/>
          <w:i/>
        </w:rPr>
        <w:t xml:space="preserve">JAMA Cardiol</w:t>
      </w:r>
      <w:r>
        <w:t xml:space="preserve"> </w:t>
      </w:r>
      <w:r>
        <w:t xml:space="preserve">· Oral Semaglutide and Change in Cardiovascular Risk Factors in High-Risk Type 2 Diabetes: A Post Hoc Secondary Analysis of the SOUL Randomized Clinical Trial. PMID 41879791</w:t>
      </w:r>
    </w:p>
    <w:p>
      <w:pPr>
        <w:numPr>
          <w:ilvl w:val="0"/>
          <w:numId w:val="1379"/>
        </w:numPr>
        <w:pStyle w:val="Compact"/>
      </w:pPr>
      <w:r>
        <w:t xml:space="preserve">2026 · Yang SI ·</w:t>
      </w:r>
      <w:r>
        <w:t xml:space="preserve"> </w:t>
      </w:r>
      <w:r>
        <w:rPr>
          <w:iCs/>
          <w:i/>
        </w:rPr>
        <w:t xml:space="preserve">Nat Commun</w:t>
      </w:r>
      <w:r>
        <w:t xml:space="preserve"> </w:t>
      </w:r>
      <w:r>
        <w:t xml:space="preserve">· Bispecific GLP-1/GLP-2 agonism in advanced type 2 diabetes: preclinical characterization and a randomized, double-blind, placebo-controlled phase I trial. PMID 41876542</w:t>
      </w:r>
    </w:p>
    <w:p>
      <w:pPr>
        <w:numPr>
          <w:ilvl w:val="0"/>
          <w:numId w:val="1379"/>
        </w:numPr>
        <w:pStyle w:val="Compact"/>
      </w:pPr>
      <w:r>
        <w:t xml:space="preserve">2026 · Aronne LJ ·</w:t>
      </w:r>
      <w:r>
        <w:t xml:space="preserve"> </w:t>
      </w:r>
      <w:r>
        <w:rPr>
          <w:iCs/>
          <w:i/>
        </w:rPr>
        <w:t xml:space="preserve">Am J Med</w:t>
      </w:r>
      <w:r>
        <w:t xml:space="preserve"> </w:t>
      </w:r>
      <w:r>
        <w:t xml:space="preserve">· Relationship of early rapid weight loss to efficacy and safety of tirzepatide and semaglutide for obesity: SURMOUNT-5 post hoc analysis. PMID 41865857</w:t>
      </w:r>
    </w:p>
    <w:p>
      <w:pPr>
        <w:numPr>
          <w:ilvl w:val="0"/>
          <w:numId w:val="1379"/>
        </w:numPr>
        <w:pStyle w:val="Compact"/>
      </w:pPr>
      <w:r>
        <w:t xml:space="preserve">2026 · Cummings JL ·</w:t>
      </w:r>
      <w:r>
        <w:t xml:space="preserve"> </w:t>
      </w:r>
      <w:r>
        <w:rPr>
          <w:iCs/>
          <w:i/>
        </w:rPr>
        <w:t xml:space="preserve">Lancet</w:t>
      </w:r>
      <w:r>
        <w:t xml:space="preserve"> </w:t>
      </w:r>
      <w:r>
        <w:t xml:space="preserve">· Efficacy and safety of oral semaglutide 14 mg (flexible dose) in early-stage symptomatic Alzheimer’s disease (evoke and evoke+): two phase 3, randomised, placebo-controlled trials. PMID 41865758</w:t>
      </w:r>
    </w:p>
    <w:p>
      <w:pPr>
        <w:numPr>
          <w:ilvl w:val="0"/>
          <w:numId w:val="1379"/>
        </w:numPr>
        <w:pStyle w:val="Compact"/>
      </w:pPr>
      <w:r>
        <w:t xml:space="preserve">2026 · Scheen A ·</w:t>
      </w:r>
      <w:r>
        <w:t xml:space="preserve"> </w:t>
      </w:r>
      <w:r>
        <w:rPr>
          <w:iCs/>
          <w:i/>
        </w:rPr>
        <w:t xml:space="preserve">Rev Med Liege</w:t>
      </w:r>
      <w:r>
        <w:t xml:space="preserve"> </w:t>
      </w:r>
      <w:r>
        <w:t xml:space="preserve">· [SURPASS CVOT : cardiovascular benefits with tirzepatide versus dulaglutide in type 2 diabetes]. PMID 41815032</w:t>
      </w:r>
    </w:p>
    <w:p>
      <w:pPr>
        <w:numPr>
          <w:ilvl w:val="0"/>
          <w:numId w:val="1379"/>
        </w:numPr>
        <w:pStyle w:val="Compact"/>
      </w:pPr>
      <w:r>
        <w:t xml:space="preserve">2026 · Schrage B ·</w:t>
      </w:r>
      <w:r>
        <w:t xml:space="preserve"> </w:t>
      </w:r>
      <w:r>
        <w:rPr>
          <w:iCs/>
          <w:i/>
        </w:rPr>
        <w:t xml:space="preserve">J Am Coll Cardiol</w:t>
      </w:r>
      <w:r>
        <w:t xml:space="preserve"> </w:t>
      </w:r>
      <w:r>
        <w:t xml:space="preserve">· Emulated Effects of Glucagon-Like Peptide 1 Receptor Agonist Therapy in the General Population. PMID 41811277</w:t>
      </w:r>
    </w:p>
    <w:p>
      <w:pPr>
        <w:numPr>
          <w:ilvl w:val="0"/>
          <w:numId w:val="1379"/>
        </w:numPr>
        <w:pStyle w:val="Compact"/>
      </w:pPr>
      <w:r>
        <w:t xml:space="preserve">2026 · Ganeshalingam AA ·</w:t>
      </w:r>
      <w:r>
        <w:t xml:space="preserve"> </w:t>
      </w:r>
      <w:r>
        <w:rPr>
          <w:iCs/>
          <w:i/>
        </w:rPr>
        <w:t xml:space="preserve">Diabetes Care</w:t>
      </w:r>
      <w:r>
        <w:t xml:space="preserve"> </w:t>
      </w:r>
      <w:r>
        <w:t xml:space="preserve">· Semaglutide Effects on Insulin Sensitivity and β-Cell Function in Patients With Schizophrenia, Prediabetes, and Obesity Treated With Second-Generation Antipsychotics: Findings From the HISTORI Trial, a 30-Week Randomized, Placebo-Controlled Trial With Semaglutide 1.0 mg Weekly. PMID 41778920</w:t>
      </w:r>
    </w:p>
    <w:p>
      <w:pPr>
        <w:numPr>
          <w:ilvl w:val="0"/>
          <w:numId w:val="1379"/>
        </w:numPr>
        <w:pStyle w:val="Compact"/>
      </w:pPr>
      <w:r>
        <w:t xml:space="preserve">2026 · Heymsfield SB ·</w:t>
      </w:r>
      <w:r>
        <w:t xml:space="preserve"> </w:t>
      </w:r>
      <w:r>
        <w:rPr>
          <w:iCs/>
          <w:i/>
        </w:rPr>
        <w:t xml:space="preserve">Nat Med</w:t>
      </w:r>
      <w:r>
        <w:t xml:space="preserve"> </w:t>
      </w:r>
      <w:r>
        <w:t xml:space="preserve">· Bimagrumab plus semaglutide alone or in combination for the treatment of obesity: a randomized phase 2 trial. PMID 41772149</w:t>
      </w:r>
    </w:p>
    <w:p>
      <w:pPr>
        <w:numPr>
          <w:ilvl w:val="0"/>
          <w:numId w:val="1379"/>
        </w:numPr>
        <w:pStyle w:val="Compact"/>
      </w:pPr>
      <w:r>
        <w:t xml:space="preserve">2026 · Rosenstock J ·</w:t>
      </w:r>
      <w:r>
        <w:t xml:space="preserve"> </w:t>
      </w:r>
      <w:r>
        <w:rPr>
          <w:iCs/>
          <w:i/>
        </w:rPr>
        <w:t xml:space="preserve">Lancet</w:t>
      </w:r>
      <w:r>
        <w:t xml:space="preserve"> </w:t>
      </w:r>
      <w:r>
        <w:t xml:space="preserve">· Efficacy and safety of once-daily oral orforglipron compared with oral semaglutide in adults with type 2 diabetes (ACHIEVE-3): a multinational, multicentre, non-inferiority, open-label, randomised, phase 3 trial. PMID 41765029</w:t>
      </w:r>
    </w:p>
    <w:p>
      <w:pPr>
        <w:numPr>
          <w:ilvl w:val="0"/>
          <w:numId w:val="1379"/>
        </w:numPr>
        <w:pStyle w:val="Compact"/>
      </w:pPr>
      <w:r>
        <w:t xml:space="preserve">2026 · Rayner B ·</w:t>
      </w:r>
      <w:r>
        <w:t xml:space="preserve"> </w:t>
      </w:r>
      <w:r>
        <w:rPr>
          <w:iCs/>
          <w:i/>
        </w:rPr>
        <w:t xml:space="preserve">Nephrol Dial Transplant</w:t>
      </w:r>
      <w:r>
        <w:t xml:space="preserve"> </w:t>
      </w:r>
      <w:r>
        <w:t xml:space="preserve">· Effect of semaglutide on COVID-19 and other infections: an analysis from the FLOW randomized clinical trial. PMID 41728915</w:t>
      </w:r>
    </w:p>
    <w:p>
      <w:pPr>
        <w:numPr>
          <w:ilvl w:val="0"/>
          <w:numId w:val="1379"/>
        </w:numPr>
        <w:pStyle w:val="Compact"/>
      </w:pPr>
      <w:r>
        <w:t xml:space="preserve">2026 · Uhrenholt N ·</w:t>
      </w:r>
      <w:r>
        <w:t xml:space="preserve"> </w:t>
      </w:r>
      <w:r>
        <w:rPr>
          <w:iCs/>
          <w:i/>
        </w:rPr>
        <w:t xml:space="preserve">Schizophr Res</w:t>
      </w:r>
      <w:r>
        <w:t xml:space="preserve"> </w:t>
      </w:r>
      <w:r>
        <w:t xml:space="preserve">· Improved quality of life with semaglutide in schizophrenia: Secondary analyses from a randomized controlled trial. PMID 41702353</w:t>
      </w:r>
    </w:p>
    <w:p>
      <w:pPr>
        <w:numPr>
          <w:ilvl w:val="0"/>
          <w:numId w:val="1379"/>
        </w:numPr>
        <w:pStyle w:val="Compact"/>
      </w:pPr>
      <w:r>
        <w:t xml:space="preserve">2026 · Pop-Busui R ·</w:t>
      </w:r>
      <w:r>
        <w:t xml:space="preserve"> </w:t>
      </w:r>
      <w:r>
        <w:rPr>
          <w:iCs/>
          <w:i/>
        </w:rPr>
        <w:t xml:space="preserve">JAMA Intern Med</w:t>
      </w:r>
      <w:r>
        <w:t xml:space="preserve"> </w:t>
      </w:r>
      <w:r>
        <w:t xml:space="preserve">· Oral Semaglutide and Heart Failure Outcomes in Persons With Type 2 Diabetes: A Secondary Analysis of the SOUL Randomized Clinical Trial. PMID 41627802</w:t>
      </w:r>
    </w:p>
    <w:p>
      <w:pPr>
        <w:numPr>
          <w:ilvl w:val="0"/>
          <w:numId w:val="1379"/>
        </w:numPr>
        <w:pStyle w:val="Compact"/>
      </w:pPr>
      <w:r>
        <w:t xml:space="preserve">2026 · Yen Y ·</w:t>
      </w:r>
      <w:r>
        <w:t xml:space="preserve"> </w:t>
      </w:r>
      <w:r>
        <w:rPr>
          <w:iCs/>
          <w:i/>
        </w:rPr>
        <w:t xml:space="preserve">BMC Med</w:t>
      </w:r>
      <w:r>
        <w:t xml:space="preserve"> </w:t>
      </w:r>
      <w:r>
        <w:t xml:space="preserve">· Comparative effectiveness of sleeve gastrectomy and semaglutide for weight loss and metabolic outcomes: a prospective non-randomized study. PMID 41572274</w:t>
      </w:r>
    </w:p>
    <w:p>
      <w:pPr>
        <w:numPr>
          <w:ilvl w:val="0"/>
          <w:numId w:val="1379"/>
        </w:numPr>
        <w:pStyle w:val="Compact"/>
      </w:pPr>
      <w:r>
        <w:t xml:space="preserve">2026 · Bøg M ·</w:t>
      </w:r>
      <w:r>
        <w:t xml:space="preserve"> </w:t>
      </w:r>
      <w:r>
        <w:rPr>
          <w:iCs/>
          <w:i/>
        </w:rPr>
        <w:t xml:space="preserve">Pharmacoeconomics</w:t>
      </w:r>
      <w:r>
        <w:t xml:space="preserve"> </w:t>
      </w:r>
      <w:r>
        <w:t xml:space="preserve">· Development of Cardiovascular Risk Equations in People with Overweight or Obesity and Established Cardiovascular Disease Without Diabetes Based on the SELECT Trial. PMID 41553702</w:t>
      </w:r>
    </w:p>
    <w:p>
      <w:pPr>
        <w:numPr>
          <w:ilvl w:val="0"/>
          <w:numId w:val="1379"/>
        </w:numPr>
        <w:pStyle w:val="Compact"/>
      </w:pPr>
      <w:r>
        <w:t xml:space="preserve">2026 · Ajmera V ·</w:t>
      </w:r>
      <w:r>
        <w:t xml:space="preserve"> </w:t>
      </w:r>
      <w:r>
        <w:rPr>
          <w:iCs/>
          <w:i/>
        </w:rPr>
        <w:t xml:space="preserve">Aliment Pharmacol Ther</w:t>
      </w:r>
      <w:r>
        <w:t xml:space="preserve"> </w:t>
      </w:r>
      <w:r>
        <w:t xml:space="preserve">· Clinical Trial: Semaglutide Versus Placebo in NIT-Assessed MASH-A Multicenter Randomised Placebo-Controlled Trial (SAMARA). PMID 41527269</w:t>
      </w:r>
    </w:p>
    <w:p>
      <w:pPr>
        <w:numPr>
          <w:ilvl w:val="0"/>
          <w:numId w:val="1379"/>
        </w:numPr>
        <w:pStyle w:val="Compact"/>
      </w:pPr>
      <w:r>
        <w:t xml:space="preserve">2026 · Stefanakis K ·</w:t>
      </w:r>
      <w:r>
        <w:t xml:space="preserve"> </w:t>
      </w:r>
      <w:r>
        <w:rPr>
          <w:iCs/>
          <w:i/>
        </w:rPr>
        <w:t xml:space="preserve">Metabolism</w:t>
      </w:r>
      <w:r>
        <w:t xml:space="preserve"> </w:t>
      </w:r>
      <w:r>
        <w:t xml:space="preserve">· Proteomic effects of short-term liraglutide vs. placebo in a blinded crossover RCT: Implications for efficacy, safety, and comparison with semaglutide. PMID 41513169</w:t>
      </w:r>
    </w:p>
    <w:p>
      <w:pPr>
        <w:numPr>
          <w:ilvl w:val="0"/>
          <w:numId w:val="1379"/>
        </w:numPr>
        <w:pStyle w:val="Compact"/>
      </w:pPr>
      <w:r>
        <w:t xml:space="preserve">2026 · Ferrulli A ·</w:t>
      </w:r>
      <w:r>
        <w:t xml:space="preserve"> </w:t>
      </w:r>
      <w:r>
        <w:rPr>
          <w:iCs/>
          <w:i/>
        </w:rPr>
        <w:t xml:space="preserve">Obesity (Silver Spring)</w:t>
      </w:r>
      <w:r>
        <w:t xml:space="preserve"> </w:t>
      </w:r>
      <w:r>
        <w:t xml:space="preserve">· Weight Loss With SGLT2 Inhibitors, Semaglutide, and Transcranial Magnetic Stimulation in Type 2 Diabetes and Obesity. PMID 41451880</w:t>
      </w:r>
    </w:p>
    <w:p>
      <w:pPr>
        <w:numPr>
          <w:ilvl w:val="0"/>
          <w:numId w:val="1379"/>
        </w:numPr>
        <w:pStyle w:val="Compact"/>
      </w:pPr>
      <w:r>
        <w:t xml:space="preserve">2026 · Nicholls SJ ·</w:t>
      </w:r>
      <w:r>
        <w:t xml:space="preserve"> </w:t>
      </w:r>
      <w:r>
        <w:rPr>
          <w:iCs/>
          <w:i/>
        </w:rPr>
        <w:t xml:space="preserve">JAMA Cardiol</w:t>
      </w:r>
      <w:r>
        <w:t xml:space="preserve"> </w:t>
      </w:r>
      <w:r>
        <w:t xml:space="preserve">· Semaglutide and Hospitalizations in Patients With Obesity and Established Cardiovascular Disease: An Exploratory Analysis of the SELECT Randomized Clinical Trial. PMID 41433034</w:t>
      </w:r>
    </w:p>
    <w:p>
      <w:pPr>
        <w:numPr>
          <w:ilvl w:val="0"/>
          <w:numId w:val="1379"/>
        </w:numPr>
        <w:pStyle w:val="Compact"/>
      </w:pPr>
      <w:r>
        <w:t xml:space="preserve">2026 · Karakus KE ·</w:t>
      </w:r>
      <w:r>
        <w:t xml:space="preserve"> </w:t>
      </w:r>
      <w:r>
        <w:rPr>
          <w:iCs/>
          <w:i/>
        </w:rPr>
        <w:t xml:space="preserve">Diabetes Care</w:t>
      </w:r>
      <w:r>
        <w:t xml:space="preserve"> </w:t>
      </w:r>
      <w:r>
        <w:t xml:space="preserve">· Effect of Semaglutide on Insulin Dose Reduction in Adults With Type 1 Diabetes and Obesity Using Automated Insulin Delivery Systems: ADJUST-T1D Post Hoc Analysis. PMID 41429002</w:t>
      </w:r>
    </w:p>
    <w:p>
      <w:pPr>
        <w:numPr>
          <w:ilvl w:val="0"/>
          <w:numId w:val="1379"/>
        </w:numPr>
        <w:pStyle w:val="Compact"/>
      </w:pPr>
      <w:r>
        <w:t xml:space="preserve">2026 · Neves JS ·</w:t>
      </w:r>
      <w:r>
        <w:t xml:space="preserve"> </w:t>
      </w:r>
      <w:r>
        <w:rPr>
          <w:iCs/>
          <w:i/>
        </w:rPr>
        <w:t xml:space="preserve">Diabetologia</w:t>
      </w:r>
      <w:r>
        <w:t xml:space="preserve"> </w:t>
      </w:r>
      <w:r>
        <w:t xml:space="preserve">· Efficacy of tirzepatide versus semaglutide in achieving therapeutic targets in type 2 diabetes: a post hoc analysis of the SURPASS-2 Trial. PMID 41419618</w:t>
      </w:r>
    </w:p>
    <w:p>
      <w:pPr>
        <w:numPr>
          <w:ilvl w:val="0"/>
          <w:numId w:val="1379"/>
        </w:numPr>
        <w:pStyle w:val="Compact"/>
      </w:pPr>
      <w:r>
        <w:t xml:space="preserve">2026 · Mann JFE ·</w:t>
      </w:r>
      <w:r>
        <w:t xml:space="preserve"> </w:t>
      </w:r>
      <w:r>
        <w:rPr>
          <w:iCs/>
          <w:i/>
        </w:rPr>
        <w:t xml:space="preserve">Diabetes Care</w:t>
      </w:r>
      <w:r>
        <w:t xml:space="preserve"> </w:t>
      </w:r>
      <w:r>
        <w:t xml:space="preserve">· Impact of Oral Semaglutide on Kidney Outcomes in People With Type 2 Diabetes: Results From the SOUL Randomized Trial. PMID 41380027</w:t>
      </w:r>
    </w:p>
    <w:p>
      <w:pPr>
        <w:numPr>
          <w:ilvl w:val="0"/>
          <w:numId w:val="1379"/>
        </w:numPr>
        <w:pStyle w:val="Compact"/>
      </w:pPr>
      <w:r>
        <w:t xml:space="preserve">2026 · Sass MR ·</w:t>
      </w:r>
      <w:r>
        <w:t xml:space="preserve"> </w:t>
      </w:r>
      <w:r>
        <w:rPr>
          <w:iCs/>
          <w:i/>
        </w:rPr>
        <w:t xml:space="preserve">JAMA Psychiatry</w:t>
      </w:r>
      <w:r>
        <w:t xml:space="preserve"> </w:t>
      </w:r>
      <w:r>
        <w:t xml:space="preserve">· Semaglutide and Early-Stage Metabolic Abnormalities in Individuals With Schizophrenia Spectrum Disorders: A Randomized Clinical Trial. PMID 41335431</w:t>
      </w:r>
    </w:p>
    <w:p>
      <w:pPr>
        <w:numPr>
          <w:ilvl w:val="0"/>
          <w:numId w:val="1379"/>
        </w:numPr>
        <w:pStyle w:val="Compact"/>
      </w:pPr>
      <w:r>
        <w:t xml:space="preserve">2026 · Verma S ·</w:t>
      </w:r>
      <w:r>
        <w:t xml:space="preserve"> </w:t>
      </w:r>
      <w:r>
        <w:rPr>
          <w:iCs/>
          <w:i/>
        </w:rPr>
        <w:t xml:space="preserve">Hypertension</w:t>
      </w:r>
      <w:r>
        <w:t xml:space="preserve"> </w:t>
      </w:r>
      <w:r>
        <w:t xml:space="preserve">· CagriSema Reduces Blood Pressure in Adults With Overweight or Obesity: REDEFINE 1. PMID 41328546</w:t>
      </w:r>
    </w:p>
    <w:p>
      <w:pPr>
        <w:numPr>
          <w:ilvl w:val="0"/>
          <w:numId w:val="1379"/>
        </w:numPr>
        <w:pStyle w:val="Compact"/>
      </w:pPr>
      <w:r>
        <w:t xml:space="preserve">2026 · Arslanian S ·</w:t>
      </w:r>
      <w:r>
        <w:t xml:space="preserve"> </w:t>
      </w:r>
      <w:r>
        <w:rPr>
          <w:iCs/>
          <w:i/>
        </w:rPr>
        <w:t xml:space="preserve">Diabetes Care</w:t>
      </w:r>
      <w:r>
        <w:t xml:space="preserve"> </w:t>
      </w:r>
      <w:r>
        <w:t xml:space="preserve">· Effect of Semaglutide on Insulin Sensitivity and Cardiometabolic Risk Factors in Adolescents With Obesity: The STEP TEENS Study. PMID 41296499</w:t>
      </w:r>
    </w:p>
    <w:p>
      <w:pPr>
        <w:numPr>
          <w:ilvl w:val="0"/>
          <w:numId w:val="1379"/>
        </w:numPr>
        <w:pStyle w:val="Compact"/>
      </w:pPr>
      <w:r>
        <w:t xml:space="preserve">2026 · Badulescu S ·</w:t>
      </w:r>
      <w:r>
        <w:t xml:space="preserve"> </w:t>
      </w:r>
      <w:r>
        <w:rPr>
          <w:iCs/>
          <w:i/>
        </w:rPr>
        <w:t xml:space="preserve">Med</w:t>
      </w:r>
      <w:r>
        <w:t xml:space="preserve"> </w:t>
      </w:r>
      <w:r>
        <w:t xml:space="preserve">· Semaglutide for the treatment of cognitive dysfunction in major depressive disorder: A randomized clinical trial. PMID 41218611</w:t>
      </w:r>
    </w:p>
    <w:p>
      <w:pPr>
        <w:numPr>
          <w:ilvl w:val="0"/>
          <w:numId w:val="1379"/>
        </w:numPr>
        <w:pStyle w:val="Compact"/>
      </w:pPr>
      <w:r>
        <w:t xml:space="preserve">2026 · Shukla AP ·</w:t>
      </w:r>
      <w:r>
        <w:t xml:space="preserve"> </w:t>
      </w:r>
      <w:r>
        <w:rPr>
          <w:iCs/>
          <w:i/>
        </w:rPr>
        <w:t xml:space="preserve">Diabetes Obes Metab</w:t>
      </w:r>
      <w:r>
        <w:t xml:space="preserve"> </w:t>
      </w:r>
      <w:r>
        <w:t xml:space="preserve">· Improved health-related quality of life with tirzepatide versus semaglutide in adults with obesity or overweight from the SURMOUNT-5 trial. PMID 41187971</w:t>
      </w:r>
    </w:p>
    <w:p>
      <w:pPr>
        <w:numPr>
          <w:ilvl w:val="0"/>
          <w:numId w:val="1379"/>
        </w:numPr>
        <w:pStyle w:val="Compact"/>
      </w:pPr>
      <w:r>
        <w:t xml:space="preserve">2026 · Pasqua MR ·</w:t>
      </w:r>
      <w:r>
        <w:t xml:space="preserve"> </w:t>
      </w:r>
      <w:r>
        <w:rPr>
          <w:iCs/>
          <w:i/>
        </w:rPr>
        <w:t xml:space="preserve">Can J Diabetes</w:t>
      </w:r>
      <w:r>
        <w:t xml:space="preserve"> </w:t>
      </w:r>
      <w:r>
        <w:t xml:space="preserve">· Semaglutide Use With Automated Insulin Delivery in Adults With Type 1 Diabetes: Qualitative Analyses and Patient-reported Outcomes From a Randomized Controlled Trial. PMID 41175929</w:t>
      </w:r>
    </w:p>
    <w:p>
      <w:pPr>
        <w:numPr>
          <w:ilvl w:val="0"/>
          <w:numId w:val="1379"/>
        </w:numPr>
        <w:pStyle w:val="Compact"/>
      </w:pPr>
      <w:r>
        <w:t xml:space="preserve">2026 · Pasqua MR ·</w:t>
      </w:r>
      <w:r>
        <w:t xml:space="preserve"> </w:t>
      </w:r>
      <w:r>
        <w:rPr>
          <w:iCs/>
          <w:i/>
        </w:rPr>
        <w:t xml:space="preserve">Diabetes Obes Metab</w:t>
      </w:r>
      <w:r>
        <w:t xml:space="preserve"> </w:t>
      </w:r>
      <w:r>
        <w:t xml:space="preserve">· Changes to insulin requirements over time with semaglutide in adults with type 1 diabetes on insulin pump therapy: A post-hoc analysis of a double-blinded, randomised, crossover trial. PMID 41144928</w:t>
      </w:r>
    </w:p>
    <w:p>
      <w:pPr>
        <w:numPr>
          <w:ilvl w:val="0"/>
          <w:numId w:val="1379"/>
        </w:numPr>
        <w:pStyle w:val="Compact"/>
      </w:pPr>
      <w:r>
        <w:t xml:space="preserve">2026 · Atieh O ·</w:t>
      </w:r>
      <w:r>
        <w:t xml:space="preserve"> </w:t>
      </w:r>
      <w:r>
        <w:rPr>
          <w:iCs/>
          <w:i/>
        </w:rPr>
        <w:t xml:space="preserve">Clin Infect Dis</w:t>
      </w:r>
      <w:r>
        <w:t xml:space="preserve"> </w:t>
      </w:r>
      <w:r>
        <w:t xml:space="preserve">· Effects of Semaglutide on Cognitive Function in People With HIV: A Randomized, Controlled Trial. PMID 41098140</w:t>
      </w:r>
    </w:p>
    <w:p>
      <w:pPr>
        <w:numPr>
          <w:ilvl w:val="0"/>
          <w:numId w:val="1379"/>
        </w:numPr>
        <w:pStyle w:val="Compact"/>
      </w:pPr>
      <w:r>
        <w:t xml:space="preserve">2026 · Katrevula A ·</w:t>
      </w:r>
      <w:r>
        <w:t xml:space="preserve"> </w:t>
      </w:r>
      <w:r>
        <w:rPr>
          <w:iCs/>
          <w:i/>
        </w:rPr>
        <w:t xml:space="preserve">Indian J Gastroenterol</w:t>
      </w:r>
      <w:r>
        <w:t xml:space="preserve"> </w:t>
      </w:r>
      <w:r>
        <w:t xml:space="preserve">· Oral semaglutide for weight loss and liver fibrosis in overweight and obesity: A randomized controlled trial. PMID 41066034</w:t>
      </w:r>
    </w:p>
    <w:p>
      <w:pPr>
        <w:numPr>
          <w:ilvl w:val="0"/>
          <w:numId w:val="1379"/>
        </w:numPr>
        <w:pStyle w:val="Compact"/>
      </w:pPr>
      <w:r>
        <w:t xml:space="preserve">2026 · Nitze LM ·</w:t>
      </w:r>
      <w:r>
        <w:t xml:space="preserve"> </w:t>
      </w:r>
      <w:r>
        <w:rPr>
          <w:iCs/>
          <w:i/>
        </w:rPr>
        <w:t xml:space="preserve">Aliment Pharmacol Ther</w:t>
      </w:r>
      <w:r>
        <w:t xml:space="preserve"> </w:t>
      </w:r>
      <w:r>
        <w:t xml:space="preserve">· Exploration of Multiple Non-Invasive Tests for Assessing Response to Treatment in a Semaglutide Phase 2b Trial in Patients with MASH. PMID 40985232</w:t>
      </w:r>
    </w:p>
    <w:p>
      <w:pPr>
        <w:numPr>
          <w:ilvl w:val="0"/>
          <w:numId w:val="1379"/>
        </w:numPr>
        <w:pStyle w:val="Compact"/>
      </w:pPr>
      <w:r>
        <w:t xml:space="preserve">2026 · Park B ·</w:t>
      </w:r>
      <w:r>
        <w:t xml:space="preserve"> </w:t>
      </w:r>
      <w:r>
        <w:rPr>
          <w:iCs/>
          <w:i/>
        </w:rPr>
        <w:t xml:space="preserve">Eur Heart J</w:t>
      </w:r>
      <w:r>
        <w:t xml:space="preserve"> </w:t>
      </w:r>
      <w:r>
        <w:t xml:space="preserve">· Semaglutide promotes bone marrow-derived progenitor cell flux towards an anti-inflammatory and pro-regenerative profile in high-risk patients: the SEMA-VR CardioLink-15 trial. PMID 40886061</w:t>
      </w:r>
    </w:p>
    <w:p>
      <w:pPr>
        <w:numPr>
          <w:ilvl w:val="0"/>
          <w:numId w:val="1379"/>
        </w:numPr>
        <w:pStyle w:val="Compact"/>
      </w:pPr>
      <w:r>
        <w:t xml:space="preserve">2025 · Youovop J ·</w:t>
      </w:r>
      <w:r>
        <w:t xml:space="preserve"> </w:t>
      </w:r>
      <w:r>
        <w:rPr>
          <w:iCs/>
          <w:i/>
        </w:rPr>
        <w:t xml:space="preserve">Medicina (Kaunas)</w:t>
      </w:r>
      <w:r>
        <w:t xml:space="preserve"> </w:t>
      </w:r>
      <w:r>
        <w:t xml:space="preserve">· Effects of Dichrostachys glomerata and Cissus quadrangularis Extracts on GLP-1 Secretion and DPP-4 Activity in Overweight and Obese Individuals: A Randomized Controlled Trial. PMID 41597327</w:t>
      </w:r>
    </w:p>
    <w:p>
      <w:pPr>
        <w:numPr>
          <w:ilvl w:val="0"/>
          <w:numId w:val="1379"/>
        </w:numPr>
        <w:pStyle w:val="Compact"/>
      </w:pPr>
      <w:r>
        <w:t xml:space="preserve">2025 · Rossing P ·</w:t>
      </w:r>
      <w:r>
        <w:t xml:space="preserve"> </w:t>
      </w:r>
      <w:r>
        <w:rPr>
          <w:iCs/>
          <w:i/>
        </w:rPr>
        <w:t xml:space="preserve">Cardiovasc Diabetol</w:t>
      </w:r>
      <w:r>
        <w:t xml:space="preserve"> </w:t>
      </w:r>
      <w:r>
        <w:t xml:space="preserve">· Once-weekly semaglutide versus placebo for the treatment of type 2 diabetes and chronic kidney disease in Denmark: A long-term cost-effectiveness analysis based on FLOW. PMID 41422027</w:t>
      </w:r>
    </w:p>
    <w:p>
      <w:pPr>
        <w:numPr>
          <w:ilvl w:val="0"/>
          <w:numId w:val="1379"/>
        </w:numPr>
        <w:pStyle w:val="Compact"/>
      </w:pPr>
      <w:r>
        <w:t xml:space="preserve">2025 · Wang H ·</w:t>
      </w:r>
      <w:r>
        <w:t xml:space="preserve"> </w:t>
      </w:r>
      <w:r>
        <w:rPr>
          <w:iCs/>
          <w:i/>
        </w:rPr>
        <w:t xml:space="preserve">Nat Commun</w:t>
      </w:r>
      <w:r>
        <w:t xml:space="preserve"> </w:t>
      </w:r>
      <w:r>
        <w:t xml:space="preserve">· Glucagon-like peptide-1 receptor agonist in large vessel occlusion treated by reperfusion therapy-a phase 2 randomized trial. PMID 41392086</w:t>
      </w:r>
    </w:p>
    <w:p>
      <w:pPr>
        <w:numPr>
          <w:ilvl w:val="0"/>
          <w:numId w:val="1379"/>
        </w:numPr>
        <w:pStyle w:val="Compact"/>
      </w:pPr>
      <w:r>
        <w:t xml:space="preserve">2025 · Pandey A ·</w:t>
      </w:r>
      <w:r>
        <w:t xml:space="preserve"> </w:t>
      </w:r>
      <w:r>
        <w:rPr>
          <w:iCs/>
          <w:i/>
        </w:rPr>
        <w:t xml:space="preserve">Eur J Heart Fail</w:t>
      </w:r>
      <w:r>
        <w:t xml:space="preserve"> </w:t>
      </w:r>
      <w:r>
        <w:t xml:space="preserve">· Effects of semaglutide in obesity-related heart failure with preserved ejection fraction across the age spectrum: Findings from the STEP-HFpEF programme. PMID 41290376</w:t>
      </w:r>
    </w:p>
    <w:p>
      <w:pPr>
        <w:numPr>
          <w:ilvl w:val="0"/>
          <w:numId w:val="1379"/>
        </w:numPr>
        <w:pStyle w:val="Compact"/>
      </w:pPr>
      <w:r>
        <w:t xml:space="preserve">2025 · Barakat KE ·</w:t>
      </w:r>
      <w:r>
        <w:t xml:space="preserve"> </w:t>
      </w:r>
      <w:r>
        <w:rPr>
          <w:iCs/>
          <w:i/>
        </w:rPr>
        <w:t xml:space="preserve">Obes Surg</w:t>
      </w:r>
      <w:r>
        <w:t xml:space="preserve"> </w:t>
      </w:r>
      <w:r>
        <w:t xml:space="preserve">· Adjunctive Semaglutide in Patients Undergoing Intragastric Balloon for Weight Loss: 12-Month Prospective Comparative Study. PMID 41212463</w:t>
      </w:r>
    </w:p>
    <w:p>
      <w:pPr>
        <w:numPr>
          <w:ilvl w:val="0"/>
          <w:numId w:val="1379"/>
        </w:numPr>
        <w:pStyle w:val="Compact"/>
      </w:pPr>
      <w:r>
        <w:t xml:space="preserve">2025 · Kattinakere Sreedhara S ·</w:t>
      </w:r>
      <w:r>
        <w:t xml:space="preserve"> </w:t>
      </w:r>
      <w:r>
        <w:rPr>
          <w:iCs/>
          <w:i/>
        </w:rPr>
        <w:t xml:space="preserve">BMJ Open Diabetes Res Care</w:t>
      </w:r>
      <w:r>
        <w:t xml:space="preserve"> </w:t>
      </w:r>
      <w:r>
        <w:t xml:space="preserve">· Using real-world data to predict findings of an ongoing phase IV trial: glycemic control of semaglutide versus standard of care. PMID 41161770</w:t>
      </w:r>
    </w:p>
    <w:p>
      <w:pPr>
        <w:numPr>
          <w:ilvl w:val="0"/>
          <w:numId w:val="1379"/>
        </w:numPr>
        <w:pStyle w:val="Compact"/>
      </w:pPr>
      <w:r>
        <w:t xml:space="preserve">2025 · Deanfield J ·</w:t>
      </w:r>
      <w:r>
        <w:t xml:space="preserve"> </w:t>
      </w:r>
      <w:r>
        <w:rPr>
          <w:iCs/>
          <w:i/>
        </w:rPr>
        <w:t xml:space="preserve">Lancet</w:t>
      </w:r>
      <w:r>
        <w:t xml:space="preserve"> </w:t>
      </w:r>
      <w:r>
        <w:t xml:space="preserve">· Semaglutide and cardiovascular outcomes by baseline and changes in adiposity measurements: a prespecified analysis of the SELECT trial. PMID 41138739</w:t>
      </w:r>
    </w:p>
    <w:p>
      <w:pPr>
        <w:numPr>
          <w:ilvl w:val="0"/>
          <w:numId w:val="1379"/>
        </w:numPr>
        <w:pStyle w:val="Compact"/>
      </w:pPr>
      <w:r>
        <w:t xml:space="preserve">2025 · Buse JB ·</w:t>
      </w:r>
      <w:r>
        <w:t xml:space="preserve"> </w:t>
      </w:r>
      <w:r>
        <w:rPr>
          <w:iCs/>
          <w:i/>
        </w:rPr>
        <w:t xml:space="preserve">BMJ Open Diabetes Res Care</w:t>
      </w:r>
      <w:r>
        <w:t xml:space="preserve"> </w:t>
      </w:r>
      <w:r>
        <w:t xml:space="preserve">· Long-term comparative effectiveness of once-weekly semaglutide versus alternative treatments in a real-world US adult population with type 2 diabetes: a randomized pragmatic clinical trial. PMID 41093600</w:t>
      </w:r>
    </w:p>
    <w:p>
      <w:pPr>
        <w:numPr>
          <w:ilvl w:val="0"/>
          <w:numId w:val="1379"/>
        </w:numPr>
        <w:pStyle w:val="Compact"/>
      </w:pPr>
      <w:r>
        <w:t xml:space="preserve">2025 · Borlaug BA ·</w:t>
      </w:r>
      <w:r>
        <w:t xml:space="preserve"> </w:t>
      </w:r>
      <w:r>
        <w:rPr>
          <w:iCs/>
          <w:i/>
        </w:rPr>
        <w:t xml:space="preserve">JACC Heart Fail</w:t>
      </w:r>
      <w:r>
        <w:t xml:space="preserve"> </w:t>
      </w:r>
      <w:r>
        <w:t xml:space="preserve">· Semaglutide and Exercise Function in Obesity-Related HFpEF: Insights From the STEP-HFpEF Program. PMID 41045908</w:t>
      </w:r>
    </w:p>
    <w:p>
      <w:pPr>
        <w:numPr>
          <w:ilvl w:val="0"/>
          <w:numId w:val="1379"/>
        </w:numPr>
        <w:pStyle w:val="Compact"/>
      </w:pPr>
      <w:r>
        <w:t xml:space="preserve">2025 · Lingvay I ·</w:t>
      </w:r>
      <w:r>
        <w:t xml:space="preserve"> </w:t>
      </w:r>
      <w:r>
        <w:rPr>
          <w:iCs/>
          <w:i/>
        </w:rPr>
        <w:t xml:space="preserve">Lancet Diabetes Endocrinol</w:t>
      </w:r>
      <w:r>
        <w:t xml:space="preserve"> </w:t>
      </w:r>
      <w:r>
        <w:t xml:space="preserve">· Once-weekly semaglutide 7·2 mg in adults with obesity and type 2 diabetes (STEP UP T2D): a randomised, controlled, phase 3b trial. PMID 40961953</w:t>
      </w:r>
    </w:p>
    <w:p>
      <w:pPr>
        <w:numPr>
          <w:ilvl w:val="0"/>
          <w:numId w:val="1379"/>
        </w:numPr>
        <w:pStyle w:val="Compact"/>
      </w:pPr>
      <w:r>
        <w:t xml:space="preserve">2025 · Wharton S ·</w:t>
      </w:r>
      <w:r>
        <w:t xml:space="preserve"> </w:t>
      </w:r>
      <w:r>
        <w:rPr>
          <w:iCs/>
          <w:i/>
        </w:rPr>
        <w:t xml:space="preserve">Lancet Diabetes Endocrinol</w:t>
      </w:r>
      <w:r>
        <w:t xml:space="preserve"> </w:t>
      </w:r>
      <w:r>
        <w:t xml:space="preserve">· Once-weekly semaglutide 7·2 mg in adults with obesity (STEP UP): a randomised, controlled, phase 3b trial. PMID 40961952</w:t>
      </w:r>
    </w:p>
    <w:p>
      <w:pPr>
        <w:numPr>
          <w:ilvl w:val="0"/>
          <w:numId w:val="1379"/>
        </w:numPr>
        <w:pStyle w:val="Compact"/>
      </w:pPr>
      <w:r>
        <w:t xml:space="preserve">2025 · Pandey A ·</w:t>
      </w:r>
      <w:r>
        <w:t xml:space="preserve"> </w:t>
      </w:r>
      <w:r>
        <w:rPr>
          <w:iCs/>
          <w:i/>
        </w:rPr>
        <w:t xml:space="preserve">JACC Heart Fail</w:t>
      </w:r>
      <w:r>
        <w:t xml:space="preserve"> </w:t>
      </w:r>
      <w:r>
        <w:t xml:space="preserve">· Frailty and Effects of Semaglutide in Obesity-Related HFpEF: Findings From the STEP-HFpEF Program. PMID 40956259</w:t>
      </w:r>
    </w:p>
    <w:p>
      <w:pPr>
        <w:numPr>
          <w:ilvl w:val="0"/>
          <w:numId w:val="1379"/>
        </w:numPr>
        <w:pStyle w:val="Compact"/>
      </w:pPr>
      <w:r>
        <w:t xml:space="preserve">2025 · Wharton S ·</w:t>
      </w:r>
      <w:r>
        <w:t xml:space="preserve"> </w:t>
      </w:r>
      <w:r>
        <w:rPr>
          <w:iCs/>
          <w:i/>
        </w:rPr>
        <w:t xml:space="preserve">N Engl J Med</w:t>
      </w:r>
      <w:r>
        <w:t xml:space="preserve"> </w:t>
      </w:r>
      <w:r>
        <w:t xml:space="preserve">· Oral Semaglutide at a Dose of 25 mg in Adults with Overweight or Obesity. PMID 40934115</w:t>
      </w:r>
    </w:p>
    <w:p>
      <w:pPr>
        <w:numPr>
          <w:ilvl w:val="0"/>
          <w:numId w:val="1379"/>
        </w:numPr>
        <w:pStyle w:val="Compact"/>
      </w:pPr>
      <w:r>
        <w:t xml:space="preserve">2025 · Ganeshalingam AA ·</w:t>
      </w:r>
      <w:r>
        <w:t xml:space="preserve"> </w:t>
      </w:r>
      <w:r>
        <w:rPr>
          <w:iCs/>
          <w:i/>
        </w:rPr>
        <w:t xml:space="preserve">JAMA Psychiatry</w:t>
      </w:r>
      <w:r>
        <w:t xml:space="preserve"> </w:t>
      </w:r>
      <w:r>
        <w:t xml:space="preserve">· Semaglutide Treatment of Antipsychotic-Treated Patients With Schizophrenia, Prediabetes, and Obesity: The HISTORI Randomized Clinical Trial. PMID 40900607</w:t>
      </w:r>
    </w:p>
    <w:p>
      <w:pPr>
        <w:numPr>
          <w:ilvl w:val="0"/>
          <w:numId w:val="1379"/>
        </w:numPr>
        <w:pStyle w:val="Compact"/>
      </w:pPr>
      <w:r>
        <w:t xml:space="preserve">2025 · Verma S ·</w:t>
      </w:r>
      <w:r>
        <w:t xml:space="preserve"> </w:t>
      </w:r>
      <w:r>
        <w:rPr>
          <w:iCs/>
          <w:i/>
        </w:rPr>
        <w:t xml:space="preserve">J Am Coll Cardiol</w:t>
      </w:r>
      <w:r>
        <w:t xml:space="preserve"> </w:t>
      </w:r>
      <w:r>
        <w:t xml:space="preserve">· Sex Differences in Effectiveness of Semaglutide in Patients With Peripheral Artery Disease: The STRIDE Trial. PMID 40892617</w:t>
      </w:r>
    </w:p>
    <w:p>
      <w:pPr>
        <w:numPr>
          <w:ilvl w:val="0"/>
          <w:numId w:val="1379"/>
        </w:numPr>
        <w:pStyle w:val="Compact"/>
      </w:pPr>
      <w:r>
        <w:t xml:space="preserve">2025 · Ji L ·</w:t>
      </w:r>
      <w:r>
        <w:t xml:space="preserve"> </w:t>
      </w:r>
      <w:r>
        <w:rPr>
          <w:iCs/>
          <w:i/>
        </w:rPr>
        <w:t xml:space="preserve">Diabetes Obes Metab</w:t>
      </w:r>
      <w:r>
        <w:t xml:space="preserve"> </w:t>
      </w:r>
      <w:r>
        <w:t xml:space="preserve">· Efficacy and safety of oral semaglutide in Chinese participants with type 2 diabetes: Subgroup analyses by baseline characteristics in the PIONEER 11 and 12 randomised controlled trials. PMID 40843773</w:t>
      </w:r>
    </w:p>
    <w:p>
      <w:pPr>
        <w:numPr>
          <w:ilvl w:val="0"/>
          <w:numId w:val="1379"/>
        </w:numPr>
        <w:pStyle w:val="Compact"/>
      </w:pPr>
      <w:r>
        <w:t xml:space="preserve">2025 · Lim S ·</w:t>
      </w:r>
      <w:r>
        <w:t xml:space="preserve"> </w:t>
      </w:r>
      <w:r>
        <w:rPr>
          <w:iCs/>
          <w:i/>
        </w:rPr>
        <w:t xml:space="preserve">Lancet Diabetes Endocrinol</w:t>
      </w:r>
      <w:r>
        <w:t xml:space="preserve"> </w:t>
      </w:r>
      <w:r>
        <w:t xml:space="preserve">· Once-weekly semaglutide 2·4 mg in an Asian population with obesity, defined as BMI ≥25 kg/m(2), in South Korea and Thailand (STEP 11): a randomised, double-blind, placebo-controlled, phase 3 trial. PMID 40825340</w:t>
      </w:r>
    </w:p>
    <w:p>
      <w:pPr>
        <w:numPr>
          <w:ilvl w:val="0"/>
          <w:numId w:val="1379"/>
        </w:numPr>
        <w:pStyle w:val="Compact"/>
      </w:pPr>
      <w:r>
        <w:t xml:space="preserve">2025 · Kadowaki T ·</w:t>
      </w:r>
      <w:r>
        <w:t xml:space="preserve"> </w:t>
      </w:r>
      <w:r>
        <w:rPr>
          <w:iCs/>
          <w:i/>
        </w:rPr>
        <w:t xml:space="preserve">JAMA Intern Med</w:t>
      </w:r>
      <w:r>
        <w:t xml:space="preserve"> </w:t>
      </w:r>
      <w:r>
        <w:t xml:space="preserve">· Oral Semaglutide in an East Asian Population With Overweight or Obesity, With or Without Type 2 Diabetes: The OASIS 2 Randomized Clinical Trial. PMID 40758358</w:t>
      </w:r>
    </w:p>
    <w:p>
      <w:pPr>
        <w:numPr>
          <w:ilvl w:val="0"/>
          <w:numId w:val="1379"/>
        </w:numPr>
        <w:pStyle w:val="Compact"/>
      </w:pPr>
      <w:r>
        <w:t xml:space="preserve">2025 · Rossing P ·</w:t>
      </w:r>
      <w:r>
        <w:t xml:space="preserve"> </w:t>
      </w:r>
      <w:r>
        <w:rPr>
          <w:iCs/>
          <w:i/>
        </w:rPr>
        <w:t xml:space="preserve">Diabetes Care</w:t>
      </w:r>
      <w:r>
        <w:t xml:space="preserve"> </w:t>
      </w:r>
      <w:r>
        <w:t xml:space="preserve">· Effects of Semaglutide With or Without Concomitant Mineralocorticoid Receptor Antagonist Use in Participants With Type 2 Diabetes and Chronic Kidney Disease: A FLOW Trial Prespecified Secondary Analysis. PMID 40730031</w:t>
      </w:r>
    </w:p>
    <w:p>
      <w:pPr>
        <w:numPr>
          <w:ilvl w:val="0"/>
          <w:numId w:val="1379"/>
        </w:numPr>
        <w:pStyle w:val="Compact"/>
      </w:pPr>
      <w:r>
        <w:t xml:space="preserve">2025 · Chen H ·</w:t>
      </w:r>
      <w:r>
        <w:t xml:space="preserve"> </w:t>
      </w:r>
      <w:r>
        <w:rPr>
          <w:iCs/>
          <w:i/>
        </w:rPr>
        <w:t xml:space="preserve">Reprod Biol Endocrinol</w:t>
      </w:r>
      <w:r>
        <w:t xml:space="preserve"> </w:t>
      </w:r>
      <w:r>
        <w:t xml:space="preserve">· Effects of combined metformin and semaglutide therapy on body weight, metabolic parameters, and reproductive outcomes in overweight/obese women with polycystic ovary syndrome: a prospective, randomized, controlled, open-label clinical trial. PMID 40713699</w:t>
      </w:r>
    </w:p>
    <w:p>
      <w:pPr>
        <w:numPr>
          <w:ilvl w:val="0"/>
          <w:numId w:val="1379"/>
        </w:numPr>
        <w:pStyle w:val="Compact"/>
      </w:pPr>
      <w:r>
        <w:t xml:space="preserve">2025 · Zhou J ·</w:t>
      </w:r>
      <w:r>
        <w:t xml:space="preserve"> </w:t>
      </w:r>
      <w:r>
        <w:rPr>
          <w:iCs/>
          <w:i/>
        </w:rPr>
        <w:t xml:space="preserve">Diabetes Obes Metab</w:t>
      </w:r>
      <w:r>
        <w:t xml:space="preserve"> </w:t>
      </w:r>
      <w:r>
        <w:t xml:space="preserve">· Effect of semaglutide versus placebo on cardiorenal outcomes by prior cardiovascular disease and baseline body mass index: Pooled post hoc analysis of SUSTAIN 6 and PIONEER 6. PMID 40704485</w:t>
      </w:r>
    </w:p>
    <w:p>
      <w:pPr>
        <w:numPr>
          <w:ilvl w:val="0"/>
          <w:numId w:val="1379"/>
        </w:numPr>
        <w:pStyle w:val="Compact"/>
      </w:pPr>
      <w:r>
        <w:t xml:space="preserve">2025 · Eldor R ·</w:t>
      </w:r>
      <w:r>
        <w:t xml:space="preserve"> </w:t>
      </w:r>
      <w:r>
        <w:rPr>
          <w:iCs/>
          <w:i/>
        </w:rPr>
        <w:t xml:space="preserve">Diabetes Care</w:t>
      </w:r>
      <w:r>
        <w:t xml:space="preserve"> </w:t>
      </w:r>
      <w:r>
        <w:t xml:space="preserve">· Gradual Titration of Semaglutide Results in Better Treatment Adherence and Fewer Adverse Events: A Randomized Controlled Open-Label Pilot Study Examining a 16-Week Flexible Titration Regimen Versus Label-Recommended 8-Week Semaglutide Titration Regimen. PMID 40673973</w:t>
      </w:r>
    </w:p>
    <w:p>
      <w:pPr>
        <w:numPr>
          <w:ilvl w:val="0"/>
          <w:numId w:val="1379"/>
        </w:numPr>
        <w:pStyle w:val="Compact"/>
      </w:pPr>
      <w:r>
        <w:t xml:space="preserve">2025 · Tóth LI ·</w:t>
      </w:r>
      <w:r>
        <w:t xml:space="preserve"> </w:t>
      </w:r>
      <w:r>
        <w:rPr>
          <w:iCs/>
          <w:i/>
        </w:rPr>
        <w:t xml:space="preserve">Int J Mol Sci</w:t>
      </w:r>
      <w:r>
        <w:t xml:space="preserve"> </w:t>
      </w:r>
      <w:r>
        <w:t xml:space="preserve">· Semaglutide Improves Lipid Subfraction Profiles in Type 2 Diabetes: Insights from a One-Year Follow-Up Study. PMID 40649729</w:t>
      </w:r>
    </w:p>
    <w:p>
      <w:pPr>
        <w:numPr>
          <w:ilvl w:val="0"/>
          <w:numId w:val="1379"/>
        </w:numPr>
        <w:pStyle w:val="Compact"/>
      </w:pPr>
      <w:r>
        <w:t xml:space="preserve">2025 · Wulff BS ·</w:t>
      </w:r>
      <w:r>
        <w:t xml:space="preserve"> </w:t>
      </w:r>
      <w:r>
        <w:rPr>
          <w:iCs/>
          <w:i/>
        </w:rPr>
        <w:t xml:space="preserve">Obesity (Silver Spring)</w:t>
      </w:r>
      <w:r>
        <w:t xml:space="preserve"> </w:t>
      </w:r>
      <w:r>
        <w:t xml:space="preserve">· Long-acting PYY(3) (-36) analogue with semaglutide for obesity: from preclinical assessment through randomized clinical studies. PMID 40629530</w:t>
      </w:r>
    </w:p>
    <w:p>
      <w:pPr>
        <w:numPr>
          <w:ilvl w:val="0"/>
          <w:numId w:val="1379"/>
        </w:numPr>
        <w:pStyle w:val="Compact"/>
      </w:pPr>
      <w:r>
        <w:t xml:space="preserve">2025 · Shah VN ·</w:t>
      </w:r>
      <w:r>
        <w:t xml:space="preserve"> </w:t>
      </w:r>
      <w:r>
        <w:rPr>
          <w:iCs/>
          <w:i/>
        </w:rPr>
        <w:t xml:space="preserve">NEJM Evid</w:t>
      </w:r>
      <w:r>
        <w:t xml:space="preserve"> </w:t>
      </w:r>
      <w:r>
        <w:t xml:space="preserve">· Semaglutide in Adults with Type 1 Diabetes and Obesity. PMID 40550013</w:t>
      </w:r>
    </w:p>
    <w:p>
      <w:pPr>
        <w:numPr>
          <w:ilvl w:val="0"/>
          <w:numId w:val="1379"/>
        </w:numPr>
        <w:pStyle w:val="Compact"/>
      </w:pPr>
      <w:r>
        <w:t xml:space="preserve">2025 · Garvey WT ·</w:t>
      </w:r>
      <w:r>
        <w:t xml:space="preserve"> </w:t>
      </w:r>
      <w:r>
        <w:rPr>
          <w:iCs/>
          <w:i/>
        </w:rPr>
        <w:t xml:space="preserve">N Engl J Med</w:t>
      </w:r>
      <w:r>
        <w:t xml:space="preserve"> </w:t>
      </w:r>
      <w:r>
        <w:t xml:space="preserve">· Coadministered Cagrilintide and Semaglutide in Adults with Overweight or Obesity. PMID 40544433</w:t>
      </w:r>
    </w:p>
    <w:p>
      <w:pPr>
        <w:numPr>
          <w:ilvl w:val="0"/>
          <w:numId w:val="1379"/>
        </w:numPr>
        <w:pStyle w:val="Compact"/>
      </w:pPr>
      <w:r>
        <w:t xml:space="preserve">2025 · Davies MJ ·</w:t>
      </w:r>
      <w:r>
        <w:t xml:space="preserve"> </w:t>
      </w:r>
      <w:r>
        <w:rPr>
          <w:iCs/>
          <w:i/>
        </w:rPr>
        <w:t xml:space="preserve">N Engl J Med</w:t>
      </w:r>
      <w:r>
        <w:t xml:space="preserve"> </w:t>
      </w:r>
      <w:r>
        <w:t xml:space="preserve">· Cagrilintide-Semaglutide in Adults with Overweight or Obesity and Type 2 Diabetes. PMID 40544432</w:t>
      </w:r>
    </w:p>
    <w:p>
      <w:pPr>
        <w:numPr>
          <w:ilvl w:val="0"/>
          <w:numId w:val="1379"/>
        </w:numPr>
        <w:pStyle w:val="Compact"/>
      </w:pPr>
      <w:r>
        <w:t xml:space="preserve">2025 · Rasouli N ·</w:t>
      </w:r>
      <w:r>
        <w:t xml:space="preserve"> </w:t>
      </w:r>
      <w:r>
        <w:rPr>
          <w:iCs/>
          <w:i/>
        </w:rPr>
        <w:t xml:space="preserve">Diabetes Care</w:t>
      </w:r>
      <w:r>
        <w:t xml:space="preserve"> </w:t>
      </w:r>
      <w:r>
        <w:t xml:space="preserve">· Benefit of Semaglutide in Symptomatic Peripheral Artery Disease by Baseline Type 2 Diabetes Characteristics: Insights From STRIDE, a Randomized, Placebo-Controlled, Double-Blind Trial. PMID 40543068</w:t>
      </w:r>
    </w:p>
    <w:p>
      <w:pPr>
        <w:numPr>
          <w:ilvl w:val="0"/>
          <w:numId w:val="1379"/>
        </w:numPr>
        <w:pStyle w:val="Compact"/>
      </w:pPr>
      <w:r>
        <w:t xml:space="preserve">2025 · Ciudin A ·</w:t>
      </w:r>
      <w:r>
        <w:t xml:space="preserve"> </w:t>
      </w:r>
      <w:r>
        <w:rPr>
          <w:iCs/>
          <w:i/>
        </w:rPr>
        <w:t xml:space="preserve">Diabetes Obes Metab</w:t>
      </w:r>
      <w:r>
        <w:t xml:space="preserve"> </w:t>
      </w:r>
      <w:r>
        <w:t xml:space="preserve">· Indirect comparative efficacy and safety of tirzepatide 10 and 15 mg versus semaglutide 2.4 mg for the management of obesity and overweight in patients with type 2 diabetes. PMID 40537987</w:t>
      </w:r>
    </w:p>
    <w:p>
      <w:pPr>
        <w:numPr>
          <w:ilvl w:val="0"/>
          <w:numId w:val="1379"/>
        </w:numPr>
        <w:pStyle w:val="Compact"/>
      </w:pPr>
      <w:r>
        <w:t xml:space="preserve">2025 · Siskind D ·</w:t>
      </w:r>
      <w:r>
        <w:t xml:space="preserve"> </w:t>
      </w:r>
      <w:r>
        <w:rPr>
          <w:iCs/>
          <w:i/>
        </w:rPr>
        <w:t xml:space="preserve">Lancet Psychiatry</w:t>
      </w:r>
      <w:r>
        <w:t xml:space="preserve"> </w:t>
      </w:r>
      <w:r>
        <w:t xml:space="preserve">· Efficacy and safety of semaglutide versus placebo for people with schizophrenia on clozapine with obesity (COaST): a phase 2, multi-centre, participant and investigator- blinded, randomised controlled trial in Australia. PMID 40506208</w:t>
      </w:r>
    </w:p>
    <w:p>
      <w:pPr>
        <w:numPr>
          <w:ilvl w:val="0"/>
          <w:numId w:val="1379"/>
        </w:numPr>
        <w:pStyle w:val="Compact"/>
      </w:pPr>
      <w:r>
        <w:t xml:space="preserve">2025 · Mathieu C ·</w:t>
      </w:r>
      <w:r>
        <w:t xml:space="preserve"> </w:t>
      </w:r>
      <w:r>
        <w:rPr>
          <w:iCs/>
          <w:i/>
        </w:rPr>
        <w:t xml:space="preserve">Lancet Diabetes Endocrinol</w:t>
      </w:r>
      <w:r>
        <w:t xml:space="preserve"> </w:t>
      </w:r>
      <w:r>
        <w:t xml:space="preserve">· Once‑weekly IcoSema versus once‑weekly insulin icodec in type 2 diabetes management (COMBINE 1): an open‑label, multicentre, treat‑to‑target, randomised, phase 3a trial. PMID 40482671</w:t>
      </w:r>
    </w:p>
    <w:p>
      <w:pPr>
        <w:numPr>
          <w:ilvl w:val="0"/>
          <w:numId w:val="1379"/>
        </w:numPr>
        <w:pStyle w:val="Compact"/>
      </w:pPr>
      <w:r>
        <w:t xml:space="preserve">2025 · Billings LK ·</w:t>
      </w:r>
      <w:r>
        <w:t xml:space="preserve"> </w:t>
      </w:r>
      <w:r>
        <w:rPr>
          <w:iCs/>
          <w:i/>
        </w:rPr>
        <w:t xml:space="preserve">Lancet Diabetes Endocrinol</w:t>
      </w:r>
      <w:r>
        <w:t xml:space="preserve"> </w:t>
      </w:r>
      <w:r>
        <w:t xml:space="preserve">· Once-weekly IcoSema versus multiple daily insulin injections in type 2 diabetes management (COMBINE 3): an open-label, multicentre, treat-to-target, non-inferiority, randomised, phase 3a trial. PMID 40482670</w:t>
      </w:r>
    </w:p>
    <w:p>
      <w:pPr>
        <w:numPr>
          <w:ilvl w:val="0"/>
          <w:numId w:val="1379"/>
        </w:numPr>
        <w:pStyle w:val="Compact"/>
      </w:pPr>
      <w:r>
        <w:t xml:space="preserve">2025 · von Huth Smith L ·</w:t>
      </w:r>
      <w:r>
        <w:t xml:space="preserve"> </w:t>
      </w:r>
      <w:r>
        <w:rPr>
          <w:iCs/>
          <w:i/>
        </w:rPr>
        <w:t xml:space="preserve">Clin Obes</w:t>
      </w:r>
      <w:r>
        <w:t xml:space="preserve"> </w:t>
      </w:r>
      <w:r>
        <w:t xml:space="preserve">· Impact of weight on daily activities questionnaire in patients with overweight or obesity: Psychometric evaluation using data from the OASIS 1 trial. PMID 40452267</w:t>
      </w:r>
    </w:p>
    <w:p>
      <w:pPr>
        <w:numPr>
          <w:ilvl w:val="0"/>
          <w:numId w:val="1379"/>
        </w:numPr>
        <w:pStyle w:val="Compact"/>
      </w:pPr>
      <w:r>
        <w:t xml:space="preserve">2025 · Bouhajib M ·</w:t>
      </w:r>
      <w:r>
        <w:t xml:space="preserve"> </w:t>
      </w:r>
      <w:r>
        <w:rPr>
          <w:iCs/>
          <w:i/>
        </w:rPr>
        <w:t xml:space="preserve">J Basic Clin Physiol Pharmacol</w:t>
      </w:r>
      <w:r>
        <w:t xml:space="preserve"> </w:t>
      </w:r>
      <w:r>
        <w:t xml:space="preserve">· The pharmacokinetics and comparative bioavailabilty of oral and subcutaneous semaglutide in healthy volunteers. PMID 40425315</w:t>
      </w:r>
    </w:p>
    <w:p>
      <w:pPr>
        <w:numPr>
          <w:ilvl w:val="0"/>
          <w:numId w:val="1379"/>
        </w:numPr>
        <w:pStyle w:val="Compact"/>
      </w:pPr>
      <w:r>
        <w:t xml:space="preserve">2025 · Aronne LJ ·</w:t>
      </w:r>
      <w:r>
        <w:t xml:space="preserve"> </w:t>
      </w:r>
      <w:r>
        <w:rPr>
          <w:iCs/>
          <w:i/>
        </w:rPr>
        <w:t xml:space="preserve">N Engl J Med</w:t>
      </w:r>
      <w:r>
        <w:t xml:space="preserve"> </w:t>
      </w:r>
      <w:r>
        <w:t xml:space="preserve">· Tirzepatide as Compared with Semaglutide for the Treatment of Obesity. PMID 40353578</w:t>
      </w:r>
    </w:p>
    <w:p>
      <w:pPr>
        <w:numPr>
          <w:ilvl w:val="0"/>
          <w:numId w:val="1379"/>
        </w:numPr>
        <w:pStyle w:val="Compact"/>
      </w:pPr>
      <w:r>
        <w:t xml:space="preserve">2025 · James S ·</w:t>
      </w:r>
      <w:r>
        <w:t xml:space="preserve"> </w:t>
      </w:r>
      <w:r>
        <w:rPr>
          <w:iCs/>
          <w:i/>
        </w:rPr>
        <w:t xml:space="preserve">Am Heart J</w:t>
      </w:r>
      <w:r>
        <w:t xml:space="preserve"> </w:t>
      </w:r>
      <w:r>
        <w:t xml:space="preserve">· Effect of once-weekly subcutaneous semaglutide on arterial inflammation in people with type 2 diabetes and cardiovascular disease using PET-MRI: Primary results of a randomized, double-blind, placebo-controlled trial. PMID 40345413</w:t>
      </w:r>
    </w:p>
    <w:p>
      <w:pPr>
        <w:numPr>
          <w:ilvl w:val="0"/>
          <w:numId w:val="1379"/>
        </w:numPr>
        <w:pStyle w:val="Compact"/>
      </w:pPr>
      <w:r>
        <w:t xml:space="preserve">2025 · Yu H ·</w:t>
      </w:r>
      <w:r>
        <w:t xml:space="preserve"> </w:t>
      </w:r>
      <w:r>
        <w:rPr>
          <w:iCs/>
          <w:i/>
        </w:rPr>
        <w:t xml:space="preserve">Br J Clin Pharmacol</w:t>
      </w:r>
      <w:r>
        <w:t xml:space="preserve"> </w:t>
      </w:r>
      <w:r>
        <w:t xml:space="preserve">· Pharmacokinetic-pharmacodynamic (PK/PD) modelling of cotadutide effect in patients with chronic kidney disease and type 2 diabetes mellitus. PMID 40344607</w:t>
      </w:r>
    </w:p>
    <w:p>
      <w:pPr>
        <w:numPr>
          <w:ilvl w:val="0"/>
          <w:numId w:val="1379"/>
        </w:numPr>
        <w:pStyle w:val="Compact"/>
      </w:pPr>
      <w:r>
        <w:t xml:space="preserve">2025 · Jensterle M ·</w:t>
      </w:r>
      <w:r>
        <w:t xml:space="preserve"> </w:t>
      </w:r>
      <w:r>
        <w:rPr>
          <w:iCs/>
          <w:i/>
        </w:rPr>
        <w:t xml:space="preserve">J Clin Endocrinol Metab</w:t>
      </w:r>
      <w:r>
        <w:t xml:space="preserve"> </w:t>
      </w:r>
      <w:r>
        <w:t xml:space="preserve">· Semaglutide and Taste in Women With Obesity and Polycystic Ovary Syndrome: A Randomized Placebo-Controlled Study. PMID 40341357</w:t>
      </w:r>
    </w:p>
    <w:p>
      <w:pPr>
        <w:numPr>
          <w:ilvl w:val="0"/>
          <w:numId w:val="1379"/>
        </w:numPr>
        <w:pStyle w:val="Compact"/>
      </w:pPr>
      <w:r>
        <w:t xml:space="preserve">2025 · Hankosky ER ·</w:t>
      </w:r>
      <w:r>
        <w:t xml:space="preserve"> </w:t>
      </w:r>
      <w:r>
        <w:rPr>
          <w:iCs/>
          <w:i/>
        </w:rPr>
        <w:t xml:space="preserve">Diabetes Obes Metab</w:t>
      </w:r>
      <w:r>
        <w:t xml:space="preserve"> </w:t>
      </w:r>
      <w:r>
        <w:t xml:space="preserve">· Tirzepatide 10 and 15 mg versus semaglutide 2.4 mg in people with obesity or overweight with type 2 diabetes: An indirect treatment comparison. PMID 40321113</w:t>
      </w:r>
    </w:p>
    <w:p>
      <w:pPr>
        <w:numPr>
          <w:ilvl w:val="0"/>
          <w:numId w:val="1379"/>
        </w:numPr>
        <w:pStyle w:val="Compact"/>
      </w:pPr>
      <w:r>
        <w:t xml:space="preserve">2025 · Sanyal AJ ·</w:t>
      </w:r>
      <w:r>
        <w:t xml:space="preserve"> </w:t>
      </w:r>
      <w:r>
        <w:rPr>
          <w:iCs/>
          <w:i/>
        </w:rPr>
        <w:t xml:space="preserve">N Engl J Med</w:t>
      </w:r>
      <w:r>
        <w:t xml:space="preserve"> </w:t>
      </w:r>
      <w:r>
        <w:t xml:space="preserve">· Phase 3 Trial of Semaglutide in Metabolic Dysfunction-Associated Steatohepatitis. PMID 40305708</w:t>
      </w:r>
    </w:p>
    <w:p>
      <w:pPr>
        <w:numPr>
          <w:ilvl w:val="0"/>
          <w:numId w:val="1379"/>
        </w:numPr>
        <w:pStyle w:val="Compact"/>
      </w:pPr>
      <w:r>
        <w:t xml:space="preserve">2025 · Golub IS ·</w:t>
      </w:r>
      <w:r>
        <w:t xml:space="preserve"> </w:t>
      </w:r>
      <w:r>
        <w:rPr>
          <w:iCs/>
          <w:i/>
        </w:rPr>
        <w:t xml:space="preserve">Nutr Metab Cardiovasc Dis</w:t>
      </w:r>
      <w:r>
        <w:t xml:space="preserve"> </w:t>
      </w:r>
      <w:r>
        <w:t xml:space="preserve">· The impact of semaglutide on liver fat assessed by serial cardiac CT scans in patients with type 2 diabetes: Results from STOP trial. PMID 40287313</w:t>
      </w:r>
    </w:p>
    <w:p>
      <w:pPr>
        <w:numPr>
          <w:ilvl w:val="0"/>
          <w:numId w:val="1379"/>
        </w:numPr>
        <w:pStyle w:val="Compact"/>
      </w:pPr>
      <w:r>
        <w:t xml:space="preserve">2025 · Aroda VR ·</w:t>
      </w:r>
      <w:r>
        <w:t xml:space="preserve"> </w:t>
      </w:r>
      <w:r>
        <w:rPr>
          <w:iCs/>
          <w:i/>
        </w:rPr>
        <w:t xml:space="preserve">Diabetes Care</w:t>
      </w:r>
      <w:r>
        <w:t xml:space="preserve"> </w:t>
      </w:r>
      <w:r>
        <w:t xml:space="preserve">· High-Dose Semaglutide (Up to 16 mg) in People With Type 2 Diabetes and Overweight or Obesity: A Randomized, Placebo-Controlled, Phase 2 Trial. PMID 40279144</w:t>
      </w:r>
    </w:p>
    <w:p>
      <w:pPr>
        <w:numPr>
          <w:ilvl w:val="0"/>
          <w:numId w:val="1379"/>
        </w:numPr>
        <w:pStyle w:val="Compact"/>
      </w:pPr>
      <w:r>
        <w:t xml:space="preserve">2025 · Gullaksen S ·</w:t>
      </w:r>
      <w:r>
        <w:t xml:space="preserve"> </w:t>
      </w:r>
      <w:r>
        <w:rPr>
          <w:iCs/>
          <w:i/>
        </w:rPr>
        <w:t xml:space="preserve">J Diabetes Complications</w:t>
      </w:r>
      <w:r>
        <w:t xml:space="preserve"> </w:t>
      </w:r>
      <w:r>
        <w:t xml:space="preserve">· Semaglutide, central retinal thickness and continuous glucose monitoring in persons with type 2 diabetes: A post-hoc analysis from a randomised trial. PMID 40239470</w:t>
      </w:r>
    </w:p>
    <w:p>
      <w:pPr>
        <w:numPr>
          <w:ilvl w:val="0"/>
          <w:numId w:val="1379"/>
        </w:numPr>
        <w:pStyle w:val="Compact"/>
      </w:pPr>
      <w:r>
        <w:t xml:space="preserve">2025 · Kadowaki T ·</w:t>
      </w:r>
      <w:r>
        <w:t xml:space="preserve"> </w:t>
      </w:r>
      <w:r>
        <w:rPr>
          <w:iCs/>
          <w:i/>
        </w:rPr>
        <w:t xml:space="preserve">Obes Res Clin Pract</w:t>
      </w:r>
      <w:r>
        <w:t xml:space="preserve"> </w:t>
      </w:r>
      <w:r>
        <w:t xml:space="preserve">· Effect of once-weekly subcutaneous semaglutide on abdominal visceral fat area in Japanese adults with overweight and obesity: A post hoc analysis of the STEP 6 trial. PMID 40189961</w:t>
      </w:r>
    </w:p>
    <w:p>
      <w:pPr>
        <w:numPr>
          <w:ilvl w:val="0"/>
          <w:numId w:val="1379"/>
        </w:numPr>
        <w:pStyle w:val="Compact"/>
      </w:pPr>
      <w:r>
        <w:t xml:space="preserve">2025 · Bonaca MP ·</w:t>
      </w:r>
      <w:r>
        <w:t xml:space="preserve"> </w:t>
      </w:r>
      <w:r>
        <w:rPr>
          <w:iCs/>
          <w:i/>
        </w:rPr>
        <w:t xml:space="preserve">Lancet</w:t>
      </w:r>
      <w:r>
        <w:t xml:space="preserve"> </w:t>
      </w:r>
      <w:r>
        <w:t xml:space="preserve">· Semaglutide and walking capacity in people with symptomatic peripheral artery disease and type 2 diabetes (STRIDE): a phase 3b, double-blind, randomised, placebo-controlled trial. PMID 40169145</w:t>
      </w:r>
    </w:p>
    <w:p>
      <w:pPr>
        <w:numPr>
          <w:ilvl w:val="0"/>
          <w:numId w:val="1379"/>
        </w:numPr>
        <w:pStyle w:val="Compact"/>
      </w:pPr>
      <w:r>
        <w:t xml:space="preserve">2025 · McGuire DK ·</w:t>
      </w:r>
      <w:r>
        <w:t xml:space="preserve"> </w:t>
      </w:r>
      <w:r>
        <w:rPr>
          <w:iCs/>
          <w:i/>
        </w:rPr>
        <w:t xml:space="preserve">N Engl J Med</w:t>
      </w:r>
      <w:r>
        <w:t xml:space="preserve"> </w:t>
      </w:r>
      <w:r>
        <w:t xml:space="preserve">· Oral Semaglutide and Cardiovascular Outcomes in High-Risk Type 2 Diabetes. PMID 40162642</w:t>
      </w:r>
    </w:p>
    <w:p>
      <w:pPr>
        <w:numPr>
          <w:ilvl w:val="0"/>
          <w:numId w:val="1379"/>
        </w:numPr>
        <w:pStyle w:val="Compact"/>
      </w:pPr>
      <w:r>
        <w:t xml:space="preserve">2025 · Marx N ·</w:t>
      </w:r>
      <w:r>
        <w:t xml:space="preserve"> </w:t>
      </w:r>
      <w:r>
        <w:rPr>
          <w:iCs/>
          <w:i/>
        </w:rPr>
        <w:t xml:space="preserve">Circulation</w:t>
      </w:r>
      <w:r>
        <w:t xml:space="preserve"> </w:t>
      </w:r>
      <w:r>
        <w:t xml:space="preserve">· Oral Semaglutide and Cardiovascular Outcomes in People With Type 2 Diabetes, According to SGLT2i Use: Prespecified Analyses of the SOUL Randomized Trial. PMID 40156843</w:t>
      </w:r>
    </w:p>
    <w:p>
      <w:pPr>
        <w:numPr>
          <w:ilvl w:val="0"/>
          <w:numId w:val="1379"/>
        </w:numPr>
        <w:pStyle w:val="Compact"/>
      </w:pPr>
      <w:r>
        <w:t xml:space="preserve">2025 · Bergman BK ·</w:t>
      </w:r>
      <w:r>
        <w:t xml:space="preserve"> </w:t>
      </w:r>
      <w:r>
        <w:rPr>
          <w:iCs/>
          <w:i/>
        </w:rPr>
        <w:t xml:space="preserve">Diabetes Obes Metab</w:t>
      </w:r>
      <w:r>
        <w:t xml:space="preserve"> </w:t>
      </w:r>
      <w:r>
        <w:t xml:space="preserve">· Time spent in glycaemic control with sustained body weight reduction with tirzepatide: A post hoc analysis of the SURPASS clinical trial programme. PMID 40083081</w:t>
      </w:r>
    </w:p>
    <w:p>
      <w:pPr>
        <w:numPr>
          <w:ilvl w:val="0"/>
          <w:numId w:val="1379"/>
        </w:numPr>
        <w:pStyle w:val="Compact"/>
      </w:pPr>
      <w:r>
        <w:t xml:space="preserve">2025 · Gu W ·</w:t>
      </w:r>
      <w:r>
        <w:t xml:space="preserve"> </w:t>
      </w:r>
      <w:r>
        <w:rPr>
          <w:iCs/>
          <w:i/>
        </w:rPr>
        <w:t xml:space="preserve">Diabetes Obes Metab</w:t>
      </w:r>
      <w:r>
        <w:t xml:space="preserve"> </w:t>
      </w:r>
      <w:r>
        <w:t xml:space="preserve">· Efficacy and safety of once-weekly semaglutide 2.4 mg for weight management in participants from China: A prespecified analysis of the STEP 7 randomized clinical trial. PMID 40069849</w:t>
      </w:r>
    </w:p>
    <w:p>
      <w:pPr>
        <w:numPr>
          <w:ilvl w:val="0"/>
          <w:numId w:val="1379"/>
        </w:numPr>
        <w:pStyle w:val="Compact"/>
      </w:pPr>
      <w:r>
        <w:t xml:space="preserve">2025 · Kushner RF ·</w:t>
      </w:r>
      <w:r>
        <w:t xml:space="preserve"> </w:t>
      </w:r>
      <w:r>
        <w:rPr>
          <w:iCs/>
          <w:i/>
        </w:rPr>
        <w:t xml:space="preserve">Obesity (Silver Spring)</w:t>
      </w:r>
      <w:r>
        <w:t xml:space="preserve"> </w:t>
      </w:r>
      <w:r>
        <w:t xml:space="preserve">· Safety profile of semaglutide versus placebo in the SELECT study: a randomized controlled trial. PMID 39948761</w:t>
      </w:r>
    </w:p>
    <w:p>
      <w:pPr>
        <w:numPr>
          <w:ilvl w:val="0"/>
          <w:numId w:val="1379"/>
        </w:numPr>
        <w:pStyle w:val="Compact"/>
      </w:pPr>
      <w:r>
        <w:t xml:space="preserve">2025 · Hendershot CS ·</w:t>
      </w:r>
      <w:r>
        <w:t xml:space="preserve"> </w:t>
      </w:r>
      <w:r>
        <w:rPr>
          <w:iCs/>
          <w:i/>
        </w:rPr>
        <w:t xml:space="preserve">JAMA Psychiatry</w:t>
      </w:r>
      <w:r>
        <w:t xml:space="preserve"> </w:t>
      </w:r>
      <w:r>
        <w:t xml:space="preserve">· Once-Weekly Semaglutide in Adults With Alcohol Use Disorder: A Randomized Clinical Trial. PMID 39937469</w:t>
      </w:r>
    </w:p>
    <w:p>
      <w:pPr>
        <w:numPr>
          <w:ilvl w:val="0"/>
          <w:numId w:val="1379"/>
        </w:numPr>
        <w:pStyle w:val="Compact"/>
      </w:pPr>
      <w:r>
        <w:t xml:space="preserve">2025 · McEwan P ·</w:t>
      </w:r>
      <w:r>
        <w:t xml:space="preserve"> </w:t>
      </w:r>
      <w:r>
        <w:rPr>
          <w:iCs/>
          <w:i/>
        </w:rPr>
        <w:t xml:space="preserve">J Med Econ</w:t>
      </w:r>
      <w:r>
        <w:t xml:space="preserve"> </w:t>
      </w:r>
      <w:r>
        <w:t xml:space="preserve">· Cost-effectiveness of semaglutide in people with obesity and cardiovascular disease without diabetes. PMID 39882599</w:t>
      </w:r>
    </w:p>
    <w:p>
      <w:pPr>
        <w:numPr>
          <w:ilvl w:val="0"/>
          <w:numId w:val="1379"/>
        </w:numPr>
        <w:pStyle w:val="Compact"/>
      </w:pPr>
      <w:r>
        <w:t xml:space="preserve">2025 · Petković-Dabić J ·</w:t>
      </w:r>
      <w:r>
        <w:t xml:space="preserve"> </w:t>
      </w:r>
      <w:r>
        <w:rPr>
          <w:iCs/>
          <w:i/>
        </w:rPr>
        <w:t xml:space="preserve">Biomolecules</w:t>
      </w:r>
      <w:r>
        <w:t xml:space="preserve"> </w:t>
      </w:r>
      <w:r>
        <w:t xml:space="preserve">· Effects of Semaglutide Treatment on Psoriatic Lesions in Obese Patients with Type 2 Diabetes Mellitus: An Open-Label, Randomized Clinical Trial. PMID 39858442</w:t>
      </w:r>
    </w:p>
    <w:p>
      <w:pPr>
        <w:numPr>
          <w:ilvl w:val="0"/>
          <w:numId w:val="1379"/>
        </w:numPr>
        <w:pStyle w:val="Compact"/>
      </w:pPr>
      <w:r>
        <w:t xml:space="preserve">2025 · Davies MJ ·</w:t>
      </w:r>
      <w:r>
        <w:t xml:space="preserve"> </w:t>
      </w:r>
      <w:r>
        <w:rPr>
          <w:iCs/>
          <w:i/>
        </w:rPr>
        <w:t xml:space="preserve">Lancet Diabetes Endocrinol</w:t>
      </w:r>
      <w:r>
        <w:t xml:space="preserve"> </w:t>
      </w:r>
      <w:r>
        <w:t xml:space="preserve">· Semaglutide in obesity-related heart failure with preserved ejection fraction and type 2 diabetes across baseline HbA(1c) levels (STEP-HFpEF DM): a prespecified analysis of heart failure and metabolic outcomes from a randomised, placebo-controlled trial. PMID 39848268</w:t>
      </w:r>
    </w:p>
    <w:p>
      <w:pPr>
        <w:numPr>
          <w:ilvl w:val="0"/>
          <w:numId w:val="1379"/>
        </w:numPr>
        <w:pStyle w:val="Compact"/>
      </w:pPr>
      <w:r>
        <w:t xml:space="preserve">2025 · Lingvay I ·</w:t>
      </w:r>
      <w:r>
        <w:t xml:space="preserve"> </w:t>
      </w:r>
      <w:r>
        <w:rPr>
          <w:iCs/>
          <w:i/>
        </w:rPr>
        <w:t xml:space="preserve">Diabetologia</w:t>
      </w:r>
      <w:r>
        <w:t xml:space="preserve"> </w:t>
      </w:r>
      <w:r>
        <w:t xml:space="preserve">· Once-weekly IcoSema versus once-weekly semaglutide in adults with type 2 diabetes: the COMBINE 2 randomised clinical trial. PMID 39820580</w:t>
      </w:r>
    </w:p>
    <w:p>
      <w:pPr>
        <w:numPr>
          <w:ilvl w:val="0"/>
          <w:numId w:val="1379"/>
        </w:numPr>
        <w:pStyle w:val="Compact"/>
      </w:pPr>
      <w:r>
        <w:t xml:space="preserve">2025 · Razavi AC ·</w:t>
      </w:r>
      <w:r>
        <w:t xml:space="preserve"> </w:t>
      </w:r>
      <w:r>
        <w:rPr>
          <w:iCs/>
          <w:i/>
        </w:rPr>
        <w:t xml:space="preserve">JACC Cardiovasc Imaging</w:t>
      </w:r>
      <w:r>
        <w:t xml:space="preserve"> </w:t>
      </w:r>
      <w:r>
        <w:t xml:space="preserve">· Allocation of Semaglutide According to Coronary Artery Calcium and BMI: Applying the SELECT Trial to MESA. PMID 39797878</w:t>
      </w:r>
    </w:p>
    <w:p>
      <w:pPr>
        <w:numPr>
          <w:ilvl w:val="0"/>
          <w:numId w:val="1379"/>
        </w:numPr>
        <w:pStyle w:val="Compact"/>
      </w:pPr>
      <w:r>
        <w:t xml:space="preserve">2025 · Pasqua MR ·</w:t>
      </w:r>
      <w:r>
        <w:t xml:space="preserve"> </w:t>
      </w:r>
      <w:r>
        <w:rPr>
          <w:iCs/>
          <w:i/>
        </w:rPr>
        <w:t xml:space="preserve">Nat Med</w:t>
      </w:r>
      <w:r>
        <w:t xml:space="preserve"> </w:t>
      </w:r>
      <w:r>
        <w:t xml:space="preserve">· Subcutaneous weekly semaglutide with automated insulin delivery in type 1 diabetes: a double-blind, randomized, crossover trial. PMID 39794615</w:t>
      </w:r>
    </w:p>
    <w:p>
      <w:pPr>
        <w:numPr>
          <w:ilvl w:val="0"/>
          <w:numId w:val="1379"/>
        </w:numPr>
        <w:pStyle w:val="Compact"/>
      </w:pPr>
      <w:r>
        <w:t xml:space="preserve">2025 · Cummings JL ·</w:t>
      </w:r>
      <w:r>
        <w:t xml:space="preserve"> </w:t>
      </w:r>
      <w:r>
        <w:rPr>
          <w:iCs/>
          <w:i/>
        </w:rPr>
        <w:t xml:space="preserve">Alzheimers Res Ther</w:t>
      </w:r>
      <w:r>
        <w:t xml:space="preserve"> </w:t>
      </w:r>
      <w:r>
        <w:t xml:space="preserve">· evoke and evoke+: design of two large-scale, double-blind, placebo-controlled, phase 3 studies evaluating efficacy, safety, and tolerability of semaglutide in early-stage symptomatic Alzheimer’s disease. PMID 39780249</w:t>
      </w:r>
    </w:p>
    <w:p>
      <w:pPr>
        <w:numPr>
          <w:ilvl w:val="0"/>
          <w:numId w:val="1379"/>
        </w:numPr>
        <w:pStyle w:val="Compact"/>
      </w:pPr>
      <w:r>
        <w:t xml:space="preserve">2025 · Mather KJ ·</w:t>
      </w:r>
      <w:r>
        <w:t xml:space="preserve"> </w:t>
      </w:r>
      <w:r>
        <w:rPr>
          <w:iCs/>
          <w:i/>
        </w:rPr>
        <w:t xml:space="preserve">Diabetes Obes Metab</w:t>
      </w:r>
      <w:r>
        <w:t xml:space="preserve"> </w:t>
      </w:r>
      <w:r>
        <w:t xml:space="preserve">· Greater improvement in insulin sensitivity per unit weight loss associated with tirzepatide versus semaglutide: An exploratory analysis. PMID 39762971</w:t>
      </w:r>
    </w:p>
    <w:p>
      <w:pPr>
        <w:numPr>
          <w:ilvl w:val="0"/>
          <w:numId w:val="1379"/>
        </w:numPr>
        <w:pStyle w:val="Compact"/>
      </w:pPr>
      <w:r>
        <w:t xml:space="preserve">2025 · Tchang BG ·</w:t>
      </w:r>
      <w:r>
        <w:t xml:space="preserve"> </w:t>
      </w:r>
      <w:r>
        <w:rPr>
          <w:iCs/>
          <w:i/>
        </w:rPr>
        <w:t xml:space="preserve">Obesity (Silver Spring)</w:t>
      </w:r>
      <w:r>
        <w:t xml:space="preserve"> </w:t>
      </w:r>
      <w:r>
        <w:t xml:space="preserve">· Effect of semaglutide 2.4 mg on use of antihypertensive and lipid-lowering treatment in five randomized controlled STEP trials. PMID 39756397</w:t>
      </w:r>
    </w:p>
    <w:p>
      <w:pPr>
        <w:numPr>
          <w:ilvl w:val="0"/>
          <w:numId w:val="1379"/>
        </w:numPr>
        <w:pStyle w:val="Compact"/>
      </w:pPr>
      <w:r>
        <w:t xml:space="preserve">2025 · Armstrong MJ ·</w:t>
      </w:r>
      <w:r>
        <w:t xml:space="preserve"> </w:t>
      </w:r>
      <w:r>
        <w:rPr>
          <w:iCs/>
          <w:i/>
        </w:rPr>
        <w:t xml:space="preserve">Diabetes Obes Metab</w:t>
      </w:r>
      <w:r>
        <w:t xml:space="preserve"> </w:t>
      </w:r>
      <w:r>
        <w:t xml:space="preserve">· Similar weight loss with semaglutide regardless of diabetes and cardiometabolic risk parameters in individuals with metabolic dysfunction-associated steatotic liver disease: Post hoc analysis of three randomised controlled trials. PMID 39609879</w:t>
      </w:r>
    </w:p>
    <w:p>
      <w:pPr>
        <w:numPr>
          <w:ilvl w:val="0"/>
          <w:numId w:val="1379"/>
        </w:numPr>
        <w:pStyle w:val="Compact"/>
      </w:pPr>
      <w:r>
        <w:t xml:space="preserve">2025 · Rodriguez P ·</w:t>
      </w:r>
      <w:r>
        <w:t xml:space="preserve"> </w:t>
      </w:r>
      <w:r>
        <w:rPr>
          <w:iCs/>
          <w:i/>
        </w:rPr>
        <w:t xml:space="preserve">Diabetes Obes Metab</w:t>
      </w:r>
      <w:r>
        <w:t xml:space="preserve"> </w:t>
      </w:r>
      <w:r>
        <w:t xml:space="preserve">· De-intensification of basal-bolus therapy by replacing prandial insulin with once-weekly subcutaneous semaglutide in individuals with well-controlled type 2 diabetes: A single-centre, open-label randomised trial (TRANSITION-T2D). PMID 39532398</w:t>
      </w:r>
    </w:p>
    <w:p>
      <w:pPr>
        <w:numPr>
          <w:ilvl w:val="0"/>
          <w:numId w:val="1379"/>
        </w:numPr>
        <w:pStyle w:val="Compact"/>
      </w:pPr>
      <w:r>
        <w:t xml:space="preserve">2025 · Gregorič N ·</w:t>
      </w:r>
      <w:r>
        <w:t xml:space="preserve"> </w:t>
      </w:r>
      <w:r>
        <w:rPr>
          <w:iCs/>
          <w:i/>
        </w:rPr>
        <w:t xml:space="preserve">Diabetes Obes Metab</w:t>
      </w:r>
      <w:r>
        <w:t xml:space="preserve"> </w:t>
      </w:r>
      <w:r>
        <w:t xml:space="preserve">· Semaglutide improved sperm morphology in obese men with type 2 diabetes mellitus and functional hypogonadism. PMID 39511836</w:t>
      </w:r>
    </w:p>
    <w:p>
      <w:pPr>
        <w:numPr>
          <w:ilvl w:val="0"/>
          <w:numId w:val="1379"/>
        </w:numPr>
        <w:pStyle w:val="Compact"/>
      </w:pPr>
      <w:r>
        <w:t xml:space="preserve">2025 · Apperloo EM ·</w:t>
      </w:r>
      <w:r>
        <w:t xml:space="preserve"> </w:t>
      </w:r>
      <w:r>
        <w:rPr>
          <w:iCs/>
          <w:i/>
        </w:rPr>
        <w:t xml:space="preserve">Nat Med</w:t>
      </w:r>
      <w:r>
        <w:t xml:space="preserve"> </w:t>
      </w:r>
      <w:r>
        <w:t xml:space="preserve">· Semaglutide in patients with overweight or obesity and chronic kidney disease without diabetes: a randomized double-blind placebo-controlled clinical trial. PMID 39455729</w:t>
      </w:r>
    </w:p>
    <w:p>
      <w:pPr>
        <w:numPr>
          <w:ilvl w:val="0"/>
          <w:numId w:val="1379"/>
        </w:numPr>
        <w:pStyle w:val="Compact"/>
      </w:pPr>
      <w:r>
        <w:t xml:space="preserve">2025 · Mahaffey KW ·</w:t>
      </w:r>
      <w:r>
        <w:t xml:space="preserve"> </w:t>
      </w:r>
      <w:r>
        <w:rPr>
          <w:iCs/>
          <w:i/>
        </w:rPr>
        <w:t xml:space="preserve">Eur Heart J</w:t>
      </w:r>
      <w:r>
        <w:t xml:space="preserve"> </w:t>
      </w:r>
      <w:r>
        <w:t xml:space="preserve">· Cardiovascular outcomes with semaglutide by severity of chronic kidney disease in type 2 diabetes: the FLOW trial. PMID 39211948</w:t>
      </w:r>
    </w:p>
    <w:p>
      <w:pPr>
        <w:numPr>
          <w:ilvl w:val="0"/>
          <w:numId w:val="1379"/>
        </w:numPr>
        <w:pStyle w:val="Compact"/>
      </w:pPr>
      <w:r>
        <w:t xml:space="preserve">2025 · Ditzenberger GL ·</w:t>
      </w:r>
      <w:r>
        <w:t xml:space="preserve"> </w:t>
      </w:r>
      <w:r>
        <w:rPr>
          <w:iCs/>
          <w:i/>
        </w:rPr>
        <w:t xml:space="preserve">Clin Infect Dis</w:t>
      </w:r>
      <w:r>
        <w:t xml:space="preserve"> </w:t>
      </w:r>
      <w:r>
        <w:t xml:space="preserve">· Effects of Semaglutide on Muscle Structure and Function in the SLIM LIVER Study. PMID 39046173</w:t>
      </w:r>
    </w:p>
    <w:p>
      <w:pPr>
        <w:numPr>
          <w:ilvl w:val="0"/>
          <w:numId w:val="1379"/>
        </w:numPr>
        <w:pStyle w:val="Compact"/>
      </w:pPr>
      <w:r>
        <w:t xml:space="preserve">2025 · Apperloo EM ·</w:t>
      </w:r>
      <w:r>
        <w:t xml:space="preserve"> </w:t>
      </w:r>
      <w:r>
        <w:rPr>
          <w:iCs/>
          <w:i/>
        </w:rPr>
        <w:t xml:space="preserve">Nephrol Dial Transplant</w:t>
      </w:r>
      <w:r>
        <w:t xml:space="preserve"> </w:t>
      </w:r>
      <w:r>
        <w:t xml:space="preserve">· Effect of semaglutide on kidney function across different levels of baseline HbA1c, blood pressure, body weight and albuminuria in SUSTAIN 6 and PIONEER 6. PMID 38955363</w:t>
      </w:r>
    </w:p>
    <w:p>
      <w:pPr>
        <w:numPr>
          <w:ilvl w:val="0"/>
          <w:numId w:val="1379"/>
        </w:numPr>
        <w:pStyle w:val="Compact"/>
      </w:pPr>
      <w:r>
        <w:t xml:space="preserve">2025 · Nomoto H ·</w:t>
      </w:r>
      <w:r>
        <w:t xml:space="preserve"> </w:t>
      </w:r>
      <w:r>
        <w:rPr>
          <w:iCs/>
          <w:i/>
        </w:rPr>
        <w:t xml:space="preserve">J Clin Endocrinol Metab</w:t>
      </w:r>
      <w:r>
        <w:t xml:space="preserve"> </w:t>
      </w:r>
      <w:r>
        <w:t xml:space="preserve">· Improvement of β-Cell Function After Switching From DPP-4 Inhibitors to Oral Semaglutide: SWITCH-SEMA2 Post Hoc Analysis. PMID 38695547</w:t>
      </w:r>
    </w:p>
    <w:p>
      <w:pPr>
        <w:numPr>
          <w:ilvl w:val="0"/>
          <w:numId w:val="1379"/>
        </w:numPr>
        <w:pStyle w:val="Compact"/>
      </w:pPr>
      <w:r>
        <w:t xml:space="preserve">2025 · Harrison SA ·</w:t>
      </w:r>
      <w:r>
        <w:t xml:space="preserve"> </w:t>
      </w:r>
      <w:r>
        <w:rPr>
          <w:iCs/>
          <w:i/>
        </w:rPr>
        <w:t xml:space="preserve">Clin Gastroenterol Hepatol</w:t>
      </w:r>
      <w:r>
        <w:t xml:space="preserve"> </w:t>
      </w:r>
      <w:r>
        <w:t xml:space="preserve">· Safety and Efficacy of Efruxifermin in Combination With a GLP-1 Receptor Agonist in Patients With NASH/MASH and Type 2 Diabetes in a Randomized Phase 2 Study. PMID 38447814</w:t>
      </w:r>
    </w:p>
    <w:p>
      <w:pPr>
        <w:numPr>
          <w:ilvl w:val="0"/>
          <w:numId w:val="1379"/>
        </w:numPr>
        <w:pStyle w:val="Compact"/>
      </w:pPr>
      <w:r>
        <w:t xml:space="preserve">2024 · Kadowaki T ·</w:t>
      </w:r>
      <w:r>
        <w:t xml:space="preserve"> </w:t>
      </w:r>
      <w:r>
        <w:rPr>
          <w:iCs/>
          <w:i/>
        </w:rPr>
        <w:t xml:space="preserve">Obes Res Clin Pract</w:t>
      </w:r>
      <w:r>
        <w:t xml:space="preserve"> </w:t>
      </w:r>
      <w:r>
        <w:t xml:space="preserve">· Clinical characteristics affecting weight loss in an East Asian population receiving semaglutide: A STEP 6 subgroup analysis. PMID 39824696</w:t>
      </w:r>
    </w:p>
    <w:p>
      <w:pPr>
        <w:numPr>
          <w:ilvl w:val="0"/>
          <w:numId w:val="1379"/>
        </w:numPr>
        <w:pStyle w:val="Compact"/>
      </w:pPr>
      <w:r>
        <w:t xml:space="preserve">2024 · Westergaard L ·</w:t>
      </w:r>
      <w:r>
        <w:t xml:space="preserve"> </w:t>
      </w:r>
      <w:r>
        <w:rPr>
          <w:iCs/>
          <w:i/>
        </w:rPr>
        <w:t xml:space="preserve">Clin Drug Investig</w:t>
      </w:r>
      <w:r>
        <w:t xml:space="preserve"> </w:t>
      </w:r>
      <w:r>
        <w:t xml:space="preserve">· Pharmacokinetic Properties of a Once-Weekly Fixed-Ratio Combination of Insulin Icodec and Semaglutide Compared with Separate Administration of Each Component in Individuals with Type 2 Diabetes Mellitus. PMID 39488821</w:t>
      </w:r>
    </w:p>
    <w:p>
      <w:pPr>
        <w:numPr>
          <w:ilvl w:val="0"/>
          <w:numId w:val="1379"/>
        </w:numPr>
        <w:pStyle w:val="Compact"/>
      </w:pPr>
      <w:r>
        <w:t xml:space="preserve">2024 · Bliddal H ·</w:t>
      </w:r>
      <w:r>
        <w:t xml:space="preserve"> </w:t>
      </w:r>
      <w:r>
        <w:rPr>
          <w:iCs/>
          <w:i/>
        </w:rPr>
        <w:t xml:space="preserve">N Engl J Med</w:t>
      </w:r>
      <w:r>
        <w:t xml:space="preserve"> </w:t>
      </w:r>
      <w:r>
        <w:t xml:space="preserve">· Once-Weekly Semaglutide in Persons with Obesity and Knee Osteoarthritis. PMID 39476339</w:t>
      </w:r>
    </w:p>
    <w:p>
      <w:pPr>
        <w:numPr>
          <w:ilvl w:val="0"/>
          <w:numId w:val="1379"/>
        </w:numPr>
        <w:pStyle w:val="Compact"/>
      </w:pPr>
      <w:r>
        <w:t xml:space="preserve">2024 · Saravanan P ·</w:t>
      </w:r>
      <w:r>
        <w:t xml:space="preserve"> </w:t>
      </w:r>
      <w:r>
        <w:rPr>
          <w:iCs/>
          <w:i/>
        </w:rPr>
        <w:t xml:space="preserve">Adv Ther</w:t>
      </w:r>
      <w:r>
        <w:t xml:space="preserve"> </w:t>
      </w:r>
      <w:r>
        <w:t xml:space="preserve">· PIONEER REAL UK: A Multi-Centre, Prospective, Real-World Study of Once-Daily Oral Semaglutide Use in Adults with Type 2 Diabetes. PMID 39316289</w:t>
      </w:r>
    </w:p>
    <w:p>
      <w:pPr>
        <w:numPr>
          <w:ilvl w:val="0"/>
          <w:numId w:val="1379"/>
        </w:numPr>
        <w:pStyle w:val="Compact"/>
      </w:pPr>
      <w:r>
        <w:t xml:space="preserve">2024 · Ji L ·</w:t>
      </w:r>
      <w:r>
        <w:t xml:space="preserve"> </w:t>
      </w:r>
      <w:r>
        <w:rPr>
          <w:iCs/>
          <w:i/>
        </w:rPr>
        <w:t xml:space="preserve">Diabetes Obes Metab</w:t>
      </w:r>
      <w:r>
        <w:t xml:space="preserve"> </w:t>
      </w:r>
      <w:r>
        <w:t xml:space="preserve">· Impact of baseline characteristics on the efficacy of once-weekly subcutaneous semaglutide among participants with type 2 diabetes: A post hoc analysis of SUSTAIN China. PMID 39279647</w:t>
      </w:r>
    </w:p>
    <w:p>
      <w:pPr>
        <w:numPr>
          <w:ilvl w:val="0"/>
          <w:numId w:val="1379"/>
        </w:numPr>
        <w:pStyle w:val="Compact"/>
      </w:pPr>
      <w:r>
        <w:t xml:space="preserve">2024 · Gabe MBN ·</w:t>
      </w:r>
      <w:r>
        <w:t xml:space="preserve"> </w:t>
      </w:r>
      <w:r>
        <w:rPr>
          <w:iCs/>
          <w:i/>
        </w:rPr>
        <w:t xml:space="preserve">Diabetes Obes Metab</w:t>
      </w:r>
      <w:r>
        <w:t xml:space="preserve"> </w:t>
      </w:r>
      <w:r>
        <w:t xml:space="preserve">· Cagrilintide is not associated with clinically relevant QTc prolongation: A thorough QT study in healthy participants. PMID 39279639</w:t>
      </w:r>
    </w:p>
    <w:p>
      <w:pPr>
        <w:numPr>
          <w:ilvl w:val="0"/>
          <w:numId w:val="1379"/>
        </w:numPr>
        <w:pStyle w:val="Compact"/>
      </w:pPr>
      <w:r>
        <w:t xml:space="preserve">2024 · Wadden TA ·</w:t>
      </w:r>
      <w:r>
        <w:t xml:space="preserve"> </w:t>
      </w:r>
      <w:r>
        <w:rPr>
          <w:iCs/>
          <w:i/>
        </w:rPr>
        <w:t xml:space="preserve">JAMA Intern Med</w:t>
      </w:r>
      <w:r>
        <w:t xml:space="preserve"> </w:t>
      </w:r>
      <w:r>
        <w:t xml:space="preserve">· Psychiatric Safety of Semaglutide for Weight Management in People Without Known Major Psychopathology: Post Hoc Analysis of the STEP 1, 2, 3, and 5 Trials. PMID 39226070</w:t>
      </w:r>
    </w:p>
    <w:p>
      <w:pPr>
        <w:numPr>
          <w:ilvl w:val="0"/>
          <w:numId w:val="1379"/>
        </w:numPr>
        <w:pStyle w:val="Compact"/>
      </w:pPr>
      <w:r>
        <w:t xml:space="preserve">2024 · Kosiborod MN ·</w:t>
      </w:r>
      <w:r>
        <w:t xml:space="preserve"> </w:t>
      </w:r>
      <w:r>
        <w:rPr>
          <w:iCs/>
          <w:i/>
        </w:rPr>
        <w:t xml:space="preserve">Lancet</w:t>
      </w:r>
      <w:r>
        <w:t xml:space="preserve"> </w:t>
      </w:r>
      <w:r>
        <w:t xml:space="preserve">· Semaglutide versus placebo in patients with heart failure and mildly reduced or preserved ejection fraction: a pooled analysis of the SELECT, FLOW, STEP-HFpEF, and STEP-HFpEF DM randomised trials. PMID 39222642</w:t>
      </w:r>
    </w:p>
    <w:p>
      <w:pPr>
        <w:numPr>
          <w:ilvl w:val="0"/>
          <w:numId w:val="1379"/>
        </w:numPr>
        <w:pStyle w:val="Compact"/>
      </w:pPr>
      <w:r>
        <w:t xml:space="preserve">2024 · Selvarajah V ·</w:t>
      </w:r>
      <w:r>
        <w:t xml:space="preserve"> </w:t>
      </w:r>
      <w:r>
        <w:rPr>
          <w:iCs/>
          <w:i/>
        </w:rPr>
        <w:t xml:space="preserve">Kidney Int</w:t>
      </w:r>
      <w:r>
        <w:t xml:space="preserve"> </w:t>
      </w:r>
      <w:r>
        <w:t xml:space="preserve">· A randomized phase 2b trial examined the effects of the glucagon-like peptide-1 and glucagon receptor agonist cotadutide on kidney outcomes in patients with diabetic kidney disease. PMID 39218393</w:t>
      </w:r>
    </w:p>
    <w:p>
      <w:pPr>
        <w:numPr>
          <w:ilvl w:val="0"/>
          <w:numId w:val="1379"/>
        </w:numPr>
        <w:pStyle w:val="Compact"/>
      </w:pPr>
      <w:r>
        <w:t xml:space="preserve">2024 · Solomon SD ·</w:t>
      </w:r>
      <w:r>
        <w:t xml:space="preserve"> </w:t>
      </w:r>
      <w:r>
        <w:rPr>
          <w:iCs/>
          <w:i/>
        </w:rPr>
        <w:t xml:space="preserve">J Am Coll Cardiol</w:t>
      </w:r>
      <w:r>
        <w:t xml:space="preserve"> </w:t>
      </w:r>
      <w:r>
        <w:t xml:space="preserve">· Effect of Semaglutide on Cardiac Structure and Function in Patients With Obesity-Related Heart Failure. PMID 39217567</w:t>
      </w:r>
    </w:p>
    <w:p>
      <w:pPr>
        <w:numPr>
          <w:ilvl w:val="0"/>
          <w:numId w:val="1379"/>
        </w:numPr>
        <w:pStyle w:val="Compact"/>
      </w:pPr>
      <w:r>
        <w:t xml:space="preserve">2024 · Verma S ·</w:t>
      </w:r>
      <w:r>
        <w:t xml:space="preserve"> </w:t>
      </w:r>
      <w:r>
        <w:rPr>
          <w:iCs/>
          <w:i/>
        </w:rPr>
        <w:t xml:space="preserve">J Am Coll Cardiol</w:t>
      </w:r>
      <w:r>
        <w:t xml:space="preserve"> </w:t>
      </w:r>
      <w:r>
        <w:t xml:space="preserve">· Atrial Fibrillation and Semaglutide Effects in Obesity-Related Heart Failure With Preserved Ejection Fraction: STEP-HFpEF Program. PMID 39217565</w:t>
      </w:r>
    </w:p>
    <w:p>
      <w:pPr>
        <w:numPr>
          <w:ilvl w:val="0"/>
          <w:numId w:val="1379"/>
        </w:numPr>
        <w:pStyle w:val="Compact"/>
      </w:pPr>
      <w:r>
        <w:t xml:space="preserve">2024 · Verma S ·</w:t>
      </w:r>
      <w:r>
        <w:t xml:space="preserve"> </w:t>
      </w:r>
      <w:r>
        <w:rPr>
          <w:iCs/>
          <w:i/>
        </w:rPr>
        <w:t xml:space="preserve">J Am Coll Cardiol</w:t>
      </w:r>
      <w:r>
        <w:t xml:space="preserve"> </w:t>
      </w:r>
      <w:r>
        <w:t xml:space="preserve">· Inflammation in Obesity-Related HFpEF: The STEP-HFpEF Program. PMID 39217564</w:t>
      </w:r>
    </w:p>
    <w:p>
      <w:pPr>
        <w:numPr>
          <w:ilvl w:val="0"/>
          <w:numId w:val="1379"/>
        </w:numPr>
        <w:pStyle w:val="Compact"/>
      </w:pPr>
      <w:r>
        <w:t xml:space="preserve">2024 · Scirica BM ·</w:t>
      </w:r>
      <w:r>
        <w:t xml:space="preserve"> </w:t>
      </w:r>
      <w:r>
        <w:rPr>
          <w:iCs/>
          <w:i/>
        </w:rPr>
        <w:t xml:space="preserve">J Am Coll Cardiol</w:t>
      </w:r>
      <w:r>
        <w:t xml:space="preserve"> </w:t>
      </w:r>
      <w:r>
        <w:t xml:space="preserve">· The Effect of Semaglutide on Mortality and COVID-19-Related Deaths: An Analysis From the SELECT Trial. PMID 39217559</w:t>
      </w:r>
    </w:p>
    <w:p>
      <w:pPr>
        <w:numPr>
          <w:ilvl w:val="0"/>
          <w:numId w:val="1379"/>
        </w:numPr>
        <w:pStyle w:val="Compact"/>
      </w:pPr>
      <w:r>
        <w:t xml:space="preserve">2024 · Pratley RE ·</w:t>
      </w:r>
      <w:r>
        <w:t xml:space="preserve"> </w:t>
      </w:r>
      <w:r>
        <w:rPr>
          <w:iCs/>
          <w:i/>
        </w:rPr>
        <w:t xml:space="preserve">J Am Coll Cardiol</w:t>
      </w:r>
      <w:r>
        <w:t xml:space="preserve"> </w:t>
      </w:r>
      <w:r>
        <w:t xml:space="preserve">· Effects of Semaglutide on Heart Failure Outcomes in Diabetes and Chronic Kidney Disease in the FLOW Trial. PMID 39217553</w:t>
      </w:r>
    </w:p>
    <w:p>
      <w:pPr>
        <w:numPr>
          <w:ilvl w:val="0"/>
          <w:numId w:val="1379"/>
        </w:numPr>
        <w:pStyle w:val="Compact"/>
      </w:pPr>
      <w:r>
        <w:t xml:space="preserve">2024 · Younis IR ·</w:t>
      </w:r>
      <w:r>
        <w:t xml:space="preserve"> </w:t>
      </w:r>
      <w:r>
        <w:rPr>
          <w:iCs/>
          <w:i/>
        </w:rPr>
        <w:t xml:space="preserve">J Clin Pharmacol</w:t>
      </w:r>
      <w:r>
        <w:t xml:space="preserve"> </w:t>
      </w:r>
      <w:r>
        <w:t xml:space="preserve">· Pharmacokinetics and Safety of Cilofexor and Firsocostat in Healthy Japanese and Non-Japanese Participants. PMID 39213138</w:t>
      </w:r>
    </w:p>
    <w:p>
      <w:pPr>
        <w:numPr>
          <w:ilvl w:val="0"/>
          <w:numId w:val="1379"/>
        </w:numPr>
        <w:pStyle w:val="Compact"/>
      </w:pPr>
      <w:r>
        <w:t xml:space="preserve">2024 · Wang J ·</w:t>
      </w:r>
      <w:r>
        <w:t xml:space="preserve"> </w:t>
      </w:r>
      <w:r>
        <w:rPr>
          <w:iCs/>
          <w:i/>
        </w:rPr>
        <w:t xml:space="preserve">Diabetes Obes Metab</w:t>
      </w:r>
      <w:r>
        <w:t xml:space="preserve"> </w:t>
      </w:r>
      <w:r>
        <w:t xml:space="preserve">· Effect of semaglutide on primary prevention of diabetic kidney disease in people with type 2 diabetes: A post hoc analysis of the SUSTAIN 6 randomized controlled trial. PMID 39188242</w:t>
      </w:r>
    </w:p>
    <w:p>
      <w:pPr>
        <w:numPr>
          <w:ilvl w:val="0"/>
          <w:numId w:val="1379"/>
        </w:numPr>
        <w:pStyle w:val="Compact"/>
      </w:pPr>
      <w:r>
        <w:t xml:space="preserve">2024 · Deanfield J ·</w:t>
      </w:r>
      <w:r>
        <w:t xml:space="preserve"> </w:t>
      </w:r>
      <w:r>
        <w:rPr>
          <w:iCs/>
          <w:i/>
        </w:rPr>
        <w:t xml:space="preserve">Lancet</w:t>
      </w:r>
      <w:r>
        <w:t xml:space="preserve"> </w:t>
      </w:r>
      <w:r>
        <w:t xml:space="preserve">· Semaglutide and cardiovascular outcomes in patients with obesity and prevalent heart failure: a prespecified analysis of the SELECT trial. PMID 39181597</w:t>
      </w:r>
    </w:p>
    <w:p>
      <w:pPr>
        <w:numPr>
          <w:ilvl w:val="0"/>
          <w:numId w:val="1379"/>
        </w:numPr>
        <w:pStyle w:val="Compact"/>
      </w:pPr>
      <w:r>
        <w:t xml:space="preserve">2024 · El-Nayir M ·</w:t>
      </w:r>
      <w:r>
        <w:t xml:space="preserve"> </w:t>
      </w:r>
      <w:r>
        <w:rPr>
          <w:iCs/>
          <w:i/>
        </w:rPr>
        <w:t xml:space="preserve">Trials</w:t>
      </w:r>
      <w:r>
        <w:t xml:space="preserve"> </w:t>
      </w:r>
      <w:r>
        <w:t xml:space="preserve">· Patient and public involvement and engagement in the ASCEND PLUS trial: reflections from the design of a streamlined and decentralised clinical trial. PMID 39175005</w:t>
      </w:r>
    </w:p>
    <w:p>
      <w:pPr>
        <w:numPr>
          <w:ilvl w:val="0"/>
          <w:numId w:val="1379"/>
        </w:numPr>
        <w:pStyle w:val="Compact"/>
      </w:pPr>
      <w:r>
        <w:t xml:space="preserve">2024 · Liu X ·</w:t>
      </w:r>
      <w:r>
        <w:t xml:space="preserve"> </w:t>
      </w:r>
      <w:r>
        <w:rPr>
          <w:iCs/>
          <w:i/>
        </w:rPr>
        <w:t xml:space="preserve">J Diabetes Investig</w:t>
      </w:r>
      <w:r>
        <w:t xml:space="preserve"> </w:t>
      </w:r>
      <w:r>
        <w:t xml:space="preserve">· Application of the integrated data platform combined with dietary management for adults with diabetes: A prospective randomized controlled trial. PMID 39171608</w:t>
      </w:r>
    </w:p>
    <w:p>
      <w:pPr>
        <w:numPr>
          <w:ilvl w:val="0"/>
          <w:numId w:val="1379"/>
        </w:numPr>
        <w:pStyle w:val="Compact"/>
      </w:pPr>
      <w:r>
        <w:t xml:space="preserve">2024 · Manubolu VS ·</w:t>
      </w:r>
      <w:r>
        <w:t xml:space="preserve"> </w:t>
      </w:r>
      <w:r>
        <w:rPr>
          <w:iCs/>
          <w:i/>
        </w:rPr>
        <w:t xml:space="preserve">J Am Coll Cardiol</w:t>
      </w:r>
      <w:r>
        <w:t xml:space="preserve"> </w:t>
      </w:r>
      <w:r>
        <w:t xml:space="preserve">· Effect of Semaglutide on Epicardial Adipose Tissue in Type 2 Diabetes: Insights From the STOP (Semaglutide Treatment effect On coronary atherosclerosis Progression) Randomized Trial. PMID 39168573</w:t>
      </w:r>
    </w:p>
    <w:p>
      <w:pPr>
        <w:numPr>
          <w:ilvl w:val="0"/>
          <w:numId w:val="1379"/>
        </w:numPr>
        <w:pStyle w:val="Compact"/>
      </w:pPr>
      <w:r>
        <w:t xml:space="preserve">2024 · Yang W ·</w:t>
      </w:r>
      <w:r>
        <w:t xml:space="preserve"> </w:t>
      </w:r>
      <w:r>
        <w:rPr>
          <w:iCs/>
          <w:i/>
        </w:rPr>
        <w:t xml:space="preserve">Medicine (Baltimore)</w:t>
      </w:r>
      <w:r>
        <w:t xml:space="preserve"> </w:t>
      </w:r>
      <w:r>
        <w:t xml:space="preserve">· Real world study of GLP-1 receptor agonists in overweight or obese type 2 diabetes by using repeated measurement analysis of variance. PMID 39121301</w:t>
      </w:r>
    </w:p>
    <w:p>
      <w:pPr>
        <w:numPr>
          <w:ilvl w:val="0"/>
          <w:numId w:val="1379"/>
        </w:numPr>
        <w:pStyle w:val="Compact"/>
      </w:pPr>
      <w:r>
        <w:t xml:space="preserve">2024 · McGowan BM ·</w:t>
      </w:r>
      <w:r>
        <w:t xml:space="preserve"> </w:t>
      </w:r>
      <w:r>
        <w:rPr>
          <w:iCs/>
          <w:i/>
        </w:rPr>
        <w:t xml:space="preserve">Lancet Diabetes Endocrinol</w:t>
      </w:r>
      <w:r>
        <w:t xml:space="preserve"> </w:t>
      </w:r>
      <w:r>
        <w:t xml:space="preserve">· Efficacy and safety of once-weekly semaglutide 2·4 mg versus placebo in people with obesity and prediabetes (STEP 10): a randomised, double-blind, placebo-controlled, multicentre phase 3 trial. PMID 39089293</w:t>
      </w:r>
    </w:p>
    <w:p>
      <w:pPr>
        <w:numPr>
          <w:ilvl w:val="0"/>
          <w:numId w:val="1379"/>
        </w:numPr>
        <w:pStyle w:val="Compact"/>
      </w:pPr>
      <w:r>
        <w:t xml:space="preserve">2024 · Gabe MBN ·</w:t>
      </w:r>
      <w:r>
        <w:t xml:space="preserve"> </w:t>
      </w:r>
      <w:r>
        <w:rPr>
          <w:iCs/>
          <w:i/>
        </w:rPr>
        <w:t xml:space="preserve">Diabetes Obes Metab</w:t>
      </w:r>
      <w:r>
        <w:t xml:space="preserve"> </w:t>
      </w:r>
      <w:r>
        <w:t xml:space="preserve">· Effect of oral semaglutide on energy intake, appetite, control of eating and gastric emptying in adults living with obesity: A randomized controlled trial. PMID 39082206</w:t>
      </w:r>
    </w:p>
    <w:p>
      <w:pPr>
        <w:numPr>
          <w:ilvl w:val="0"/>
          <w:numId w:val="1379"/>
        </w:numPr>
        <w:pStyle w:val="Compact"/>
      </w:pPr>
      <w:r>
        <w:t xml:space="preserve">2024 · Vernstrøm L ·</w:t>
      </w:r>
      <w:r>
        <w:t xml:space="preserve"> </w:t>
      </w:r>
      <w:r>
        <w:rPr>
          <w:iCs/>
          <w:i/>
        </w:rPr>
        <w:t xml:space="preserve">Diabetologia</w:t>
      </w:r>
      <w:r>
        <w:t xml:space="preserve"> </w:t>
      </w:r>
      <w:r>
        <w:t xml:space="preserve">· Effects of semaglutide, empagliflozin and their combination on renal diffusion-weighted MRI and total kidney volume in patients with type 2 diabetes: a post hoc analysis from a 32 week randomised trial. PMID 39078489</w:t>
      </w:r>
    </w:p>
    <w:p>
      <w:pPr>
        <w:numPr>
          <w:ilvl w:val="0"/>
          <w:numId w:val="1379"/>
        </w:numPr>
        <w:pStyle w:val="Compact"/>
      </w:pPr>
      <w:r>
        <w:t xml:space="preserve">2024 · Anyiam O ·</w:t>
      </w:r>
      <w:r>
        <w:t xml:space="preserve"> </w:t>
      </w:r>
      <w:r>
        <w:rPr>
          <w:iCs/>
          <w:i/>
        </w:rPr>
        <w:t xml:space="preserve">Clin Nutr</w:t>
      </w:r>
      <w:r>
        <w:t xml:space="preserve"> </w:t>
      </w:r>
      <w:r>
        <w:t xml:space="preserve">· Metabolic effects of very-low calorie diet, Semaglutide, or combination of the two, in individuals with type 2 diabetes mellitus. PMID 38996661</w:t>
      </w:r>
    </w:p>
    <w:p>
      <w:pPr>
        <w:numPr>
          <w:ilvl w:val="0"/>
          <w:numId w:val="1379"/>
        </w:numPr>
        <w:pStyle w:val="Compact"/>
      </w:pPr>
      <w:r>
        <w:t xml:space="preserve">2024 · Wang W ·</w:t>
      </w:r>
      <w:r>
        <w:t xml:space="preserve"> </w:t>
      </w:r>
      <w:r>
        <w:rPr>
          <w:iCs/>
          <w:i/>
        </w:rPr>
        <w:t xml:space="preserve">Diabetologia</w:t>
      </w:r>
      <w:r>
        <w:t xml:space="preserve"> </w:t>
      </w:r>
      <w:r>
        <w:t xml:space="preserve">· Efficacy and safety of oral semaglutide monotherapy vs placebo in a predominantly Chinese population with type 2 diabetes (PIONEER 11): a double-blind, Phase IIIa, randomised trial. PMID 38985162</w:t>
      </w:r>
    </w:p>
    <w:p>
      <w:pPr>
        <w:numPr>
          <w:ilvl w:val="0"/>
          <w:numId w:val="1379"/>
        </w:numPr>
        <w:pStyle w:val="Compact"/>
      </w:pPr>
      <w:r>
        <w:t xml:space="preserve">2024 · Ji L ·</w:t>
      </w:r>
      <w:r>
        <w:t xml:space="preserve"> </w:t>
      </w:r>
      <w:r>
        <w:rPr>
          <w:iCs/>
          <w:i/>
        </w:rPr>
        <w:t xml:space="preserve">Diabetologia</w:t>
      </w:r>
      <w:r>
        <w:t xml:space="preserve"> </w:t>
      </w:r>
      <w:r>
        <w:t xml:space="preserve">· Efficacy and safety of oral semaglutide vs sitagliptin in a predominantly Chinese population with type 2 diabetes uncontrolled with metformin: PIONEER 12, a double-blind, Phase IIIa, randomised trial. PMID 38985161</w:t>
      </w:r>
    </w:p>
    <w:p>
      <w:pPr>
        <w:numPr>
          <w:ilvl w:val="0"/>
          <w:numId w:val="1379"/>
        </w:numPr>
        <w:pStyle w:val="Compact"/>
      </w:pPr>
      <w:r>
        <w:t xml:space="preserve">2024 · Eckard AR ·</w:t>
      </w:r>
      <w:r>
        <w:t xml:space="preserve"> </w:t>
      </w:r>
      <w:r>
        <w:rPr>
          <w:iCs/>
          <w:i/>
        </w:rPr>
        <w:t xml:space="preserve">Lancet Diabetes Endocrinol</w:t>
      </w:r>
      <w:r>
        <w:t xml:space="preserve"> </w:t>
      </w:r>
      <w:r>
        <w:t xml:space="preserve">· Once-weekly semaglutide in people with HIV-associated lipohypertrophy: a randomised, double-blind, placebo-controlled phase 2b single-centre clinical trial. PMID 38964353</w:t>
      </w:r>
    </w:p>
    <w:p>
      <w:pPr>
        <w:numPr>
          <w:ilvl w:val="0"/>
          <w:numId w:val="1379"/>
        </w:numPr>
        <w:pStyle w:val="Compact"/>
      </w:pPr>
      <w:r>
        <w:t xml:space="preserve">2024 · Mann JFE ·</w:t>
      </w:r>
      <w:r>
        <w:t xml:space="preserve"> </w:t>
      </w:r>
      <w:r>
        <w:rPr>
          <w:iCs/>
          <w:i/>
        </w:rPr>
        <w:t xml:space="preserve">Nat Med</w:t>
      </w:r>
      <w:r>
        <w:t xml:space="preserve"> </w:t>
      </w:r>
      <w:r>
        <w:t xml:space="preserve">· Effects of semaglutide with and without concomitant SGLT2 inhibitor use in participants with type 2 diabetes and chronic kidney disease in the FLOW trial. PMID 38914124</w:t>
      </w:r>
    </w:p>
    <w:p>
      <w:pPr>
        <w:numPr>
          <w:ilvl w:val="0"/>
          <w:numId w:val="1379"/>
        </w:numPr>
        <w:pStyle w:val="Compact"/>
      </w:pPr>
      <w:r>
        <w:t xml:space="preserve">2024 · Schou M ·</w:t>
      </w:r>
      <w:r>
        <w:t xml:space="preserve"> </w:t>
      </w:r>
      <w:r>
        <w:rPr>
          <w:iCs/>
          <w:i/>
        </w:rPr>
        <w:t xml:space="preserve">J Am Coll Cardiol</w:t>
      </w:r>
      <w:r>
        <w:t xml:space="preserve"> </w:t>
      </w:r>
      <w:r>
        <w:t xml:space="preserve">· Semaglutide and NYHA Functional Class in Obesity-Related Heart Failure With Preserved Ejection Fraction: The STEP-HFpEF Program. PMID 38913004</w:t>
      </w:r>
    </w:p>
    <w:p>
      <w:pPr>
        <w:numPr>
          <w:ilvl w:val="0"/>
          <w:numId w:val="1379"/>
        </w:numPr>
        <w:pStyle w:val="Compact"/>
      </w:pPr>
      <w:r>
        <w:t xml:space="preserve">2024 · Verma S ·</w:t>
      </w:r>
      <w:r>
        <w:t xml:space="preserve"> </w:t>
      </w:r>
      <w:r>
        <w:rPr>
          <w:iCs/>
          <w:i/>
        </w:rPr>
        <w:t xml:space="preserve">J Am Coll Cardiol</w:t>
      </w:r>
      <w:r>
        <w:t xml:space="preserve"> </w:t>
      </w:r>
      <w:r>
        <w:t xml:space="preserve">· Efficacy of Semaglutide by Sex in Obesity-Related Heart Failure With Preserved Ejection Fraction: STEP-HFpEF Trials. PMID 38913003</w:t>
      </w:r>
    </w:p>
    <w:p>
      <w:pPr>
        <w:numPr>
          <w:ilvl w:val="0"/>
          <w:numId w:val="1379"/>
        </w:numPr>
        <w:pStyle w:val="Compact"/>
      </w:pPr>
      <w:r>
        <w:t xml:space="preserve">2024 · Lingvay I ·</w:t>
      </w:r>
      <w:r>
        <w:t xml:space="preserve"> </w:t>
      </w:r>
      <w:r>
        <w:rPr>
          <w:iCs/>
          <w:i/>
        </w:rPr>
        <w:t xml:space="preserve">Diabetes Care</w:t>
      </w:r>
      <w:r>
        <w:t xml:space="preserve"> </w:t>
      </w:r>
      <w:r>
        <w:t xml:space="preserve">· Semaglutide and Cardiovascular Outcomes by Baseline HbA1c and Change in HbA1c in People With Overweight or Obesity but Without Diabetes in SELECT. PMID 38907684</w:t>
      </w:r>
    </w:p>
    <w:p>
      <w:pPr>
        <w:numPr>
          <w:ilvl w:val="0"/>
          <w:numId w:val="1379"/>
        </w:numPr>
        <w:pStyle w:val="Compact"/>
      </w:pPr>
      <w:r>
        <w:t xml:space="preserve">2024 · Kahn SE ·</w:t>
      </w:r>
      <w:r>
        <w:t xml:space="preserve"> </w:t>
      </w:r>
      <w:r>
        <w:rPr>
          <w:iCs/>
          <w:i/>
        </w:rPr>
        <w:t xml:space="preserve">Diabetes Care</w:t>
      </w:r>
      <w:r>
        <w:t xml:space="preserve"> </w:t>
      </w:r>
      <w:r>
        <w:t xml:space="preserve">· Effect of Semaglutide on Regression and Progression of Glycemia in People With Overweight or Obesity but Without Diabetes in the SELECT Trial. PMID 38907683</w:t>
      </w:r>
    </w:p>
    <w:p>
      <w:pPr>
        <w:numPr>
          <w:ilvl w:val="0"/>
          <w:numId w:val="1379"/>
        </w:numPr>
        <w:pStyle w:val="Compact"/>
      </w:pPr>
      <w:r>
        <w:t xml:space="preserve">2024 · Petrie MC ·</w:t>
      </w:r>
      <w:r>
        <w:t xml:space="preserve"> </w:t>
      </w:r>
      <w:r>
        <w:rPr>
          <w:iCs/>
          <w:i/>
        </w:rPr>
        <w:t xml:space="preserve">J Am Coll Cardiol</w:t>
      </w:r>
      <w:r>
        <w:t xml:space="preserve"> </w:t>
      </w:r>
      <w:r>
        <w:t xml:space="preserve">· Semaglutide and NT-proBNP in Obesity-Related HFpEF: Insights From the STEP-HFpEF Program. PMID 38819334</w:t>
      </w:r>
    </w:p>
    <w:p>
      <w:pPr>
        <w:numPr>
          <w:ilvl w:val="0"/>
          <w:numId w:val="1379"/>
        </w:numPr>
        <w:pStyle w:val="Compact"/>
      </w:pPr>
      <w:r>
        <w:t xml:space="preserve">2024 · Xie P ·</w:t>
      </w:r>
      <w:r>
        <w:t xml:space="preserve"> </w:t>
      </w:r>
      <w:r>
        <w:rPr>
          <w:iCs/>
          <w:i/>
        </w:rPr>
        <w:t xml:space="preserve">Diabetes Obes Metab</w:t>
      </w:r>
      <w:r>
        <w:t xml:space="preserve"> </w:t>
      </w:r>
      <w:r>
        <w:t xml:space="preserve">· A phase 1, randomized, double-blind, placebo-controlled trial investigating the pharmacokinetics, pharmacodynamics, safety and tolerability of oral semaglutide in healthy Chinese subjects. PMID 38808476</w:t>
      </w:r>
    </w:p>
    <w:p>
      <w:pPr>
        <w:numPr>
          <w:ilvl w:val="0"/>
          <w:numId w:val="1379"/>
        </w:numPr>
        <w:pStyle w:val="Compact"/>
      </w:pPr>
      <w:r>
        <w:t xml:space="preserve">2024 · Colhoun HM ·</w:t>
      </w:r>
      <w:r>
        <w:t xml:space="preserve"> </w:t>
      </w:r>
      <w:r>
        <w:rPr>
          <w:iCs/>
          <w:i/>
        </w:rPr>
        <w:t xml:space="preserve">Nat Med</w:t>
      </w:r>
      <w:r>
        <w:t xml:space="preserve"> </w:t>
      </w:r>
      <w:r>
        <w:t xml:space="preserve">· Long-term kidney outcomes of semaglutide in obesity and cardiovascular disease in the SELECT trial. PMID 38796653</w:t>
      </w:r>
    </w:p>
    <w:p>
      <w:pPr>
        <w:numPr>
          <w:ilvl w:val="0"/>
          <w:numId w:val="1379"/>
        </w:numPr>
        <w:pStyle w:val="Compact"/>
      </w:pPr>
      <w:r>
        <w:t xml:space="preserve">2024 · Mather KJ ·</w:t>
      </w:r>
      <w:r>
        <w:t xml:space="preserve"> </w:t>
      </w:r>
      <w:r>
        <w:rPr>
          <w:iCs/>
          <w:i/>
        </w:rPr>
        <w:t xml:space="preserve">J Clin Endocrinol Metab</w:t>
      </w:r>
      <w:r>
        <w:t xml:space="preserve"> </w:t>
      </w:r>
      <w:r>
        <w:t xml:space="preserve">· Effects of Tirzepatide vs Semaglutide on β-Cell Function, Insulin Sensitivity, and Glucose Control During a Meal Test. PMID 38795393</w:t>
      </w:r>
    </w:p>
    <w:p>
      <w:pPr>
        <w:numPr>
          <w:ilvl w:val="0"/>
          <w:numId w:val="1379"/>
        </w:numPr>
        <w:pStyle w:val="Compact"/>
      </w:pPr>
      <w:r>
        <w:t xml:space="preserve">2024 · Perkovic V ·</w:t>
      </w:r>
      <w:r>
        <w:t xml:space="preserve"> </w:t>
      </w:r>
      <w:r>
        <w:rPr>
          <w:iCs/>
          <w:i/>
        </w:rPr>
        <w:t xml:space="preserve">N Engl J Med</w:t>
      </w:r>
      <w:r>
        <w:t xml:space="preserve"> </w:t>
      </w:r>
      <w:r>
        <w:t xml:space="preserve">· Effects of Semaglutide on Chronic Kidney Disease in Patients with Type 2 Diabetes. PMID 38785209</w:t>
      </w:r>
    </w:p>
    <w:p>
      <w:pPr>
        <w:numPr>
          <w:ilvl w:val="0"/>
          <w:numId w:val="1379"/>
        </w:numPr>
        <w:pStyle w:val="Compact"/>
      </w:pPr>
      <w:r>
        <w:t xml:space="preserve">2024 · Osumili B ·</w:t>
      </w:r>
      <w:r>
        <w:t xml:space="preserve"> </w:t>
      </w:r>
      <w:r>
        <w:rPr>
          <w:iCs/>
          <w:i/>
        </w:rPr>
        <w:t xml:space="preserve">Diabetes Res Clin Pract</w:t>
      </w:r>
      <w:r>
        <w:t xml:space="preserve"> </w:t>
      </w:r>
      <w:r>
        <w:t xml:space="preserve">· Tirzepatide 5, 10 and 15 mg versus injectable semaglutide 0.5 mg for the treatment of type 2 diabetes: An adjusted indirect treatment comparison. PMID 38777128</w:t>
      </w:r>
    </w:p>
    <w:p>
      <w:pPr>
        <w:numPr>
          <w:ilvl w:val="0"/>
          <w:numId w:val="1379"/>
        </w:numPr>
        <w:pStyle w:val="Compact"/>
      </w:pPr>
      <w:r>
        <w:t xml:space="preserve">2024 · Ryan DH ·</w:t>
      </w:r>
      <w:r>
        <w:t xml:space="preserve"> </w:t>
      </w:r>
      <w:r>
        <w:rPr>
          <w:iCs/>
          <w:i/>
        </w:rPr>
        <w:t xml:space="preserve">Nat Med</w:t>
      </w:r>
      <w:r>
        <w:t xml:space="preserve"> </w:t>
      </w:r>
      <w:r>
        <w:t xml:space="preserve">· Long-term weight loss effects of semaglutide in obesity without diabetes in the SELECT trial. PMID 38740993</w:t>
      </w:r>
    </w:p>
    <w:p>
      <w:pPr>
        <w:numPr>
          <w:ilvl w:val="0"/>
          <w:numId w:val="1379"/>
        </w:numPr>
        <w:pStyle w:val="Compact"/>
      </w:pPr>
      <w:r>
        <w:t xml:space="preserve">2024 · Shah SJ ·</w:t>
      </w:r>
      <w:r>
        <w:t xml:space="preserve"> </w:t>
      </w:r>
      <w:r>
        <w:rPr>
          <w:iCs/>
          <w:i/>
        </w:rPr>
        <w:t xml:space="preserve">Eur Heart J</w:t>
      </w:r>
      <w:r>
        <w:t xml:space="preserve"> </w:t>
      </w:r>
      <w:r>
        <w:t xml:space="preserve">· Semaglutide and diuretic use in obesity-related heart failure with preserved ejection fraction: a pooled analysis of the STEP-HFpEF and STEP-HFpEF-DM trials. PMID 38739118</w:t>
      </w:r>
    </w:p>
    <w:p>
      <w:pPr>
        <w:numPr>
          <w:ilvl w:val="0"/>
          <w:numId w:val="1379"/>
        </w:numPr>
        <w:pStyle w:val="Compact"/>
      </w:pPr>
      <w:r>
        <w:t xml:space="preserve">2024 · Rubino D ·</w:t>
      </w:r>
      <w:r>
        <w:t xml:space="preserve"> </w:t>
      </w:r>
      <w:r>
        <w:rPr>
          <w:iCs/>
          <w:i/>
        </w:rPr>
        <w:t xml:space="preserve">Diabetes Obes Metab</w:t>
      </w:r>
      <w:r>
        <w:t xml:space="preserve"> </w:t>
      </w:r>
      <w:r>
        <w:t xml:space="preserve">· Effect of semaglutide 2.4 mg on physical functioning and weight- and health-related quality of life in adults with overweight or obesity: Patient-reported outcomes from the STEP 1-4 trials. PMID 38698650</w:t>
      </w:r>
    </w:p>
    <w:p>
      <w:pPr>
        <w:numPr>
          <w:ilvl w:val="0"/>
          <w:numId w:val="1379"/>
        </w:numPr>
        <w:pStyle w:val="Compact"/>
      </w:pPr>
      <w:r>
        <w:t xml:space="preserve">2024 · Zeitler P ·</w:t>
      </w:r>
      <w:r>
        <w:t xml:space="preserve"> </w:t>
      </w:r>
      <w:r>
        <w:rPr>
          <w:iCs/>
          <w:i/>
        </w:rPr>
        <w:t xml:space="preserve">Diabetes Care</w:t>
      </w:r>
      <w:r>
        <w:t xml:space="preserve"> </w:t>
      </w:r>
      <w:r>
        <w:t xml:space="preserve">· Early-Onset Type 2 Diabetes and Tirzepatide Treatment: A Post Hoc Analysis From the SURPASS Clinical Trial Program. PMID 38639997</w:t>
      </w:r>
    </w:p>
    <w:p>
      <w:pPr>
        <w:numPr>
          <w:ilvl w:val="0"/>
          <w:numId w:val="1379"/>
        </w:numPr>
        <w:pStyle w:val="Compact"/>
      </w:pPr>
      <w:r>
        <w:t xml:space="preserve">2024 · Butler J ·</w:t>
      </w:r>
      <w:r>
        <w:t xml:space="preserve"> </w:t>
      </w:r>
      <w:r>
        <w:rPr>
          <w:iCs/>
          <w:i/>
        </w:rPr>
        <w:t xml:space="preserve">Lancet</w:t>
      </w:r>
      <w:r>
        <w:t xml:space="preserve"> </w:t>
      </w:r>
      <w:r>
        <w:t xml:space="preserve">· Semaglutide versus placebo in people with obesity-related heart failure with preserved ejection fraction: a pooled analysis of the STEP-HFpEF and STEP-HFpEF DM randomised trials. PMID 38599221</w:t>
      </w:r>
    </w:p>
    <w:p>
      <w:pPr>
        <w:numPr>
          <w:ilvl w:val="0"/>
          <w:numId w:val="1379"/>
        </w:numPr>
        <w:pStyle w:val="Compact"/>
      </w:pPr>
      <w:r>
        <w:t xml:space="preserve">2024 · Kosiborod MN ·</w:t>
      </w:r>
      <w:r>
        <w:t xml:space="preserve"> </w:t>
      </w:r>
      <w:r>
        <w:rPr>
          <w:iCs/>
          <w:i/>
        </w:rPr>
        <w:t xml:space="preserve">N Engl J Med</w:t>
      </w:r>
      <w:r>
        <w:t xml:space="preserve"> </w:t>
      </w:r>
      <w:r>
        <w:t xml:space="preserve">· Semaglutide in Patients with Obesity-Related Heart Failure and Type 2 Diabetes. PMID 38587233</w:t>
      </w:r>
    </w:p>
    <w:p>
      <w:pPr>
        <w:numPr>
          <w:ilvl w:val="0"/>
          <w:numId w:val="1379"/>
        </w:numPr>
        <w:pStyle w:val="Compact"/>
      </w:pPr>
      <w:r>
        <w:t xml:space="preserve">2024 · Weber EJ ·</w:t>
      </w:r>
      <w:r>
        <w:t xml:space="preserve"> </w:t>
      </w:r>
      <w:r>
        <w:rPr>
          <w:iCs/>
          <w:i/>
        </w:rPr>
        <w:t xml:space="preserve">Clin Pharmacol Drug Dev</w:t>
      </w:r>
      <w:r>
        <w:t xml:space="preserve"> </w:t>
      </w:r>
      <w:r>
        <w:t xml:space="preserve">· Evaluation of the Effects of Meal Type and Acid-Reducing Agents on the Pharmacokinetics of Cilofexor, a Selective Nonsteroidal Farnesoid X Receptor Agonist. PMID 38346861</w:t>
      </w:r>
    </w:p>
    <w:p>
      <w:pPr>
        <w:numPr>
          <w:ilvl w:val="0"/>
          <w:numId w:val="1379"/>
        </w:numPr>
        <w:pStyle w:val="Compact"/>
      </w:pPr>
      <w:r>
        <w:t xml:space="preserve">2024 · Mu Y ·</w:t>
      </w:r>
      <w:r>
        <w:t xml:space="preserve"> </w:t>
      </w:r>
      <w:r>
        <w:rPr>
          <w:iCs/>
          <w:i/>
        </w:rPr>
        <w:t xml:space="preserve">Lancet Diabetes Endocrinol</w:t>
      </w:r>
      <w:r>
        <w:t xml:space="preserve"> </w:t>
      </w:r>
      <w:r>
        <w:t xml:space="preserve">· Efficacy and safety of once weekly semaglutide 2·4 mg for weight management in a predominantly east Asian population with overweight or obesity (STEP 7): a double-blind, multicentre, randomised controlled trial. PMID 38330988</w:t>
      </w:r>
    </w:p>
    <w:p>
      <w:pPr>
        <w:numPr>
          <w:ilvl w:val="0"/>
          <w:numId w:val="1379"/>
        </w:numPr>
        <w:pStyle w:val="Compact"/>
      </w:pPr>
      <w:r>
        <w:t xml:space="preserve">2024 · Frias JP ·</w:t>
      </w:r>
      <w:r>
        <w:t xml:space="preserve"> </w:t>
      </w:r>
      <w:r>
        <w:rPr>
          <w:iCs/>
          <w:i/>
        </w:rPr>
        <w:t xml:space="preserve">J Clin Endocrinol Metab</w:t>
      </w:r>
      <w:r>
        <w:t xml:space="preserve"> </w:t>
      </w:r>
      <w:r>
        <w:t xml:space="preserve">· Tirzepatide Improved Markers of Islet Cell Function and Insulin Sensitivity in People With T2D (SURPASS-2). PMID 38252888</w:t>
      </w:r>
    </w:p>
    <w:p>
      <w:pPr>
        <w:numPr>
          <w:ilvl w:val="0"/>
          <w:numId w:val="1379"/>
        </w:numPr>
        <w:pStyle w:val="Compact"/>
      </w:pPr>
      <w:r>
        <w:t xml:space="preserve">2024 · Vernstrøm L ·</w:t>
      </w:r>
      <w:r>
        <w:t xml:space="preserve"> </w:t>
      </w:r>
      <w:r>
        <w:rPr>
          <w:iCs/>
          <w:i/>
        </w:rPr>
        <w:t xml:space="preserve">Diabetes Obes Metab</w:t>
      </w:r>
      <w:r>
        <w:t xml:space="preserve"> </w:t>
      </w:r>
      <w:r>
        <w:t xml:space="preserve">· Separate and combined effects of empagliflozin and semaglutide on vascular function: A 32-week randomized trial. PMID 38240066</w:t>
      </w:r>
    </w:p>
    <w:p>
      <w:pPr>
        <w:numPr>
          <w:ilvl w:val="0"/>
          <w:numId w:val="1379"/>
        </w:numPr>
        <w:pStyle w:val="Compact"/>
      </w:pPr>
      <w:r>
        <w:t xml:space="preserve">2024 · Gullaksen S ·</w:t>
      </w:r>
      <w:r>
        <w:t xml:space="preserve"> </w:t>
      </w:r>
      <w:r>
        <w:rPr>
          <w:iCs/>
          <w:i/>
        </w:rPr>
        <w:t xml:space="preserve">J Diabetes Complications</w:t>
      </w:r>
      <w:r>
        <w:t xml:space="preserve"> </w:t>
      </w:r>
      <w:r>
        <w:t xml:space="preserve">· The effects of semaglutide, empagliflozin and their combination on the kidney sodium signal from magnetic resonance imaging: A prespecified, secondary analysis from a randomized, clinical trial. PMID 38219335</w:t>
      </w:r>
    </w:p>
    <w:p>
      <w:pPr>
        <w:numPr>
          <w:ilvl w:val="0"/>
          <w:numId w:val="1379"/>
        </w:numPr>
        <w:pStyle w:val="Compact"/>
      </w:pPr>
      <w:r>
        <w:t xml:space="preserve">2024 · Dwibedi C ·</w:t>
      </w:r>
      <w:r>
        <w:t xml:space="preserve"> </w:t>
      </w:r>
      <w:r>
        <w:rPr>
          <w:iCs/>
          <w:i/>
        </w:rPr>
        <w:t xml:space="preserve">Nat Metab</w:t>
      </w:r>
      <w:r>
        <w:t xml:space="preserve"> </w:t>
      </w:r>
      <w:r>
        <w:t xml:space="preserve">· Randomized open-label trial of semaglutide and dapagliflozin in patients with type 2 diabetes of different pathophysiology. PMID 38177805</w:t>
      </w:r>
    </w:p>
    <w:p>
      <w:pPr>
        <w:numPr>
          <w:ilvl w:val="0"/>
          <w:numId w:val="1379"/>
        </w:numPr>
        <w:pStyle w:val="Compact"/>
      </w:pPr>
      <w:r>
        <w:t xml:space="preserve">2024 · Ratziu V ·</w:t>
      </w:r>
      <w:r>
        <w:t xml:space="preserve"> </w:t>
      </w:r>
      <w:r>
        <w:rPr>
          <w:iCs/>
          <w:i/>
        </w:rPr>
        <w:t xml:space="preserve">Hepatology</w:t>
      </w:r>
      <w:r>
        <w:t xml:space="preserve"> </w:t>
      </w:r>
      <w:r>
        <w:t xml:space="preserve">· Artificial intelligence scoring of liver biopsies in a phase II trial of semaglutide in nonalcoholic steatohepatitis. PMID 38112484</w:t>
      </w:r>
    </w:p>
    <w:p>
      <w:pPr>
        <w:numPr>
          <w:ilvl w:val="0"/>
          <w:numId w:val="1379"/>
        </w:numPr>
        <w:pStyle w:val="Compact"/>
      </w:pPr>
      <w:r>
        <w:t xml:space="preserve">2024 · Blüher M ·</w:t>
      </w:r>
      <w:r>
        <w:t xml:space="preserve"> </w:t>
      </w:r>
      <w:r>
        <w:rPr>
          <w:iCs/>
          <w:i/>
        </w:rPr>
        <w:t xml:space="preserve">Diabetologia</w:t>
      </w:r>
      <w:r>
        <w:t xml:space="preserve"> </w:t>
      </w:r>
      <w:r>
        <w:t xml:space="preserve">· Dose-response effects on HbA(1c) and bodyweight reduction of survodutide, a dual glucagon/GLP-1 receptor agonist, compared with placebo and open-label semaglutide in people with type 2 diabetes: a randomised clinical trial. PMID 38095657</w:t>
      </w:r>
    </w:p>
    <w:p>
      <w:pPr>
        <w:numPr>
          <w:ilvl w:val="0"/>
          <w:numId w:val="1379"/>
        </w:numPr>
        <w:pStyle w:val="Compact"/>
      </w:pPr>
      <w:r>
        <w:t xml:space="preserve">2024 · Mathur W ·</w:t>
      </w:r>
      <w:r>
        <w:t xml:space="preserve"> </w:t>
      </w:r>
      <w:r>
        <w:rPr>
          <w:iCs/>
          <w:i/>
        </w:rPr>
        <w:t xml:space="preserve">Obes Surg</w:t>
      </w:r>
      <w:r>
        <w:t xml:space="preserve"> </w:t>
      </w:r>
      <w:r>
        <w:t xml:space="preserve">· Effect of Swallow Balloon Therapy with the Combination of Semaglutide Oral Formulation: a Randomised Double-Blind Single-Centre Study. PMID 38091192</w:t>
      </w:r>
    </w:p>
    <w:p>
      <w:pPr>
        <w:numPr>
          <w:ilvl w:val="0"/>
          <w:numId w:val="1379"/>
        </w:numPr>
        <w:pStyle w:val="Compact"/>
      </w:pPr>
      <w:r>
        <w:t xml:space="preserve">2024 · Furusawa S ·</w:t>
      </w:r>
      <w:r>
        <w:t xml:space="preserve"> </w:t>
      </w:r>
      <w:r>
        <w:rPr>
          <w:iCs/>
          <w:i/>
        </w:rPr>
        <w:t xml:space="preserve">Diabetes Obes Metab</w:t>
      </w:r>
      <w:r>
        <w:t xml:space="preserve"> </w:t>
      </w:r>
      <w:r>
        <w:t xml:space="preserve">· Glycaemic control efficacy of switching from dipeptidyl peptidase-4 inhibitors to oral semaglutide in subjects with type 2 diabetes: A multicentre, prospective, randomized, open-label, parallel-group comparison study (SWITCH-SEMA 2 study). PMID 38073422</w:t>
      </w:r>
    </w:p>
    <w:p>
      <w:pPr>
        <w:numPr>
          <w:ilvl w:val="0"/>
          <w:numId w:val="1379"/>
        </w:numPr>
        <w:pStyle w:val="Compact"/>
      </w:pPr>
      <w:r>
        <w:t xml:space="preserve">2024 · Niu S ·</w:t>
      </w:r>
      <w:r>
        <w:t xml:space="preserve"> </w:t>
      </w:r>
      <w:r>
        <w:rPr>
          <w:iCs/>
          <w:i/>
        </w:rPr>
        <w:t xml:space="preserve">Diabetes Obes Metab</w:t>
      </w:r>
      <w:r>
        <w:t xml:space="preserve"> </w:t>
      </w:r>
      <w:r>
        <w:t xml:space="preserve">· 5-Year simulation of diabetes-related complications in people treated with tirzepatide or semaglutide versus insulin glargine. PMID 37867175</w:t>
      </w:r>
    </w:p>
    <w:p>
      <w:pPr>
        <w:numPr>
          <w:ilvl w:val="0"/>
          <w:numId w:val="1379"/>
        </w:numPr>
        <w:pStyle w:val="Compact"/>
      </w:pPr>
      <w:r>
        <w:t xml:space="preserve">2024 · Patel H ·</w:t>
      </w:r>
      <w:r>
        <w:t xml:space="preserve"> </w:t>
      </w:r>
      <w:r>
        <w:rPr>
          <w:iCs/>
          <w:i/>
        </w:rPr>
        <w:t xml:space="preserve">Diabetes Obes Metab</w:t>
      </w:r>
      <w:r>
        <w:t xml:space="preserve"> </w:t>
      </w:r>
      <w:r>
        <w:t xml:space="preserve">· Gastrointestinal adverse events and weight reduction in people with type 2 diabetes treated with tirzepatide in the SURPASS clinical trials. PMID 37853960</w:t>
      </w:r>
    </w:p>
    <w:p>
      <w:pPr>
        <w:numPr>
          <w:ilvl w:val="0"/>
          <w:numId w:val="1379"/>
        </w:numPr>
        <w:pStyle w:val="Compact"/>
      </w:pPr>
      <w:r>
        <w:t xml:space="preserve">2024 · Ji L ·</w:t>
      </w:r>
      <w:r>
        <w:t xml:space="preserve"> </w:t>
      </w:r>
      <w:r>
        <w:rPr>
          <w:iCs/>
          <w:i/>
        </w:rPr>
        <w:t xml:space="preserve">Diabetes Obes Metab</w:t>
      </w:r>
      <w:r>
        <w:t xml:space="preserve"> </w:t>
      </w:r>
      <w:r>
        <w:t xml:space="preserve">· Proportion of participants with type 2 diabetes achieving a metabolic composite endpoint with once-weekly semaglutide treatment versus comparators: Post hoc pooled analysis from SUSTAIN 1-5, 7-10 and SUSTAIN China. PMID 37822270</w:t>
      </w:r>
    </w:p>
    <w:p>
      <w:pPr>
        <w:numPr>
          <w:ilvl w:val="0"/>
          <w:numId w:val="1379"/>
        </w:numPr>
        <w:pStyle w:val="Compact"/>
      </w:pPr>
      <w:r>
        <w:t xml:space="preserve">2024 · Sivalingam S ·</w:t>
      </w:r>
      <w:r>
        <w:t xml:space="preserve"> </w:t>
      </w:r>
      <w:r>
        <w:rPr>
          <w:iCs/>
          <w:i/>
        </w:rPr>
        <w:t xml:space="preserve">Diabetes Obes Metab</w:t>
      </w:r>
      <w:r>
        <w:t xml:space="preserve"> </w:t>
      </w:r>
      <w:r>
        <w:t xml:space="preserve">· Albuminuria-lowering effect of adding semaglutide on top of empagliflozin in individuals with type 2 diabetes: A randomized and placebo-controlled study. PMID 37722966</w:t>
      </w:r>
    </w:p>
    <w:p>
      <w:pPr>
        <w:numPr>
          <w:ilvl w:val="0"/>
          <w:numId w:val="1379"/>
        </w:numPr>
        <w:pStyle w:val="Compact"/>
      </w:pPr>
      <w:r>
        <w:t xml:space="preserve">2024 · Rahbek MT ·</w:t>
      </w:r>
      <w:r>
        <w:t xml:space="preserve"> </w:t>
      </w:r>
      <w:r>
        <w:rPr>
          <w:iCs/>
          <w:i/>
        </w:rPr>
        <w:t xml:space="preserve">Pharmacoepidemiol Drug Saf</w:t>
      </w:r>
      <w:r>
        <w:t xml:space="preserve"> </w:t>
      </w:r>
      <w:r>
        <w:t xml:space="preserve">· A case for screening real-world data for collateral drug benefits: Glucagon-like peptide 1 receptor agonists and bile acid diarrhea. PMID 37559355</w:t>
      </w:r>
    </w:p>
    <w:p>
      <w:pPr>
        <w:numPr>
          <w:ilvl w:val="0"/>
          <w:numId w:val="1379"/>
        </w:numPr>
        <w:pStyle w:val="Compact"/>
      </w:pPr>
      <w:r>
        <w:t xml:space="preserve">2024 · Cirnigliaro CM ·</w:t>
      </w:r>
      <w:r>
        <w:t xml:space="preserve"> </w:t>
      </w:r>
      <w:r>
        <w:rPr>
          <w:iCs/>
          <w:i/>
        </w:rPr>
        <w:t xml:space="preserve">J Spinal Cord Med</w:t>
      </w:r>
      <w:r>
        <w:t xml:space="preserve"> </w:t>
      </w:r>
      <w:r>
        <w:t xml:space="preserve">· Preliminary observations on the administration of a glucagon-like peptide-1 receptor agonist on body weight and select carbohydrate endpoints in persons with spinal cord injury: A controlled case series. PMID 37158751</w:t>
      </w:r>
    </w:p>
    <w:p>
      <w:pPr>
        <w:numPr>
          <w:ilvl w:val="0"/>
          <w:numId w:val="1379"/>
        </w:numPr>
        <w:pStyle w:val="Compact"/>
      </w:pPr>
      <w:r>
        <w:t xml:space="preserve">2023 · Lincoff AM ·</w:t>
      </w:r>
      <w:r>
        <w:t xml:space="preserve"> </w:t>
      </w:r>
      <w:r>
        <w:rPr>
          <w:iCs/>
          <w:i/>
        </w:rPr>
        <w:t xml:space="preserve">N Engl J Med</w:t>
      </w:r>
      <w:r>
        <w:t xml:space="preserve"> </w:t>
      </w:r>
      <w:r>
        <w:t xml:space="preserve">· Semaglutide and Cardiovascular Outcomes in Obesity without Diabetes. PMID 37952131</w:t>
      </w:r>
    </w:p>
    <w:p>
      <w:pPr>
        <w:numPr>
          <w:ilvl w:val="0"/>
          <w:numId w:val="1379"/>
        </w:numPr>
        <w:pStyle w:val="Compact"/>
      </w:pPr>
      <w:r>
        <w:t xml:space="preserve">2023 · Coelho C ·</w:t>
      </w:r>
      <w:r>
        <w:t xml:space="preserve"> </w:t>
      </w:r>
      <w:r>
        <w:rPr>
          <w:iCs/>
          <w:i/>
        </w:rPr>
        <w:t xml:space="preserve">Int J Obes (Lond)</w:t>
      </w:r>
      <w:r>
        <w:t xml:space="preserve"> </w:t>
      </w:r>
      <w:r>
        <w:t xml:space="preserve">· Laparoscopic adjustable gastric banding with liraglutide in adults with obesity and type 2 diabetes (GLIDE): a pilot randomised placebo controlled trial. PMID 37696925</w:t>
      </w:r>
    </w:p>
    <w:p>
      <w:pPr>
        <w:numPr>
          <w:ilvl w:val="0"/>
          <w:numId w:val="1379"/>
        </w:numPr>
        <w:pStyle w:val="Compact"/>
      </w:pPr>
      <w:r>
        <w:t xml:space="preserve">2023 · Kimura T ·</w:t>
      </w:r>
      <w:r>
        <w:t xml:space="preserve"> </w:t>
      </w:r>
      <w:r>
        <w:rPr>
          <w:iCs/>
          <w:i/>
        </w:rPr>
        <w:t xml:space="preserve">Diabetes Obes Metab</w:t>
      </w:r>
      <w:r>
        <w:t xml:space="preserve"> </w:t>
      </w:r>
      <w:r>
        <w:t xml:space="preserve">· Comparison of clinical efficacy and safety of weekly glucagon-like peptide-1 receptor agonists dulaglutide and semaglutide in Japanese patients with type 2 diabetes: Randomized, parallel-group, multicentre, open-label trial (COMING study). PMID 37646192</w:t>
      </w:r>
    </w:p>
    <w:p>
      <w:pPr>
        <w:numPr>
          <w:ilvl w:val="0"/>
          <w:numId w:val="1379"/>
        </w:numPr>
        <w:pStyle w:val="Compact"/>
      </w:pPr>
      <w:r>
        <w:t xml:space="preserve">2023 · Kosiborod MN ·</w:t>
      </w:r>
      <w:r>
        <w:t xml:space="preserve"> </w:t>
      </w:r>
      <w:r>
        <w:rPr>
          <w:iCs/>
          <w:i/>
        </w:rPr>
        <w:t xml:space="preserve">N Engl J Med</w:t>
      </w:r>
      <w:r>
        <w:t xml:space="preserve"> </w:t>
      </w:r>
      <w:r>
        <w:t xml:space="preserve">· Semaglutide in Patients with Heart Failure with Preserved Ejection Fraction and Obesity. PMID 37622681</w:t>
      </w:r>
    </w:p>
    <w:p>
      <w:pPr>
        <w:numPr>
          <w:ilvl w:val="0"/>
          <w:numId w:val="1379"/>
        </w:numPr>
        <w:pStyle w:val="Compact"/>
      </w:pPr>
      <w:r>
        <w:t xml:space="preserve">2023 · Wilkinson L ·</w:t>
      </w:r>
      <w:r>
        <w:t xml:space="preserve"> </w:t>
      </w:r>
      <w:r>
        <w:rPr>
          <w:iCs/>
          <w:i/>
        </w:rPr>
        <w:t xml:space="preserve">Obesity (Silver Spring)</w:t>
      </w:r>
      <w:r>
        <w:t xml:space="preserve"> </w:t>
      </w:r>
      <w:r>
        <w:t xml:space="preserve">· Effect of semaglutide 2.4 mg once weekly on 10-year type 2 diabetes risk in adults with overweight or obesity. PMID 37605636</w:t>
      </w:r>
    </w:p>
    <w:p>
      <w:pPr>
        <w:numPr>
          <w:ilvl w:val="0"/>
          <w:numId w:val="1379"/>
        </w:numPr>
        <w:pStyle w:val="Compact"/>
      </w:pPr>
      <w:r>
        <w:t xml:space="preserve">2023 · Aroda VR ·</w:t>
      </w:r>
      <w:r>
        <w:t xml:space="preserve"> </w:t>
      </w:r>
      <w:r>
        <w:rPr>
          <w:iCs/>
          <w:i/>
        </w:rPr>
        <w:t xml:space="preserve">Lancet</w:t>
      </w:r>
      <w:r>
        <w:t xml:space="preserve"> </w:t>
      </w:r>
      <w:r>
        <w:t xml:space="preserve">· Efficacy and safety of once-daily oral semaglutide 25 mg and 50 mg compared with 14 mg in adults with type 2 diabetes (PIONEER PLUS): a multicentre, randomised, phase 3b trial. PMID 37385279</w:t>
      </w:r>
    </w:p>
    <w:p>
      <w:pPr>
        <w:numPr>
          <w:ilvl w:val="0"/>
          <w:numId w:val="1379"/>
        </w:numPr>
        <w:pStyle w:val="Compact"/>
      </w:pPr>
      <w:r>
        <w:t xml:space="preserve">2023 · Knop FK ·</w:t>
      </w:r>
      <w:r>
        <w:t xml:space="preserve"> </w:t>
      </w:r>
      <w:r>
        <w:rPr>
          <w:iCs/>
          <w:i/>
        </w:rPr>
        <w:t xml:space="preserve">Lancet</w:t>
      </w:r>
      <w:r>
        <w:t xml:space="preserve"> </w:t>
      </w:r>
      <w:r>
        <w:t xml:space="preserve">· Oral semaglutide 50 mg taken once per day in adults with overweight or obesity (OASIS 1): a randomised, double-blind, placebo-controlled, phase 3 trial. PMID 37385278</w:t>
      </w:r>
    </w:p>
    <w:p>
      <w:pPr>
        <w:numPr>
          <w:ilvl w:val="0"/>
          <w:numId w:val="1379"/>
        </w:numPr>
        <w:pStyle w:val="Compact"/>
      </w:pPr>
      <w:r>
        <w:t xml:space="preserve">2023 · Frias JP ·</w:t>
      </w:r>
      <w:r>
        <w:t xml:space="preserve"> </w:t>
      </w:r>
      <w:r>
        <w:rPr>
          <w:iCs/>
          <w:i/>
        </w:rPr>
        <w:t xml:space="preserve">Lancet</w:t>
      </w:r>
      <w:r>
        <w:t xml:space="preserve"> </w:t>
      </w:r>
      <w:r>
        <w:t xml:space="preserve">· Efficacy and safety of oral orforglipron in patients with type 2 diabetes: a multicentre, randomised, dose-response, phase 2 study. PMID 37369232</w:t>
      </w:r>
    </w:p>
    <w:p>
      <w:pPr>
        <w:numPr>
          <w:ilvl w:val="0"/>
          <w:numId w:val="1379"/>
        </w:numPr>
        <w:pStyle w:val="Compact"/>
      </w:pPr>
      <w:r>
        <w:t xml:space="preserve">2023 · Guo W ·</w:t>
      </w:r>
      <w:r>
        <w:t xml:space="preserve"> </w:t>
      </w:r>
      <w:r>
        <w:rPr>
          <w:iCs/>
          <w:i/>
        </w:rPr>
        <w:t xml:space="preserve">Mol Metab</w:t>
      </w:r>
      <w:r>
        <w:t xml:space="preserve"> </w:t>
      </w:r>
      <w:r>
        <w:t xml:space="preserve">· Discovery of ecnoglutide - A novel, long-acting, cAMP-biased glucagon-like peptide-1 (GLP-1) analog. PMID 37364710</w:t>
      </w:r>
    </w:p>
    <w:p>
      <w:pPr>
        <w:numPr>
          <w:ilvl w:val="0"/>
          <w:numId w:val="1379"/>
        </w:numPr>
        <w:pStyle w:val="Compact"/>
      </w:pPr>
      <w:r>
        <w:t xml:space="preserve">2023 · Frias JP ·</w:t>
      </w:r>
      <w:r>
        <w:t xml:space="preserve"> </w:t>
      </w:r>
      <w:r>
        <w:rPr>
          <w:iCs/>
          <w:i/>
        </w:rPr>
        <w:t xml:space="preserve">Lancet</w:t>
      </w:r>
      <w:r>
        <w:t xml:space="preserve"> </w:t>
      </w:r>
      <w:r>
        <w:t xml:space="preserve">· Efficacy and safety of co-administered once-weekly cagrilintide 2·4 mg with once-weekly semaglutide 2·4 mg in type 2 diabetes: a multicentre, randomised, double-blind, active-controlled, phase 2 trial. PMID 37364590</w:t>
      </w:r>
    </w:p>
    <w:p>
      <w:pPr>
        <w:numPr>
          <w:ilvl w:val="0"/>
          <w:numId w:val="1379"/>
        </w:numPr>
        <w:pStyle w:val="Compact"/>
      </w:pPr>
      <w:r>
        <w:t xml:space="preserve">2023 · Romero-Gómez M ·</w:t>
      </w:r>
      <w:r>
        <w:t xml:space="preserve"> </w:t>
      </w:r>
      <w:r>
        <w:rPr>
          <w:iCs/>
          <w:i/>
        </w:rPr>
        <w:t xml:space="preserve">J Hepatol</w:t>
      </w:r>
      <w:r>
        <w:t xml:space="preserve"> </w:t>
      </w:r>
      <w:r>
        <w:t xml:space="preserve">· A phase IIa active-comparator-controlled study to evaluate the efficacy and safety of efinopegdutide in patients with non-alcoholic fatty liver disease. PMID 37355043</w:t>
      </w:r>
    </w:p>
    <w:p>
      <w:pPr>
        <w:numPr>
          <w:ilvl w:val="0"/>
          <w:numId w:val="1379"/>
        </w:numPr>
        <w:pStyle w:val="Compact"/>
      </w:pPr>
      <w:r>
        <w:t xml:space="preserve">2023 · Romero-Gómez M ·</w:t>
      </w:r>
      <w:r>
        <w:t xml:space="preserve"> </w:t>
      </w:r>
      <w:r>
        <w:rPr>
          <w:iCs/>
          <w:i/>
        </w:rPr>
        <w:t xml:space="preserve">Aliment Pharmacol Ther</w:t>
      </w:r>
      <w:r>
        <w:t xml:space="preserve"> </w:t>
      </w:r>
      <w:r>
        <w:t xml:space="preserve">· Improved health-related quality of life with semaglutide in people with non-alcoholic steatohepatitis: A randomised trial. PMID 37328931</w:t>
      </w:r>
    </w:p>
    <w:p>
      <w:pPr>
        <w:numPr>
          <w:ilvl w:val="0"/>
          <w:numId w:val="1379"/>
        </w:numPr>
        <w:pStyle w:val="Compact"/>
      </w:pPr>
      <w:r>
        <w:t xml:space="preserve">2023 · Ingersen A ·</w:t>
      </w:r>
      <w:r>
        <w:t xml:space="preserve"> </w:t>
      </w:r>
      <w:r>
        <w:rPr>
          <w:iCs/>
          <w:i/>
        </w:rPr>
        <w:t xml:space="preserve">J Clin Endocrinol Metab</w:t>
      </w:r>
      <w:r>
        <w:t xml:space="preserve"> </w:t>
      </w:r>
      <w:r>
        <w:t xml:space="preserve">· Effects of Aerobic Training and Semaglutide Treatment on Pancreatic β-Cell Secretory Function in Patients With Type 2 Diabetes. PMID 37265222</w:t>
      </w:r>
    </w:p>
    <w:p>
      <w:pPr>
        <w:numPr>
          <w:ilvl w:val="0"/>
          <w:numId w:val="1379"/>
        </w:numPr>
        <w:pStyle w:val="Compact"/>
      </w:pPr>
      <w:r>
        <w:t xml:space="preserve">2023 · Kelly AS ·</w:t>
      </w:r>
      <w:r>
        <w:t xml:space="preserve"> </w:t>
      </w:r>
      <w:r>
        <w:rPr>
          <w:iCs/>
          <w:i/>
        </w:rPr>
        <w:t xml:space="preserve">Obesity (Silver Spring)</w:t>
      </w:r>
      <w:r>
        <w:t xml:space="preserve"> </w:t>
      </w:r>
      <w:r>
        <w:t xml:space="preserve">· Reducing BMI below the obesity threshold in adolescents treated with once-weekly subcutaneous semaglutide 2.4 mg. PMID 37196421</w:t>
      </w:r>
    </w:p>
    <w:p>
      <w:pPr>
        <w:numPr>
          <w:ilvl w:val="0"/>
          <w:numId w:val="1379"/>
        </w:numPr>
        <w:pStyle w:val="Compact"/>
      </w:pPr>
      <w:r>
        <w:t xml:space="preserve">2023 · Gullaksen S ·</w:t>
      </w:r>
      <w:r>
        <w:t xml:space="preserve"> </w:t>
      </w:r>
      <w:r>
        <w:rPr>
          <w:iCs/>
          <w:i/>
        </w:rPr>
        <w:t xml:space="preserve">J Diabetes Complications</w:t>
      </w:r>
      <w:r>
        <w:t xml:space="preserve"> </w:t>
      </w:r>
      <w:r>
        <w:t xml:space="preserve">· Effects of semaglutide and empagliflozin on oxygenation, vascular autoregulation, and central thickness of the retina in people with type 2 diabetes: A prespecified secondary analysis of a randomised clinical trial. PMID 37062189</w:t>
      </w:r>
    </w:p>
    <w:p>
      <w:pPr>
        <w:numPr>
          <w:ilvl w:val="0"/>
          <w:numId w:val="1379"/>
        </w:numPr>
        <w:pStyle w:val="Compact"/>
      </w:pPr>
      <w:r>
        <w:t xml:space="preserve">2023 · Bjorner JB ·</w:t>
      </w:r>
      <w:r>
        <w:t xml:space="preserve"> </w:t>
      </w:r>
      <w:r>
        <w:rPr>
          <w:iCs/>
          <w:i/>
        </w:rPr>
        <w:t xml:space="preserve">Diabetes Obes Metab</w:t>
      </w:r>
      <w:r>
        <w:t xml:space="preserve"> </w:t>
      </w:r>
      <w:r>
        <w:t xml:space="preserve">· The improved health utility of once-weekly subcutaneous semaglutide 2.4 mg compared with placebo in the STEP 1-4 obesity trials. PMID 37055712</w:t>
      </w:r>
    </w:p>
    <w:p>
      <w:pPr>
        <w:numPr>
          <w:ilvl w:val="0"/>
          <w:numId w:val="1379"/>
        </w:numPr>
        <w:pStyle w:val="Compact"/>
      </w:pPr>
      <w:r>
        <w:t xml:space="preserve">2023 · Loomba R ·</w:t>
      </w:r>
      <w:r>
        <w:t xml:space="preserve"> </w:t>
      </w:r>
      <w:r>
        <w:rPr>
          <w:iCs/>
          <w:i/>
        </w:rPr>
        <w:t xml:space="preserve">Lancet Gastroenterol Hepatol</w:t>
      </w:r>
      <w:r>
        <w:t xml:space="preserve"> </w:t>
      </w:r>
      <w:r>
        <w:t xml:space="preserve">· Semaglutide 2·4 mg once weekly in patients with non-alcoholic steatohepatitis-related cirrhosis: a randomised, placebo-controlled phase 2 trial. PMID 36934740</w:t>
      </w:r>
    </w:p>
    <w:p>
      <w:pPr>
        <w:numPr>
          <w:ilvl w:val="0"/>
          <w:numId w:val="1379"/>
        </w:numPr>
        <w:pStyle w:val="Compact"/>
      </w:pPr>
      <w:r>
        <w:t xml:space="preserve">2023 · van Hout M ·</w:t>
      </w:r>
      <w:r>
        <w:t xml:space="preserve"> </w:t>
      </w:r>
      <w:r>
        <w:rPr>
          <w:iCs/>
          <w:i/>
        </w:rPr>
        <w:t xml:space="preserve">Clin Pharmacokinet</w:t>
      </w:r>
      <w:r>
        <w:t xml:space="preserve"> </w:t>
      </w:r>
      <w:r>
        <w:t xml:space="preserve">· Effect of Various Dosing Schedules on the Pharmacokinetics of Oral Semaglutide: A Randomised Trial in Healthy Subjects. PMID 36932262</w:t>
      </w:r>
    </w:p>
    <w:p>
      <w:pPr>
        <w:numPr>
          <w:ilvl w:val="0"/>
          <w:numId w:val="1379"/>
        </w:numPr>
        <w:pStyle w:val="Compact"/>
      </w:pPr>
      <w:r>
        <w:t xml:space="preserve">2023 · Kolotkin RL ·</w:t>
      </w:r>
      <w:r>
        <w:t xml:space="preserve"> </w:t>
      </w:r>
      <w:r>
        <w:rPr>
          <w:iCs/>
          <w:i/>
        </w:rPr>
        <w:t xml:space="preserve">Clin Obes</w:t>
      </w:r>
      <w:r>
        <w:t xml:space="preserve"> </w:t>
      </w:r>
      <w:r>
        <w:t xml:space="preserve">· Effect of once-weekly subcutaneous semaglutide 2.4 mg on weight- and health-related quality of life in an East Asian population: Patient-reported outcomes from the STEP 6 trial. PMID 36905345</w:t>
      </w:r>
    </w:p>
    <w:p>
      <w:pPr>
        <w:numPr>
          <w:ilvl w:val="0"/>
          <w:numId w:val="1379"/>
        </w:numPr>
        <w:pStyle w:val="Compact"/>
      </w:pPr>
      <w:r>
        <w:t xml:space="preserve">2023 · McGowan BM ·</w:t>
      </w:r>
      <w:r>
        <w:t xml:space="preserve"> </w:t>
      </w:r>
      <w:r>
        <w:rPr>
          <w:iCs/>
          <w:i/>
        </w:rPr>
        <w:t xml:space="preserve">Obesity (Silver Spring)</w:t>
      </w:r>
      <w:r>
        <w:t xml:space="preserve"> </w:t>
      </w:r>
      <w:r>
        <w:t xml:space="preserve">· Impact of BMI and comorbidities on efficacy of once-weekly semaglutide: Post hoc analyses of the STEP 1 randomized trial. PMID 36876594</w:t>
      </w:r>
    </w:p>
    <w:p>
      <w:pPr>
        <w:numPr>
          <w:ilvl w:val="0"/>
          <w:numId w:val="1379"/>
        </w:numPr>
        <w:pStyle w:val="Compact"/>
      </w:pPr>
      <w:r>
        <w:t xml:space="preserve">2023 · Iijima T ·</w:t>
      </w:r>
      <w:r>
        <w:t xml:space="preserve"> </w:t>
      </w:r>
      <w:r>
        <w:rPr>
          <w:iCs/>
          <w:i/>
        </w:rPr>
        <w:t xml:space="preserve">J Diabetes Investig</w:t>
      </w:r>
      <w:r>
        <w:t xml:space="preserve"> </w:t>
      </w:r>
      <w:r>
        <w:t xml:space="preserve">· Effects of switching from liraglutide to semaglutide or dulaglutide in patients with type 2 diabetes: A randomized controlled trial. PMID 36871272</w:t>
      </w:r>
    </w:p>
    <w:p>
      <w:pPr>
        <w:numPr>
          <w:ilvl w:val="0"/>
          <w:numId w:val="1379"/>
        </w:numPr>
        <w:pStyle w:val="Compact"/>
      </w:pPr>
      <w:r>
        <w:t xml:space="preserve">2023 · Heise T ·</w:t>
      </w:r>
      <w:r>
        <w:t xml:space="preserve"> </w:t>
      </w:r>
      <w:r>
        <w:rPr>
          <w:iCs/>
          <w:i/>
        </w:rPr>
        <w:t xml:space="preserve">Diabetes Care</w:t>
      </w:r>
      <w:r>
        <w:t xml:space="preserve"> </w:t>
      </w:r>
      <w:r>
        <w:t xml:space="preserve">· Tirzepatide Reduces Appetite, Energy Intake, and Fat Mass in People With Type 2 Diabetes. PMID 36857477</w:t>
      </w:r>
    </w:p>
    <w:p>
      <w:pPr>
        <w:numPr>
          <w:ilvl w:val="0"/>
          <w:numId w:val="1379"/>
        </w:numPr>
        <w:pStyle w:val="Compact"/>
      </w:pPr>
      <w:r>
        <w:t xml:space="preserve">2023 · Gullaksen S ·</w:t>
      </w:r>
      <w:r>
        <w:t xml:space="preserve"> </w:t>
      </w:r>
      <w:r>
        <w:rPr>
          <w:iCs/>
          <w:i/>
        </w:rPr>
        <w:t xml:space="preserve">Diabetologia</w:t>
      </w:r>
      <w:r>
        <w:t xml:space="preserve"> </w:t>
      </w:r>
      <w:r>
        <w:t xml:space="preserve">· Separate and combined effects of semaglutide and empagliflozin on kidney oxygenation and perfusion in people with type 2 diabetes: a randomised trial. PMID 36746803</w:t>
      </w:r>
    </w:p>
    <w:p>
      <w:pPr>
        <w:numPr>
          <w:ilvl w:val="0"/>
          <w:numId w:val="1379"/>
        </w:numPr>
        <w:pStyle w:val="Compact"/>
      </w:pPr>
      <w:r>
        <w:t xml:space="preserve">2023 · Takahashi Y ·</w:t>
      </w:r>
      <w:r>
        <w:t xml:space="preserve"> </w:t>
      </w:r>
      <w:r>
        <w:rPr>
          <w:iCs/>
          <w:i/>
        </w:rPr>
        <w:t xml:space="preserve">Diabetes Obes Metab</w:t>
      </w:r>
      <w:r>
        <w:t xml:space="preserve"> </w:t>
      </w:r>
      <w:r>
        <w:t xml:space="preserve">· Improvement of glycaemic control and treatment satisfaction by switching from liraglutide or dulaglutide to subcutaneous semaglutide in patients with type 2 diabetes: A multicentre, prospective, randomized, open-label, parallel-group comparison study (SWITCH-SEMA 1 study). PMID 36722623</w:t>
      </w:r>
    </w:p>
    <w:p>
      <w:pPr>
        <w:numPr>
          <w:ilvl w:val="0"/>
          <w:numId w:val="1379"/>
        </w:numPr>
        <w:pStyle w:val="Compact"/>
      </w:pPr>
      <w:r>
        <w:t xml:space="preserve">2023 · Wharton S ·</w:t>
      </w:r>
      <w:r>
        <w:t xml:space="preserve"> </w:t>
      </w:r>
      <w:r>
        <w:rPr>
          <w:iCs/>
          <w:i/>
        </w:rPr>
        <w:t xml:space="preserve">Obesity (Silver Spring)</w:t>
      </w:r>
      <w:r>
        <w:t xml:space="preserve"> </w:t>
      </w:r>
      <w:r>
        <w:t xml:space="preserve">· Two-year effect of semaglutide 2.4 mg on control of eating in adults with overweight/obesity: STEP 5. PMID 36655300</w:t>
      </w:r>
    </w:p>
    <w:p>
      <w:pPr>
        <w:numPr>
          <w:ilvl w:val="0"/>
          <w:numId w:val="1379"/>
        </w:numPr>
        <w:pStyle w:val="Compact"/>
      </w:pPr>
      <w:r>
        <w:t xml:space="preserve">2023 · Lingvay I ·</w:t>
      </w:r>
      <w:r>
        <w:t xml:space="preserve"> </w:t>
      </w:r>
      <w:r>
        <w:rPr>
          <w:iCs/>
          <w:i/>
        </w:rPr>
        <w:t xml:space="preserve">Diabetes Obes Metab</w:t>
      </w:r>
      <w:r>
        <w:t xml:space="preserve"> </w:t>
      </w:r>
      <w:r>
        <w:t xml:space="preserve">· Achievement of glycaemic targets with weight loss and without hypoglycaemia in type 2 diabetes with the once-weekly glucose-dependent insulinotropic polypeptide and glucagon-like peptide-1 receptor agonist tirzepatide: A post hoc analysis of the SURPASS-1 to -5 studies. PMID 36514843</w:t>
      </w:r>
    </w:p>
    <w:p>
      <w:pPr>
        <w:numPr>
          <w:ilvl w:val="0"/>
          <w:numId w:val="1379"/>
        </w:numPr>
        <w:pStyle w:val="Compact"/>
      </w:pPr>
      <w:r>
        <w:t xml:space="preserve">2023 · Jensterle M ·</w:t>
      </w:r>
      <w:r>
        <w:t xml:space="preserve"> </w:t>
      </w:r>
      <w:r>
        <w:rPr>
          <w:iCs/>
          <w:i/>
        </w:rPr>
        <w:t xml:space="preserve">Diabetes Obes Metab</w:t>
      </w:r>
      <w:r>
        <w:t xml:space="preserve"> </w:t>
      </w:r>
      <w:r>
        <w:t xml:space="preserve">· Semaglutide delays 4-hour gastric emptying in women with polycystic ovary syndrome and obesity. PMID 36511825</w:t>
      </w:r>
    </w:p>
    <w:p>
      <w:pPr>
        <w:numPr>
          <w:ilvl w:val="0"/>
          <w:numId w:val="1379"/>
        </w:numPr>
        <w:pStyle w:val="Compact"/>
      </w:pPr>
      <w:r>
        <w:t xml:space="preserve">2023 · Lingvay I ·</w:t>
      </w:r>
      <w:r>
        <w:t xml:space="preserve"> </w:t>
      </w:r>
      <w:r>
        <w:rPr>
          <w:iCs/>
          <w:i/>
        </w:rPr>
        <w:t xml:space="preserve">Obesity (Silver Spring)</w:t>
      </w:r>
      <w:r>
        <w:t xml:space="preserve"> </w:t>
      </w:r>
      <w:r>
        <w:t xml:space="preserve">· Semaglutide for cardiovascular event reduction in people with overweight or obesity: SELECT study baseline characteristics. PMID 36502289</w:t>
      </w:r>
    </w:p>
    <w:p>
      <w:pPr>
        <w:numPr>
          <w:ilvl w:val="0"/>
          <w:numId w:val="1379"/>
        </w:numPr>
        <w:pStyle w:val="Compact"/>
      </w:pPr>
      <w:r>
        <w:t xml:space="preserve">2022 · Amaro A ·</w:t>
      </w:r>
      <w:r>
        <w:t xml:space="preserve"> </w:t>
      </w:r>
      <w:r>
        <w:rPr>
          <w:iCs/>
          <w:i/>
        </w:rPr>
        <w:t xml:space="preserve">Postgrad Med</w:t>
      </w:r>
      <w:r>
        <w:t xml:space="preserve"> </w:t>
      </w:r>
      <w:r>
        <w:t xml:space="preserve">· Cardiometabolic risk factors efficacy of semaglutide in the STEP program. PMID 36691308</w:t>
      </w:r>
    </w:p>
    <w:p>
      <w:pPr>
        <w:numPr>
          <w:ilvl w:val="0"/>
          <w:numId w:val="1379"/>
        </w:numPr>
        <w:pStyle w:val="Compact"/>
      </w:pPr>
      <w:r>
        <w:t xml:space="preserve">2022 · Weghuber D ·</w:t>
      </w:r>
      <w:r>
        <w:t xml:space="preserve"> </w:t>
      </w:r>
      <w:r>
        <w:rPr>
          <w:iCs/>
          <w:i/>
        </w:rPr>
        <w:t xml:space="preserve">N Engl J Med</w:t>
      </w:r>
      <w:r>
        <w:t xml:space="preserve"> </w:t>
      </w:r>
      <w:r>
        <w:t xml:space="preserve">· Once-Weekly Semaglutide in Adolescents with Obesity. PMID 36322838</w:t>
      </w:r>
    </w:p>
    <w:p>
      <w:pPr>
        <w:numPr>
          <w:ilvl w:val="0"/>
          <w:numId w:val="1379"/>
        </w:numPr>
        <w:pStyle w:val="Compact"/>
      </w:pPr>
      <w:r>
        <w:t xml:space="preserve">2022 · Garvey WT ·</w:t>
      </w:r>
      <w:r>
        <w:t xml:space="preserve"> </w:t>
      </w:r>
      <w:r>
        <w:rPr>
          <w:iCs/>
          <w:i/>
        </w:rPr>
        <w:t xml:space="preserve">Nat Med</w:t>
      </w:r>
      <w:r>
        <w:t xml:space="preserve"> </w:t>
      </w:r>
      <w:r>
        <w:t xml:space="preserve">· Two-year effects of semaglutide in adults with overweight or obesity: the STEP 5 trial. PMID 36216945</w:t>
      </w:r>
    </w:p>
    <w:p>
      <w:pPr>
        <w:numPr>
          <w:ilvl w:val="0"/>
          <w:numId w:val="1379"/>
        </w:numPr>
        <w:pStyle w:val="Compact"/>
      </w:pPr>
      <w:r>
        <w:t xml:space="preserve">2022 · Ghusn W ·</w:t>
      </w:r>
      <w:r>
        <w:t xml:space="preserve"> </w:t>
      </w:r>
      <w:r>
        <w:rPr>
          <w:iCs/>
          <w:i/>
        </w:rPr>
        <w:t xml:space="preserve">JAMA Netw Open</w:t>
      </w:r>
      <w:r>
        <w:t xml:space="preserve"> </w:t>
      </w:r>
      <w:r>
        <w:t xml:space="preserve">· Weight Loss Outcomes Associated With Semaglutide Treatment for Patients With Overweight or Obesity. PMID 36121652</w:t>
      </w:r>
    </w:p>
    <w:p>
      <w:pPr>
        <w:numPr>
          <w:ilvl w:val="0"/>
          <w:numId w:val="1379"/>
        </w:numPr>
        <w:pStyle w:val="Compact"/>
      </w:pPr>
      <w:r>
        <w:t xml:space="preserve">2022 · Scheen AJ ·</w:t>
      </w:r>
      <w:r>
        <w:t xml:space="preserve"> </w:t>
      </w:r>
      <w:r>
        <w:rPr>
          <w:iCs/>
          <w:i/>
        </w:rPr>
        <w:t xml:space="preserve">Rev Med Suisse</w:t>
      </w:r>
      <w:r>
        <w:t xml:space="preserve"> </w:t>
      </w:r>
      <w:r>
        <w:t xml:space="preserve">· [Focus on tirzepatide, a dual unimolecular GIP-GLP-1 receptor agonist in type 2 diabetes]. PMID 36004653</w:t>
      </w:r>
    </w:p>
    <w:p>
      <w:pPr>
        <w:numPr>
          <w:ilvl w:val="0"/>
          <w:numId w:val="1379"/>
        </w:numPr>
        <w:pStyle w:val="Compact"/>
      </w:pPr>
      <w:r>
        <w:t xml:space="preserve">2022 · Snitker S ·</w:t>
      </w:r>
      <w:r>
        <w:t xml:space="preserve"> </w:t>
      </w:r>
      <w:r>
        <w:rPr>
          <w:iCs/>
          <w:i/>
        </w:rPr>
        <w:t xml:space="preserve">Diabetes Obes Metab</w:t>
      </w:r>
      <w:r>
        <w:t xml:space="preserve"> </w:t>
      </w:r>
      <w:r>
        <w:t xml:space="preserve">· Ease-of-use and acceptability of the novel semaglutide 2.4 mg single-dose pen-injector in people with overweight or obesity in the STEP 8 phase III trial. PMID 35791625</w:t>
      </w:r>
    </w:p>
    <w:p>
      <w:pPr>
        <w:numPr>
          <w:ilvl w:val="0"/>
          <w:numId w:val="1379"/>
        </w:numPr>
        <w:pStyle w:val="Compact"/>
      </w:pPr>
      <w:r>
        <w:t xml:space="preserve">2022 · Strain WD ·</w:t>
      </w:r>
      <w:r>
        <w:t xml:space="preserve"> </w:t>
      </w:r>
      <w:r>
        <w:rPr>
          <w:iCs/>
          <w:i/>
        </w:rPr>
        <w:t xml:space="preserve">Stroke</w:t>
      </w:r>
      <w:r>
        <w:t xml:space="preserve"> </w:t>
      </w:r>
      <w:r>
        <w:t xml:space="preserve">· Effects of Semaglutide on Stroke Subtypes in Type 2 Diabetes: Post Hoc Analysis of the Randomized SUSTAIN 6 and PIONEER 6. PMID 35582947</w:t>
      </w:r>
    </w:p>
    <w:p>
      <w:pPr>
        <w:numPr>
          <w:ilvl w:val="0"/>
          <w:numId w:val="1379"/>
        </w:numPr>
        <w:pStyle w:val="Compact"/>
      </w:pPr>
      <w:r>
        <w:t xml:space="preserve">2022 · Kellerer M ·</w:t>
      </w:r>
      <w:r>
        <w:t xml:space="preserve"> </w:t>
      </w:r>
      <w:r>
        <w:rPr>
          <w:iCs/>
          <w:i/>
        </w:rPr>
        <w:t xml:space="preserve">Diabetes Obes Metab</w:t>
      </w:r>
      <w:r>
        <w:t xml:space="preserve"> </w:t>
      </w:r>
      <w:r>
        <w:t xml:space="preserve">· Effect of once-weekly semaglutide versus thrice-daily insulin aspart, both as add-on to metformin and optimized insulin glargine treatment in participants with type 2 diabetes (SUSTAIN 11): A randomized, open-label, multinational, phase 3b trial. PMID 35546450</w:t>
      </w:r>
    </w:p>
    <w:p>
      <w:pPr>
        <w:numPr>
          <w:ilvl w:val="0"/>
          <w:numId w:val="1379"/>
        </w:numPr>
        <w:pStyle w:val="Compact"/>
      </w:pPr>
      <w:r>
        <w:t xml:space="preserve">2022 · Heise T ·</w:t>
      </w:r>
      <w:r>
        <w:t xml:space="preserve"> </w:t>
      </w:r>
      <w:r>
        <w:rPr>
          <w:iCs/>
          <w:i/>
        </w:rPr>
        <w:t xml:space="preserve">Lancet Diabetes Endocrinol</w:t>
      </w:r>
      <w:r>
        <w:t xml:space="preserve"> </w:t>
      </w:r>
      <w:r>
        <w:t xml:space="preserve">· Effects of subcutaneous tirzepatide versus placebo or semaglutide on pancreatic islet function and insulin sensitivity in adults with type 2 diabetes: a multicentre, randomised, double-blind, parallel-arm, phase 1 clinical trial. PMID 35468322</w:t>
      </w:r>
    </w:p>
    <w:p>
      <w:pPr>
        <w:numPr>
          <w:ilvl w:val="0"/>
          <w:numId w:val="1379"/>
        </w:numPr>
        <w:pStyle w:val="Compact"/>
      </w:pPr>
      <w:r>
        <w:t xml:space="preserve">2022 · Wilding JPH ·</w:t>
      </w:r>
      <w:r>
        <w:t xml:space="preserve"> </w:t>
      </w:r>
      <w:r>
        <w:rPr>
          <w:iCs/>
          <w:i/>
        </w:rPr>
        <w:t xml:space="preserve">Diabetes Obes Metab</w:t>
      </w:r>
      <w:r>
        <w:t xml:space="preserve"> </w:t>
      </w:r>
      <w:r>
        <w:t xml:space="preserve">· Weight regain and cardiometabolic effects after withdrawal of semaglutide: The STEP 1 trial extension. PMID 35441470</w:t>
      </w:r>
    </w:p>
    <w:p>
      <w:pPr>
        <w:numPr>
          <w:ilvl w:val="0"/>
          <w:numId w:val="1379"/>
        </w:numPr>
        <w:pStyle w:val="Compact"/>
      </w:pPr>
      <w:r>
        <w:t xml:space="preserve">2022 · Alkhouri N ·</w:t>
      </w:r>
      <w:r>
        <w:t xml:space="preserve"> </w:t>
      </w:r>
      <w:r>
        <w:rPr>
          <w:iCs/>
          <w:i/>
        </w:rPr>
        <w:t xml:space="preserve">J Hepatol</w:t>
      </w:r>
      <w:r>
        <w:t xml:space="preserve"> </w:t>
      </w:r>
      <w:r>
        <w:t xml:space="preserve">· Safety and efficacy of combination therapy with semaglutide, cilofexor and firsocostat in patients with non-alcoholic steatohepatitis: A randomised, open-label phase II trial. PMID 35439567</w:t>
      </w:r>
    </w:p>
    <w:p>
      <w:pPr>
        <w:numPr>
          <w:ilvl w:val="0"/>
          <w:numId w:val="1379"/>
        </w:numPr>
        <w:pStyle w:val="Compact"/>
      </w:pPr>
      <w:r>
        <w:t xml:space="preserve">2022 · Stafford S ·</w:t>
      </w:r>
      <w:r>
        <w:t xml:space="preserve"> </w:t>
      </w:r>
      <w:r>
        <w:rPr>
          <w:iCs/>
          <w:i/>
        </w:rPr>
        <w:t xml:space="preserve">Appl Health Econ Health Policy</w:t>
      </w:r>
      <w:r>
        <w:t xml:space="preserve"> </w:t>
      </w:r>
      <w:r>
        <w:t xml:space="preserve">· Cost-Effectiveness of Once-Weekly Semaglutide 1 mg versus Canagliflozin 300 mg in Patients with Type 2 Diabetes Mellitus in a Canadian Setting. PMID 35344191</w:t>
      </w:r>
    </w:p>
    <w:p>
      <w:pPr>
        <w:numPr>
          <w:ilvl w:val="0"/>
          <w:numId w:val="1379"/>
        </w:numPr>
        <w:pStyle w:val="Compact"/>
      </w:pPr>
      <w:r>
        <w:t xml:space="preserve">2022 · Yabe D ·</w:t>
      </w:r>
      <w:r>
        <w:t xml:space="preserve"> </w:t>
      </w:r>
      <w:r>
        <w:rPr>
          <w:iCs/>
          <w:i/>
        </w:rPr>
        <w:t xml:space="preserve">J Diabetes Investig</w:t>
      </w:r>
      <w:r>
        <w:t xml:space="preserve"> </w:t>
      </w:r>
      <w:r>
        <w:t xml:space="preserve">· Efficacy and safety of once-weekly semaglutide in Japanese individuals with type 2 diabetes by baseline age and body mass index. PMID 35174649</w:t>
      </w:r>
    </w:p>
    <w:p>
      <w:pPr>
        <w:numPr>
          <w:ilvl w:val="0"/>
          <w:numId w:val="1379"/>
        </w:numPr>
        <w:pStyle w:val="Compact"/>
      </w:pPr>
      <w:r>
        <w:t xml:space="preserve">2022 · Kadowaki T ·</w:t>
      </w:r>
      <w:r>
        <w:t xml:space="preserve"> </w:t>
      </w:r>
      <w:r>
        <w:rPr>
          <w:iCs/>
          <w:i/>
        </w:rPr>
        <w:t xml:space="preserve">Lancet Diabetes Endocrinol</w:t>
      </w:r>
      <w:r>
        <w:t xml:space="preserve"> </w:t>
      </w:r>
      <w:r>
        <w:t xml:space="preserve">· Semaglutide once a week in adults with overweight or obesity, with or without type 2 diabetes in an east Asian population (STEP 6): a randomised, double-blind, double-dummy, placebo-controlled, phase 3a trial. PMID 35131037</w:t>
      </w:r>
    </w:p>
    <w:p>
      <w:pPr>
        <w:numPr>
          <w:ilvl w:val="0"/>
          <w:numId w:val="1379"/>
        </w:numPr>
        <w:pStyle w:val="Compact"/>
      </w:pPr>
      <w:r>
        <w:t xml:space="preserve">2022 · Yabe D ·</w:t>
      </w:r>
      <w:r>
        <w:t xml:space="preserve"> </w:t>
      </w:r>
      <w:r>
        <w:rPr>
          <w:iCs/>
          <w:i/>
        </w:rPr>
        <w:t xml:space="preserve">J Diabetes Investig</w:t>
      </w:r>
      <w:r>
        <w:t xml:space="preserve"> </w:t>
      </w:r>
      <w:r>
        <w:t xml:space="preserve">· Efficacy and safety of oral semaglutide in Japanese patients with type 2 diabetes: A subgroup analysis by baseline variables in the PIONEER 9 and PIONEER 10 trials. PMID 35112504</w:t>
      </w:r>
    </w:p>
    <w:p>
      <w:pPr>
        <w:numPr>
          <w:ilvl w:val="0"/>
          <w:numId w:val="1379"/>
        </w:numPr>
        <w:pStyle w:val="Compact"/>
      </w:pPr>
      <w:r>
        <w:t xml:space="preserve">2022 · Rubino DM ·</w:t>
      </w:r>
      <w:r>
        <w:t xml:space="preserve"> </w:t>
      </w:r>
      <w:r>
        <w:rPr>
          <w:iCs/>
          <w:i/>
        </w:rPr>
        <w:t xml:space="preserve">JAMA</w:t>
      </w:r>
      <w:r>
        <w:t xml:space="preserve"> </w:t>
      </w:r>
      <w:r>
        <w:t xml:space="preserve">· Effect of Weekly Subcutaneous Semaglutide vs Daily Liraglutide on Body Weight in Adults With Overweight or Obesity Without Diabetes: The STEP 8 Randomized Clinical Trial. PMID 35015037</w:t>
      </w:r>
    </w:p>
    <w:p>
      <w:pPr>
        <w:numPr>
          <w:ilvl w:val="0"/>
          <w:numId w:val="1379"/>
        </w:numPr>
        <w:pStyle w:val="Compact"/>
      </w:pPr>
      <w:r>
        <w:t xml:space="preserve">2022 · Meier JJ ·</w:t>
      </w:r>
      <w:r>
        <w:t xml:space="preserve"> </w:t>
      </w:r>
      <w:r>
        <w:rPr>
          <w:iCs/>
          <w:i/>
        </w:rPr>
        <w:t xml:space="preserve">Diabetes Obes Metab</w:t>
      </w:r>
      <w:r>
        <w:t xml:space="preserve"> </w:t>
      </w:r>
      <w:r>
        <w:t xml:space="preserve">· Effect of upper gastrointestinal disease on the pharmacokinetics of oral semaglutide in subjects with type 2 diabetes. PMID 34957654</w:t>
      </w:r>
    </w:p>
    <w:p>
      <w:pPr>
        <w:numPr>
          <w:ilvl w:val="0"/>
          <w:numId w:val="1379"/>
        </w:numPr>
        <w:pStyle w:val="Compact"/>
      </w:pPr>
      <w:r>
        <w:t xml:space="preserve">2022 · Shaman AM ·</w:t>
      </w:r>
      <w:r>
        <w:t xml:space="preserve"> </w:t>
      </w:r>
      <w:r>
        <w:rPr>
          <w:iCs/>
          <w:i/>
        </w:rPr>
        <w:t xml:space="preserve">Circulation</w:t>
      </w:r>
      <w:r>
        <w:t xml:space="preserve"> </w:t>
      </w:r>
      <w:r>
        <w:t xml:space="preserve">· Effect of the Glucagon-Like Peptide-1 Receptor Agonists Semaglutide and Liraglutide on Kidney Outcomes in Patients With Type 2 Diabetes: Pooled Analysis of SUSTAIN 6 and LEADER. PMID 34903039</w:t>
      </w:r>
    </w:p>
    <w:p>
      <w:pPr>
        <w:numPr>
          <w:ilvl w:val="0"/>
          <w:numId w:val="1379"/>
        </w:numPr>
        <w:pStyle w:val="Compact"/>
      </w:pPr>
      <w:r>
        <w:t xml:space="preserve">2022 · Yamada Y ·</w:t>
      </w:r>
      <w:r>
        <w:t xml:space="preserve"> </w:t>
      </w:r>
      <w:r>
        <w:rPr>
          <w:iCs/>
          <w:i/>
        </w:rPr>
        <w:t xml:space="preserve">Diabetes Obes Metab</w:t>
      </w:r>
      <w:r>
        <w:t xml:space="preserve"> </w:t>
      </w:r>
      <w:r>
        <w:t xml:space="preserve">· Efficacy and safety of oral semaglutide by baseline age in Japanese patients with type 2 diabetes: A subgroup analysis of the PIONEER 9 and 10 Japan trials. PMID 34622548</w:t>
      </w:r>
    </w:p>
    <w:p>
      <w:pPr>
        <w:numPr>
          <w:ilvl w:val="0"/>
          <w:numId w:val="1379"/>
        </w:numPr>
        <w:pStyle w:val="Compact"/>
      </w:pPr>
      <w:r>
        <w:t xml:space="preserve">2022 · Wharton S ·</w:t>
      </w:r>
      <w:r>
        <w:t xml:space="preserve"> </w:t>
      </w:r>
      <w:r>
        <w:rPr>
          <w:iCs/>
          <w:i/>
        </w:rPr>
        <w:t xml:space="preserve">Diabetes Obes Metab</w:t>
      </w:r>
      <w:r>
        <w:t xml:space="preserve"> </w:t>
      </w:r>
      <w:r>
        <w:t xml:space="preserve">· Gastrointestinal tolerability of once-weekly semaglutide 2.4 mg in adults with overweight or obesity, and the relationship between gastrointestinal adverse events and weight loss. PMID 34514682</w:t>
      </w:r>
    </w:p>
    <w:p>
      <w:pPr>
        <w:numPr>
          <w:ilvl w:val="0"/>
          <w:numId w:val="1379"/>
        </w:numPr>
        <w:pStyle w:val="Compact"/>
      </w:pPr>
      <w:r>
        <w:t xml:space="preserve">2021 · Paquot N ·</w:t>
      </w:r>
      <w:r>
        <w:t xml:space="preserve"> </w:t>
      </w:r>
      <w:r>
        <w:rPr>
          <w:iCs/>
          <w:i/>
        </w:rPr>
        <w:t xml:space="preserve">Rev Med Liege</w:t>
      </w:r>
      <w:r>
        <w:t xml:space="preserve"> </w:t>
      </w:r>
      <w:r>
        <w:t xml:space="preserve">· [Oral semaglutide, first oral GLP-1 receptor agonist (Rybelsus®)]. PMID 34881835</w:t>
      </w:r>
    </w:p>
    <w:p>
      <w:pPr>
        <w:numPr>
          <w:ilvl w:val="0"/>
          <w:numId w:val="1379"/>
        </w:numPr>
        <w:pStyle w:val="Compact"/>
      </w:pPr>
      <w:r>
        <w:t xml:space="preserve">2021 · Overgaard RV ·</w:t>
      </w:r>
      <w:r>
        <w:t xml:space="preserve"> </w:t>
      </w:r>
      <w:r>
        <w:rPr>
          <w:iCs/>
          <w:i/>
        </w:rPr>
        <w:t xml:space="preserve">Cell Rep Med</w:t>
      </w:r>
      <w:r>
        <w:t xml:space="preserve"> </w:t>
      </w:r>
      <w:r>
        <w:t xml:space="preserve">· Levels of circulating semaglutide determine reductions in HbA1c and body weight in people with type 2 diabetes. PMID 34622228</w:t>
      </w:r>
    </w:p>
    <w:p>
      <w:pPr>
        <w:numPr>
          <w:ilvl w:val="0"/>
          <w:numId w:val="1379"/>
        </w:numPr>
        <w:pStyle w:val="Compact"/>
      </w:pPr>
      <w:r>
        <w:t xml:space="preserve">2021 · Flint A ·</w:t>
      </w:r>
      <w:r>
        <w:t xml:space="preserve"> </w:t>
      </w:r>
      <w:r>
        <w:rPr>
          <w:iCs/>
          <w:i/>
        </w:rPr>
        <w:t xml:space="preserve">Aliment Pharmacol Ther</w:t>
      </w:r>
      <w:r>
        <w:t xml:space="preserve"> </w:t>
      </w:r>
      <w:r>
        <w:t xml:space="preserve">· Randomised clinical trial: semaglutide versus placebo reduced liver steatosis but not liver stiffness in subjects with non-alcoholic fatty liver disease assessed by magnetic resonance imaging. PMID 34570916</w:t>
      </w:r>
    </w:p>
    <w:p>
      <w:pPr>
        <w:numPr>
          <w:ilvl w:val="0"/>
          <w:numId w:val="1379"/>
        </w:numPr>
        <w:pStyle w:val="Compact"/>
      </w:pPr>
      <w:r>
        <w:t xml:space="preserve">2021 · Araki E ·</w:t>
      </w:r>
      <w:r>
        <w:t xml:space="preserve"> </w:t>
      </w:r>
      <w:r>
        <w:rPr>
          <w:iCs/>
          <w:i/>
        </w:rPr>
        <w:t xml:space="preserve">Diabetes Obes Metab</w:t>
      </w:r>
      <w:r>
        <w:t xml:space="preserve"> </w:t>
      </w:r>
      <w:r>
        <w:t xml:space="preserve">· Efficacy and safety of oral semaglutide in Japanese patients with type 2 diabetes: A post hoc subgroup analysis of the PIONEER 1, 3, 4 and 8 trials. PMID 34472698</w:t>
      </w:r>
    </w:p>
    <w:p>
      <w:pPr>
        <w:numPr>
          <w:ilvl w:val="0"/>
          <w:numId w:val="1379"/>
        </w:numPr>
        <w:pStyle w:val="Compact"/>
      </w:pPr>
      <w:r>
        <w:t xml:space="preserve">2021 · Frías JP ·</w:t>
      </w:r>
      <w:r>
        <w:t xml:space="preserve"> </w:t>
      </w:r>
      <w:r>
        <w:rPr>
          <w:iCs/>
          <w:i/>
        </w:rPr>
        <w:t xml:space="preserve">Lancet Diabetes Endocrinol</w:t>
      </w:r>
      <w:r>
        <w:t xml:space="preserve"> </w:t>
      </w:r>
      <w:r>
        <w:t xml:space="preserve">· Efficacy and safety of once-weekly semaglutide 2·0 mg versus 1·0 mg in patients with type 2 diabetes (SUSTAIN FORTE): a double-blind, randomised, phase 3B trial. PMID 34293304</w:t>
      </w:r>
    </w:p>
    <w:p>
      <w:pPr>
        <w:numPr>
          <w:ilvl w:val="0"/>
          <w:numId w:val="1379"/>
        </w:numPr>
        <w:pStyle w:val="Compact"/>
      </w:pPr>
      <w:r>
        <w:t xml:space="preserve">2021 · Hauge C ·</w:t>
      </w:r>
      <w:r>
        <w:t xml:space="preserve"> </w:t>
      </w:r>
      <w:r>
        <w:rPr>
          <w:iCs/>
          <w:i/>
        </w:rPr>
        <w:t xml:space="preserve">Expert Opin Drug Metab Toxicol</w:t>
      </w:r>
      <w:r>
        <w:t xml:space="preserve"> </w:t>
      </w:r>
      <w:r>
        <w:t xml:space="preserve">· Effect of oral semaglutide on the pharmacokinetics of thyroxine after dosing of levothyroxine and the influence of co-administered tablets on the pharmacokinetics of oral semaglutide in healthy subjects: an open-label, one-sequence crossover, single-center, multiple-dose, two-part trial. PMID 34289755</w:t>
      </w:r>
    </w:p>
    <w:p>
      <w:pPr>
        <w:numPr>
          <w:ilvl w:val="0"/>
          <w:numId w:val="1379"/>
        </w:numPr>
        <w:pStyle w:val="Compact"/>
      </w:pPr>
      <w:r>
        <w:t xml:space="preserve">2021 · Jensterle M ·</w:t>
      </w:r>
      <w:r>
        <w:t xml:space="preserve"> </w:t>
      </w:r>
      <w:r>
        <w:rPr>
          <w:iCs/>
          <w:i/>
        </w:rPr>
        <w:t xml:space="preserve">Diabetes Res Clin Pract</w:t>
      </w:r>
      <w:r>
        <w:t xml:space="preserve"> </w:t>
      </w:r>
      <w:r>
        <w:t xml:space="preserve">· Semaglutide reduces fat accumulation in the tongue: A randomized single-blind, pilot study. PMID 34217774</w:t>
      </w:r>
    </w:p>
    <w:p>
      <w:pPr>
        <w:numPr>
          <w:ilvl w:val="0"/>
          <w:numId w:val="1379"/>
        </w:numPr>
        <w:pStyle w:val="Compact"/>
      </w:pPr>
      <w:r>
        <w:t xml:space="preserve">2021 · Frías JP ·</w:t>
      </w:r>
      <w:r>
        <w:t xml:space="preserve"> </w:t>
      </w:r>
      <w:r>
        <w:rPr>
          <w:iCs/>
          <w:i/>
        </w:rPr>
        <w:t xml:space="preserve">N Engl J Med</w:t>
      </w:r>
      <w:r>
        <w:t xml:space="preserve"> </w:t>
      </w:r>
      <w:r>
        <w:t xml:space="preserve">· Tirzepatide versus Semaglutide Once Weekly in Patients with Type 2 Diabetes. PMID 34170647</w:t>
      </w:r>
    </w:p>
    <w:p>
      <w:pPr>
        <w:numPr>
          <w:ilvl w:val="0"/>
          <w:numId w:val="1379"/>
        </w:numPr>
        <w:pStyle w:val="Compact"/>
      </w:pPr>
      <w:r>
        <w:t xml:space="preserve">2021 · Dichtel LE ·</w:t>
      </w:r>
      <w:r>
        <w:t xml:space="preserve"> </w:t>
      </w:r>
      <w:r>
        <w:rPr>
          <w:iCs/>
          <w:i/>
        </w:rPr>
        <w:t xml:space="preserve">Hepatology</w:t>
      </w:r>
      <w:r>
        <w:t xml:space="preserve"> </w:t>
      </w:r>
      <w:r>
        <w:t xml:space="preserve">· The Glucagon-Like Peptide-1 Receptor Agonist, Semaglutide, for the Treatment of Nonalcoholic Steatohepatitis. PMID 33960005</w:t>
      </w:r>
    </w:p>
    <w:p>
      <w:pPr>
        <w:numPr>
          <w:ilvl w:val="0"/>
          <w:numId w:val="1379"/>
        </w:numPr>
        <w:pStyle w:val="Compact"/>
      </w:pPr>
      <w:r>
        <w:t xml:space="preserve">2021 · Enebo LB ·</w:t>
      </w:r>
      <w:r>
        <w:t xml:space="preserve"> </w:t>
      </w:r>
      <w:r>
        <w:rPr>
          <w:iCs/>
          <w:i/>
        </w:rPr>
        <w:t xml:space="preserve">Lancet</w:t>
      </w:r>
      <w:r>
        <w:t xml:space="preserve"> </w:t>
      </w:r>
      <w:r>
        <w:t xml:space="preserve">· Safety, tolerability, pharmacokinetics, and pharmacodynamics of concomitant administration of multiple doses of cagrilintide with semaglutide 2·4 mg for weight management: a randomised, controlled, phase 1b trial. PMID 33894838</w:t>
      </w:r>
    </w:p>
    <w:p>
      <w:pPr>
        <w:numPr>
          <w:ilvl w:val="0"/>
          <w:numId w:val="1379"/>
        </w:numPr>
        <w:pStyle w:val="Compact"/>
      </w:pPr>
      <w:r>
        <w:t xml:space="preserve">2021 · Jordy AB ·</w:t>
      </w:r>
      <w:r>
        <w:t xml:space="preserve"> </w:t>
      </w:r>
      <w:r>
        <w:rPr>
          <w:iCs/>
          <w:i/>
        </w:rPr>
        <w:t xml:space="preserve">Clin Pharmacokinet</w:t>
      </w:r>
      <w:r>
        <w:t xml:space="preserve"> </w:t>
      </w:r>
      <w:r>
        <w:t xml:space="preserve">· Effect of Oral Semaglutide on the Pharmacokinetics of Levonorgestrel and Ethinylestradiol in Healthy Postmenopausal Women and Furosemide and Rosuvastatin in Healthy Subjects. PMID 33782832</w:t>
      </w:r>
    </w:p>
    <w:p>
      <w:pPr>
        <w:numPr>
          <w:ilvl w:val="0"/>
          <w:numId w:val="1379"/>
        </w:numPr>
        <w:pStyle w:val="Compact"/>
      </w:pPr>
      <w:r>
        <w:t xml:space="preserve">2021 · Rubino D ·</w:t>
      </w:r>
      <w:r>
        <w:t xml:space="preserve"> </w:t>
      </w:r>
      <w:r>
        <w:rPr>
          <w:iCs/>
          <w:i/>
        </w:rPr>
        <w:t xml:space="preserve">JAMA</w:t>
      </w:r>
      <w:r>
        <w:t xml:space="preserve"> </w:t>
      </w:r>
      <w:r>
        <w:t xml:space="preserve">· Effect of Continued Weekly Subcutaneous Semaglutide vs Placebo on Weight Loss Maintenance in Adults With Overweight or Obesity: The STEP 4 Randomized Clinical Trial. PMID 33755728</w:t>
      </w:r>
    </w:p>
    <w:p>
      <w:pPr>
        <w:numPr>
          <w:ilvl w:val="0"/>
          <w:numId w:val="1379"/>
        </w:numPr>
        <w:pStyle w:val="Compact"/>
      </w:pPr>
      <w:r>
        <w:t xml:space="preserve">2021 · Baekdal TA ·</w:t>
      </w:r>
      <w:r>
        <w:t xml:space="preserve"> </w:t>
      </w:r>
      <w:r>
        <w:rPr>
          <w:iCs/>
          <w:i/>
        </w:rPr>
        <w:t xml:space="preserve">Clin Pharmacol Drug Dev</w:t>
      </w:r>
      <w:r>
        <w:t xml:space="preserve"> </w:t>
      </w:r>
      <w:r>
        <w:t xml:space="preserve">· Relationship Between Oral Semaglutide Tablet Erosion and Pharmacokinetics: A Pharmacoscintigraphic Study. PMID 33750044</w:t>
      </w:r>
    </w:p>
    <w:p>
      <w:pPr>
        <w:numPr>
          <w:ilvl w:val="0"/>
          <w:numId w:val="1379"/>
        </w:numPr>
        <w:pStyle w:val="Compact"/>
      </w:pPr>
      <w:r>
        <w:t xml:space="preserve">2021 · Dahl K ·</w:t>
      </w:r>
      <w:r>
        <w:t xml:space="preserve"> </w:t>
      </w:r>
      <w:r>
        <w:rPr>
          <w:iCs/>
          <w:i/>
        </w:rPr>
        <w:t xml:space="preserve">Diabetes Obes Metab</w:t>
      </w:r>
      <w:r>
        <w:t xml:space="preserve"> </w:t>
      </w:r>
      <w:r>
        <w:t xml:space="preserve">· Oral semaglutide improves postprandial glucose and lipid metabolism, and delays gastric emptying, in subjects with type 2 diabetes. PMID 33710717</w:t>
      </w:r>
    </w:p>
    <w:p>
      <w:pPr>
        <w:numPr>
          <w:ilvl w:val="0"/>
          <w:numId w:val="1379"/>
        </w:numPr>
        <w:pStyle w:val="Compact"/>
      </w:pPr>
      <w:r>
        <w:t xml:space="preserve">2021 · Davies M ·</w:t>
      </w:r>
      <w:r>
        <w:t xml:space="preserve"> </w:t>
      </w:r>
      <w:r>
        <w:rPr>
          <w:iCs/>
          <w:i/>
        </w:rPr>
        <w:t xml:space="preserve">Lancet</w:t>
      </w:r>
      <w:r>
        <w:t xml:space="preserve"> </w:t>
      </w:r>
      <w:r>
        <w:t xml:space="preserve">· Semaglutide 2·4 mg once a week in adults with overweight or obesity, and type 2 diabetes (STEP 2): a randomised, double-blind, double-dummy, placebo-controlled, phase 3 trial. PMID 33667417</w:t>
      </w:r>
    </w:p>
    <w:p>
      <w:pPr>
        <w:numPr>
          <w:ilvl w:val="0"/>
          <w:numId w:val="1379"/>
        </w:numPr>
        <w:pStyle w:val="Compact"/>
      </w:pPr>
      <w:r>
        <w:t xml:space="preserve">2021 · Wadden TA ·</w:t>
      </w:r>
      <w:r>
        <w:t xml:space="preserve"> </w:t>
      </w:r>
      <w:r>
        <w:rPr>
          <w:iCs/>
          <w:i/>
        </w:rPr>
        <w:t xml:space="preserve">JAMA</w:t>
      </w:r>
      <w:r>
        <w:t xml:space="preserve"> </w:t>
      </w:r>
      <w:r>
        <w:t xml:space="preserve">· Effect of Subcutaneous Semaglutide vs Placebo as an Adjunct to Intensive Behavioral Therapy on Body Weight in Adults With Overweight or Obesity: The STEP 3 Randomized Clinical Trial. PMID 33625476</w:t>
      </w:r>
    </w:p>
    <w:p>
      <w:pPr>
        <w:numPr>
          <w:ilvl w:val="0"/>
          <w:numId w:val="1379"/>
        </w:numPr>
        <w:pStyle w:val="Compact"/>
      </w:pPr>
      <w:r>
        <w:t xml:space="preserve">2021 · Snitker S ·</w:t>
      </w:r>
      <w:r>
        <w:t xml:space="preserve"> </w:t>
      </w:r>
      <w:r>
        <w:rPr>
          <w:iCs/>
          <w:i/>
        </w:rPr>
        <w:t xml:space="preserve">Diabetes Obes Metab</w:t>
      </w:r>
      <w:r>
        <w:t xml:space="preserve"> </w:t>
      </w:r>
      <w:r>
        <w:t xml:space="preserve">· Comparison of the injection-site experience of the starting doses with semaglutide and dulaglutide: A randomized, double-blind trial in healthy subjects. PMID 33591618</w:t>
      </w:r>
    </w:p>
    <w:p>
      <w:pPr>
        <w:numPr>
          <w:ilvl w:val="0"/>
          <w:numId w:val="1379"/>
        </w:numPr>
        <w:pStyle w:val="Compact"/>
      </w:pPr>
      <w:r>
        <w:t xml:space="preserve">2021 · Wilding JPH ·</w:t>
      </w:r>
      <w:r>
        <w:t xml:space="preserve"> </w:t>
      </w:r>
      <w:r>
        <w:rPr>
          <w:iCs/>
          <w:i/>
        </w:rPr>
        <w:t xml:space="preserve">N Engl J Med</w:t>
      </w:r>
      <w:r>
        <w:t xml:space="preserve"> </w:t>
      </w:r>
      <w:r>
        <w:t xml:space="preserve">· Once-Weekly Semaglutide in Adults with Overweight or Obesity. PMID 33567185</w:t>
      </w:r>
    </w:p>
    <w:p>
      <w:pPr>
        <w:numPr>
          <w:ilvl w:val="0"/>
          <w:numId w:val="1379"/>
        </w:numPr>
        <w:pStyle w:val="Compact"/>
      </w:pPr>
      <w:r>
        <w:t xml:space="preserve">2021 · Birudaraju D ·</w:t>
      </w:r>
      <w:r>
        <w:t xml:space="preserve"> </w:t>
      </w:r>
      <w:r>
        <w:rPr>
          <w:iCs/>
          <w:i/>
        </w:rPr>
        <w:t xml:space="preserve">J Diabetes Complications</w:t>
      </w:r>
      <w:r>
        <w:t xml:space="preserve"> </w:t>
      </w:r>
      <w:r>
        <w:t xml:space="preserve">· Prevalence of normal coronary arteries by coronary computed tomography angiography (CCTA) in patients with type 2 diabetes mellitus from Semaglutide Treatment on Coronary Plaque Progression (STOP) trial. PMID 33419635</w:t>
      </w:r>
    </w:p>
    <w:p>
      <w:pPr>
        <w:numPr>
          <w:ilvl w:val="0"/>
          <w:numId w:val="1379"/>
        </w:numPr>
        <w:pStyle w:val="Compact"/>
      </w:pPr>
      <w:r>
        <w:t xml:space="preserve">2021 · Friedrichsen M ·</w:t>
      </w:r>
      <w:r>
        <w:t xml:space="preserve"> </w:t>
      </w:r>
      <w:r>
        <w:rPr>
          <w:iCs/>
          <w:i/>
        </w:rPr>
        <w:t xml:space="preserve">Diabetes Obes Metab</w:t>
      </w:r>
      <w:r>
        <w:t xml:space="preserve"> </w:t>
      </w:r>
      <w:r>
        <w:t xml:space="preserve">· The effect of semaglutide 2.4 mg once weekly on energy intake, appetite, control of eating, and gastric emptying in adults with obesity. PMID 33269530</w:t>
      </w:r>
    </w:p>
    <w:p>
      <w:pPr>
        <w:numPr>
          <w:ilvl w:val="0"/>
          <w:numId w:val="1379"/>
        </w:numPr>
        <w:pStyle w:val="Compact"/>
      </w:pPr>
      <w:r>
        <w:t xml:space="preserve">2021 · Newsome PN ·</w:t>
      </w:r>
      <w:r>
        <w:t xml:space="preserve"> </w:t>
      </w:r>
      <w:r>
        <w:rPr>
          <w:iCs/>
          <w:i/>
        </w:rPr>
        <w:t xml:space="preserve">N Engl J Med</w:t>
      </w:r>
      <w:r>
        <w:t xml:space="preserve"> </w:t>
      </w:r>
      <w:r>
        <w:t xml:space="preserve">· A Placebo-Controlled Trial of Subcutaneous Semaglutide in Nonalcoholic Steatohepatitis. PMID 33185364</w:t>
      </w:r>
    </w:p>
    <w:p>
      <w:pPr>
        <w:numPr>
          <w:ilvl w:val="0"/>
          <w:numId w:val="1379"/>
        </w:numPr>
        <w:pStyle w:val="Compact"/>
      </w:pPr>
      <w:r>
        <w:t xml:space="preserve">2021 · Gibbons C ·</w:t>
      </w:r>
      <w:r>
        <w:t xml:space="preserve"> </w:t>
      </w:r>
      <w:r>
        <w:rPr>
          <w:iCs/>
          <w:i/>
        </w:rPr>
        <w:t xml:space="preserve">Diabetes Obes Metab</w:t>
      </w:r>
      <w:r>
        <w:t xml:space="preserve"> </w:t>
      </w:r>
      <w:r>
        <w:t xml:space="preserve">· Effects of oral semaglutide on energy intake, food preference, appetite, control of eating and body weight in subjects with type 2 diabetes. PMID 33184979</w:t>
      </w:r>
    </w:p>
    <w:p>
      <w:pPr>
        <w:numPr>
          <w:ilvl w:val="0"/>
          <w:numId w:val="1379"/>
        </w:numPr>
        <w:pStyle w:val="Compact"/>
      </w:pPr>
      <w:r>
        <w:t xml:space="preserve">2021 · Shi A ·</w:t>
      </w:r>
      <w:r>
        <w:t xml:space="preserve"> </w:t>
      </w:r>
      <w:r>
        <w:rPr>
          <w:iCs/>
          <w:i/>
        </w:rPr>
        <w:t xml:space="preserve">Adv Ther</w:t>
      </w:r>
      <w:r>
        <w:t xml:space="preserve"> </w:t>
      </w:r>
      <w:r>
        <w:t xml:space="preserve">· Pharmacokinetics, Safety and Tolerability of Once-Weekly Subcutaneous Semaglutide in Healthy Chinese Subjects: A Double-Blind, Phase 1, Randomized Controlled Trial. PMID 33159658</w:t>
      </w:r>
    </w:p>
    <w:p>
      <w:pPr>
        <w:numPr>
          <w:ilvl w:val="0"/>
          <w:numId w:val="1379"/>
        </w:numPr>
        <w:pStyle w:val="Compact"/>
      </w:pPr>
      <w:r>
        <w:t xml:space="preserve">2021 · Ji L ·</w:t>
      </w:r>
      <w:r>
        <w:t xml:space="preserve"> </w:t>
      </w:r>
      <w:r>
        <w:rPr>
          <w:iCs/>
          <w:i/>
        </w:rPr>
        <w:t xml:space="preserve">Diabetes Obes Metab</w:t>
      </w:r>
      <w:r>
        <w:t xml:space="preserve"> </w:t>
      </w:r>
      <w:r>
        <w:t xml:space="preserve">· Efficacy and safety of once-weekly semaglutide versus once-daily sitagliptin as add-on to metformin in patients with type 2 diabetes in SUSTAIN China: A 30-week, double-blind, phase 3a, randomized trial. PMID 33074557</w:t>
      </w:r>
    </w:p>
    <w:p>
      <w:pPr>
        <w:numPr>
          <w:ilvl w:val="0"/>
          <w:numId w:val="1379"/>
        </w:numPr>
        <w:pStyle w:val="Compact"/>
      </w:pPr>
      <w:r>
        <w:t xml:space="preserve">2020 · Rodbard HW ·</w:t>
      </w:r>
      <w:r>
        <w:t xml:space="preserve"> </w:t>
      </w:r>
      <w:r>
        <w:rPr>
          <w:iCs/>
          <w:i/>
        </w:rPr>
        <w:t xml:space="preserve">Am J Manag Care</w:t>
      </w:r>
      <w:r>
        <w:t xml:space="preserve"> </w:t>
      </w:r>
      <w:r>
        <w:t xml:space="preserve">· Efficacy of oral semaglutide: overview of the PIONEER clinical trial program and implications for managed care. PMID 33439582</w:t>
      </w:r>
    </w:p>
    <w:p>
      <w:pPr>
        <w:numPr>
          <w:ilvl w:val="0"/>
          <w:numId w:val="1379"/>
        </w:numPr>
        <w:pStyle w:val="Compact"/>
      </w:pPr>
      <w:r>
        <w:t xml:space="preserve">2020 · Buse JB ·</w:t>
      </w:r>
      <w:r>
        <w:t xml:space="preserve"> </w:t>
      </w:r>
      <w:r>
        <w:rPr>
          <w:iCs/>
          <w:i/>
        </w:rPr>
        <w:t xml:space="preserve">BMJ Open Diabetes Res Care</w:t>
      </w:r>
      <w:r>
        <w:t xml:space="preserve"> </w:t>
      </w:r>
      <w:r>
        <w:t xml:space="preserve">· Long-term efficacy and safety of oral semaglutide and the effect of switching from sitagliptin to oral semaglutide in patients with type 2 diabetes: a 52-week, randomized, open-label extension of the PIONEER 7 trial. PMID 33318068</w:t>
      </w:r>
    </w:p>
    <w:p>
      <w:pPr>
        <w:numPr>
          <w:ilvl w:val="0"/>
          <w:numId w:val="1379"/>
        </w:numPr>
        <w:pStyle w:val="Compact"/>
      </w:pPr>
      <w:r>
        <w:t xml:space="preserve">2020 · Mann JFE ·</w:t>
      </w:r>
      <w:r>
        <w:t xml:space="preserve"> </w:t>
      </w:r>
      <w:r>
        <w:rPr>
          <w:iCs/>
          <w:i/>
        </w:rPr>
        <w:t xml:space="preserve">Lancet Diabetes Endocrinol</w:t>
      </w:r>
      <w:r>
        <w:t xml:space="preserve"> </w:t>
      </w:r>
      <w:r>
        <w:t xml:space="preserve">· Effects of once-weekly subcutaneous semaglutide on kidney function and safety in patients with type 2 diabetes: a post-hoc analysis of the SUSTAIN 1-7 randomised controlled trials. PMID 32971040</w:t>
      </w:r>
    </w:p>
    <w:p>
      <w:pPr>
        <w:numPr>
          <w:ilvl w:val="0"/>
          <w:numId w:val="1379"/>
        </w:numPr>
        <w:pStyle w:val="Compact"/>
      </w:pPr>
      <w:r>
        <w:t xml:space="preserve">2020 · Verma S ·</w:t>
      </w:r>
      <w:r>
        <w:t xml:space="preserve"> </w:t>
      </w:r>
      <w:r>
        <w:rPr>
          <w:iCs/>
          <w:i/>
        </w:rPr>
        <w:t xml:space="preserve">Diabetes Obes Metab</w:t>
      </w:r>
      <w:r>
        <w:t xml:space="preserve"> </w:t>
      </w:r>
      <w:r>
        <w:t xml:space="preserve">· Impact of microvascular disease on cardiovascular outcomes in type 2 diabetes: Results from the LEADER and SUSTAIN 6 clinical trials. PMID 32643857</w:t>
      </w:r>
    </w:p>
    <w:p>
      <w:pPr>
        <w:numPr>
          <w:ilvl w:val="0"/>
          <w:numId w:val="1379"/>
        </w:numPr>
        <w:pStyle w:val="Compact"/>
      </w:pPr>
      <w:r>
        <w:t xml:space="preserve">2020 · Kushner RF ·</w:t>
      </w:r>
      <w:r>
        <w:t xml:space="preserve"> </w:t>
      </w:r>
      <w:r>
        <w:rPr>
          <w:iCs/>
          <w:i/>
        </w:rPr>
        <w:t xml:space="preserve">Obesity (Silver Spring)</w:t>
      </w:r>
      <w:r>
        <w:t xml:space="preserve"> </w:t>
      </w:r>
      <w:r>
        <w:t xml:space="preserve">· Semaglutide 2.4 mg for the Treatment of Obesity: Key Elements of the STEP Trials 1 to 5. PMID 32441473</w:t>
      </w:r>
    </w:p>
    <w:p>
      <w:pPr>
        <w:numPr>
          <w:ilvl w:val="0"/>
          <w:numId w:val="1379"/>
        </w:numPr>
        <w:pStyle w:val="Compact"/>
      </w:pPr>
      <w:r>
        <w:t xml:space="preserve">2020 · Leiter LA ·</w:t>
      </w:r>
      <w:r>
        <w:t xml:space="preserve"> </w:t>
      </w:r>
      <w:r>
        <w:rPr>
          <w:iCs/>
          <w:i/>
        </w:rPr>
        <w:t xml:space="preserve">Diabetes Obes Metab</w:t>
      </w:r>
      <w:r>
        <w:t xml:space="preserve"> </w:t>
      </w:r>
      <w:r>
        <w:t xml:space="preserve">· The effect of glucagon-like peptide-1 receptor agonists liraglutide and semaglutide on cardiovascular and renal outcomes across baseline blood pressure categories: Analysis of the LEADER and SUSTAIN 6 trials. PMID 32372454</w:t>
      </w:r>
    </w:p>
    <w:p>
      <w:pPr>
        <w:numPr>
          <w:ilvl w:val="0"/>
          <w:numId w:val="1379"/>
        </w:numPr>
        <w:pStyle w:val="Compact"/>
      </w:pPr>
      <w:r>
        <w:t xml:space="preserve">2020 · Yabe D ·</w:t>
      </w:r>
      <w:r>
        <w:t xml:space="preserve"> </w:t>
      </w:r>
      <w:r>
        <w:rPr>
          <w:iCs/>
          <w:i/>
        </w:rPr>
        <w:t xml:space="preserve">Lancet Diabetes Endocrinol</w:t>
      </w:r>
      <w:r>
        <w:t xml:space="preserve"> </w:t>
      </w:r>
      <w:r>
        <w:t xml:space="preserve">· Safety and efficacy of oral semaglutide versus dulaglutide in Japanese patients with type 2 diabetes (PIONEER 10): an open-label, randomised, active-controlled, phase 3a trial. PMID 32333876</w:t>
      </w:r>
    </w:p>
    <w:p>
      <w:pPr>
        <w:numPr>
          <w:ilvl w:val="0"/>
          <w:numId w:val="1379"/>
        </w:numPr>
        <w:pStyle w:val="Compact"/>
      </w:pPr>
      <w:r>
        <w:t xml:space="preserve">2020 · Yamada Y ·</w:t>
      </w:r>
      <w:r>
        <w:t xml:space="preserve"> </w:t>
      </w:r>
      <w:r>
        <w:rPr>
          <w:iCs/>
          <w:i/>
        </w:rPr>
        <w:t xml:space="preserve">Lancet Diabetes Endocrinol</w:t>
      </w:r>
      <w:r>
        <w:t xml:space="preserve"> </w:t>
      </w:r>
      <w:r>
        <w:t xml:space="preserve">· Dose-response, efficacy, and safety of oral semaglutide monotherapy in Japanese patients with type 2 diabetes (PIONEER 9): a 52-week, phase 2/3a, randomised, controlled trial. PMID 32333875</w:t>
      </w:r>
    </w:p>
    <w:p>
      <w:pPr>
        <w:numPr>
          <w:ilvl w:val="0"/>
          <w:numId w:val="1379"/>
        </w:numPr>
        <w:pStyle w:val="Compact"/>
      </w:pPr>
      <w:r>
        <w:t xml:space="preserve">2020 · Jódar E ·</w:t>
      </w:r>
      <w:r>
        <w:t xml:space="preserve"> </w:t>
      </w:r>
      <w:r>
        <w:rPr>
          <w:iCs/>
          <w:i/>
        </w:rPr>
        <w:t xml:space="preserve">Diabetes Obes Metab</w:t>
      </w:r>
      <w:r>
        <w:t xml:space="preserve"> </w:t>
      </w:r>
      <w:r>
        <w:t xml:space="preserve">· Semaglutide improves health-related quality of life versus placebo when added to standard of care in patients with type 2 diabetes at high cardiovascular risk (SUSTAIN 6). PMID 32227613</w:t>
      </w:r>
    </w:p>
    <w:p>
      <w:pPr>
        <w:numPr>
          <w:ilvl w:val="0"/>
          <w:numId w:val="1379"/>
        </w:numPr>
        <w:pStyle w:val="Compact"/>
      </w:pPr>
      <w:r>
        <w:t xml:space="preserve">2020 · Doggrell SA ·</w:t>
      </w:r>
      <w:r>
        <w:t xml:space="preserve"> </w:t>
      </w:r>
      <w:r>
        <w:rPr>
          <w:iCs/>
          <w:i/>
        </w:rPr>
        <w:t xml:space="preserve">Expert Opin Biol Ther</w:t>
      </w:r>
      <w:r>
        <w:t xml:space="preserve"> </w:t>
      </w:r>
      <w:r>
        <w:t xml:space="preserve">· Will oral semaglutide be used to reduce cardiovascular risk in subjects with type 2 diabetes instead of subcutaneous semaglutide?. PMID 32005073</w:t>
      </w:r>
    </w:p>
    <w:p>
      <w:pPr>
        <w:numPr>
          <w:ilvl w:val="0"/>
          <w:numId w:val="1379"/>
        </w:numPr>
        <w:pStyle w:val="Compact"/>
      </w:pPr>
      <w:r>
        <w:t xml:space="preserve">2020 · McCrimmon RJ ·</w:t>
      </w:r>
      <w:r>
        <w:t xml:space="preserve"> </w:t>
      </w:r>
      <w:r>
        <w:rPr>
          <w:iCs/>
          <w:i/>
        </w:rPr>
        <w:t xml:space="preserve">Diabetologia</w:t>
      </w:r>
      <w:r>
        <w:t xml:space="preserve"> </w:t>
      </w:r>
      <w:r>
        <w:t xml:space="preserve">· Effects of once-weekly semaglutide vs once-daily canagliflozin on body composition in type 2 diabetes: a substudy of the SUSTAIN 8 randomised controlled clinical trial. PMID 31897524</w:t>
      </w:r>
    </w:p>
    <w:p>
      <w:pPr>
        <w:numPr>
          <w:ilvl w:val="0"/>
          <w:numId w:val="1379"/>
        </w:numPr>
        <w:pStyle w:val="Compact"/>
      </w:pPr>
      <w:r>
        <w:t xml:space="preserve">2020 · DeSouza C ·</w:t>
      </w:r>
      <w:r>
        <w:t xml:space="preserve"> </w:t>
      </w:r>
      <w:r>
        <w:rPr>
          <w:iCs/>
          <w:i/>
        </w:rPr>
        <w:t xml:space="preserve">J Clin Endocrinol Metab</w:t>
      </w:r>
      <w:r>
        <w:t xml:space="preserve"> </w:t>
      </w:r>
      <w:r>
        <w:t xml:space="preserve">· Efficacy and Safety of Semaglutide for Type 2 Diabetes by Race and Ethnicity: A Post Hoc Analysis of the SUSTAIN Trials. PMID 31769496</w:t>
      </w:r>
    </w:p>
    <w:p>
      <w:pPr>
        <w:numPr>
          <w:ilvl w:val="0"/>
          <w:numId w:val="1379"/>
        </w:numPr>
        <w:pStyle w:val="Compact"/>
      </w:pPr>
      <w:r>
        <w:t xml:space="preserve">2020 · Matza LS ·</w:t>
      </w:r>
      <w:r>
        <w:t xml:space="preserve"> </w:t>
      </w:r>
      <w:r>
        <w:rPr>
          <w:iCs/>
          <w:i/>
        </w:rPr>
        <w:t xml:space="preserve">Diabetes Obes Metab</w:t>
      </w:r>
      <w:r>
        <w:t xml:space="preserve"> </w:t>
      </w:r>
      <w:r>
        <w:t xml:space="preserve">· Assessing patient PREFERence between the dulaglutide pen and the semaglutide pen: A crossover study (PREFER). PMID 31646727</w:t>
      </w:r>
    </w:p>
    <w:p>
      <w:pPr>
        <w:numPr>
          <w:ilvl w:val="0"/>
          <w:numId w:val="1379"/>
        </w:numPr>
        <w:pStyle w:val="Compact"/>
      </w:pPr>
      <w:r>
        <w:t xml:space="preserve">2020 · Capehorn MS ·</w:t>
      </w:r>
      <w:r>
        <w:t xml:space="preserve"> </w:t>
      </w:r>
      <w:r>
        <w:rPr>
          <w:iCs/>
          <w:i/>
        </w:rPr>
        <w:t xml:space="preserve">Diabetes Metab</w:t>
      </w:r>
      <w:r>
        <w:t xml:space="preserve"> </w:t>
      </w:r>
      <w:r>
        <w:t xml:space="preserve">· Efficacy and safety of once-weekly semaglutide 1.0mg vs once-daily liraglutide 1.2mg as add-on to 1-3 oral antidiabetic drugs in subjects with type 2 diabetes (SUSTAIN 10). PMID 31539622</w:t>
      </w:r>
    </w:p>
    <w:p>
      <w:pPr>
        <w:numPr>
          <w:ilvl w:val="0"/>
          <w:numId w:val="1379"/>
        </w:numPr>
        <w:pStyle w:val="Compact"/>
      </w:pPr>
      <w:r>
        <w:t xml:space="preserve">2019 · Lingvay I ·</w:t>
      </w:r>
      <w:r>
        <w:t xml:space="preserve"> </w:t>
      </w:r>
      <w:r>
        <w:rPr>
          <w:iCs/>
          <w:i/>
        </w:rPr>
        <w:t xml:space="preserve">Lancet Diabetes Endocrinol</w:t>
      </w:r>
      <w:r>
        <w:t xml:space="preserve"> </w:t>
      </w:r>
      <w:r>
        <w:t xml:space="preserve">· Efficacy and safety of once-weekly semaglutide versus daily canagliflozin as add-on to metformin in patients with type 2 diabetes (SUSTAIN 8): a double-blind, phase 3b, randomised controlled trial. PMID 31540867</w:t>
      </w:r>
    </w:p>
    <w:p>
      <w:pPr>
        <w:numPr>
          <w:ilvl w:val="0"/>
          <w:numId w:val="1379"/>
        </w:numPr>
        <w:pStyle w:val="Compact"/>
      </w:pPr>
      <w:r>
        <w:t xml:space="preserve">2019 · Zinman B ·</w:t>
      </w:r>
      <w:r>
        <w:t xml:space="preserve"> </w:t>
      </w:r>
      <w:r>
        <w:rPr>
          <w:iCs/>
          <w:i/>
        </w:rPr>
        <w:t xml:space="preserve">Diabetes Care</w:t>
      </w:r>
      <w:r>
        <w:t xml:space="preserve"> </w:t>
      </w:r>
      <w:r>
        <w:t xml:space="preserve">· Efficacy, Safety, and Tolerability of Oral Semaglutide Versus Placebo Added to Insulin With or Without Metformin in Patients With Type 2 Diabetes: The PIONEER 8 Trial. PMID 31530667</w:t>
      </w:r>
    </w:p>
    <w:p>
      <w:pPr>
        <w:numPr>
          <w:ilvl w:val="0"/>
          <w:numId w:val="1379"/>
        </w:numPr>
        <w:pStyle w:val="Compact"/>
      </w:pPr>
      <w:r>
        <w:t xml:space="preserve">2019 · Rodbard HW ·</w:t>
      </w:r>
      <w:r>
        <w:t xml:space="preserve"> </w:t>
      </w:r>
      <w:r>
        <w:rPr>
          <w:iCs/>
          <w:i/>
        </w:rPr>
        <w:t xml:space="preserve">Diabetes Care</w:t>
      </w:r>
      <w:r>
        <w:t xml:space="preserve"> </w:t>
      </w:r>
      <w:r>
        <w:t xml:space="preserve">· Oral Semaglutide Versus Empagliflozin in Patients With Type 2 Diabetes Uncontrolled on Metformin: The PIONEER 2 Trial. PMID 31530666</w:t>
      </w:r>
    </w:p>
    <w:p>
      <w:pPr>
        <w:numPr>
          <w:ilvl w:val="0"/>
          <w:numId w:val="1379"/>
        </w:numPr>
        <w:pStyle w:val="Compact"/>
      </w:pPr>
      <w:r>
        <w:t xml:space="preserve">2019 · Jendle J ·</w:t>
      </w:r>
      <w:r>
        <w:t xml:space="preserve"> </w:t>
      </w:r>
      <w:r>
        <w:rPr>
          <w:iCs/>
          <w:i/>
        </w:rPr>
        <w:t xml:space="preserve">Diabetes Obes Metab</w:t>
      </w:r>
      <w:r>
        <w:t xml:space="preserve"> </w:t>
      </w:r>
      <w:r>
        <w:t xml:space="preserve">· Improved treatment satisfaction in patients with type 2 diabetes treated with once-weekly semaglutide in the SUSTAIN trials. PMID 31215727</w:t>
      </w:r>
    </w:p>
    <w:p>
      <w:pPr>
        <w:numPr>
          <w:ilvl w:val="0"/>
          <w:numId w:val="1379"/>
        </w:numPr>
        <w:pStyle w:val="Compact"/>
      </w:pPr>
      <w:r>
        <w:t xml:space="preserve">2019 · Pieber TR ·</w:t>
      </w:r>
      <w:r>
        <w:t xml:space="preserve"> </w:t>
      </w:r>
      <w:r>
        <w:rPr>
          <w:iCs/>
          <w:i/>
        </w:rPr>
        <w:t xml:space="preserve">Lancet Diabetes Endocrinol</w:t>
      </w:r>
      <w:r>
        <w:t xml:space="preserve"> </w:t>
      </w:r>
      <w:r>
        <w:t xml:space="preserve">· Efficacy and safety of oral semaglutide with flexible dose adjustment versus sitagliptin in type 2 diabetes (PIONEER 7): a multicentre, open-label, randomised, phase 3a trial. PMID 31189520</w:t>
      </w:r>
    </w:p>
    <w:p>
      <w:pPr>
        <w:numPr>
          <w:ilvl w:val="0"/>
          <w:numId w:val="1379"/>
        </w:numPr>
        <w:pStyle w:val="Compact"/>
      </w:pPr>
      <w:r>
        <w:t xml:space="preserve">2019 · Mosenzon O ·</w:t>
      </w:r>
      <w:r>
        <w:t xml:space="preserve"> </w:t>
      </w:r>
      <w:r>
        <w:rPr>
          <w:iCs/>
          <w:i/>
        </w:rPr>
        <w:t xml:space="preserve">Lancet Diabetes Endocrinol</w:t>
      </w:r>
      <w:r>
        <w:t xml:space="preserve"> </w:t>
      </w:r>
      <w:r>
        <w:t xml:space="preserve">· Efficacy and safety of oral semaglutide in patients with type 2 diabetes and moderate renal impairment (PIONEER 5): a placebo-controlled, randomised, phase 3a trial. PMID 31189517</w:t>
      </w:r>
    </w:p>
    <w:p>
      <w:pPr>
        <w:numPr>
          <w:ilvl w:val="0"/>
          <w:numId w:val="1379"/>
        </w:numPr>
        <w:pStyle w:val="Compact"/>
      </w:pPr>
      <w:r>
        <w:t xml:space="preserve">2019 · Pratley R ·</w:t>
      </w:r>
      <w:r>
        <w:t xml:space="preserve"> </w:t>
      </w:r>
      <w:r>
        <w:rPr>
          <w:iCs/>
          <w:i/>
        </w:rPr>
        <w:t xml:space="preserve">Lancet</w:t>
      </w:r>
      <w:r>
        <w:t xml:space="preserve"> </w:t>
      </w:r>
      <w:r>
        <w:t xml:space="preserve">· Oral semaglutide versus subcutaneous liraglutide and placebo in type 2 diabetes (PIONEER 4): a randomised, double-blind, phase 3a trial. PMID 31186120</w:t>
      </w:r>
    </w:p>
    <w:p>
      <w:pPr>
        <w:numPr>
          <w:ilvl w:val="0"/>
          <w:numId w:val="1379"/>
        </w:numPr>
        <w:pStyle w:val="Compact"/>
      </w:pPr>
      <w:r>
        <w:t xml:space="preserve">2019 · Husain M ·</w:t>
      </w:r>
      <w:r>
        <w:t xml:space="preserve"> </w:t>
      </w:r>
      <w:r>
        <w:rPr>
          <w:iCs/>
          <w:i/>
        </w:rPr>
        <w:t xml:space="preserve">N Engl J Med</w:t>
      </w:r>
      <w:r>
        <w:t xml:space="preserve"> </w:t>
      </w:r>
      <w:r>
        <w:t xml:space="preserve">· Oral Semaglutide and Cardiovascular Outcomes in Patients with Type 2 Diabetes. PMID 31185157</w:t>
      </w:r>
    </w:p>
    <w:p>
      <w:pPr>
        <w:numPr>
          <w:ilvl w:val="0"/>
          <w:numId w:val="1379"/>
        </w:numPr>
        <w:pStyle w:val="Compact"/>
      </w:pPr>
      <w:r>
        <w:t xml:space="preserve">2019 · Bækdal TA ·</w:t>
      </w:r>
      <w:r>
        <w:t xml:space="preserve"> </w:t>
      </w:r>
      <w:r>
        <w:rPr>
          <w:iCs/>
          <w:i/>
        </w:rPr>
        <w:t xml:space="preserve">Clin Pharmacokinet</w:t>
      </w:r>
      <w:r>
        <w:t xml:space="preserve"> </w:t>
      </w:r>
      <w:r>
        <w:t xml:space="preserve">· Effect of Oral Semaglutide on the Pharmacokinetics of Lisinopril, Warfarin, Digoxin, and Metformin in Healthy Subjects. PMID 30945118</w:t>
      </w:r>
    </w:p>
    <w:p>
      <w:pPr>
        <w:numPr>
          <w:ilvl w:val="0"/>
          <w:numId w:val="1379"/>
        </w:numPr>
        <w:pStyle w:val="Compact"/>
      </w:pPr>
      <w:r>
        <w:t xml:space="preserve">2019 · Rosenstock J ·</w:t>
      </w:r>
      <w:r>
        <w:t xml:space="preserve"> </w:t>
      </w:r>
      <w:r>
        <w:rPr>
          <w:iCs/>
          <w:i/>
        </w:rPr>
        <w:t xml:space="preserve">JAMA</w:t>
      </w:r>
      <w:r>
        <w:t xml:space="preserve"> </w:t>
      </w:r>
      <w:r>
        <w:t xml:space="preserve">· Effect of Additional Oral Semaglutide vs Sitagliptin on Glycated Hemoglobin in Adults With Type 2 Diabetes Uncontrolled With Metformin Alone or With Sulfonylurea: The PIONEER 3 Randomized Clinical Trial. PMID 30903796</w:t>
      </w:r>
    </w:p>
    <w:p>
      <w:pPr>
        <w:numPr>
          <w:ilvl w:val="0"/>
          <w:numId w:val="1379"/>
        </w:numPr>
        <w:pStyle w:val="Compact"/>
      </w:pPr>
      <w:r>
        <w:t xml:space="preserve">2019 · Zinman B ·</w:t>
      </w:r>
      <w:r>
        <w:t xml:space="preserve"> </w:t>
      </w:r>
      <w:r>
        <w:rPr>
          <w:iCs/>
          <w:i/>
        </w:rPr>
        <w:t xml:space="preserve">Lancet Diabetes Endocrinol</w:t>
      </w:r>
      <w:r>
        <w:t xml:space="preserve"> </w:t>
      </w:r>
      <w:r>
        <w:t xml:space="preserve">· Semaglutide once weekly as add-on to SGLT-2 inhibitor therapy in type 2 diabetes (SUSTAIN 9): a randomised, placebo-controlled trial. PMID 30833170</w:t>
      </w:r>
    </w:p>
    <w:p>
      <w:pPr>
        <w:numPr>
          <w:ilvl w:val="0"/>
          <w:numId w:val="1379"/>
        </w:numPr>
        <w:pStyle w:val="Compact"/>
      </w:pPr>
      <w:r>
        <w:t xml:space="preserve">2019 · Granhall C ·</w:t>
      </w:r>
      <w:r>
        <w:t xml:space="preserve"> </w:t>
      </w:r>
      <w:r>
        <w:rPr>
          <w:iCs/>
          <w:i/>
        </w:rPr>
        <w:t xml:space="preserve">Clin Pharmacokinet</w:t>
      </w:r>
      <w:r>
        <w:t xml:space="preserve"> </w:t>
      </w:r>
      <w:r>
        <w:t xml:space="preserve">· Safety and Pharmacokinetics of Single and Multiple Ascending Doses of the Novel Oral Human GLP-1 Analogue, Oral Semaglutide, in Healthy Subjects and Subjects with Type 2 Diabetes. PMID 30565096</w:t>
      </w:r>
    </w:p>
    <w:p>
      <w:pPr>
        <w:numPr>
          <w:ilvl w:val="0"/>
          <w:numId w:val="1379"/>
        </w:numPr>
        <w:pStyle w:val="Compact"/>
      </w:pPr>
      <w:r>
        <w:t xml:space="preserve">2019 · Overgaard RV ·</w:t>
      </w:r>
      <w:r>
        <w:t xml:space="preserve"> </w:t>
      </w:r>
      <w:r>
        <w:rPr>
          <w:iCs/>
          <w:i/>
        </w:rPr>
        <w:t xml:space="preserve">Diabetes Obes Metab</w:t>
      </w:r>
      <w:r>
        <w:t xml:space="preserve"> </w:t>
      </w:r>
      <w:r>
        <w:t xml:space="preserve">· Impact on HbA1c and body weight of switching from other GLP-1 receptor agonists to semaglutide: A model-based approach. PMID 30047216</w:t>
      </w:r>
    </w:p>
    <w:p>
      <w:pPr>
        <w:numPr>
          <w:ilvl w:val="0"/>
          <w:numId w:val="1379"/>
        </w:numPr>
        <w:pStyle w:val="Compact"/>
      </w:pPr>
      <w:r>
        <w:t xml:space="preserve">2018 · Buckley ST ·</w:t>
      </w:r>
      <w:r>
        <w:t xml:space="preserve"> </w:t>
      </w:r>
      <w:r>
        <w:rPr>
          <w:iCs/>
          <w:i/>
        </w:rPr>
        <w:t xml:space="preserve">Sci Transl Med</w:t>
      </w:r>
      <w:r>
        <w:t xml:space="preserve"> </w:t>
      </w:r>
      <w:r>
        <w:t xml:space="preserve">· Transcellular stomach absorption of a derivatized glucagon-like peptide-1 receptor agonist. PMID 30429357</w:t>
      </w:r>
    </w:p>
    <w:p>
      <w:pPr>
        <w:numPr>
          <w:ilvl w:val="0"/>
          <w:numId w:val="1379"/>
        </w:numPr>
        <w:pStyle w:val="Compact"/>
      </w:pPr>
      <w:r>
        <w:t xml:space="preserve">2018 · O’Neil PM ·</w:t>
      </w:r>
      <w:r>
        <w:t xml:space="preserve"> </w:t>
      </w:r>
      <w:r>
        <w:rPr>
          <w:iCs/>
          <w:i/>
        </w:rPr>
        <w:t xml:space="preserve">Lancet</w:t>
      </w:r>
      <w:r>
        <w:t xml:space="preserve"> </w:t>
      </w:r>
      <w:r>
        <w:t xml:space="preserve">· Efficacy and safety of semaglutide compared with liraglutide and placebo for weight loss in patients with obesity: a randomised, double-blind, placebo and active controlled, dose-ranging, phase 2 trial. PMID 30122305</w:t>
      </w:r>
    </w:p>
    <w:p>
      <w:pPr>
        <w:numPr>
          <w:ilvl w:val="0"/>
          <w:numId w:val="1379"/>
        </w:numPr>
        <w:pStyle w:val="Compact"/>
      </w:pPr>
      <w:r>
        <w:t xml:space="preserve">2018 · Lingvay I ·</w:t>
      </w:r>
      <w:r>
        <w:t xml:space="preserve"> </w:t>
      </w:r>
      <w:r>
        <w:rPr>
          <w:iCs/>
          <w:i/>
        </w:rPr>
        <w:t xml:space="preserve">Diabetes Care</w:t>
      </w:r>
      <w:r>
        <w:t xml:space="preserve"> </w:t>
      </w:r>
      <w:r>
        <w:t xml:space="preserve">· A 26-Week Randomized Controlled Trial of Semaglutide Once Daily Versus Liraglutide and Placebo in Patients With Type 2 Diabetes Suboptimally Controlled on Diet and Exercise With or Without Metformin. PMID 30026333</w:t>
      </w:r>
    </w:p>
    <w:p>
      <w:pPr>
        <w:numPr>
          <w:ilvl w:val="0"/>
          <w:numId w:val="1379"/>
        </w:numPr>
        <w:pStyle w:val="Compact"/>
      </w:pPr>
      <w:r>
        <w:t xml:space="preserve">2018 · Bækdal TA ·</w:t>
      </w:r>
      <w:r>
        <w:t xml:space="preserve"> </w:t>
      </w:r>
      <w:r>
        <w:rPr>
          <w:iCs/>
          <w:i/>
        </w:rPr>
        <w:t xml:space="preserve">Expert Opin Drug Metab Toxicol</w:t>
      </w:r>
      <w:r>
        <w:t xml:space="preserve"> </w:t>
      </w:r>
      <w:r>
        <w:t xml:space="preserve">· A randomized study investigating the effect of omeprazole on the pharmacokinetics of oral semaglutide. PMID 29897249</w:t>
      </w:r>
    </w:p>
    <w:p>
      <w:pPr>
        <w:numPr>
          <w:ilvl w:val="0"/>
          <w:numId w:val="1379"/>
        </w:numPr>
        <w:pStyle w:val="Compact"/>
      </w:pPr>
      <w:r>
        <w:t xml:space="preserve">2018 · Korsatko S ·</w:t>
      </w:r>
      <w:r>
        <w:t xml:space="preserve"> </w:t>
      </w:r>
      <w:r>
        <w:rPr>
          <w:iCs/>
          <w:i/>
        </w:rPr>
        <w:t xml:space="preserve">Diabetes Obes Metab</w:t>
      </w:r>
      <w:r>
        <w:t xml:space="preserve"> </w:t>
      </w:r>
      <w:r>
        <w:t xml:space="preserve">· Effect of once-weekly semaglutide on the counterregulatory response to hypoglycaemia in people with type 2 diabetes: A randomized, placebo-controlled, double-blind, crossover trial. PMID 29893488</w:t>
      </w:r>
    </w:p>
    <w:p>
      <w:pPr>
        <w:numPr>
          <w:ilvl w:val="0"/>
          <w:numId w:val="1379"/>
        </w:numPr>
        <w:pStyle w:val="Compact"/>
      </w:pPr>
      <w:r>
        <w:t xml:space="preserve">2018 · Ahrén B ·</w:t>
      </w:r>
      <w:r>
        <w:t xml:space="preserve"> </w:t>
      </w:r>
      <w:r>
        <w:rPr>
          <w:iCs/>
          <w:i/>
        </w:rPr>
        <w:t xml:space="preserve">Diabetes Obes Metab</w:t>
      </w:r>
      <w:r>
        <w:t xml:space="preserve"> </w:t>
      </w:r>
      <w:r>
        <w:t xml:space="preserve">· Semaglutide induces weight loss in subjects with type 2 diabetes regardless of baseline BMI or gastrointestinal adverse events in the SUSTAIN 1 to 5 trials. PMID 29766634</w:t>
      </w:r>
    </w:p>
    <w:p>
      <w:pPr>
        <w:numPr>
          <w:ilvl w:val="0"/>
          <w:numId w:val="1379"/>
        </w:numPr>
        <w:pStyle w:val="Compact"/>
      </w:pPr>
      <w:r>
        <w:t xml:space="preserve">2018 · Baekdal TA ·</w:t>
      </w:r>
      <w:r>
        <w:t xml:space="preserve"> </w:t>
      </w:r>
      <w:r>
        <w:rPr>
          <w:iCs/>
          <w:i/>
        </w:rPr>
        <w:t xml:space="preserve">J Clin Pharmacol</w:t>
      </w:r>
      <w:r>
        <w:t xml:space="preserve"> </w:t>
      </w:r>
      <w:r>
        <w:t xml:space="preserve">· Pharmacokinetics, Safety, and Tolerability of Oral Semaglutide in Subjects With Hepatic Impairment. PMID 29693715</w:t>
      </w:r>
    </w:p>
    <w:p>
      <w:pPr>
        <w:numPr>
          <w:ilvl w:val="0"/>
          <w:numId w:val="1379"/>
        </w:numPr>
        <w:pStyle w:val="Compact"/>
      </w:pPr>
      <w:r>
        <w:t xml:space="preserve">2018 · Rodbard HW ·</w:t>
      </w:r>
      <w:r>
        <w:t xml:space="preserve"> </w:t>
      </w:r>
      <w:r>
        <w:rPr>
          <w:iCs/>
          <w:i/>
        </w:rPr>
        <w:t xml:space="preserve">J Clin Endocrinol Metab</w:t>
      </w:r>
      <w:r>
        <w:t xml:space="preserve"> </w:t>
      </w:r>
      <w:r>
        <w:t xml:space="preserve">· Semaglutide Added to Basal Insulin in Type 2 Diabetes (SUSTAIN 5): A Randomized, Controlled Trial. PMID 29688502</w:t>
      </w:r>
    </w:p>
    <w:p>
      <w:pPr>
        <w:numPr>
          <w:ilvl w:val="0"/>
          <w:numId w:val="1379"/>
        </w:numPr>
        <w:pStyle w:val="Compact"/>
      </w:pPr>
      <w:r>
        <w:t xml:space="preserve">2018 · Warren M ·</w:t>
      </w:r>
      <w:r>
        <w:t xml:space="preserve"> </w:t>
      </w:r>
      <w:r>
        <w:rPr>
          <w:iCs/>
          <w:i/>
        </w:rPr>
        <w:t xml:space="preserve">Diabetes Obes Metab</w:t>
      </w:r>
      <w:r>
        <w:t xml:space="preserve"> </w:t>
      </w:r>
      <w:r>
        <w:t xml:space="preserve">· Semaglutide as a therapeutic option for elderly patients with type 2 diabetes: Pooled analysis of the SUSTAIN 1-5 trials. PMID 29687620</w:t>
      </w:r>
    </w:p>
    <w:p>
      <w:pPr>
        <w:numPr>
          <w:ilvl w:val="0"/>
          <w:numId w:val="1379"/>
        </w:numPr>
        <w:pStyle w:val="Compact"/>
      </w:pPr>
      <w:r>
        <w:t xml:space="preserve">2018 · Granhall C ·</w:t>
      </w:r>
      <w:r>
        <w:t xml:space="preserve"> </w:t>
      </w:r>
      <w:r>
        <w:rPr>
          <w:iCs/>
          <w:i/>
        </w:rPr>
        <w:t xml:space="preserve">Clin Pharmacokinet</w:t>
      </w:r>
      <w:r>
        <w:t xml:space="preserve"> </w:t>
      </w:r>
      <w:r>
        <w:t xml:space="preserve">· Pharmacokinetics, Safety and Tolerability of Oral Semaglutide in Subjects with Renal Impairment. PMID 29623579</w:t>
      </w:r>
    </w:p>
    <w:p>
      <w:pPr>
        <w:numPr>
          <w:ilvl w:val="0"/>
          <w:numId w:val="1379"/>
        </w:numPr>
        <w:pStyle w:val="Compact"/>
      </w:pPr>
      <w:r>
        <w:t xml:space="preserve">2018 · Ikushima I ·</w:t>
      </w:r>
      <w:r>
        <w:t xml:space="preserve"> </w:t>
      </w:r>
      <w:r>
        <w:rPr>
          <w:iCs/>
          <w:i/>
        </w:rPr>
        <w:t xml:space="preserve">Adv Ther</w:t>
      </w:r>
      <w:r>
        <w:t xml:space="preserve"> </w:t>
      </w:r>
      <w:r>
        <w:t xml:space="preserve">· A Randomized Trial Investigating the Pharmacokinetics, Pharmacodynamics, and Safety of Subcutaneous Semaglutide Once-Weekly in Healthy Male Japanese and Caucasian Subjects. PMID 29536338</w:t>
      </w:r>
    </w:p>
    <w:p>
      <w:pPr>
        <w:numPr>
          <w:ilvl w:val="0"/>
          <w:numId w:val="1379"/>
        </w:numPr>
        <w:pStyle w:val="Compact"/>
      </w:pPr>
      <w:r>
        <w:t xml:space="preserve">2018 · Kaneko M ·</w:t>
      </w:r>
      <w:r>
        <w:t xml:space="preserve"> </w:t>
      </w:r>
      <w:r>
        <w:rPr>
          <w:iCs/>
          <w:i/>
        </w:rPr>
        <w:t xml:space="preserve">Ann Pharmacother</w:t>
      </w:r>
      <w:r>
        <w:t xml:space="preserve"> </w:t>
      </w:r>
      <w:r>
        <w:t xml:space="preserve">· Assessment of Cardiovascular Risk With Glucagon-Like Peptide 1 Receptor Agonists in Patients With Type 2 Diabetes Using an Alternative Measure to the Hazard Ratio. PMID 29424239</w:t>
      </w:r>
    </w:p>
    <w:p>
      <w:pPr>
        <w:numPr>
          <w:ilvl w:val="0"/>
          <w:numId w:val="1379"/>
        </w:numPr>
        <w:pStyle w:val="Compact"/>
      </w:pPr>
      <w:r>
        <w:t xml:space="preserve">2018 · Pratley RE ·</w:t>
      </w:r>
      <w:r>
        <w:t xml:space="preserve"> </w:t>
      </w:r>
      <w:r>
        <w:rPr>
          <w:iCs/>
          <w:i/>
        </w:rPr>
        <w:t xml:space="preserve">Lancet Diabetes Endocrinol</w:t>
      </w:r>
      <w:r>
        <w:t xml:space="preserve"> </w:t>
      </w:r>
      <w:r>
        <w:t xml:space="preserve">· Semaglutide versus dulaglutide once weekly in patients with type 2 diabetes (SUSTAIN 7): a randomised, open-label, phase 3b trial. PMID 29397376</w:t>
      </w:r>
    </w:p>
    <w:p>
      <w:pPr>
        <w:numPr>
          <w:ilvl w:val="0"/>
          <w:numId w:val="1379"/>
        </w:numPr>
        <w:pStyle w:val="Compact"/>
      </w:pPr>
      <w:r>
        <w:t xml:space="preserve">2018 · Kaku K ·</w:t>
      </w:r>
      <w:r>
        <w:t xml:space="preserve"> </w:t>
      </w:r>
      <w:r>
        <w:rPr>
          <w:iCs/>
          <w:i/>
        </w:rPr>
        <w:t xml:space="preserve">Diabetes Obes Metab</w:t>
      </w:r>
      <w:r>
        <w:t xml:space="preserve"> </w:t>
      </w:r>
      <w:r>
        <w:t xml:space="preserve">· Safety and efficacy of once-weekly semaglutide vs additional oral antidiabetic drugs in Japanese people with inadequately controlled type 2 diabetes: A randomized trial. PMID 29322610</w:t>
      </w:r>
    </w:p>
    <w:p>
      <w:pPr>
        <w:numPr>
          <w:ilvl w:val="0"/>
          <w:numId w:val="1379"/>
        </w:numPr>
        <w:pStyle w:val="Compact"/>
      </w:pPr>
      <w:r>
        <w:t xml:space="preserve">2018 · Ahmann AJ ·</w:t>
      </w:r>
      <w:r>
        <w:t xml:space="preserve"> </w:t>
      </w:r>
      <w:r>
        <w:rPr>
          <w:iCs/>
          <w:i/>
        </w:rPr>
        <w:t xml:space="preserve">Diabetes Care</w:t>
      </w:r>
      <w:r>
        <w:t xml:space="preserve"> </w:t>
      </w:r>
      <w:r>
        <w:t xml:space="preserve">· Efficacy and Safety of Once-Weekly Semaglutide Versus Exenatide ER in Subjects With Type 2 Diabetes (SUSTAIN 3): A 56-Week, Open-Label, Randomized Clinical Trial. PMID 29246950</w:t>
      </w:r>
    </w:p>
    <w:p>
      <w:pPr>
        <w:numPr>
          <w:ilvl w:val="0"/>
          <w:numId w:val="1379"/>
        </w:numPr>
        <w:pStyle w:val="Compact"/>
      </w:pPr>
      <w:r>
        <w:t xml:space="preserve">2018 · Jensen L ·</w:t>
      </w:r>
      <w:r>
        <w:t xml:space="preserve"> </w:t>
      </w:r>
      <w:r>
        <w:rPr>
          <w:iCs/>
          <w:i/>
        </w:rPr>
        <w:t xml:space="preserve">Diabetes Obes Metab</w:t>
      </w:r>
      <w:r>
        <w:t xml:space="preserve"> </w:t>
      </w:r>
      <w:r>
        <w:t xml:space="preserve">· Pharmacokinetics and tolerability of semaglutide in people with hepatic impairment. PMID 29205786</w:t>
      </w:r>
    </w:p>
    <w:p>
      <w:pPr>
        <w:numPr>
          <w:ilvl w:val="0"/>
          <w:numId w:val="1379"/>
        </w:numPr>
        <w:pStyle w:val="Compact"/>
      </w:pPr>
      <w:r>
        <w:t xml:space="preserve">2018 · Vilsbøll T ·</w:t>
      </w:r>
      <w:r>
        <w:t xml:space="preserve"> </w:t>
      </w:r>
      <w:r>
        <w:rPr>
          <w:iCs/>
          <w:i/>
        </w:rPr>
        <w:t xml:space="preserve">Diabetes Obes Metab</w:t>
      </w:r>
      <w:r>
        <w:t xml:space="preserve"> </w:t>
      </w:r>
      <w:r>
        <w:t xml:space="preserve">· Semaglutide, reduction in glycated haemoglobin and the risk of diabetic retinopathy. PMID 29178519</w:t>
      </w:r>
    </w:p>
    <w:p>
      <w:pPr>
        <w:numPr>
          <w:ilvl w:val="0"/>
          <w:numId w:val="1379"/>
        </w:numPr>
        <w:pStyle w:val="Compact"/>
      </w:pPr>
      <w:r>
        <w:t xml:space="preserve">2018 · Hjerpsted JB ·</w:t>
      </w:r>
      <w:r>
        <w:t xml:space="preserve"> </w:t>
      </w:r>
      <w:r>
        <w:rPr>
          <w:iCs/>
          <w:i/>
        </w:rPr>
        <w:t xml:space="preserve">Diabetes Obes Metab</w:t>
      </w:r>
      <w:r>
        <w:t xml:space="preserve"> </w:t>
      </w:r>
      <w:r>
        <w:t xml:space="preserve">· Semaglutide improves postprandial glucose and lipid metabolism, and delays first-hour gastric emptying in subjects with obesity. PMID 28941314</w:t>
      </w:r>
    </w:p>
    <w:p>
      <w:pPr>
        <w:numPr>
          <w:ilvl w:val="0"/>
          <w:numId w:val="1379"/>
        </w:numPr>
        <w:pStyle w:val="Compact"/>
      </w:pPr>
      <w:r>
        <w:t xml:space="preserve">2018 · Seino Y ·</w:t>
      </w:r>
      <w:r>
        <w:t xml:space="preserve"> </w:t>
      </w:r>
      <w:r>
        <w:rPr>
          <w:iCs/>
          <w:i/>
        </w:rPr>
        <w:t xml:space="preserve">Diabetes Obes Metab</w:t>
      </w:r>
      <w:r>
        <w:t xml:space="preserve"> </w:t>
      </w:r>
      <w:r>
        <w:t xml:space="preserve">· Safety and efficacy of semaglutide once weekly vs sitagliptin once daily, both as monotherapy in Japanese people with type 2 diabetes. PMID 28786547</w:t>
      </w:r>
    </w:p>
    <w:p>
      <w:pPr>
        <w:numPr>
          <w:ilvl w:val="0"/>
          <w:numId w:val="1379"/>
        </w:numPr>
        <w:pStyle w:val="Compact"/>
      </w:pPr>
      <w:r>
        <w:t xml:space="preserve">2017 · Davies M ·</w:t>
      </w:r>
      <w:r>
        <w:t xml:space="preserve"> </w:t>
      </w:r>
      <w:r>
        <w:rPr>
          <w:iCs/>
          <w:i/>
        </w:rPr>
        <w:t xml:space="preserve">JAMA</w:t>
      </w:r>
      <w:r>
        <w:t xml:space="preserve"> </w:t>
      </w:r>
      <w:r>
        <w:t xml:space="preserve">· Effect of Oral Semaglutide Compared With Placebo and Subcutaneous Semaglutide on Glycemic Control in Patients With Type 2 Diabetes: A Randomized Clinical Trial. PMID 29049653</w:t>
      </w:r>
    </w:p>
    <w:p>
      <w:pPr>
        <w:numPr>
          <w:ilvl w:val="0"/>
          <w:numId w:val="1379"/>
        </w:numPr>
        <w:pStyle w:val="Compact"/>
      </w:pPr>
      <w:r>
        <w:t xml:space="preserve">2017 · Kapitza C ·</w:t>
      </w:r>
      <w:r>
        <w:t xml:space="preserve"> </w:t>
      </w:r>
      <w:r>
        <w:rPr>
          <w:iCs/>
          <w:i/>
        </w:rPr>
        <w:t xml:space="preserve">Diabetologia</w:t>
      </w:r>
      <w:r>
        <w:t xml:space="preserve"> </w:t>
      </w:r>
      <w:r>
        <w:t xml:space="preserve">· Effects of semaglutide on beta cell function and glycaemic control in participants with type 2 diabetes: a randomised, double-blind, placebo-controlled trial. PMID 28526920</w:t>
      </w:r>
    </w:p>
    <w:p>
      <w:pPr>
        <w:numPr>
          <w:ilvl w:val="0"/>
          <w:numId w:val="1379"/>
        </w:numPr>
        <w:pStyle w:val="Compact"/>
      </w:pPr>
      <w:r>
        <w:t xml:space="preserve">2017 · Ahrén B ·</w:t>
      </w:r>
      <w:r>
        <w:t xml:space="preserve"> </w:t>
      </w:r>
      <w:r>
        <w:rPr>
          <w:iCs/>
          <w:i/>
        </w:rPr>
        <w:t xml:space="preserve">Lancet Diabetes Endocrinol</w:t>
      </w:r>
      <w:r>
        <w:t xml:space="preserve"> </w:t>
      </w:r>
      <w:r>
        <w:t xml:space="preserve">· Efficacy and safety of once-weekly semaglutide versus once-daily sitagliptin as an add-on to metformin, thiazolidinediones, or both, in patients with type 2 diabetes (SUSTAIN 2): a 56-week, double-blind, phase 3a, randomised trial. PMID 28385659</w:t>
      </w:r>
    </w:p>
    <w:p>
      <w:pPr>
        <w:numPr>
          <w:ilvl w:val="0"/>
          <w:numId w:val="1379"/>
        </w:numPr>
        <w:pStyle w:val="Compact"/>
      </w:pPr>
      <w:r>
        <w:t xml:space="preserve">2017 · Hausner H ·</w:t>
      </w:r>
      <w:r>
        <w:t xml:space="preserve"> </w:t>
      </w:r>
      <w:r>
        <w:rPr>
          <w:iCs/>
          <w:i/>
        </w:rPr>
        <w:t xml:space="preserve">Clin Pharmacokinet</w:t>
      </w:r>
      <w:r>
        <w:t xml:space="preserve"> </w:t>
      </w:r>
      <w:r>
        <w:t xml:space="preserve">· Effect of Semaglutide on the Pharmacokinetics of Metformin, Warfarin, Atorvastatin and Digoxin in Healthy Subjects. PMID 28349387</w:t>
      </w:r>
    </w:p>
    <w:p>
      <w:pPr>
        <w:numPr>
          <w:ilvl w:val="0"/>
          <w:numId w:val="1379"/>
        </w:numPr>
        <w:pStyle w:val="Compact"/>
      </w:pPr>
      <w:r>
        <w:t xml:space="preserve">2017 · Marbury TC ·</w:t>
      </w:r>
      <w:r>
        <w:t xml:space="preserve"> </w:t>
      </w:r>
      <w:r>
        <w:rPr>
          <w:iCs/>
          <w:i/>
        </w:rPr>
        <w:t xml:space="preserve">Clin Pharmacokinet</w:t>
      </w:r>
      <w:r>
        <w:t xml:space="preserve"> </w:t>
      </w:r>
      <w:r>
        <w:t xml:space="preserve">· Pharmacokinetics and Tolerability of a Single Dose of Semaglutide, a Human Glucagon-Like Peptide-1 Analog, in Subjects With and Without Renal Impairment. PMID 28349386</w:t>
      </w:r>
    </w:p>
    <w:p>
      <w:pPr>
        <w:numPr>
          <w:ilvl w:val="0"/>
          <w:numId w:val="1379"/>
        </w:numPr>
        <w:pStyle w:val="Compact"/>
      </w:pPr>
      <w:r>
        <w:t xml:space="preserve">2017 · Aroda VR ·</w:t>
      </w:r>
      <w:r>
        <w:t xml:space="preserve"> </w:t>
      </w:r>
      <w:r>
        <w:rPr>
          <w:iCs/>
          <w:i/>
        </w:rPr>
        <w:t xml:space="preserve">Lancet Diabetes Endocrinol</w:t>
      </w:r>
      <w:r>
        <w:t xml:space="preserve"> </w:t>
      </w:r>
      <w:r>
        <w:t xml:space="preserve">· Efficacy and safety of once-weekly semaglutide versus once-daily insulin glargine as add-on to metformin (with or without sulfonylureas) in insulin-naive patients with type 2 diabetes (SUSTAIN 4): a randomised, open-label, parallel-group, multicentre, multinational, phase 3a trial. PMID 28344112</w:t>
      </w:r>
    </w:p>
    <w:p>
      <w:pPr>
        <w:numPr>
          <w:ilvl w:val="0"/>
          <w:numId w:val="1379"/>
        </w:numPr>
        <w:pStyle w:val="Compact"/>
      </w:pPr>
      <w:r>
        <w:t xml:space="preserve">2017 · Ebell MH ·</w:t>
      </w:r>
      <w:r>
        <w:t xml:space="preserve"> </w:t>
      </w:r>
      <w:r>
        <w:rPr>
          <w:iCs/>
          <w:i/>
        </w:rPr>
        <w:t xml:space="preserve">Am Fam Physician</w:t>
      </w:r>
      <w:r>
        <w:t xml:space="preserve"> </w:t>
      </w:r>
      <w:r>
        <w:t xml:space="preserve">· Semaglutide Reduces CV Events in High-Risk Patients with Type 2 Diabetes Mellitus. PMID 28318215</w:t>
      </w:r>
    </w:p>
    <w:p>
      <w:pPr>
        <w:numPr>
          <w:ilvl w:val="0"/>
          <w:numId w:val="1379"/>
        </w:numPr>
        <w:pStyle w:val="Compact"/>
      </w:pPr>
      <w:r>
        <w:t xml:space="preserve">2017 · Blundell J ·</w:t>
      </w:r>
      <w:r>
        <w:t xml:space="preserve"> </w:t>
      </w:r>
      <w:r>
        <w:rPr>
          <w:iCs/>
          <w:i/>
        </w:rPr>
        <w:t xml:space="preserve">Diabetes Obes Metab</w:t>
      </w:r>
      <w:r>
        <w:t xml:space="preserve"> </w:t>
      </w:r>
      <w:r>
        <w:t xml:space="preserve">· Effects of once-weekly semaglutide on appetite, energy intake, control of eating, food preference and body weight in subjects with obesity. PMID 28266779</w:t>
      </w:r>
    </w:p>
    <w:p>
      <w:pPr>
        <w:numPr>
          <w:ilvl w:val="0"/>
          <w:numId w:val="1379"/>
        </w:numPr>
        <w:pStyle w:val="Compact"/>
      </w:pPr>
      <w:r>
        <w:t xml:space="preserve">2017 · Sorli C ·</w:t>
      </w:r>
      <w:r>
        <w:t xml:space="preserve"> </w:t>
      </w:r>
      <w:r>
        <w:rPr>
          <w:iCs/>
          <w:i/>
        </w:rPr>
        <w:t xml:space="preserve">Lancet Diabetes Endocrinol</w:t>
      </w:r>
      <w:r>
        <w:t xml:space="preserve"> </w:t>
      </w:r>
      <w:r>
        <w:t xml:space="preserve">· Efficacy and safety of once-weekly semaglutide monotherapy versus placebo in patients with type 2 diabetes (SUSTAIN 1): a double-blind, randomised, placebo-controlled, parallel-group, multinational, multicentre phase 3a trial. PMID 28110911</w:t>
      </w:r>
    </w:p>
    <w:p>
      <w:pPr>
        <w:numPr>
          <w:ilvl w:val="0"/>
          <w:numId w:val="1379"/>
        </w:numPr>
        <w:pStyle w:val="Compact"/>
      </w:pPr>
      <w:r>
        <w:t xml:space="preserve">2016 · Marso SP ·</w:t>
      </w:r>
      <w:r>
        <w:t xml:space="preserve"> </w:t>
      </w:r>
      <w:r>
        <w:rPr>
          <w:iCs/>
          <w:i/>
        </w:rPr>
        <w:t xml:space="preserve">N Engl J Med</w:t>
      </w:r>
      <w:r>
        <w:t xml:space="preserve"> </w:t>
      </w:r>
      <w:r>
        <w:t xml:space="preserve">· Semaglutide and Cardiovascular Outcomes in Patients with Type 2 Diabetes. PMID 27633186</w:t>
      </w:r>
    </w:p>
    <w:p>
      <w:pPr>
        <w:numPr>
          <w:ilvl w:val="0"/>
          <w:numId w:val="1379"/>
        </w:numPr>
        <w:pStyle w:val="Compact"/>
      </w:pPr>
      <w:r>
        <w:t xml:space="preserve">2016 · Nauck MA ·</w:t>
      </w:r>
      <w:r>
        <w:t xml:space="preserve"> </w:t>
      </w:r>
      <w:r>
        <w:rPr>
          <w:iCs/>
          <w:i/>
        </w:rPr>
        <w:t xml:space="preserve">Diabetes Care</w:t>
      </w:r>
      <w:r>
        <w:t xml:space="preserve"> </w:t>
      </w:r>
      <w:r>
        <w:t xml:space="preserve">· A Phase 2, Randomized, Dose-Finding Study of the Novel Once-Weekly Human GLP-1 Analog, Semaglutide, Compared With Placebo and Open-Label Liraglutide in Patients With Type 2 Diabetes. PMID 26358288</w:t>
      </w:r>
    </w:p>
    <w:bookmarkEnd w:id="3016"/>
    <w:bookmarkStart w:id="3017" w:name="tirzépatide-144"/>
    <w:p>
      <w:pPr>
        <w:pStyle w:val="Heading2"/>
      </w:pPr>
      <w:r>
        <w:t xml:space="preserve">Tirzépatide (144)</w:t>
      </w:r>
    </w:p>
    <w:p>
      <w:pPr>
        <w:numPr>
          <w:ilvl w:val="0"/>
          <w:numId w:val="1380"/>
        </w:numPr>
        <w:pStyle w:val="Compact"/>
      </w:pPr>
      <w:r>
        <w:t xml:space="preserve">2026 · Falcon B ·</w:t>
      </w:r>
      <w:r>
        <w:t xml:space="preserve"> </w:t>
      </w:r>
      <w:r>
        <w:rPr>
          <w:iCs/>
          <w:i/>
        </w:rPr>
        <w:t xml:space="preserve">J Clin Sleep Med</w:t>
      </w:r>
      <w:r>
        <w:t xml:space="preserve"> </w:t>
      </w:r>
      <w:r>
        <w:t xml:space="preserve">· Association of tirzepatide with changes in OSA-related measures based on baseline characteristics - post hoc analyses of SURMOUNT-OSA. PMID 42675225</w:t>
      </w:r>
    </w:p>
    <w:p>
      <w:pPr>
        <w:numPr>
          <w:ilvl w:val="0"/>
          <w:numId w:val="1380"/>
        </w:numPr>
        <w:pStyle w:val="Compact"/>
      </w:pPr>
      <w:r>
        <w:t xml:space="preserve">2026 · Sattar N ·</w:t>
      </w:r>
      <w:r>
        <w:t xml:space="preserve"> </w:t>
      </w:r>
      <w:r>
        <w:rPr>
          <w:iCs/>
          <w:i/>
        </w:rPr>
        <w:t xml:space="preserve">PLoS One</w:t>
      </w:r>
      <w:r>
        <w:t xml:space="preserve"> </w:t>
      </w:r>
      <w:r>
        <w:t xml:space="preserve">· Achieving the triple endpoint of body weight reduction thresholds, systolic blood pressure reduction ≥5 mmHg and non-HDL cholesterol &lt;130 mg/dL with tirzepatide in people with obesity: A post hoc analysis from the SURMOUNT trials. PMID 42594122</w:t>
      </w:r>
    </w:p>
    <w:p>
      <w:pPr>
        <w:numPr>
          <w:ilvl w:val="0"/>
          <w:numId w:val="1380"/>
        </w:numPr>
        <w:pStyle w:val="Compact"/>
      </w:pPr>
      <w:r>
        <w:t xml:space="preserve">2026 · Cusi K ·</w:t>
      </w:r>
      <w:r>
        <w:t xml:space="preserve"> </w:t>
      </w:r>
      <w:r>
        <w:rPr>
          <w:iCs/>
          <w:i/>
        </w:rPr>
        <w:t xml:space="preserve">Liver Int</w:t>
      </w:r>
      <w:r>
        <w:t xml:space="preserve"> </w:t>
      </w:r>
      <w:r>
        <w:t xml:space="preserve">· Liver Fat Changes in Patients With Type 2 Diabetes by Presence of Genetic Hepatic Steatosis: A Post Hoc Analysis of SURPASS-3 MRI. PMID 42576670</w:t>
      </w:r>
    </w:p>
    <w:p>
      <w:pPr>
        <w:numPr>
          <w:ilvl w:val="0"/>
          <w:numId w:val="1380"/>
        </w:numPr>
        <w:pStyle w:val="Compact"/>
      </w:pPr>
      <w:r>
        <w:t xml:space="preserve">2026 · Kitamoto T ·</w:t>
      </w:r>
      <w:r>
        <w:t xml:space="preserve"> </w:t>
      </w:r>
      <w:r>
        <w:rPr>
          <w:iCs/>
          <w:i/>
        </w:rPr>
        <w:t xml:space="preserve">Curr Med Res Opin</w:t>
      </w:r>
      <w:r>
        <w:t xml:space="preserve"> </w:t>
      </w:r>
      <w:r>
        <w:t xml:space="preserve">· Tirzepatide compared with semaglutide in obesity disease: a subpopulation analysis applying Japan Society for the Study of Obesity criteria in the global SURMOUNT-5 trial. PMID 42434924</w:t>
      </w:r>
    </w:p>
    <w:p>
      <w:pPr>
        <w:numPr>
          <w:ilvl w:val="0"/>
          <w:numId w:val="1380"/>
        </w:numPr>
        <w:pStyle w:val="Compact"/>
      </w:pPr>
      <w:r>
        <w:t xml:space="preserve">2026 · Kanu C ·</w:t>
      </w:r>
      <w:r>
        <w:t xml:space="preserve"> </w:t>
      </w:r>
      <w:r>
        <w:rPr>
          <w:iCs/>
          <w:i/>
        </w:rPr>
        <w:t xml:space="preserve">Sleep</w:t>
      </w:r>
      <w:r>
        <w:t xml:space="preserve"> </w:t>
      </w:r>
      <w:r>
        <w:t xml:space="preserve">· Changes in patient-reported outcomes and objective assessments based on baseline symptom severity in SURMOUNT-OSA: post-hoc analyses. PMID 42412744</w:t>
      </w:r>
    </w:p>
    <w:p>
      <w:pPr>
        <w:numPr>
          <w:ilvl w:val="0"/>
          <w:numId w:val="1380"/>
        </w:numPr>
        <w:pStyle w:val="Compact"/>
      </w:pPr>
      <w:r>
        <w:t xml:space="preserve">2026 · Kokkinos A ·</w:t>
      </w:r>
      <w:r>
        <w:t xml:space="preserve"> </w:t>
      </w:r>
      <w:r>
        <w:rPr>
          <w:iCs/>
          <w:i/>
        </w:rPr>
        <w:t xml:space="preserve">Diabetes Obes Metab</w:t>
      </w:r>
      <w:r>
        <w:t xml:space="preserve"> </w:t>
      </w:r>
      <w:r>
        <w:t xml:space="preserve">· Tirzepatide Efficacy and Tolerability According to Early Weight Response: A Post Hoc Analysis of the SURMOUNT-1 and SURMOUNT-2 Trials. PMID 42348366</w:t>
      </w:r>
    </w:p>
    <w:p>
      <w:pPr>
        <w:numPr>
          <w:ilvl w:val="0"/>
          <w:numId w:val="1380"/>
        </w:numPr>
        <w:pStyle w:val="Compact"/>
      </w:pPr>
      <w:r>
        <w:t xml:space="preserve">2026 · Yin Y ·</w:t>
      </w:r>
      <w:r>
        <w:t xml:space="preserve"> </w:t>
      </w:r>
      <w:r>
        <w:rPr>
          <w:iCs/>
          <w:i/>
        </w:rPr>
        <w:t xml:space="preserve">Med</w:t>
      </w:r>
      <w:r>
        <w:t xml:space="preserve"> </w:t>
      </w:r>
      <w:r>
        <w:t xml:space="preserve">· Tirzepatide monotherapy in Chinese patients with early type 2 diabetes: A randomized, double-blind, placebo-controlled phase 3 trial (SURPASS-CN-MONO). PMID 42296968</w:t>
      </w:r>
    </w:p>
    <w:p>
      <w:pPr>
        <w:numPr>
          <w:ilvl w:val="0"/>
          <w:numId w:val="1380"/>
        </w:numPr>
        <w:pStyle w:val="Compact"/>
      </w:pPr>
      <w:r>
        <w:t xml:space="preserve">2026 · Node K ·</w:t>
      </w:r>
      <w:r>
        <w:t xml:space="preserve"> </w:t>
      </w:r>
      <w:r>
        <w:rPr>
          <w:iCs/>
          <w:i/>
        </w:rPr>
        <w:t xml:space="preserve">Curr Med Res Opin</w:t>
      </w:r>
      <w:r>
        <w:t xml:space="preserve"> </w:t>
      </w:r>
      <w:r>
        <w:t xml:space="preserve">· Post hoc analysis of SURMOUNT-J: tirzepatide versus placebo and predicted 10-year cardiovascular disease risk in Japanese adults with obesity disease. PMID 42287159</w:t>
      </w:r>
    </w:p>
    <w:p>
      <w:pPr>
        <w:numPr>
          <w:ilvl w:val="0"/>
          <w:numId w:val="1380"/>
        </w:numPr>
        <w:pStyle w:val="Compact"/>
      </w:pPr>
      <w:r>
        <w:t xml:space="preserve">2026 · Pratley RE ·</w:t>
      </w:r>
      <w:r>
        <w:t xml:space="preserve"> </w:t>
      </w:r>
      <w:r>
        <w:rPr>
          <w:iCs/>
          <w:i/>
        </w:rPr>
        <w:t xml:space="preserve">Nat Med</w:t>
      </w:r>
      <w:r>
        <w:t xml:space="preserve"> </w:t>
      </w:r>
      <w:r>
        <w:t xml:space="preserve">· Apitegromab for lean mass preservation during tirzepatide-induced weight loss: a randomized, double-blind, placebo-controlled phase 2 trial. PMID 42260100</w:t>
      </w:r>
    </w:p>
    <w:p>
      <w:pPr>
        <w:numPr>
          <w:ilvl w:val="0"/>
          <w:numId w:val="1380"/>
        </w:numPr>
        <w:pStyle w:val="Compact"/>
      </w:pPr>
      <w:r>
        <w:t xml:space="preserve">2026 · Yang Z ·</w:t>
      </w:r>
      <w:r>
        <w:t xml:space="preserve"> </w:t>
      </w:r>
      <w:r>
        <w:rPr>
          <w:iCs/>
          <w:i/>
        </w:rPr>
        <w:t xml:space="preserve">Diabetes Obes Metab</w:t>
      </w:r>
      <w:r>
        <w:t xml:space="preserve"> </w:t>
      </w:r>
      <w:r>
        <w:t xml:space="preserve">· Short-Term Combined Treatment With Tirzepatide and Metformin for Overweight/Obese Chinese Women With Polycystic Ovary Syndrome: A Prospective, Open-Label, Randomised Controlled Trial. PMID 42236268</w:t>
      </w:r>
    </w:p>
    <w:p>
      <w:pPr>
        <w:numPr>
          <w:ilvl w:val="0"/>
          <w:numId w:val="1380"/>
        </w:numPr>
        <w:pStyle w:val="Compact"/>
      </w:pPr>
      <w:r>
        <w:t xml:space="preserve">2026 · Sattar N ·</w:t>
      </w:r>
      <w:r>
        <w:t xml:space="preserve"> </w:t>
      </w:r>
      <w:r>
        <w:rPr>
          <w:iCs/>
          <w:i/>
        </w:rPr>
        <w:t xml:space="preserve">J Am Coll Cardiol</w:t>
      </w:r>
      <w:r>
        <w:t xml:space="preserve"> </w:t>
      </w:r>
      <w:r>
        <w:t xml:space="preserve">· Comprehensive Long-Term Changes in Cardiovascular Risk Biomarkers With Tirzepatide: A SURMOUNT-1 Post Hoc Analysis. PMID 42233927</w:t>
      </w:r>
    </w:p>
    <w:p>
      <w:pPr>
        <w:numPr>
          <w:ilvl w:val="0"/>
          <w:numId w:val="1380"/>
        </w:numPr>
        <w:pStyle w:val="Compact"/>
      </w:pPr>
      <w:r>
        <w:t xml:space="preserve">2026 · Del Prato S ·</w:t>
      </w:r>
      <w:r>
        <w:t xml:space="preserve"> </w:t>
      </w:r>
      <w:r>
        <w:rPr>
          <w:iCs/>
          <w:i/>
        </w:rPr>
        <w:t xml:space="preserve">Ann Intern Med</w:t>
      </w:r>
      <w:r>
        <w:t xml:space="preserve"> </w:t>
      </w:r>
      <w:r>
        <w:t xml:space="preserve">· Tirzepatide Versus Intensified Conventional Care After 2 Years of Treatment in Early Type 2 Diabetes : A Randomized Clinical Trial. PMID 42184419</w:t>
      </w:r>
    </w:p>
    <w:p>
      <w:pPr>
        <w:numPr>
          <w:ilvl w:val="0"/>
          <w:numId w:val="1380"/>
        </w:numPr>
        <w:pStyle w:val="Compact"/>
      </w:pPr>
      <w:r>
        <w:t xml:space="preserve">2026 · Lebwohl M ·</w:t>
      </w:r>
      <w:r>
        <w:t xml:space="preserve"> </w:t>
      </w:r>
      <w:r>
        <w:rPr>
          <w:iCs/>
          <w:i/>
        </w:rPr>
        <w:t xml:space="preserve">JAMA Dermatol</w:t>
      </w:r>
      <w:r>
        <w:t xml:space="preserve"> </w:t>
      </w:r>
      <w:r>
        <w:t xml:space="preserve">· Ixekizumab With or Without Tirzepatide in Adults With Psoriasis and Overweight or Obesity: A Phase 3b Randomized Clinical Trial. PMID 42139049</w:t>
      </w:r>
    </w:p>
    <w:p>
      <w:pPr>
        <w:numPr>
          <w:ilvl w:val="0"/>
          <w:numId w:val="1380"/>
        </w:numPr>
        <w:pStyle w:val="Compact"/>
      </w:pPr>
      <w:r>
        <w:t xml:space="preserve">2026 · Aronne LJ ·</w:t>
      </w:r>
      <w:r>
        <w:t xml:space="preserve"> </w:t>
      </w:r>
      <w:r>
        <w:rPr>
          <w:iCs/>
          <w:i/>
        </w:rPr>
        <w:t xml:space="preserve">Nat Med</w:t>
      </w:r>
      <w:r>
        <w:t xml:space="preserve"> </w:t>
      </w:r>
      <w:r>
        <w:t xml:space="preserve">· Orforglipron for maintenance of body weight reduction: the double-blind, randomized phase 3b ATTAIN-MAINTAIN trial. PMID 42120723</w:t>
      </w:r>
    </w:p>
    <w:p>
      <w:pPr>
        <w:numPr>
          <w:ilvl w:val="0"/>
          <w:numId w:val="1380"/>
        </w:numPr>
        <w:pStyle w:val="Compact"/>
      </w:pPr>
      <w:r>
        <w:t xml:space="preserve">2026 · Horn DB ·</w:t>
      </w:r>
      <w:r>
        <w:t xml:space="preserve"> </w:t>
      </w:r>
      <w:r>
        <w:rPr>
          <w:iCs/>
          <w:i/>
        </w:rPr>
        <w:t xml:space="preserve">Lancet</w:t>
      </w:r>
      <w:r>
        <w:t xml:space="preserve"> </w:t>
      </w:r>
      <w:r>
        <w:t xml:space="preserve">· Tirzepatide for maintenance of bodyweight reduction in people with obesity in the USA (SURMOUNT-MAINTAIN): a multicentre, double-blind, randomised, placebo-controlled trial. PMID 42119587</w:t>
      </w:r>
    </w:p>
    <w:p>
      <w:pPr>
        <w:numPr>
          <w:ilvl w:val="0"/>
          <w:numId w:val="1380"/>
        </w:numPr>
        <w:pStyle w:val="Compact"/>
      </w:pPr>
      <w:r>
        <w:t xml:space="preserve">2026 · Zoungas S ·</w:t>
      </w:r>
      <w:r>
        <w:t xml:space="preserve"> </w:t>
      </w:r>
      <w:r>
        <w:rPr>
          <w:iCs/>
          <w:i/>
        </w:rPr>
        <w:t xml:space="preserve">Lancet Diabetes Endocrinol</w:t>
      </w:r>
      <w:r>
        <w:t xml:space="preserve"> </w:t>
      </w:r>
      <w:r>
        <w:t xml:space="preserve">· A comparison of the effects of tirzepatide and dulaglutide on major kidney events in people with type 2 diabetes: pre-specified exploratory analyses of the SURPASS-CVOT trial. PMID 42114520</w:t>
      </w:r>
    </w:p>
    <w:p>
      <w:pPr>
        <w:numPr>
          <w:ilvl w:val="0"/>
          <w:numId w:val="1380"/>
        </w:numPr>
        <w:pStyle w:val="Compact"/>
      </w:pPr>
      <w:r>
        <w:t xml:space="preserve">2026 · Masuzaki H ·</w:t>
      </w:r>
      <w:r>
        <w:t xml:space="preserve"> </w:t>
      </w:r>
      <w:r>
        <w:rPr>
          <w:iCs/>
          <w:i/>
        </w:rPr>
        <w:t xml:space="preserve">Diabetes Obes Metab</w:t>
      </w:r>
      <w:r>
        <w:t xml:space="preserve"> </w:t>
      </w:r>
      <w:r>
        <w:t xml:space="preserve">· Effect of Tirzepatide on Health-Related Quality of Life in Japanese Patients With Obesity Disease: Patient-Reported Outcomes From the SURMOUNT-J Study. PMID 42108080</w:t>
      </w:r>
    </w:p>
    <w:p>
      <w:pPr>
        <w:numPr>
          <w:ilvl w:val="0"/>
          <w:numId w:val="1380"/>
        </w:numPr>
        <w:pStyle w:val="Compact"/>
      </w:pPr>
      <w:r>
        <w:t xml:space="preserve">2026 · Sattar N ·</w:t>
      </w:r>
      <w:r>
        <w:t xml:space="preserve"> </w:t>
      </w:r>
      <w:r>
        <w:rPr>
          <w:iCs/>
          <w:i/>
        </w:rPr>
        <w:t xml:space="preserve">J Endocrinol Invest</w:t>
      </w:r>
      <w:r>
        <w:t xml:space="preserve"> </w:t>
      </w:r>
      <w:r>
        <w:t xml:space="preserve">· Shifts in waist-to-height ratio categories within tirzepatide groups: a post-hoc analysis of SURMOUNT-1. PMID 42082865</w:t>
      </w:r>
    </w:p>
    <w:p>
      <w:pPr>
        <w:numPr>
          <w:ilvl w:val="0"/>
          <w:numId w:val="1380"/>
        </w:numPr>
        <w:pStyle w:val="Compact"/>
      </w:pPr>
      <w:r>
        <w:t xml:space="preserve">2026 · Johansson E ·</w:t>
      </w:r>
      <w:r>
        <w:t xml:space="preserve"> </w:t>
      </w:r>
      <w:r>
        <w:rPr>
          <w:iCs/>
          <w:i/>
        </w:rPr>
        <w:t xml:space="preserve">J Med Econ</w:t>
      </w:r>
      <w:r>
        <w:t xml:space="preserve"> </w:t>
      </w:r>
      <w:r>
        <w:t xml:space="preserve">· Cost-effectiveness of tirzepatide versus semaglutide for patients with obesity or overweight in the US: evidence from the SURMOUNT-5 head-to-head phase-3 trial. PMID 42012820</w:t>
      </w:r>
    </w:p>
    <w:p>
      <w:pPr>
        <w:numPr>
          <w:ilvl w:val="0"/>
          <w:numId w:val="1380"/>
        </w:numPr>
        <w:pStyle w:val="Compact"/>
      </w:pPr>
      <w:r>
        <w:t xml:space="preserve">2026 · Thirugnanam AM ·</w:t>
      </w:r>
      <w:r>
        <w:t xml:space="preserve"> </w:t>
      </w:r>
      <w:r>
        <w:rPr>
          <w:iCs/>
          <w:i/>
        </w:rPr>
        <w:t xml:space="preserve">Cardiovasc Revasc Med</w:t>
      </w:r>
      <w:r>
        <w:t xml:space="preserve"> </w:t>
      </w:r>
      <w:r>
        <w:t xml:space="preserve">· Tirzepatide therapy reduces subclinical leaflet thrombosis and paravalvular leak after transcatheter aortic valve replacement in obese patients: The TAVR-MET trial. PMID 42000295</w:t>
      </w:r>
    </w:p>
    <w:p>
      <w:pPr>
        <w:numPr>
          <w:ilvl w:val="0"/>
          <w:numId w:val="1380"/>
        </w:numPr>
        <w:pStyle w:val="Compact"/>
      </w:pPr>
      <w:r>
        <w:t xml:space="preserve">2026 · Sattar N ·</w:t>
      </w:r>
      <w:r>
        <w:t xml:space="preserve"> </w:t>
      </w:r>
      <w:r>
        <w:rPr>
          <w:iCs/>
          <w:i/>
        </w:rPr>
        <w:t xml:space="preserve">Diabetes Care</w:t>
      </w:r>
      <w:r>
        <w:t xml:space="preserve"> </w:t>
      </w:r>
      <w:r>
        <w:t xml:space="preserve">· Estimating the True MACE Benefits From Tirzepatide in SURPASS-CVOT Using an Imputed Placebo Analysis of REWIND. PMID 41940793</w:t>
      </w:r>
    </w:p>
    <w:p>
      <w:pPr>
        <w:numPr>
          <w:ilvl w:val="0"/>
          <w:numId w:val="1380"/>
        </w:numPr>
        <w:pStyle w:val="Compact"/>
      </w:pPr>
      <w:r>
        <w:t xml:space="preserve">2026 · Violante-Ortiz R ·</w:t>
      </w:r>
      <w:r>
        <w:t xml:space="preserve"> </w:t>
      </w:r>
      <w:r>
        <w:rPr>
          <w:iCs/>
          <w:i/>
        </w:rPr>
        <w:t xml:space="preserve">BMJ Open Diabetes Res Care</w:t>
      </w:r>
      <w:r>
        <w:t xml:space="preserve"> </w:t>
      </w:r>
      <w:r>
        <w:t xml:space="preserve">· Safety and efficacy of switching from dulaglutide to tirzepatide across clinically relevant baseline characteristics in participants with T2D: subgroup analysis of SURPASS-SWITCH. PMID 41912265</w:t>
      </w:r>
    </w:p>
    <w:p>
      <w:pPr>
        <w:numPr>
          <w:ilvl w:val="0"/>
          <w:numId w:val="1380"/>
        </w:numPr>
        <w:pStyle w:val="Compact"/>
      </w:pPr>
      <w:r>
        <w:t xml:space="preserve">2026 · Nissen SE ·</w:t>
      </w:r>
      <w:r>
        <w:t xml:space="preserve"> </w:t>
      </w:r>
      <w:r>
        <w:rPr>
          <w:iCs/>
          <w:i/>
        </w:rPr>
        <w:t xml:space="preserve">JAMA Cardiol</w:t>
      </w:r>
      <w:r>
        <w:t xml:space="preserve"> </w:t>
      </w:r>
      <w:r>
        <w:t xml:space="preserve">· Cardiorenal Outcomes With Tirzepatide Compared With Dulaglutide in Patients With Diabetes and Cardiovascular Disease: A Post Hoc Analysis of the SURPASS-CVOT Randomized Clinical Trial. PMID 41903177</w:t>
      </w:r>
    </w:p>
    <w:p>
      <w:pPr>
        <w:numPr>
          <w:ilvl w:val="0"/>
          <w:numId w:val="1380"/>
        </w:numPr>
        <w:pStyle w:val="Compact"/>
      </w:pPr>
      <w:r>
        <w:t xml:space="preserve">2026 · Merola JF ·</w:t>
      </w:r>
      <w:r>
        <w:t xml:space="preserve"> </w:t>
      </w:r>
      <w:r>
        <w:rPr>
          <w:iCs/>
          <w:i/>
        </w:rPr>
        <w:t xml:space="preserve">Arthritis Rheumatol</w:t>
      </w:r>
      <w:r>
        <w:t xml:space="preserve"> </w:t>
      </w:r>
      <w:r>
        <w:t xml:space="preserve">· Ixekizumab With Tirzepatide Achieved Greater Disease Control Than Ixekizumab Alone in Adults With Psoriatic Arthritis and Overweight or Obesity: Results From a Randomized Clinical Trial. PMID 41903163</w:t>
      </w:r>
    </w:p>
    <w:p>
      <w:pPr>
        <w:numPr>
          <w:ilvl w:val="0"/>
          <w:numId w:val="1380"/>
        </w:numPr>
        <w:pStyle w:val="Compact"/>
      </w:pPr>
      <w:r>
        <w:t xml:space="preserve">2026 · Yang SI ·</w:t>
      </w:r>
      <w:r>
        <w:t xml:space="preserve"> </w:t>
      </w:r>
      <w:r>
        <w:rPr>
          <w:iCs/>
          <w:i/>
        </w:rPr>
        <w:t xml:space="preserve">Nat Commun</w:t>
      </w:r>
      <w:r>
        <w:t xml:space="preserve"> </w:t>
      </w:r>
      <w:r>
        <w:t xml:space="preserve">· Bispecific GLP-1/GLP-2 agonism in advanced type 2 diabetes: preclinical characterization and a randomized, double-blind, placebo-controlled phase I trial. PMID 41876542</w:t>
      </w:r>
    </w:p>
    <w:p>
      <w:pPr>
        <w:numPr>
          <w:ilvl w:val="0"/>
          <w:numId w:val="1380"/>
        </w:numPr>
        <w:pStyle w:val="Compact"/>
      </w:pPr>
      <w:r>
        <w:t xml:space="preserve">2026 · Aronne LJ ·</w:t>
      </w:r>
      <w:r>
        <w:t xml:space="preserve"> </w:t>
      </w:r>
      <w:r>
        <w:rPr>
          <w:iCs/>
          <w:i/>
        </w:rPr>
        <w:t xml:space="preserve">Am J Med</w:t>
      </w:r>
      <w:r>
        <w:t xml:space="preserve"> </w:t>
      </w:r>
      <w:r>
        <w:t xml:space="preserve">· Relationship of early rapid weight loss to efficacy and safety of tirzepatide and semaglutide for obesity: SURMOUNT-5 post hoc analysis. PMID 41865857</w:t>
      </w:r>
    </w:p>
    <w:p>
      <w:pPr>
        <w:numPr>
          <w:ilvl w:val="0"/>
          <w:numId w:val="1380"/>
        </w:numPr>
        <w:pStyle w:val="Compact"/>
      </w:pPr>
      <w:r>
        <w:t xml:space="preserve">2026 · Zheng Z ·</w:t>
      </w:r>
      <w:r>
        <w:t xml:space="preserve"> </w:t>
      </w:r>
      <w:r>
        <w:rPr>
          <w:iCs/>
          <w:i/>
        </w:rPr>
        <w:t xml:space="preserve">Mol Metab</w:t>
      </w:r>
      <w:r>
        <w:t xml:space="preserve"> </w:t>
      </w:r>
      <w:r>
        <w:t xml:space="preserve">· ARD-101, a gut-restricted TAS2R agonist, reduces hunger in adults and promotes weight loss in DIO mice with DPP-4 inhibition. PMID 41833222</w:t>
      </w:r>
    </w:p>
    <w:p>
      <w:pPr>
        <w:numPr>
          <w:ilvl w:val="0"/>
          <w:numId w:val="1380"/>
        </w:numPr>
        <w:pStyle w:val="Compact"/>
      </w:pPr>
      <w:r>
        <w:t xml:space="preserve">2026 · Scheen A ·</w:t>
      </w:r>
      <w:r>
        <w:t xml:space="preserve"> </w:t>
      </w:r>
      <w:r>
        <w:rPr>
          <w:iCs/>
          <w:i/>
        </w:rPr>
        <w:t xml:space="preserve">Rev Med Liege</w:t>
      </w:r>
      <w:r>
        <w:t xml:space="preserve"> </w:t>
      </w:r>
      <w:r>
        <w:t xml:space="preserve">· [SURPASS CVOT : cardiovascular benefits with tirzepatide versus dulaglutide in type 2 diabetes]. PMID 41815032</w:t>
      </w:r>
    </w:p>
    <w:p>
      <w:pPr>
        <w:numPr>
          <w:ilvl w:val="0"/>
          <w:numId w:val="1380"/>
        </w:numPr>
        <w:pStyle w:val="Compact"/>
      </w:pPr>
      <w:r>
        <w:t xml:space="preserve">2026 · Ishigaki Y ·</w:t>
      </w:r>
      <w:r>
        <w:t xml:space="preserve"> </w:t>
      </w:r>
      <w:r>
        <w:rPr>
          <w:iCs/>
          <w:i/>
        </w:rPr>
        <w:t xml:space="preserve">Obesity (Silver Spring)</w:t>
      </w:r>
      <w:r>
        <w:t xml:space="preserve"> </w:t>
      </w:r>
      <w:r>
        <w:t xml:space="preserve">· Efficacy and Safety of Tirzepatide in Japanese Participants With Obesity: A Subpopulation Analysis of the SURMOUNT-1 Trial. PMID 41612966</w:t>
      </w:r>
    </w:p>
    <w:p>
      <w:pPr>
        <w:numPr>
          <w:ilvl w:val="0"/>
          <w:numId w:val="1380"/>
        </w:numPr>
        <w:pStyle w:val="Compact"/>
      </w:pPr>
      <w:r>
        <w:t xml:space="preserve">2026 · Malhotra A ·</w:t>
      </w:r>
      <w:r>
        <w:t xml:space="preserve"> </w:t>
      </w:r>
      <w:r>
        <w:rPr>
          <w:iCs/>
          <w:i/>
        </w:rPr>
        <w:t xml:space="preserve">Nat Med</w:t>
      </w:r>
      <w:r>
        <w:t xml:space="preserve"> </w:t>
      </w:r>
      <w:r>
        <w:t xml:space="preserve">· Tirzepatide on obstructive sleep apnea-related cardiometabolic risk: secondary outcomes of the SURMOUNT-OSA randomized trial. PMID 41540105</w:t>
      </w:r>
    </w:p>
    <w:p>
      <w:pPr>
        <w:numPr>
          <w:ilvl w:val="0"/>
          <w:numId w:val="1380"/>
        </w:numPr>
        <w:pStyle w:val="Compact"/>
      </w:pPr>
      <w:r>
        <w:t xml:space="preserve">2026 · Wadden TA ·</w:t>
      </w:r>
      <w:r>
        <w:t xml:space="preserve"> </w:t>
      </w:r>
      <w:r>
        <w:rPr>
          <w:iCs/>
          <w:i/>
        </w:rPr>
        <w:t xml:space="preserve">Obesity (Silver Spring)</w:t>
      </w:r>
      <w:r>
        <w:t xml:space="preserve"> </w:t>
      </w:r>
      <w:r>
        <w:t xml:space="preserve">· Psychiatric Safety of Tirzepatide in People With Obesity and No Known Major Psychopathology: A Post Hoc Analysis of SURMOUNT. PMID 41537305</w:t>
      </w:r>
    </w:p>
    <w:p>
      <w:pPr>
        <w:numPr>
          <w:ilvl w:val="0"/>
          <w:numId w:val="1380"/>
        </w:numPr>
        <w:pStyle w:val="Compact"/>
      </w:pPr>
      <w:r>
        <w:t xml:space="preserve">2026 · Neves JS ·</w:t>
      </w:r>
      <w:r>
        <w:t xml:space="preserve"> </w:t>
      </w:r>
      <w:r>
        <w:rPr>
          <w:iCs/>
          <w:i/>
        </w:rPr>
        <w:t xml:space="preserve">Diabetologia</w:t>
      </w:r>
      <w:r>
        <w:t xml:space="preserve"> </w:t>
      </w:r>
      <w:r>
        <w:t xml:space="preserve">· Efficacy of tirzepatide versus semaglutide in achieving therapeutic targets in type 2 diabetes: a post hoc analysis of the SURPASS-2 Trial. PMID 41419618</w:t>
      </w:r>
    </w:p>
    <w:p>
      <w:pPr>
        <w:numPr>
          <w:ilvl w:val="0"/>
          <w:numId w:val="1380"/>
        </w:numPr>
        <w:pStyle w:val="Compact"/>
      </w:pPr>
      <w:r>
        <w:t xml:space="preserve">2026 · Roell W ·</w:t>
      </w:r>
      <w:r>
        <w:t xml:space="preserve"> </w:t>
      </w:r>
      <w:r>
        <w:rPr>
          <w:iCs/>
          <w:i/>
        </w:rPr>
        <w:t xml:space="preserve">Mol Metab</w:t>
      </w:r>
      <w:r>
        <w:t xml:space="preserve"> </w:t>
      </w:r>
      <w:r>
        <w:t xml:space="preserve">· Long-acting GIPR agonist LY3537021 reduces body weight and fasting blood glucose in patients with T2D: Preclinical development and phase 1 randomized ascending dose studies. PMID 41391569</w:t>
      </w:r>
    </w:p>
    <w:p>
      <w:pPr>
        <w:numPr>
          <w:ilvl w:val="0"/>
          <w:numId w:val="1380"/>
        </w:numPr>
        <w:pStyle w:val="Compact"/>
      </w:pPr>
      <w:r>
        <w:t xml:space="preserve">2026 · Yokote K ·</w:t>
      </w:r>
      <w:r>
        <w:t xml:space="preserve"> </w:t>
      </w:r>
      <w:r>
        <w:rPr>
          <w:iCs/>
          <w:i/>
        </w:rPr>
        <w:t xml:space="preserve">Diabetes Obes Metab</w:t>
      </w:r>
      <w:r>
        <w:t xml:space="preserve"> </w:t>
      </w:r>
      <w:r>
        <w:t xml:space="preserve">· Association of baseline characteristics with clinical outcomes of tirzepatide treatment in Japanese patients with obesity disease: A subgroup analysis of the SURMOUNT-J trial. PMID 41290555</w:t>
      </w:r>
    </w:p>
    <w:p>
      <w:pPr>
        <w:numPr>
          <w:ilvl w:val="0"/>
          <w:numId w:val="1380"/>
        </w:numPr>
        <w:pStyle w:val="Compact"/>
      </w:pPr>
      <w:r>
        <w:t xml:space="preserve">2026 · Horn DB ·</w:t>
      </w:r>
      <w:r>
        <w:t xml:space="preserve"> </w:t>
      </w:r>
      <w:r>
        <w:rPr>
          <w:iCs/>
          <w:i/>
        </w:rPr>
        <w:t xml:space="preserve">JAMA Intern Med</w:t>
      </w:r>
      <w:r>
        <w:t xml:space="preserve"> </w:t>
      </w:r>
      <w:r>
        <w:t xml:space="preserve">· Cardiometabolic Parameter Change by Weight Regain on Tirzepatide Withdrawal in Adults With Obesity: A Post Hoc Analysis of the SURMOUNT-4 Trial. PMID 41284285</w:t>
      </w:r>
    </w:p>
    <w:p>
      <w:pPr>
        <w:numPr>
          <w:ilvl w:val="0"/>
          <w:numId w:val="1380"/>
        </w:numPr>
        <w:pStyle w:val="Compact"/>
      </w:pPr>
      <w:r>
        <w:t xml:space="preserve">2026 · Snaith JR ·</w:t>
      </w:r>
      <w:r>
        <w:t xml:space="preserve"> </w:t>
      </w:r>
      <w:r>
        <w:rPr>
          <w:iCs/>
          <w:i/>
        </w:rPr>
        <w:t xml:space="preserve">Diabetes Care</w:t>
      </w:r>
      <w:r>
        <w:t xml:space="preserve"> </w:t>
      </w:r>
      <w:r>
        <w:t xml:space="preserve">· Tirzepatide in Adults With Type 1 Diabetes: A Phase 2 Randomized Placebo-Controlled Clinical Trial. PMID 41264593</w:t>
      </w:r>
    </w:p>
    <w:p>
      <w:pPr>
        <w:numPr>
          <w:ilvl w:val="0"/>
          <w:numId w:val="1380"/>
        </w:numPr>
        <w:pStyle w:val="Compact"/>
      </w:pPr>
      <w:r>
        <w:t xml:space="preserve">2026 · Sattar N ·</w:t>
      </w:r>
      <w:r>
        <w:t xml:space="preserve"> </w:t>
      </w:r>
      <w:r>
        <w:rPr>
          <w:iCs/>
          <w:i/>
        </w:rPr>
        <w:t xml:space="preserve">Ann Rheum Dis</w:t>
      </w:r>
      <w:r>
        <w:t xml:space="preserve"> </w:t>
      </w:r>
      <w:r>
        <w:t xml:space="preserve">· Tirzepatide and change in uric acid and its association with weight reduction: post hoc analyses of the SURMOUNT-1 randomised placebo-controlled trial. PMID 41198460</w:t>
      </w:r>
    </w:p>
    <w:p>
      <w:pPr>
        <w:numPr>
          <w:ilvl w:val="0"/>
          <w:numId w:val="1380"/>
        </w:numPr>
        <w:pStyle w:val="Compact"/>
      </w:pPr>
      <w:r>
        <w:t xml:space="preserve">2026 · Shukla AP ·</w:t>
      </w:r>
      <w:r>
        <w:t xml:space="preserve"> </w:t>
      </w:r>
      <w:r>
        <w:rPr>
          <w:iCs/>
          <w:i/>
        </w:rPr>
        <w:t xml:space="preserve">Diabetes Obes Metab</w:t>
      </w:r>
      <w:r>
        <w:t xml:space="preserve"> </w:t>
      </w:r>
      <w:r>
        <w:t xml:space="preserve">· Improved health-related quality of life with tirzepatide versus semaglutide in adults with obesity or overweight from the SURMOUNT-5 trial. PMID 41187971</w:t>
      </w:r>
    </w:p>
    <w:p>
      <w:pPr>
        <w:numPr>
          <w:ilvl w:val="0"/>
          <w:numId w:val="1380"/>
        </w:numPr>
        <w:pStyle w:val="Compact"/>
      </w:pPr>
      <w:r>
        <w:t xml:space="preserve">2026 · Li X ·</w:t>
      </w:r>
      <w:r>
        <w:t xml:space="preserve"> </w:t>
      </w:r>
      <w:r>
        <w:rPr>
          <w:iCs/>
          <w:i/>
        </w:rPr>
        <w:t xml:space="preserve">Obesity (Silver Spring)</w:t>
      </w:r>
      <w:r>
        <w:t xml:space="preserve"> </w:t>
      </w:r>
      <w:r>
        <w:t xml:space="preserve">· People With Lowest Physical Functioning Scores Showed Greatest Improvement After Tirzepatide Treatment. PMID 41187013</w:t>
      </w:r>
    </w:p>
    <w:p>
      <w:pPr>
        <w:numPr>
          <w:ilvl w:val="0"/>
          <w:numId w:val="1380"/>
        </w:numPr>
        <w:pStyle w:val="Compact"/>
      </w:pPr>
      <w:r>
        <w:t xml:space="preserve">2025 · Nicholls SJ ·</w:t>
      </w:r>
      <w:r>
        <w:t xml:space="preserve"> </w:t>
      </w:r>
      <w:r>
        <w:rPr>
          <w:iCs/>
          <w:i/>
        </w:rPr>
        <w:t xml:space="preserve">N Engl J Med</w:t>
      </w:r>
      <w:r>
        <w:t xml:space="preserve"> </w:t>
      </w:r>
      <w:r>
        <w:t xml:space="preserve">· Cardiovascular Outcomes with Tirzepatide versus Dulaglutide in Type 2 Diabetes. PMID 41406444</w:t>
      </w:r>
    </w:p>
    <w:p>
      <w:pPr>
        <w:numPr>
          <w:ilvl w:val="0"/>
          <w:numId w:val="1380"/>
        </w:numPr>
        <w:pStyle w:val="Compact"/>
      </w:pPr>
      <w:r>
        <w:t xml:space="preserve">2025 · Guo L ·</w:t>
      </w:r>
      <w:r>
        <w:t xml:space="preserve"> </w:t>
      </w:r>
      <w:r>
        <w:rPr>
          <w:iCs/>
          <w:i/>
        </w:rPr>
        <w:t xml:space="preserve">Lancet Diabetes Endocrinol</w:t>
      </w:r>
      <w:r>
        <w:t xml:space="preserve"> </w:t>
      </w:r>
      <w:r>
        <w:t xml:space="preserve">· Efficacy and safety of tirzepatide added to basal insulin in patients with type 2 diabetes in China (SURPASS-CN-INS): a double-blind, multicentre, randomised, placebo-controlled, phase 3 trial. PMID 41167231</w:t>
      </w:r>
    </w:p>
    <w:p>
      <w:pPr>
        <w:numPr>
          <w:ilvl w:val="0"/>
          <w:numId w:val="1380"/>
        </w:numPr>
        <w:pStyle w:val="Compact"/>
      </w:pPr>
      <w:r>
        <w:t xml:space="preserve">2025 · Malhotra A ·</w:t>
      </w:r>
      <w:r>
        <w:t xml:space="preserve"> </w:t>
      </w:r>
      <w:r>
        <w:rPr>
          <w:iCs/>
          <w:i/>
        </w:rPr>
        <w:t xml:space="preserve">Sleep Med</w:t>
      </w:r>
      <w:r>
        <w:t xml:space="preserve"> </w:t>
      </w:r>
      <w:r>
        <w:t xml:space="preserve">· Tirzepatide for sleep-disordered breathing in SURMOUNT-OSA: Time course and association with body weight. PMID 41135142</w:t>
      </w:r>
    </w:p>
    <w:p>
      <w:pPr>
        <w:numPr>
          <w:ilvl w:val="0"/>
          <w:numId w:val="1380"/>
        </w:numPr>
        <w:pStyle w:val="Compact"/>
      </w:pPr>
      <w:r>
        <w:t xml:space="preserve">2025 · Caussy C ·</w:t>
      </w:r>
      <w:r>
        <w:t xml:space="preserve"> </w:t>
      </w:r>
      <w:r>
        <w:rPr>
          <w:iCs/>
          <w:i/>
        </w:rPr>
        <w:t xml:space="preserve">Diabetes Care</w:t>
      </w:r>
      <w:r>
        <w:t xml:space="preserve"> </w:t>
      </w:r>
      <w:r>
        <w:t xml:space="preserve">· Relationship Between Metabolic and Histological Responses in People With Metabolic Dysfunction- Associated Steatohepatitis With and Without Type 2 Diabetes: Participant-Level Exploratory Analysis of the SYNERGY-NASH Trial With Tirzepatide. PMID 41066427</w:t>
      </w:r>
    </w:p>
    <w:p>
      <w:pPr>
        <w:numPr>
          <w:ilvl w:val="0"/>
          <w:numId w:val="1380"/>
        </w:numPr>
        <w:pStyle w:val="Compact"/>
      </w:pPr>
      <w:r>
        <w:t xml:space="preserve">2025 · Hankosky ER ·</w:t>
      </w:r>
      <w:r>
        <w:t xml:space="preserve"> </w:t>
      </w:r>
      <w:r>
        <w:rPr>
          <w:iCs/>
          <w:i/>
        </w:rPr>
        <w:t xml:space="preserve">Diabetes Obes Metab</w:t>
      </w:r>
      <w:r>
        <w:t xml:space="preserve"> </w:t>
      </w:r>
      <w:r>
        <w:t xml:space="preserve">· Tirzepatide and the 10-year predicted risk of cardiovascular disease and type 2 diabetes in adults with obesity and prediabetes: A post hoc analysis from the three-year SURMOUNT-1 trial. PMID 41017451</w:t>
      </w:r>
    </w:p>
    <w:p>
      <w:pPr>
        <w:numPr>
          <w:ilvl w:val="0"/>
          <w:numId w:val="1380"/>
        </w:numPr>
        <w:pStyle w:val="Compact"/>
      </w:pPr>
      <w:r>
        <w:t xml:space="preserve">2025 · Hannon TS ·</w:t>
      </w:r>
      <w:r>
        <w:t xml:space="preserve"> </w:t>
      </w:r>
      <w:r>
        <w:rPr>
          <w:iCs/>
          <w:i/>
        </w:rPr>
        <w:t xml:space="preserve">Lancet</w:t>
      </w:r>
      <w:r>
        <w:t xml:space="preserve"> </w:t>
      </w:r>
      <w:r>
        <w:t xml:space="preserve">· Efficacy and safety of tirzepatide in children and adolescents with type 2 diabetes (SURPASS-PEDS): a randomised, double-blind, placebo-controlled, phase 3 trial. PMID 40975112</w:t>
      </w:r>
    </w:p>
    <w:p>
      <w:pPr>
        <w:numPr>
          <w:ilvl w:val="0"/>
          <w:numId w:val="1380"/>
        </w:numPr>
        <w:pStyle w:val="Compact"/>
      </w:pPr>
      <w:r>
        <w:t xml:space="preserve">2025 · Pieber TR ·</w:t>
      </w:r>
      <w:r>
        <w:t xml:space="preserve"> </w:t>
      </w:r>
      <w:r>
        <w:rPr>
          <w:iCs/>
          <w:i/>
        </w:rPr>
        <w:t xml:space="preserve">Front Endocrinol (Lausanne)</w:t>
      </w:r>
      <w:r>
        <w:t xml:space="preserve"> </w:t>
      </w:r>
      <w:r>
        <w:t xml:space="preserve">· Counterregulatory response to hypoglycemia during a hypoglycemic clamp in people with type 2 diabetes treated with tirzepatide. PMID 40964167</w:t>
      </w:r>
    </w:p>
    <w:p>
      <w:pPr>
        <w:numPr>
          <w:ilvl w:val="0"/>
          <w:numId w:val="1380"/>
        </w:numPr>
        <w:pStyle w:val="Compact"/>
      </w:pPr>
      <w:r>
        <w:t xml:space="preserve">2025 · Lee BW ·</w:t>
      </w:r>
      <w:r>
        <w:t xml:space="preserve"> </w:t>
      </w:r>
      <w:r>
        <w:rPr>
          <w:iCs/>
          <w:i/>
        </w:rPr>
        <w:t xml:space="preserve">Diabetes Obes Metab</w:t>
      </w:r>
      <w:r>
        <w:t xml:space="preserve"> </w:t>
      </w:r>
      <w:r>
        <w:t xml:space="preserve">· Efficacy and safety in tirzepatide-treated Korean adults with type 2 diabetes-A post hoc analysis of SURPASS-AP-combo and SURPASS-3. PMID 40954943</w:t>
      </w:r>
    </w:p>
    <w:p>
      <w:pPr>
        <w:numPr>
          <w:ilvl w:val="0"/>
          <w:numId w:val="1380"/>
        </w:numPr>
        <w:pStyle w:val="Compact"/>
      </w:pPr>
      <w:r>
        <w:t xml:space="preserve">2025 · Guan H ·</w:t>
      </w:r>
      <w:r>
        <w:t xml:space="preserve"> </w:t>
      </w:r>
      <w:r>
        <w:rPr>
          <w:iCs/>
          <w:i/>
        </w:rPr>
        <w:t xml:space="preserve">Diabetes Obes Metab</w:t>
      </w:r>
      <w:r>
        <w:t xml:space="preserve"> </w:t>
      </w:r>
      <w:r>
        <w:t xml:space="preserve">· Long-term efficacy and safety of tirzepatide in participants with type 2 diabetes with inadequate glycaemic control on metformin and/or sulfonylurea: Post-hoc analysis of SURPASS-4. PMID 40926359</w:t>
      </w:r>
    </w:p>
    <w:p>
      <w:pPr>
        <w:numPr>
          <w:ilvl w:val="0"/>
          <w:numId w:val="1380"/>
        </w:numPr>
        <w:pStyle w:val="Compact"/>
      </w:pPr>
      <w:r>
        <w:t xml:space="preserve">2025 · Gibble TH ·</w:t>
      </w:r>
      <w:r>
        <w:t xml:space="preserve"> </w:t>
      </w:r>
      <w:r>
        <w:rPr>
          <w:iCs/>
          <w:i/>
        </w:rPr>
        <w:t xml:space="preserve">Obesity (Silver Spring)</w:t>
      </w:r>
      <w:r>
        <w:t xml:space="preserve"> </w:t>
      </w:r>
      <w:r>
        <w:t xml:space="preserve">· Tirzepatide Associated With Improved Health-Related Quality of Life in Adults With Obesity or Overweight in SURMOUNT-4. PMID 40903801</w:t>
      </w:r>
    </w:p>
    <w:p>
      <w:pPr>
        <w:numPr>
          <w:ilvl w:val="0"/>
          <w:numId w:val="1380"/>
        </w:numPr>
        <w:pStyle w:val="Compact"/>
      </w:pPr>
      <w:r>
        <w:t xml:space="preserve">2025 · Packer M ·</w:t>
      </w:r>
      <w:r>
        <w:t xml:space="preserve"> </w:t>
      </w:r>
      <w:r>
        <w:rPr>
          <w:iCs/>
          <w:i/>
        </w:rPr>
        <w:t xml:space="preserve">J Am Coll Cardiol</w:t>
      </w:r>
      <w:r>
        <w:t xml:space="preserve"> </w:t>
      </w:r>
      <w:r>
        <w:t xml:space="preserve">· Influence of Type 2 Diabetes on the Effects of Tirzepatide in Patients With Heart Failure and a Preserved Ejection Fraction With Obesity: A Prespecified Stratification-Based Analysis. PMID 40903131</w:t>
      </w:r>
    </w:p>
    <w:p>
      <w:pPr>
        <w:numPr>
          <w:ilvl w:val="0"/>
          <w:numId w:val="1380"/>
        </w:numPr>
        <w:pStyle w:val="Compact"/>
      </w:pPr>
      <w:r>
        <w:t xml:space="preserve">2025 · Bhatnagar P ·</w:t>
      </w:r>
      <w:r>
        <w:t xml:space="preserve"> </w:t>
      </w:r>
      <w:r>
        <w:rPr>
          <w:iCs/>
          <w:i/>
        </w:rPr>
        <w:t xml:space="preserve">Nat Med</w:t>
      </w:r>
      <w:r>
        <w:t xml:space="preserve"> </w:t>
      </w:r>
      <w:r>
        <w:t xml:space="preserve">· Tirzepatide leads to weight reduction in people with obesity due to MC4R deficiency. PMID 40858971</w:t>
      </w:r>
    </w:p>
    <w:p>
      <w:pPr>
        <w:numPr>
          <w:ilvl w:val="0"/>
          <w:numId w:val="1380"/>
        </w:numPr>
        <w:pStyle w:val="Compact"/>
      </w:pPr>
      <w:r>
        <w:t xml:space="preserve">2025 · Schiavo L ·</w:t>
      </w:r>
      <w:r>
        <w:t xml:space="preserve"> </w:t>
      </w:r>
      <w:r>
        <w:rPr>
          <w:iCs/>
          <w:i/>
        </w:rPr>
        <w:t xml:space="preserve">Nutrients</w:t>
      </w:r>
      <w:r>
        <w:t xml:space="preserve"> </w:t>
      </w:r>
      <w:r>
        <w:t xml:space="preserve">· Beyond Weight Loss: Comparative Effects of Tirzepatide Plus Low-Energy Ketogenic Versus Low-Calorie Diet on Hepatic Steatosis and Stiffness in MASLD. PMID 40805994</w:t>
      </w:r>
    </w:p>
    <w:p>
      <w:pPr>
        <w:numPr>
          <w:ilvl w:val="0"/>
          <w:numId w:val="1380"/>
        </w:numPr>
        <w:pStyle w:val="Compact"/>
      </w:pPr>
      <w:r>
        <w:t xml:space="preserve">2025 · Kanu C ·</w:t>
      </w:r>
      <w:r>
        <w:t xml:space="preserve"> </w:t>
      </w:r>
      <w:r>
        <w:rPr>
          <w:iCs/>
          <w:i/>
        </w:rPr>
        <w:t xml:space="preserve">Sleep Med</w:t>
      </w:r>
      <w:r>
        <w:t xml:space="preserve"> </w:t>
      </w:r>
      <w:r>
        <w:t xml:space="preserve">· Effect of tirzepatide treatment on patient-reported outcomes among SURMOUNT-OSA participants with obstructive sleep apnea and obesity. PMID 40774158</w:t>
      </w:r>
    </w:p>
    <w:p>
      <w:pPr>
        <w:numPr>
          <w:ilvl w:val="0"/>
          <w:numId w:val="1380"/>
        </w:numPr>
        <w:pStyle w:val="Compact"/>
      </w:pPr>
      <w:r>
        <w:t xml:space="preserve">2025 · Gourgari E ·</w:t>
      </w:r>
      <w:r>
        <w:t xml:space="preserve"> </w:t>
      </w:r>
      <w:r>
        <w:rPr>
          <w:iCs/>
          <w:i/>
        </w:rPr>
        <w:t xml:space="preserve">Obesity (Silver Spring)</w:t>
      </w:r>
      <w:r>
        <w:t xml:space="preserve"> </w:t>
      </w:r>
      <w:r>
        <w:t xml:space="preserve">· Early-Onset Obesity and Tirzepatide Treatment: A Post Hoc Analysis of the SURMOUNT Clinical Trials. PMID 40717199</w:t>
      </w:r>
    </w:p>
    <w:p>
      <w:pPr>
        <w:numPr>
          <w:ilvl w:val="0"/>
          <w:numId w:val="1380"/>
        </w:numPr>
        <w:pStyle w:val="Compact"/>
      </w:pPr>
      <w:r>
        <w:t xml:space="preserve">2025 · Borlaug BA ·</w:t>
      </w:r>
      <w:r>
        <w:t xml:space="preserve"> </w:t>
      </w:r>
      <w:r>
        <w:rPr>
          <w:iCs/>
          <w:i/>
        </w:rPr>
        <w:t xml:space="preserve">J Am Coll Cardiol</w:t>
      </w:r>
      <w:r>
        <w:t xml:space="preserve"> </w:t>
      </w:r>
      <w:r>
        <w:t xml:space="preserve">· Impact of Body Mass Index, Central Adiposity, and Weight Loss on the Benefits of Tirzepatide in HFpEF: The SUMMIT Trial. PMID 40701669</w:t>
      </w:r>
    </w:p>
    <w:p>
      <w:pPr>
        <w:numPr>
          <w:ilvl w:val="0"/>
          <w:numId w:val="1380"/>
        </w:numPr>
        <w:pStyle w:val="Compact"/>
      </w:pPr>
      <w:r>
        <w:t xml:space="preserve">2025 · Mari A ·</w:t>
      </w:r>
      <w:r>
        <w:t xml:space="preserve"> </w:t>
      </w:r>
      <w:r>
        <w:rPr>
          <w:iCs/>
          <w:i/>
        </w:rPr>
        <w:t xml:space="preserve">Diabetes Care</w:t>
      </w:r>
      <w:r>
        <w:t xml:space="preserve"> </w:t>
      </w:r>
      <w:r>
        <w:t xml:space="preserve">· Tirzepatide Treatment and Associated Changes in β-Cell Function and Insulin Sensitivity in People With Obesity or Overweight With Prediabetes or Normoglycemia: A Post Hoc Analysis From the SURMOUNT-1 Trial. PMID 40694530</w:t>
      </w:r>
    </w:p>
    <w:p>
      <w:pPr>
        <w:numPr>
          <w:ilvl w:val="0"/>
          <w:numId w:val="1380"/>
        </w:numPr>
        <w:pStyle w:val="Compact"/>
      </w:pPr>
      <w:r>
        <w:t xml:space="preserve">2025 · Yamaguchi Y ·</w:t>
      </w:r>
      <w:r>
        <w:t xml:space="preserve"> </w:t>
      </w:r>
      <w:r>
        <w:rPr>
          <w:iCs/>
          <w:i/>
        </w:rPr>
        <w:t xml:space="preserve">Diabetologia</w:t>
      </w:r>
      <w:r>
        <w:t xml:space="preserve"> </w:t>
      </w:r>
      <w:r>
        <w:t xml:space="preserve">· Early induction of insulin sensitisation treated by tirzepatide: a prospective, single-arm, open-label study in Japanese individuals with obesity and type 2 diabetes. PMID 40694059</w:t>
      </w:r>
    </w:p>
    <w:p>
      <w:pPr>
        <w:numPr>
          <w:ilvl w:val="0"/>
          <w:numId w:val="1380"/>
        </w:numPr>
        <w:pStyle w:val="Compact"/>
      </w:pPr>
      <w:r>
        <w:t xml:space="preserve">2025 · Ard J ·</w:t>
      </w:r>
      <w:r>
        <w:t xml:space="preserve"> </w:t>
      </w:r>
      <w:r>
        <w:rPr>
          <w:iCs/>
          <w:i/>
        </w:rPr>
        <w:t xml:space="preserve">Diabetes Obes Metab</w:t>
      </w:r>
      <w:r>
        <w:t xml:space="preserve"> </w:t>
      </w:r>
      <w:r>
        <w:t xml:space="preserve">· Weight reduction over time in tirzepatide-treated participants by early weight loss response: Post hoc analysis in SURMOUNT-1. PMID 40677091</w:t>
      </w:r>
    </w:p>
    <w:p>
      <w:pPr>
        <w:numPr>
          <w:ilvl w:val="0"/>
          <w:numId w:val="1380"/>
        </w:numPr>
        <w:pStyle w:val="Compact"/>
      </w:pPr>
      <w:r>
        <w:t xml:space="preserve">2025 · Pearson ER ·</w:t>
      </w:r>
      <w:r>
        <w:t xml:space="preserve"> </w:t>
      </w:r>
      <w:r>
        <w:rPr>
          <w:iCs/>
          <w:i/>
        </w:rPr>
        <w:t xml:space="preserve">Diabetes</w:t>
      </w:r>
      <w:r>
        <w:t xml:space="preserve"> </w:t>
      </w:r>
      <w:r>
        <w:t xml:space="preserve">· Predictors of Initial and Sustained Glycemic and Weight Response to Tirzepatide: A Post Hoc Analysis of SURPASS-4. PMID 40633089</w:t>
      </w:r>
    </w:p>
    <w:p>
      <w:pPr>
        <w:numPr>
          <w:ilvl w:val="0"/>
          <w:numId w:val="1380"/>
        </w:numPr>
        <w:pStyle w:val="Compact"/>
      </w:pPr>
      <w:r>
        <w:t xml:space="preserve">2025 · Chigutsa E ·</w:t>
      </w:r>
      <w:r>
        <w:t xml:space="preserve"> </w:t>
      </w:r>
      <w:r>
        <w:rPr>
          <w:iCs/>
          <w:i/>
        </w:rPr>
        <w:t xml:space="preserve">Clin Pharmacol Ther</w:t>
      </w:r>
      <w:r>
        <w:t xml:space="preserve"> </w:t>
      </w:r>
      <w:r>
        <w:t xml:space="preserve">· A Pharmacometric Method for Quantitative Determination of Improvement in Body Composition and Characterization of the Exposure-Response Relationship during Treatment of Obesity with Tirzepatide. PMID 40556483</w:t>
      </w:r>
    </w:p>
    <w:p>
      <w:pPr>
        <w:numPr>
          <w:ilvl w:val="0"/>
          <w:numId w:val="1380"/>
        </w:numPr>
        <w:pStyle w:val="Compact"/>
      </w:pPr>
      <w:r>
        <w:t xml:space="preserve">2025 · Martin CK ·</w:t>
      </w:r>
      <w:r>
        <w:t xml:space="preserve"> </w:t>
      </w:r>
      <w:r>
        <w:rPr>
          <w:iCs/>
          <w:i/>
        </w:rPr>
        <w:t xml:space="preserve">Nat Med</w:t>
      </w:r>
      <w:r>
        <w:t xml:space="preserve"> </w:t>
      </w:r>
      <w:r>
        <w:t xml:space="preserve">· Tirzepatide on ingestive behavior in adults with overweight or obesity: a randomized 6-week phase 1 trial. PMID 40555748</w:t>
      </w:r>
    </w:p>
    <w:p>
      <w:pPr>
        <w:numPr>
          <w:ilvl w:val="0"/>
          <w:numId w:val="1380"/>
        </w:numPr>
        <w:pStyle w:val="Compact"/>
      </w:pPr>
      <w:r>
        <w:t xml:space="preserve">2025 · Linetzky B ·</w:t>
      </w:r>
      <w:r>
        <w:t xml:space="preserve"> </w:t>
      </w:r>
      <w:r>
        <w:rPr>
          <w:iCs/>
          <w:i/>
        </w:rPr>
        <w:t xml:space="preserve">Ann Intern Med</w:t>
      </w:r>
      <w:r>
        <w:t xml:space="preserve"> </w:t>
      </w:r>
      <w:r>
        <w:t xml:space="preserve">· Improvements in Cardiometabolic Risk Factors by Weight Reduction: A Post Hoc Analysis of Adults With Obesity Randomly Assigned to Tirzepatide. PMID 40550133</w:t>
      </w:r>
    </w:p>
    <w:p>
      <w:pPr>
        <w:numPr>
          <w:ilvl w:val="0"/>
          <w:numId w:val="1380"/>
        </w:numPr>
        <w:pStyle w:val="Compact"/>
      </w:pPr>
      <w:r>
        <w:t xml:space="preserve">2025 · Ciudin A ·</w:t>
      </w:r>
      <w:r>
        <w:t xml:space="preserve"> </w:t>
      </w:r>
      <w:r>
        <w:rPr>
          <w:iCs/>
          <w:i/>
        </w:rPr>
        <w:t xml:space="preserve">Diabetes Obes Metab</w:t>
      </w:r>
      <w:r>
        <w:t xml:space="preserve"> </w:t>
      </w:r>
      <w:r>
        <w:t xml:space="preserve">· Indirect comparative efficacy and safety of tirzepatide 10 and 15 mg versus semaglutide 2.4 mg for the management of obesity and overweight in patients with type 2 diabetes. PMID 40537987</w:t>
      </w:r>
    </w:p>
    <w:p>
      <w:pPr>
        <w:numPr>
          <w:ilvl w:val="0"/>
          <w:numId w:val="1380"/>
        </w:numPr>
        <w:pStyle w:val="Compact"/>
      </w:pPr>
      <w:r>
        <w:t xml:space="preserve">2025 · Yamauchi T ·</w:t>
      </w:r>
      <w:r>
        <w:t xml:space="preserve"> </w:t>
      </w:r>
      <w:r>
        <w:rPr>
          <w:iCs/>
          <w:i/>
        </w:rPr>
        <w:t xml:space="preserve">Diabetes Obes Metab</w:t>
      </w:r>
      <w:r>
        <w:t xml:space="preserve"> </w:t>
      </w:r>
      <w:r>
        <w:t xml:space="preserve">· Efficacy and safety of once-weekly tirzepatide in Japanese participants with type 2 diabetes who have obesity or overweight: Subpopulation analysis of the SURMOUNT-2 trial. PMID 40490415</w:t>
      </w:r>
    </w:p>
    <w:p>
      <w:pPr>
        <w:numPr>
          <w:ilvl w:val="0"/>
          <w:numId w:val="1380"/>
        </w:numPr>
        <w:pStyle w:val="Compact"/>
      </w:pPr>
      <w:r>
        <w:t xml:space="preserve">2025 · Zhao L ·</w:t>
      </w:r>
      <w:r>
        <w:t xml:space="preserve"> </w:t>
      </w:r>
      <w:r>
        <w:rPr>
          <w:iCs/>
          <w:i/>
        </w:rPr>
        <w:t xml:space="preserve">Obesity (Silver Spring)</w:t>
      </w:r>
      <w:r>
        <w:t xml:space="preserve"> </w:t>
      </w:r>
      <w:r>
        <w:t xml:space="preserve">· Association of tirzepatide with cardiometabolic benefits in Chinese adults: post hoc subgroup analysis of SURMOUNT-CN study. PMID 40437798</w:t>
      </w:r>
    </w:p>
    <w:p>
      <w:pPr>
        <w:numPr>
          <w:ilvl w:val="0"/>
          <w:numId w:val="1380"/>
        </w:numPr>
        <w:pStyle w:val="Compact"/>
      </w:pPr>
      <w:r>
        <w:t xml:space="preserve">2025 · Gibble TH ·</w:t>
      </w:r>
      <w:r>
        <w:t xml:space="preserve"> </w:t>
      </w:r>
      <w:r>
        <w:rPr>
          <w:iCs/>
          <w:i/>
        </w:rPr>
        <w:t xml:space="preserve">Diabetes Obes Metab</w:t>
      </w:r>
      <w:r>
        <w:t xml:space="preserve"> </w:t>
      </w:r>
      <w:r>
        <w:t xml:space="preserve">· Tirzepatide and health-related quality of life in adults with obesity or overweight: Results from the SURMOUNT-3 phase 3 randomized trial. PMID 40365662</w:t>
      </w:r>
    </w:p>
    <w:p>
      <w:pPr>
        <w:numPr>
          <w:ilvl w:val="0"/>
          <w:numId w:val="1380"/>
        </w:numPr>
        <w:pStyle w:val="Compact"/>
      </w:pPr>
      <w:r>
        <w:t xml:space="preserve">2025 · Aronne LJ ·</w:t>
      </w:r>
      <w:r>
        <w:t xml:space="preserve"> </w:t>
      </w:r>
      <w:r>
        <w:rPr>
          <w:iCs/>
          <w:i/>
        </w:rPr>
        <w:t xml:space="preserve">N Engl J Med</w:t>
      </w:r>
      <w:r>
        <w:t xml:space="preserve"> </w:t>
      </w:r>
      <w:r>
        <w:t xml:space="preserve">· Tirzepatide as Compared with Semaglutide for the Treatment of Obesity. PMID 40353578</w:t>
      </w:r>
    </w:p>
    <w:p>
      <w:pPr>
        <w:numPr>
          <w:ilvl w:val="0"/>
          <w:numId w:val="1380"/>
        </w:numPr>
        <w:pStyle w:val="Compact"/>
      </w:pPr>
      <w:r>
        <w:t xml:space="preserve">2025 · Zhao L ·</w:t>
      </w:r>
      <w:r>
        <w:t xml:space="preserve"> </w:t>
      </w:r>
      <w:r>
        <w:rPr>
          <w:iCs/>
          <w:i/>
        </w:rPr>
        <w:t xml:space="preserve">Diabetes Obes Metab</w:t>
      </w:r>
      <w:r>
        <w:t xml:space="preserve"> </w:t>
      </w:r>
      <w:r>
        <w:t xml:space="preserve">· Predicting 10-year risk of type 2 diabetes in Chinese people with overweight or obesity treated with Tirzepatide: Post hoc analysis of SURMOUNT-CN trial. PMID 40329666</w:t>
      </w:r>
    </w:p>
    <w:p>
      <w:pPr>
        <w:numPr>
          <w:ilvl w:val="0"/>
          <w:numId w:val="1380"/>
        </w:numPr>
        <w:pStyle w:val="Compact"/>
      </w:pPr>
      <w:r>
        <w:t xml:space="preserve">2025 · Hankosky ER ·</w:t>
      </w:r>
      <w:r>
        <w:t xml:space="preserve"> </w:t>
      </w:r>
      <w:r>
        <w:rPr>
          <w:iCs/>
          <w:i/>
        </w:rPr>
        <w:t xml:space="preserve">Diabetes Obes Metab</w:t>
      </w:r>
      <w:r>
        <w:t xml:space="preserve"> </w:t>
      </w:r>
      <w:r>
        <w:t xml:space="preserve">· Tirzepatide 10 and 15 mg versus semaglutide 2.4 mg in people with obesity or overweight with type 2 diabetes: An indirect treatment comparison. PMID 40321113</w:t>
      </w:r>
    </w:p>
    <w:p>
      <w:pPr>
        <w:numPr>
          <w:ilvl w:val="0"/>
          <w:numId w:val="1380"/>
        </w:numPr>
        <w:pStyle w:val="Compact"/>
      </w:pPr>
      <w:r>
        <w:t xml:space="preserve">2025 · Sattar N ·</w:t>
      </w:r>
      <w:r>
        <w:t xml:space="preserve"> </w:t>
      </w:r>
      <w:r>
        <w:rPr>
          <w:iCs/>
          <w:i/>
        </w:rPr>
        <w:t xml:space="preserve">Lancet Diabetes Endocrinol</w:t>
      </w:r>
      <w:r>
        <w:t xml:space="preserve"> </w:t>
      </w:r>
      <w:r>
        <w:t xml:space="preserve">· Tirzepatide and muscle composition changes in people with type 2 diabetes (SURPASS-3 MRI): a post-hoc analysis of a randomised, open-label, parallel-group, phase 3 trial. PMID 40318682</w:t>
      </w:r>
    </w:p>
    <w:p>
      <w:pPr>
        <w:numPr>
          <w:ilvl w:val="0"/>
          <w:numId w:val="1380"/>
        </w:numPr>
        <w:pStyle w:val="Compact"/>
      </w:pPr>
      <w:r>
        <w:t xml:space="preserve">2025 · Evans M ·</w:t>
      </w:r>
      <w:r>
        <w:t xml:space="preserve"> </w:t>
      </w:r>
      <w:r>
        <w:rPr>
          <w:iCs/>
          <w:i/>
        </w:rPr>
        <w:t xml:space="preserve">Adv Ther</w:t>
      </w:r>
      <w:r>
        <w:t xml:space="preserve"> </w:t>
      </w:r>
      <w:r>
        <w:t xml:space="preserve">· Analysis of Tirzepatide Acquisition Costs and Weight Reduction Outcomes in the United Kingdom: Insights from the SURMOUNT-1 Study. PMID 40251452</w:t>
      </w:r>
    </w:p>
    <w:p>
      <w:pPr>
        <w:numPr>
          <w:ilvl w:val="0"/>
          <w:numId w:val="1380"/>
        </w:numPr>
        <w:pStyle w:val="Compact"/>
      </w:pPr>
      <w:r>
        <w:t xml:space="preserve">2025 · Ravussin E ·</w:t>
      </w:r>
      <w:r>
        <w:t xml:space="preserve"> </w:t>
      </w:r>
      <w:r>
        <w:rPr>
          <w:iCs/>
          <w:i/>
        </w:rPr>
        <w:t xml:space="preserve">Cell Metab</w:t>
      </w:r>
      <w:r>
        <w:t xml:space="preserve"> </w:t>
      </w:r>
      <w:r>
        <w:t xml:space="preserve">· Tirzepatide did not impact metabolic adaptation in people with obesity, but increased fat oxidation. PMID 40203836</w:t>
      </w:r>
    </w:p>
    <w:p>
      <w:pPr>
        <w:numPr>
          <w:ilvl w:val="0"/>
          <w:numId w:val="1380"/>
        </w:numPr>
        <w:pStyle w:val="Compact"/>
      </w:pPr>
      <w:r>
        <w:t xml:space="preserve">2025 · Billings LK ·</w:t>
      </w:r>
      <w:r>
        <w:t xml:space="preserve"> </w:t>
      </w:r>
      <w:r>
        <w:rPr>
          <w:iCs/>
          <w:i/>
        </w:rPr>
        <w:t xml:space="preserve">Ann Intern Med</w:t>
      </w:r>
      <w:r>
        <w:t xml:space="preserve"> </w:t>
      </w:r>
      <w:r>
        <w:t xml:space="preserve">· Comparison of Dose Escalation Versus Switching to Tirzepatide Among People With Type 2 Diabetes Inadequately Controlled on Lower Doses of Dulaglutide : A Randomized Clinical Trial. PMID 40183678</w:t>
      </w:r>
    </w:p>
    <w:p>
      <w:pPr>
        <w:numPr>
          <w:ilvl w:val="0"/>
          <w:numId w:val="1380"/>
        </w:numPr>
        <w:pStyle w:val="Compact"/>
      </w:pPr>
      <w:r>
        <w:t xml:space="preserve">2025 · Packer M ·</w:t>
      </w:r>
      <w:r>
        <w:t xml:space="preserve"> </w:t>
      </w:r>
      <w:r>
        <w:rPr>
          <w:iCs/>
          <w:i/>
        </w:rPr>
        <w:t xml:space="preserve">J Am Coll Cardiol</w:t>
      </w:r>
      <w:r>
        <w:t xml:space="preserve"> </w:t>
      </w:r>
      <w:r>
        <w:t xml:space="preserve">· Interplay of Chronic Kidney Disease and the Effects of Tirzepatide in Patients With Heart Failure, Preserved Ejection Fraction, and Obesity: The SUMMIT Trial. PMID 40162940</w:t>
      </w:r>
    </w:p>
    <w:p>
      <w:pPr>
        <w:numPr>
          <w:ilvl w:val="0"/>
          <w:numId w:val="1380"/>
        </w:numPr>
        <w:pStyle w:val="Compact"/>
      </w:pPr>
      <w:r>
        <w:t xml:space="preserve">2025 · Giorgino F ·</w:t>
      </w:r>
      <w:r>
        <w:t xml:space="preserve"> </w:t>
      </w:r>
      <w:r>
        <w:rPr>
          <w:iCs/>
          <w:i/>
        </w:rPr>
        <w:t xml:space="preserve">Diabetes Care</w:t>
      </w:r>
      <w:r>
        <w:t xml:space="preserve"> </w:t>
      </w:r>
      <w:r>
        <w:t xml:space="preserve">· Early Fasting Serum Glucose or Weight Reduction With Tirzepatide and Metabolic Outcomes in People With Type 2 Diabetes: A Post Hoc Analysis of the SURPASS Trials. PMID 40100982</w:t>
      </w:r>
    </w:p>
    <w:p>
      <w:pPr>
        <w:numPr>
          <w:ilvl w:val="0"/>
          <w:numId w:val="1380"/>
        </w:numPr>
        <w:pStyle w:val="Compact"/>
      </w:pPr>
      <w:r>
        <w:t xml:space="preserve">2025 · Bergman BK ·</w:t>
      </w:r>
      <w:r>
        <w:t xml:space="preserve"> </w:t>
      </w:r>
      <w:r>
        <w:rPr>
          <w:iCs/>
          <w:i/>
        </w:rPr>
        <w:t xml:space="preserve">Diabetes Obes Metab</w:t>
      </w:r>
      <w:r>
        <w:t xml:space="preserve"> </w:t>
      </w:r>
      <w:r>
        <w:t xml:space="preserve">· Time spent in glycaemic control with sustained body weight reduction with tirzepatide: A post hoc analysis of the SURPASS clinical trial programme. PMID 40083081</w:t>
      </w:r>
    </w:p>
    <w:p>
      <w:pPr>
        <w:numPr>
          <w:ilvl w:val="0"/>
          <w:numId w:val="1380"/>
        </w:numPr>
        <w:pStyle w:val="Compact"/>
      </w:pPr>
      <w:r>
        <w:t xml:space="preserve">2025 · Kadowaki T ·</w:t>
      </w:r>
      <w:r>
        <w:t xml:space="preserve"> </w:t>
      </w:r>
      <w:r>
        <w:rPr>
          <w:iCs/>
          <w:i/>
        </w:rPr>
        <w:t xml:space="preserve">Lancet Diabetes Endocrinol</w:t>
      </w:r>
      <w:r>
        <w:t xml:space="preserve"> </w:t>
      </w:r>
      <w:r>
        <w:t xml:space="preserve">· Efficacy and safety of once-weekly tirzepatide in Japanese patients with obesity disease (SURMOUNT-J): a multicentre, randomised, double-blind, placebo-controlled phase 3 trial. PMID 40031941</w:t>
      </w:r>
    </w:p>
    <w:p>
      <w:pPr>
        <w:numPr>
          <w:ilvl w:val="0"/>
          <w:numId w:val="1380"/>
        </w:numPr>
        <w:pStyle w:val="Compact"/>
      </w:pPr>
      <w:r>
        <w:t xml:space="preserve">2025 · Look M ·</w:t>
      </w:r>
      <w:r>
        <w:t xml:space="preserve"> </w:t>
      </w:r>
      <w:r>
        <w:rPr>
          <w:iCs/>
          <w:i/>
        </w:rPr>
        <w:t xml:space="preserve">Diabetes Obes Metab</w:t>
      </w:r>
      <w:r>
        <w:t xml:space="preserve"> </w:t>
      </w:r>
      <w:r>
        <w:t xml:space="preserve">· Body composition changes during weight reduction with tirzepatide in the SURMOUNT-1 study of adults with obesity or overweight. PMID 39996356</w:t>
      </w:r>
    </w:p>
    <w:p>
      <w:pPr>
        <w:numPr>
          <w:ilvl w:val="0"/>
          <w:numId w:val="1380"/>
        </w:numPr>
        <w:pStyle w:val="Compact"/>
      </w:pPr>
      <w:r>
        <w:t xml:space="preserve">2025 · Mimura H ·</w:t>
      </w:r>
      <w:r>
        <w:t xml:space="preserve"> </w:t>
      </w:r>
      <w:r>
        <w:rPr>
          <w:iCs/>
          <w:i/>
        </w:rPr>
        <w:t xml:space="preserve">J Diabetes Investig</w:t>
      </w:r>
      <w:r>
        <w:t xml:space="preserve"> </w:t>
      </w:r>
      <w:r>
        <w:t xml:space="preserve">· Association of bodyweight loss with changes in lipids, blood pressure, and fasting serum glucose following tirzepatide treatment in Japanese participants with type 2 diabetes: A post hoc analysis of the SURPASS J-mono trial. PMID 39891527</w:t>
      </w:r>
    </w:p>
    <w:p>
      <w:pPr>
        <w:numPr>
          <w:ilvl w:val="0"/>
          <w:numId w:val="1380"/>
        </w:numPr>
        <w:pStyle w:val="Compact"/>
      </w:pPr>
      <w:r>
        <w:t xml:space="preserve">2025 · Fan Y ·</w:t>
      </w:r>
      <w:r>
        <w:t xml:space="preserve"> </w:t>
      </w:r>
      <w:r>
        <w:rPr>
          <w:iCs/>
          <w:i/>
        </w:rPr>
        <w:t xml:space="preserve">Diabetes Obes Metab</w:t>
      </w:r>
      <w:r>
        <w:t xml:space="preserve"> </w:t>
      </w:r>
      <w:r>
        <w:t xml:space="preserve">· The safety, tolerability, pharmacokinetics and pharmacodynamics of an optimized dual GLP-1/GIP receptor agonist (BGM0504) in healthy volunteers: A dose-escalation Phase I study. PMID 39840511</w:t>
      </w:r>
    </w:p>
    <w:p>
      <w:pPr>
        <w:numPr>
          <w:ilvl w:val="0"/>
          <w:numId w:val="1380"/>
        </w:numPr>
        <w:pStyle w:val="Compact"/>
      </w:pPr>
      <w:r>
        <w:t xml:space="preserve">2025 · Horn DB ·</w:t>
      </w:r>
      <w:r>
        <w:t xml:space="preserve"> </w:t>
      </w:r>
      <w:r>
        <w:rPr>
          <w:iCs/>
          <w:i/>
        </w:rPr>
        <w:t xml:space="preserve">Clin Obes</w:t>
      </w:r>
      <w:r>
        <w:t xml:space="preserve"> </w:t>
      </w:r>
      <w:r>
        <w:t xml:space="preserve">· Time to weight plateau with tirzepatide treatment in the SURMOUNT-1 and SURMOUNT-4 clinical trials. PMID 39800653</w:t>
      </w:r>
    </w:p>
    <w:p>
      <w:pPr>
        <w:numPr>
          <w:ilvl w:val="0"/>
          <w:numId w:val="1380"/>
        </w:numPr>
        <w:pStyle w:val="Compact"/>
      </w:pPr>
      <w:r>
        <w:t xml:space="preserve">2025 · Rubino DM ·</w:t>
      </w:r>
      <w:r>
        <w:t xml:space="preserve"> </w:t>
      </w:r>
      <w:r>
        <w:rPr>
          <w:iCs/>
          <w:i/>
        </w:rPr>
        <w:t xml:space="preserve">Diabetes Obes Metab</w:t>
      </w:r>
      <w:r>
        <w:t xml:space="preserve"> </w:t>
      </w:r>
      <w:r>
        <w:t xml:space="preserve">· Gastrointestinal tolerability and weight reduction associated with tirzepatide in adults with obesity or overweight with and without type 2 diabetes in the SURMOUNT-1 to -4 trials. PMID 39789843</w:t>
      </w:r>
    </w:p>
    <w:p>
      <w:pPr>
        <w:numPr>
          <w:ilvl w:val="0"/>
          <w:numId w:val="1380"/>
        </w:numPr>
        <w:pStyle w:val="Compact"/>
      </w:pPr>
      <w:r>
        <w:t xml:space="preserve">2025 · Mather KJ ·</w:t>
      </w:r>
      <w:r>
        <w:t xml:space="preserve"> </w:t>
      </w:r>
      <w:r>
        <w:rPr>
          <w:iCs/>
          <w:i/>
        </w:rPr>
        <w:t xml:space="preserve">Diabetes Obes Metab</w:t>
      </w:r>
      <w:r>
        <w:t xml:space="preserve"> </w:t>
      </w:r>
      <w:r>
        <w:t xml:space="preserve">· Greater improvement in insulin sensitivity per unit weight loss associated with tirzepatide versus semaglutide: An exploratory analysis. PMID 39762971</w:t>
      </w:r>
    </w:p>
    <w:p>
      <w:pPr>
        <w:numPr>
          <w:ilvl w:val="0"/>
          <w:numId w:val="1380"/>
        </w:numPr>
        <w:pStyle w:val="Compact"/>
      </w:pPr>
      <w:r>
        <w:t xml:space="preserve">2025 · Apperloo EM ·</w:t>
      </w:r>
      <w:r>
        <w:t xml:space="preserve"> </w:t>
      </w:r>
      <w:r>
        <w:rPr>
          <w:iCs/>
          <w:i/>
        </w:rPr>
        <w:t xml:space="preserve">Diabetes Care</w:t>
      </w:r>
      <w:r>
        <w:t xml:space="preserve"> </w:t>
      </w:r>
      <w:r>
        <w:t xml:space="preserve">· Tirzepatide Associated With Reduced Albuminuria in Participants With Type 2 Diabetes: Pooled Post Hoc Analysis From the Randomized Active- and Placebo-Controlled SURPASS-1-5 Clinical Trials. PMID 39746157</w:t>
      </w:r>
    </w:p>
    <w:p>
      <w:pPr>
        <w:numPr>
          <w:ilvl w:val="0"/>
          <w:numId w:val="1380"/>
        </w:numPr>
        <w:pStyle w:val="Compact"/>
      </w:pPr>
      <w:r>
        <w:t xml:space="preserve">2025 · Kramer CM ·</w:t>
      </w:r>
      <w:r>
        <w:t xml:space="preserve"> </w:t>
      </w:r>
      <w:r>
        <w:rPr>
          <w:iCs/>
          <w:i/>
        </w:rPr>
        <w:t xml:space="preserve">J Am Coll Cardiol</w:t>
      </w:r>
      <w:r>
        <w:t xml:space="preserve"> </w:t>
      </w:r>
      <w:r>
        <w:t xml:space="preserve">· Tirzepatide Reduces LV Mass and Paracardiac Adipose Tissue in Obesity-Related Heart Failure: SUMMIT CMR Substudy. PMID 39566869</w:t>
      </w:r>
    </w:p>
    <w:p>
      <w:pPr>
        <w:numPr>
          <w:ilvl w:val="0"/>
          <w:numId w:val="1380"/>
        </w:numPr>
        <w:pStyle w:val="Compact"/>
      </w:pPr>
      <w:r>
        <w:t xml:space="preserve">2025 · Zile MR ·</w:t>
      </w:r>
      <w:r>
        <w:t xml:space="preserve"> </w:t>
      </w:r>
      <w:r>
        <w:rPr>
          <w:iCs/>
          <w:i/>
        </w:rPr>
        <w:t xml:space="preserve">Circulation</w:t>
      </w:r>
      <w:r>
        <w:t xml:space="preserve"> </w:t>
      </w:r>
      <w:r>
        <w:t xml:space="preserve">· Effects of Tirzepatide on the Clinical Trajectory of Patients With Heart Failure, Preserved Ejection Fraction, and Obesity. PMID 39556714</w:t>
      </w:r>
    </w:p>
    <w:p>
      <w:pPr>
        <w:numPr>
          <w:ilvl w:val="0"/>
          <w:numId w:val="1380"/>
        </w:numPr>
        <w:pStyle w:val="Compact"/>
      </w:pPr>
      <w:r>
        <w:t xml:space="preserve">2025 · Packer M ·</w:t>
      </w:r>
      <w:r>
        <w:t xml:space="preserve"> </w:t>
      </w:r>
      <w:r>
        <w:rPr>
          <w:iCs/>
          <w:i/>
        </w:rPr>
        <w:t xml:space="preserve">N Engl J Med</w:t>
      </w:r>
      <w:r>
        <w:t xml:space="preserve"> </w:t>
      </w:r>
      <w:r>
        <w:t xml:space="preserve">· Tirzepatide for Heart Failure with Preserved Ejection Fraction and Obesity. PMID 39555826</w:t>
      </w:r>
    </w:p>
    <w:p>
      <w:pPr>
        <w:numPr>
          <w:ilvl w:val="0"/>
          <w:numId w:val="1380"/>
        </w:numPr>
        <w:pStyle w:val="Compact"/>
      </w:pPr>
      <w:r>
        <w:t xml:space="preserve">2025 · Borlaug BA ·</w:t>
      </w:r>
      <w:r>
        <w:t xml:space="preserve"> </w:t>
      </w:r>
      <w:r>
        <w:rPr>
          <w:iCs/>
          <w:i/>
        </w:rPr>
        <w:t xml:space="preserve">Nat Med</w:t>
      </w:r>
      <w:r>
        <w:t xml:space="preserve"> </w:t>
      </w:r>
      <w:r>
        <w:t xml:space="preserve">· Effects of tirzepatide on circulatory overload and end-organ damage in heart failure with preserved ejection fraction and obesity: a secondary analysis of the SUMMIT trial. PMID 39551891</w:t>
      </w:r>
    </w:p>
    <w:p>
      <w:pPr>
        <w:numPr>
          <w:ilvl w:val="0"/>
          <w:numId w:val="1380"/>
        </w:numPr>
        <w:pStyle w:val="Compact"/>
      </w:pPr>
      <w:r>
        <w:t xml:space="preserve">2025 · Jastreboff AM ·</w:t>
      </w:r>
      <w:r>
        <w:t xml:space="preserve"> </w:t>
      </w:r>
      <w:r>
        <w:rPr>
          <w:iCs/>
          <w:i/>
        </w:rPr>
        <w:t xml:space="preserve">N Engl J Med</w:t>
      </w:r>
      <w:r>
        <w:t xml:space="preserve"> </w:t>
      </w:r>
      <w:r>
        <w:t xml:space="preserve">· Tirzepatide for Obesity Treatment and Diabetes Prevention. PMID 39536238</w:t>
      </w:r>
    </w:p>
    <w:p>
      <w:pPr>
        <w:numPr>
          <w:ilvl w:val="0"/>
          <w:numId w:val="1380"/>
        </w:numPr>
        <w:pStyle w:val="Compact"/>
      </w:pPr>
      <w:r>
        <w:t xml:space="preserve">2025 · Gudzune KA ·</w:t>
      </w:r>
      <w:r>
        <w:t xml:space="preserve"> </w:t>
      </w:r>
      <w:r>
        <w:rPr>
          <w:iCs/>
          <w:i/>
        </w:rPr>
        <w:t xml:space="preserve">Diabetes Obes Metab</w:t>
      </w:r>
      <w:r>
        <w:t xml:space="preserve"> </w:t>
      </w:r>
      <w:r>
        <w:t xml:space="preserve">· Association between weight reduction achieved with tirzepatide and quality of life in adults with obesity: Results from the SURMOUNT-1 study. PMID 39497468</w:t>
      </w:r>
    </w:p>
    <w:p>
      <w:pPr>
        <w:numPr>
          <w:ilvl w:val="0"/>
          <w:numId w:val="1380"/>
        </w:numPr>
        <w:pStyle w:val="Compact"/>
      </w:pPr>
      <w:r>
        <w:t xml:space="preserve">2025 · Peters AL ·</w:t>
      </w:r>
      <w:r>
        <w:t xml:space="preserve"> </w:t>
      </w:r>
      <w:r>
        <w:rPr>
          <w:iCs/>
          <w:i/>
        </w:rPr>
        <w:t xml:space="preserve">J Clin Endocrinol Metab</w:t>
      </w:r>
      <w:r>
        <w:t xml:space="preserve"> </w:t>
      </w:r>
      <w:r>
        <w:t xml:space="preserve">· Improved HbA1c and Body Weight in GADA-Positive Individuals Treated With Tirzepatide: A Post Hoc Analysis of SURPASS. PMID 38824910</w:t>
      </w:r>
    </w:p>
    <w:p>
      <w:pPr>
        <w:numPr>
          <w:ilvl w:val="0"/>
          <w:numId w:val="1380"/>
        </w:numPr>
        <w:pStyle w:val="Compact"/>
      </w:pPr>
      <w:r>
        <w:t xml:space="preserve">2024 · Martin JA ·</w:t>
      </w:r>
      <w:r>
        <w:t xml:space="preserve"> </w:t>
      </w:r>
      <w:r>
        <w:rPr>
          <w:iCs/>
          <w:i/>
        </w:rPr>
        <w:t xml:space="preserve">Eur J Pharm Sci</w:t>
      </w:r>
      <w:r>
        <w:t xml:space="preserve"> </w:t>
      </w:r>
      <w:r>
        <w:t xml:space="preserve">· Absorption, distribution, metabolism, and excretion of tirzepatide in humans, rats, and monkeys. PMID 39243911</w:t>
      </w:r>
    </w:p>
    <w:p>
      <w:pPr>
        <w:numPr>
          <w:ilvl w:val="0"/>
          <w:numId w:val="1380"/>
        </w:numPr>
        <w:pStyle w:val="Compact"/>
      </w:pPr>
      <w:r>
        <w:t xml:space="preserve">2024 · Fujihara K ·</w:t>
      </w:r>
      <w:r>
        <w:t xml:space="preserve"> </w:t>
      </w:r>
      <w:r>
        <w:rPr>
          <w:iCs/>
          <w:i/>
        </w:rPr>
        <w:t xml:space="preserve">Diabetes Obes Metab</w:t>
      </w:r>
      <w:r>
        <w:t xml:space="preserve"> </w:t>
      </w:r>
      <w:r>
        <w:t xml:space="preserve">· Achieving normoglycaemia with tirzepatide: Post hoc exploratory analysis of the SURPASS J-mono and J-combo studies. PMID 39192522</w:t>
      </w:r>
    </w:p>
    <w:p>
      <w:pPr>
        <w:numPr>
          <w:ilvl w:val="0"/>
          <w:numId w:val="1380"/>
        </w:numPr>
        <w:pStyle w:val="Compact"/>
      </w:pPr>
      <w:r>
        <w:t xml:space="preserve">2024 · Krumholz HM ·</w:t>
      </w:r>
      <w:r>
        <w:t xml:space="preserve"> </w:t>
      </w:r>
      <w:r>
        <w:rPr>
          <w:iCs/>
          <w:i/>
        </w:rPr>
        <w:t xml:space="preserve">Heart</w:t>
      </w:r>
      <w:r>
        <w:t xml:space="preserve"> </w:t>
      </w:r>
      <w:r>
        <w:t xml:space="preserve">· Tirzepatide and blood pressure reduction: stratified analyses of the SURMOUNT-1 randomised controlled trial. PMID 39084707</w:t>
      </w:r>
    </w:p>
    <w:p>
      <w:pPr>
        <w:numPr>
          <w:ilvl w:val="0"/>
          <w:numId w:val="1380"/>
        </w:numPr>
        <w:pStyle w:val="Compact"/>
      </w:pPr>
      <w:r>
        <w:t xml:space="preserve">2024 · Malhotra A ·</w:t>
      </w:r>
      <w:r>
        <w:t xml:space="preserve"> </w:t>
      </w:r>
      <w:r>
        <w:rPr>
          <w:iCs/>
          <w:i/>
        </w:rPr>
        <w:t xml:space="preserve">N Engl J Med</w:t>
      </w:r>
      <w:r>
        <w:t xml:space="preserve"> </w:t>
      </w:r>
      <w:r>
        <w:t xml:space="preserve">· Tirzepatide for the Treatment of Obstructive Sleep Apnea and Obesity. PMID 38912654</w:t>
      </w:r>
    </w:p>
    <w:p>
      <w:pPr>
        <w:numPr>
          <w:ilvl w:val="0"/>
          <w:numId w:val="1380"/>
        </w:numPr>
        <w:pStyle w:val="Compact"/>
      </w:pPr>
      <w:r>
        <w:t xml:space="preserve">2024 · Loomba R ·</w:t>
      </w:r>
      <w:r>
        <w:t xml:space="preserve"> </w:t>
      </w:r>
      <w:r>
        <w:rPr>
          <w:iCs/>
          <w:i/>
        </w:rPr>
        <w:t xml:space="preserve">N Engl J Med</w:t>
      </w:r>
      <w:r>
        <w:t xml:space="preserve"> </w:t>
      </w:r>
      <w:r>
        <w:t xml:space="preserve">· Tirzepatide for Metabolic Dysfunction-Associated Steatohepatitis with Liver Fibrosis. PMID 38856224</w:t>
      </w:r>
    </w:p>
    <w:p>
      <w:pPr>
        <w:numPr>
          <w:ilvl w:val="0"/>
          <w:numId w:val="1380"/>
        </w:numPr>
        <w:pStyle w:val="Compact"/>
      </w:pPr>
      <w:r>
        <w:t xml:space="preserve">2024 · Zhao L ·</w:t>
      </w:r>
      <w:r>
        <w:t xml:space="preserve"> </w:t>
      </w:r>
      <w:r>
        <w:rPr>
          <w:iCs/>
          <w:i/>
        </w:rPr>
        <w:t xml:space="preserve">JAMA</w:t>
      </w:r>
      <w:r>
        <w:t xml:space="preserve"> </w:t>
      </w:r>
      <w:r>
        <w:t xml:space="preserve">· Tirzepatide for Weight Reduction in Chinese Adults With Obesity: The SURMOUNT-CN Randomized Clinical Trial. PMID 38819983</w:t>
      </w:r>
    </w:p>
    <w:p>
      <w:pPr>
        <w:numPr>
          <w:ilvl w:val="0"/>
          <w:numId w:val="1380"/>
        </w:numPr>
        <w:pStyle w:val="Compact"/>
      </w:pPr>
      <w:r>
        <w:t xml:space="preserve">2024 · Bao Y ·</w:t>
      </w:r>
      <w:r>
        <w:t xml:space="preserve"> </w:t>
      </w:r>
      <w:r>
        <w:rPr>
          <w:iCs/>
          <w:i/>
        </w:rPr>
        <w:t xml:space="preserve">Obesity (Silver Spring)</w:t>
      </w:r>
      <w:r>
        <w:t xml:space="preserve"> </w:t>
      </w:r>
      <w:r>
        <w:t xml:space="preserve">· Characterization of tirzepatide-treated patients achieving different glycemic control levels in SURPASS-AP-Combo. PMID 38803303</w:t>
      </w:r>
    </w:p>
    <w:p>
      <w:pPr>
        <w:numPr>
          <w:ilvl w:val="0"/>
          <w:numId w:val="1380"/>
        </w:numPr>
        <w:pStyle w:val="Compact"/>
      </w:pPr>
      <w:r>
        <w:t xml:space="preserve">2024 · Mather KJ ·</w:t>
      </w:r>
      <w:r>
        <w:t xml:space="preserve"> </w:t>
      </w:r>
      <w:r>
        <w:rPr>
          <w:iCs/>
          <w:i/>
        </w:rPr>
        <w:t xml:space="preserve">J Clin Endocrinol Metab</w:t>
      </w:r>
      <w:r>
        <w:t xml:space="preserve"> </w:t>
      </w:r>
      <w:r>
        <w:t xml:space="preserve">· Effects of Tirzepatide vs Semaglutide on β-Cell Function, Insulin Sensitivity, and Glucose Control During a Meal Test. PMID 38795393</w:t>
      </w:r>
    </w:p>
    <w:p>
      <w:pPr>
        <w:numPr>
          <w:ilvl w:val="0"/>
          <w:numId w:val="1380"/>
        </w:numPr>
        <w:pStyle w:val="Compact"/>
      </w:pPr>
      <w:r>
        <w:t xml:space="preserve">2024 · Osumili B ·</w:t>
      </w:r>
      <w:r>
        <w:t xml:space="preserve"> </w:t>
      </w:r>
      <w:r>
        <w:rPr>
          <w:iCs/>
          <w:i/>
        </w:rPr>
        <w:t xml:space="preserve">Diabetes Res Clin Pract</w:t>
      </w:r>
      <w:r>
        <w:t xml:space="preserve"> </w:t>
      </w:r>
      <w:r>
        <w:t xml:space="preserve">· Tirzepatide 5, 10 and 15 mg versus injectable semaglutide 0.5 mg for the treatment of type 2 diabetes: An adjusted indirect treatment comparison. PMID 38777128</w:t>
      </w:r>
    </w:p>
    <w:p>
      <w:pPr>
        <w:numPr>
          <w:ilvl w:val="0"/>
          <w:numId w:val="1380"/>
        </w:numPr>
        <w:pStyle w:val="Compact"/>
      </w:pPr>
      <w:r>
        <w:t xml:space="preserve">2024 · Vuppalanchi R ·</w:t>
      </w:r>
      <w:r>
        <w:t xml:space="preserve"> </w:t>
      </w:r>
      <w:r>
        <w:rPr>
          <w:iCs/>
          <w:i/>
        </w:rPr>
        <w:t xml:space="preserve">Aliment Pharmacol Ther</w:t>
      </w:r>
      <w:r>
        <w:t xml:space="preserve"> </w:t>
      </w:r>
      <w:r>
        <w:t xml:space="preserve">· Randomised clinical trial: Design of the SYNERGY-NASH phase 2b trial to evaluate tirzepatide as a treatment for metabolic dysfunction-associated steatohepatitis and modification of screening strategy to reduce screen failures. PMID 38768298</w:t>
      </w:r>
    </w:p>
    <w:p>
      <w:pPr>
        <w:numPr>
          <w:ilvl w:val="0"/>
          <w:numId w:val="1380"/>
        </w:numPr>
        <w:pStyle w:val="Compact"/>
      </w:pPr>
      <w:r>
        <w:t xml:space="preserve">2024 · Bagherzadeh-Rahmani B ·</w:t>
      </w:r>
      <w:r>
        <w:t xml:space="preserve"> </w:t>
      </w:r>
      <w:r>
        <w:rPr>
          <w:iCs/>
          <w:i/>
        </w:rPr>
        <w:t xml:space="preserve">Clin Hemorheol Microcirc</w:t>
      </w:r>
      <w:r>
        <w:t xml:space="preserve"> </w:t>
      </w:r>
      <w:r>
        <w:t xml:space="preserve">· Tirzepatide and exercise training in obesity. PMID 38640145</w:t>
      </w:r>
    </w:p>
    <w:p>
      <w:pPr>
        <w:numPr>
          <w:ilvl w:val="0"/>
          <w:numId w:val="1380"/>
        </w:numPr>
        <w:pStyle w:val="Compact"/>
      </w:pPr>
      <w:r>
        <w:t xml:space="preserve">2024 · Zeitler P ·</w:t>
      </w:r>
      <w:r>
        <w:t xml:space="preserve"> </w:t>
      </w:r>
      <w:r>
        <w:rPr>
          <w:iCs/>
          <w:i/>
        </w:rPr>
        <w:t xml:space="preserve">Diabetes Care</w:t>
      </w:r>
      <w:r>
        <w:t xml:space="preserve"> </w:t>
      </w:r>
      <w:r>
        <w:t xml:space="preserve">· Early-Onset Type 2 Diabetes and Tirzepatide Treatment: A Post Hoc Analysis From the SURPASS Clinical Trial Program. PMID 38639997</w:t>
      </w:r>
    </w:p>
    <w:p>
      <w:pPr>
        <w:numPr>
          <w:ilvl w:val="0"/>
          <w:numId w:val="1380"/>
        </w:numPr>
        <w:pStyle w:val="Compact"/>
      </w:pPr>
      <w:r>
        <w:t xml:space="preserve">2024 · Giorgino F ·</w:t>
      </w:r>
      <w:r>
        <w:t xml:space="preserve"> </w:t>
      </w:r>
      <w:r>
        <w:rPr>
          <w:iCs/>
          <w:i/>
        </w:rPr>
        <w:t xml:space="preserve">Diabetes Care</w:t>
      </w:r>
      <w:r>
        <w:t xml:space="preserve"> </w:t>
      </w:r>
      <w:r>
        <w:t xml:space="preserve">· Effects of Tirzepatide Versus Basal Insulins in People With Type 2 Diabetes and Different Baseline Glycemic Patterns: Post Hoc Analyses of the SURPASS-3 and SURPASS-4 Trials. PMID 38530948</w:t>
      </w:r>
    </w:p>
    <w:p>
      <w:pPr>
        <w:numPr>
          <w:ilvl w:val="0"/>
          <w:numId w:val="1380"/>
        </w:numPr>
        <w:pStyle w:val="Compact"/>
      </w:pPr>
      <w:r>
        <w:t xml:space="preserve">2024 · Frias JP ·</w:t>
      </w:r>
      <w:r>
        <w:t xml:space="preserve"> </w:t>
      </w:r>
      <w:r>
        <w:rPr>
          <w:iCs/>
          <w:i/>
        </w:rPr>
        <w:t xml:space="preserve">J Clin Endocrinol Metab</w:t>
      </w:r>
      <w:r>
        <w:t xml:space="preserve"> </w:t>
      </w:r>
      <w:r>
        <w:t xml:space="preserve">· Tirzepatide Improved Markers of Islet Cell Function and Insulin Sensitivity in People With T2D (SURPASS-2). PMID 38252888</w:t>
      </w:r>
    </w:p>
    <w:p>
      <w:pPr>
        <w:numPr>
          <w:ilvl w:val="0"/>
          <w:numId w:val="1380"/>
        </w:numPr>
        <w:pStyle w:val="Compact"/>
      </w:pPr>
      <w:r>
        <w:t xml:space="preserve">2024 · Aronne LJ ·</w:t>
      </w:r>
      <w:r>
        <w:t xml:space="preserve"> </w:t>
      </w:r>
      <w:r>
        <w:rPr>
          <w:iCs/>
          <w:i/>
        </w:rPr>
        <w:t xml:space="preserve">JAMA</w:t>
      </w:r>
      <w:r>
        <w:t xml:space="preserve"> </w:t>
      </w:r>
      <w:r>
        <w:t xml:space="preserve">· Continued Treatment With Tirzepatide for Maintenance of Weight Reduction in Adults With Obesity: The SURMOUNT-4 Randomized Clinical Trial. PMID 38078870</w:t>
      </w:r>
    </w:p>
    <w:p>
      <w:pPr>
        <w:numPr>
          <w:ilvl w:val="0"/>
          <w:numId w:val="1380"/>
        </w:numPr>
        <w:pStyle w:val="Compact"/>
      </w:pPr>
      <w:r>
        <w:t xml:space="preserve">2024 · Hankosky ER ·</w:t>
      </w:r>
      <w:r>
        <w:t xml:space="preserve"> </w:t>
      </w:r>
      <w:r>
        <w:rPr>
          <w:iCs/>
          <w:i/>
        </w:rPr>
        <w:t xml:space="preserve">Diabetes Obes Metab</w:t>
      </w:r>
      <w:r>
        <w:t xml:space="preserve"> </w:t>
      </w:r>
      <w:r>
        <w:t xml:space="preserve">· Tirzepatide reduces the predicted risk of atherosclerotic cardiovascular disease and improves cardiometabolic risk factors in adults with obesity or overweight: SURMOUNT-1 post hoc analysis. PMID 37932236</w:t>
      </w:r>
    </w:p>
    <w:p>
      <w:pPr>
        <w:numPr>
          <w:ilvl w:val="0"/>
          <w:numId w:val="1380"/>
        </w:numPr>
        <w:pStyle w:val="Compact"/>
      </w:pPr>
      <w:r>
        <w:t xml:space="preserve">2024 · Niu S ·</w:t>
      </w:r>
      <w:r>
        <w:t xml:space="preserve"> </w:t>
      </w:r>
      <w:r>
        <w:rPr>
          <w:iCs/>
          <w:i/>
        </w:rPr>
        <w:t xml:space="preserve">Diabetes Obes Metab</w:t>
      </w:r>
      <w:r>
        <w:t xml:space="preserve"> </w:t>
      </w:r>
      <w:r>
        <w:t xml:space="preserve">· 5-Year simulation of diabetes-related complications in people treated with tirzepatide or semaglutide versus insulin glargine. PMID 37867175</w:t>
      </w:r>
    </w:p>
    <w:p>
      <w:pPr>
        <w:numPr>
          <w:ilvl w:val="0"/>
          <w:numId w:val="1380"/>
        </w:numPr>
        <w:pStyle w:val="Compact"/>
      </w:pPr>
      <w:r>
        <w:t xml:space="preserve">2024 · Patel H ·</w:t>
      </w:r>
      <w:r>
        <w:t xml:space="preserve"> </w:t>
      </w:r>
      <w:r>
        <w:rPr>
          <w:iCs/>
          <w:i/>
        </w:rPr>
        <w:t xml:space="preserve">Diabetes Obes Metab</w:t>
      </w:r>
      <w:r>
        <w:t xml:space="preserve"> </w:t>
      </w:r>
      <w:r>
        <w:t xml:space="preserve">· Gastrointestinal adverse events and weight reduction in people with type 2 diabetes treated with tirzepatide in the SURPASS clinical trials. PMID 37853960</w:t>
      </w:r>
    </w:p>
    <w:p>
      <w:pPr>
        <w:numPr>
          <w:ilvl w:val="0"/>
          <w:numId w:val="1380"/>
        </w:numPr>
        <w:pStyle w:val="Compact"/>
      </w:pPr>
      <w:r>
        <w:t xml:space="preserve">2024 · Osonoi T ·</w:t>
      </w:r>
      <w:r>
        <w:t xml:space="preserve"> </w:t>
      </w:r>
      <w:r>
        <w:rPr>
          <w:iCs/>
          <w:i/>
        </w:rPr>
        <w:t xml:space="preserve">Diabetes Obes Metab</w:t>
      </w:r>
      <w:r>
        <w:t xml:space="preserve"> </w:t>
      </w:r>
      <w:r>
        <w:t xml:space="preserve">· Glycaemic control, body weight, and safety of tirzepatide versus dulaglutide by baseline glycated haemoglobin level in Japanese patients with type 2 diabetes: A subgroup analysis of the SURPASS J-mono study. PMID 37794628</w:t>
      </w:r>
    </w:p>
    <w:p>
      <w:pPr>
        <w:numPr>
          <w:ilvl w:val="0"/>
          <w:numId w:val="1380"/>
        </w:numPr>
        <w:pStyle w:val="Compact"/>
      </w:pPr>
      <w:r>
        <w:t xml:space="preserve">2023 · Wadden TA ·</w:t>
      </w:r>
      <w:r>
        <w:t xml:space="preserve"> </w:t>
      </w:r>
      <w:r>
        <w:rPr>
          <w:iCs/>
          <w:i/>
        </w:rPr>
        <w:t xml:space="preserve">Nat Med</w:t>
      </w:r>
      <w:r>
        <w:t xml:space="preserve"> </w:t>
      </w:r>
      <w:r>
        <w:t xml:space="preserve">· Tirzepatide after intensive lifestyle intervention in adults with overweight or obesity: the SURMOUNT-3 phase 3 trial. PMID 37840095</w:t>
      </w:r>
    </w:p>
    <w:p>
      <w:pPr>
        <w:numPr>
          <w:ilvl w:val="0"/>
          <w:numId w:val="1380"/>
        </w:numPr>
        <w:pStyle w:val="Compact"/>
      </w:pPr>
      <w:r>
        <w:t xml:space="preserve">2023 · Małecki MT ·</w:t>
      </w:r>
      <w:r>
        <w:t xml:space="preserve"> </w:t>
      </w:r>
      <w:r>
        <w:rPr>
          <w:iCs/>
          <w:i/>
        </w:rPr>
        <w:t xml:space="preserve">Diabetes Care</w:t>
      </w:r>
      <w:r>
        <w:t xml:space="preserve"> </w:t>
      </w:r>
      <w:r>
        <w:t xml:space="preserve">· Predictors of ≥15% Weight Reduction and Associated Changes in Cardiometabolic Risk Factors With Tirzepatide in Adults With Type 2 Diabetes in SURPASS 1-4. PMID 37824793</w:t>
      </w:r>
    </w:p>
    <w:p>
      <w:pPr>
        <w:numPr>
          <w:ilvl w:val="0"/>
          <w:numId w:val="1380"/>
        </w:numPr>
        <w:pStyle w:val="Compact"/>
      </w:pPr>
      <w:r>
        <w:t xml:space="preserve">2023 · Rosenstock J ·</w:t>
      </w:r>
      <w:r>
        <w:t xml:space="preserve"> </w:t>
      </w:r>
      <w:r>
        <w:rPr>
          <w:iCs/>
          <w:i/>
        </w:rPr>
        <w:t xml:space="preserve">JAMA</w:t>
      </w:r>
      <w:r>
        <w:t xml:space="preserve"> </w:t>
      </w:r>
      <w:r>
        <w:t xml:space="preserve">· Tirzepatide vs Insulin Lispro Added to Basal Insulin in Type 2 Diabetes: The SURPASS-6 Randomized Clinical Trial. PMID 37786396</w:t>
      </w:r>
    </w:p>
    <w:p>
      <w:pPr>
        <w:numPr>
          <w:ilvl w:val="0"/>
          <w:numId w:val="1380"/>
        </w:numPr>
        <w:pStyle w:val="Compact"/>
      </w:pPr>
      <w:r>
        <w:t xml:space="preserve">2023 · Hankosky ER ·</w:t>
      </w:r>
      <w:r>
        <w:t xml:space="preserve"> </w:t>
      </w:r>
      <w:r>
        <w:rPr>
          <w:iCs/>
          <w:i/>
        </w:rPr>
        <w:t xml:space="preserve">Diabetes Obes Metab</w:t>
      </w:r>
      <w:r>
        <w:t xml:space="preserve"> </w:t>
      </w:r>
      <w:r>
        <w:t xml:space="preserve">· Tirzepatide reduces the predicted risk of developing type 2 diabetes in people with obesity or overweight: Post hoc analysis of the SURMOUNT-1 trial. PMID 37700443</w:t>
      </w:r>
    </w:p>
    <w:p>
      <w:pPr>
        <w:numPr>
          <w:ilvl w:val="0"/>
          <w:numId w:val="1380"/>
        </w:numPr>
        <w:pStyle w:val="Compact"/>
      </w:pPr>
      <w:r>
        <w:t xml:space="preserve">2023 · Coelho C ·</w:t>
      </w:r>
      <w:r>
        <w:t xml:space="preserve"> </w:t>
      </w:r>
      <w:r>
        <w:rPr>
          <w:iCs/>
          <w:i/>
        </w:rPr>
        <w:t xml:space="preserve">Int J Obes (Lond)</w:t>
      </w:r>
      <w:r>
        <w:t xml:space="preserve"> </w:t>
      </w:r>
      <w:r>
        <w:t xml:space="preserve">· Laparoscopic adjustable gastric banding with liraglutide in adults with obesity and type 2 diabetes (GLIDE): a pilot randomised placebo controlled trial. PMID 37696925</w:t>
      </w:r>
    </w:p>
    <w:p>
      <w:pPr>
        <w:numPr>
          <w:ilvl w:val="0"/>
          <w:numId w:val="1380"/>
        </w:numPr>
        <w:pStyle w:val="Compact"/>
      </w:pPr>
      <w:r>
        <w:t xml:space="preserve">2023 · Garvey WT ·</w:t>
      </w:r>
      <w:r>
        <w:t xml:space="preserve"> </w:t>
      </w:r>
      <w:r>
        <w:rPr>
          <w:iCs/>
          <w:i/>
        </w:rPr>
        <w:t xml:space="preserve">Lancet</w:t>
      </w:r>
      <w:r>
        <w:t xml:space="preserve"> </w:t>
      </w:r>
      <w:r>
        <w:t xml:space="preserve">· Tirzepatide once weekly for the treatment of obesity in people with type 2 diabetes (SURMOUNT-2): a double-blind, randomised, multicentre, placebo-controlled, phase 3 trial. PMID 37385275</w:t>
      </w:r>
    </w:p>
    <w:p>
      <w:pPr>
        <w:numPr>
          <w:ilvl w:val="0"/>
          <w:numId w:val="1380"/>
        </w:numPr>
        <w:pStyle w:val="Compact"/>
      </w:pPr>
      <w:r>
        <w:t xml:space="preserve">2023 · Feng P ·</w:t>
      </w:r>
      <w:r>
        <w:t xml:space="preserve"> </w:t>
      </w:r>
      <w:r>
        <w:rPr>
          <w:iCs/>
          <w:i/>
        </w:rPr>
        <w:t xml:space="preserve">Adv Ther</w:t>
      </w:r>
      <w:r>
        <w:t xml:space="preserve"> </w:t>
      </w:r>
      <w:r>
        <w:t xml:space="preserve">· A Phase 1 Multiple Dose Study of Tirzepatide in Chinese Patients with Type 2 Diabetes. PMID 37285081</w:t>
      </w:r>
    </w:p>
    <w:p>
      <w:pPr>
        <w:numPr>
          <w:ilvl w:val="0"/>
          <w:numId w:val="1380"/>
        </w:numPr>
        <w:pStyle w:val="Compact"/>
      </w:pPr>
      <w:r>
        <w:t xml:space="preserve">2023 · Gao L ·</w:t>
      </w:r>
      <w:r>
        <w:t xml:space="preserve"> </w:t>
      </w:r>
      <w:r>
        <w:rPr>
          <w:iCs/>
          <w:i/>
        </w:rPr>
        <w:t xml:space="preserve">Nat Med</w:t>
      </w:r>
      <w:r>
        <w:t xml:space="preserve"> </w:t>
      </w:r>
      <w:r>
        <w:t xml:space="preserve">· Tirzepatide versus insulin glargine as second-line or third-line therapy in type 2 diabetes in the Asia-Pacific region: the SURPASS-AP-Combo trial. PMID 37231074</w:t>
      </w:r>
    </w:p>
    <w:p>
      <w:pPr>
        <w:numPr>
          <w:ilvl w:val="0"/>
          <w:numId w:val="1380"/>
        </w:numPr>
        <w:pStyle w:val="Compact"/>
      </w:pPr>
      <w:r>
        <w:t xml:space="preserve">2023 · Heise T ·</w:t>
      </w:r>
      <w:r>
        <w:t xml:space="preserve"> </w:t>
      </w:r>
      <w:r>
        <w:rPr>
          <w:iCs/>
          <w:i/>
        </w:rPr>
        <w:t xml:space="preserve">Diabetes Care</w:t>
      </w:r>
      <w:r>
        <w:t xml:space="preserve"> </w:t>
      </w:r>
      <w:r>
        <w:t xml:space="preserve">· Tirzepatide Reduces Appetite, Energy Intake, and Fat Mass in People With Type 2 Diabetes. PMID 36857477</w:t>
      </w:r>
    </w:p>
    <w:p>
      <w:pPr>
        <w:numPr>
          <w:ilvl w:val="0"/>
          <w:numId w:val="1380"/>
        </w:numPr>
        <w:pStyle w:val="Compact"/>
      </w:pPr>
      <w:r>
        <w:t xml:space="preserve">2023 · Lingvay I ·</w:t>
      </w:r>
      <w:r>
        <w:t xml:space="preserve"> </w:t>
      </w:r>
      <w:r>
        <w:rPr>
          <w:iCs/>
          <w:i/>
        </w:rPr>
        <w:t xml:space="preserve">Diabetes Obes Metab</w:t>
      </w:r>
      <w:r>
        <w:t xml:space="preserve"> </w:t>
      </w:r>
      <w:r>
        <w:t xml:space="preserve">· Achievement of glycaemic targets with weight loss and without hypoglycaemia in type 2 diabetes with the once-weekly glucose-dependent insulinotropic polypeptide and glucagon-like peptide-1 receptor agonist tirzepatide: A post hoc analysis of the SURPASS-1 to -5 studies. PMID 36514843</w:t>
      </w:r>
    </w:p>
    <w:p>
      <w:pPr>
        <w:numPr>
          <w:ilvl w:val="0"/>
          <w:numId w:val="1380"/>
        </w:numPr>
        <w:pStyle w:val="Compact"/>
      </w:pPr>
      <w:r>
        <w:t xml:space="preserve">2023 · Yabe D ·</w:t>
      </w:r>
      <w:r>
        <w:t xml:space="preserve"> </w:t>
      </w:r>
      <w:r>
        <w:rPr>
          <w:iCs/>
          <w:i/>
        </w:rPr>
        <w:t xml:space="preserve">Diabetes Obes Metab</w:t>
      </w:r>
      <w:r>
        <w:t xml:space="preserve"> </w:t>
      </w:r>
      <w:r>
        <w:t xml:space="preserve">· Change in pharmacodynamic variables following once-weekly tirzepatide treatment versus dulaglutide in Japanese patients with type 2 diabetes (SURPASS J-mono substudy). PMID 36184780</w:t>
      </w:r>
    </w:p>
    <w:p>
      <w:pPr>
        <w:numPr>
          <w:ilvl w:val="0"/>
          <w:numId w:val="1380"/>
        </w:numPr>
        <w:pStyle w:val="Compact"/>
      </w:pPr>
      <w:r>
        <w:t xml:space="preserve">2022 · Heerspink HJL ·</w:t>
      </w:r>
      <w:r>
        <w:t xml:space="preserve"> </w:t>
      </w:r>
      <w:r>
        <w:rPr>
          <w:iCs/>
          <w:i/>
        </w:rPr>
        <w:t xml:space="preserve">Lancet Diabetes Endocrinol</w:t>
      </w:r>
      <w:r>
        <w:t xml:space="preserve"> </w:t>
      </w:r>
      <w:r>
        <w:t xml:space="preserve">· Effects of tirzepatide versus insulin glargine on kidney outcomes in type 2 diabetes in the SURPASS-4 trial: post-hoc analysis of an open-label, randomised, phase 3 trial. PMID 36152639</w:t>
      </w:r>
    </w:p>
    <w:p>
      <w:pPr>
        <w:numPr>
          <w:ilvl w:val="0"/>
          <w:numId w:val="1380"/>
        </w:numPr>
        <w:pStyle w:val="Compact"/>
      </w:pPr>
      <w:r>
        <w:t xml:space="preserve">2022 · Scheen AJ ·</w:t>
      </w:r>
      <w:r>
        <w:t xml:space="preserve"> </w:t>
      </w:r>
      <w:r>
        <w:rPr>
          <w:iCs/>
          <w:i/>
        </w:rPr>
        <w:t xml:space="preserve">Rev Med Suisse</w:t>
      </w:r>
      <w:r>
        <w:t xml:space="preserve"> </w:t>
      </w:r>
      <w:r>
        <w:t xml:space="preserve">· [Focus on tirzepatide, a dual unimolecular GIP-GLP-1 receptor agonist in type 2 diabetes]. PMID 36004653</w:t>
      </w:r>
    </w:p>
    <w:p>
      <w:pPr>
        <w:numPr>
          <w:ilvl w:val="0"/>
          <w:numId w:val="1380"/>
        </w:numPr>
        <w:pStyle w:val="Compact"/>
      </w:pPr>
      <w:r>
        <w:t xml:space="preserve">2022 · Inagaki N ·</w:t>
      </w:r>
      <w:r>
        <w:t xml:space="preserve"> </w:t>
      </w:r>
      <w:r>
        <w:rPr>
          <w:iCs/>
          <w:i/>
        </w:rPr>
        <w:t xml:space="preserve">Lancet Diabetes Endocrinol</w:t>
      </w:r>
      <w:r>
        <w:t xml:space="preserve"> </w:t>
      </w:r>
      <w:r>
        <w:t xml:space="preserve">· Efficacy and safety of tirzepatide monotherapy compared with dulaglutide in Japanese patients with type 2 diabetes (SURPASS J-mono): a double-blind, multicentre, randomised, phase 3 trial. PMID 35914543</w:t>
      </w:r>
    </w:p>
    <w:p>
      <w:pPr>
        <w:numPr>
          <w:ilvl w:val="0"/>
          <w:numId w:val="1380"/>
        </w:numPr>
        <w:pStyle w:val="Compact"/>
      </w:pPr>
      <w:r>
        <w:t xml:space="preserve">2022 · Kadowaki T ·</w:t>
      </w:r>
      <w:r>
        <w:t xml:space="preserve"> </w:t>
      </w:r>
      <w:r>
        <w:rPr>
          <w:iCs/>
          <w:i/>
        </w:rPr>
        <w:t xml:space="preserve">Lancet Diabetes Endocrinol</w:t>
      </w:r>
      <w:r>
        <w:t xml:space="preserve"> </w:t>
      </w:r>
      <w:r>
        <w:t xml:space="preserve">· Safety and efficacy of tirzepatide as an add-on to single oral antihyperglycaemic medication in patients with type 2 diabetes in Japan (SURPASS J-combo): a multicentre, randomised, open-label, parallel-group, phase 3 trial. PMID 35914542</w:t>
      </w:r>
    </w:p>
    <w:p>
      <w:pPr>
        <w:numPr>
          <w:ilvl w:val="0"/>
          <w:numId w:val="1380"/>
        </w:numPr>
        <w:pStyle w:val="Compact"/>
      </w:pPr>
      <w:r>
        <w:t xml:space="preserve">2022 · Slomski A ·</w:t>
      </w:r>
      <w:r>
        <w:t xml:space="preserve"> </w:t>
      </w:r>
      <w:r>
        <w:rPr>
          <w:iCs/>
          <w:i/>
        </w:rPr>
        <w:t xml:space="preserve">JAMA</w:t>
      </w:r>
      <w:r>
        <w:t xml:space="preserve"> </w:t>
      </w:r>
      <w:r>
        <w:t xml:space="preserve">· Tirzepatide Trial Demonstrates Substantial Weight Loss. PMID 35881126</w:t>
      </w:r>
    </w:p>
    <w:p>
      <w:pPr>
        <w:numPr>
          <w:ilvl w:val="0"/>
          <w:numId w:val="1380"/>
        </w:numPr>
        <w:pStyle w:val="Compact"/>
      </w:pPr>
      <w:r>
        <w:t xml:space="preserve">2022 · Hindson J ·</w:t>
      </w:r>
      <w:r>
        <w:t xml:space="preserve"> </w:t>
      </w:r>
      <w:r>
        <w:rPr>
          <w:iCs/>
          <w:i/>
        </w:rPr>
        <w:t xml:space="preserve">Nat Rev Gastroenterol Hepatol</w:t>
      </w:r>
      <w:r>
        <w:t xml:space="preserve"> </w:t>
      </w:r>
      <w:r>
        <w:t xml:space="preserve">· Tirzepatide to treat obesity: phase III results. PMID 35773392</w:t>
      </w:r>
    </w:p>
    <w:p>
      <w:pPr>
        <w:numPr>
          <w:ilvl w:val="0"/>
          <w:numId w:val="1380"/>
        </w:numPr>
        <w:pStyle w:val="Compact"/>
      </w:pPr>
      <w:r>
        <w:t xml:space="preserve">2022 · Jastreboff AM ·</w:t>
      </w:r>
      <w:r>
        <w:t xml:space="preserve"> </w:t>
      </w:r>
      <w:r>
        <w:rPr>
          <w:iCs/>
          <w:i/>
        </w:rPr>
        <w:t xml:space="preserve">N Engl J Med</w:t>
      </w:r>
      <w:r>
        <w:t xml:space="preserve"> </w:t>
      </w:r>
      <w:r>
        <w:t xml:space="preserve">· Tirzepatide Once Weekly for the Treatment of Obesity. PMID 35658024</w:t>
      </w:r>
    </w:p>
    <w:p>
      <w:pPr>
        <w:numPr>
          <w:ilvl w:val="0"/>
          <w:numId w:val="1380"/>
        </w:numPr>
        <w:pStyle w:val="Compact"/>
      </w:pPr>
      <w:r>
        <w:t xml:space="preserve">2022 · Gastaldelli A ·</w:t>
      </w:r>
      <w:r>
        <w:t xml:space="preserve"> </w:t>
      </w:r>
      <w:r>
        <w:rPr>
          <w:iCs/>
          <w:i/>
        </w:rPr>
        <w:t xml:space="preserve">Lancet Diabetes Endocrinol</w:t>
      </w:r>
      <w:r>
        <w:t xml:space="preserve"> </w:t>
      </w:r>
      <w:r>
        <w:t xml:space="preserve">· Effect of tirzepatide versus insulin degludec on liver fat content and abdominal adipose tissue in people with type 2 diabetes (SURPASS-3 MRI): a substudy of the randomised, open-label, parallel-group, phase 3 SURPASS-3 trial. PMID 35468325</w:t>
      </w:r>
    </w:p>
    <w:p>
      <w:pPr>
        <w:numPr>
          <w:ilvl w:val="0"/>
          <w:numId w:val="1380"/>
        </w:numPr>
        <w:pStyle w:val="Compact"/>
      </w:pPr>
      <w:r>
        <w:t xml:space="preserve">2022 · Heise T ·</w:t>
      </w:r>
      <w:r>
        <w:t xml:space="preserve"> </w:t>
      </w:r>
      <w:r>
        <w:rPr>
          <w:iCs/>
          <w:i/>
        </w:rPr>
        <w:t xml:space="preserve">Lancet Diabetes Endocrinol</w:t>
      </w:r>
      <w:r>
        <w:t xml:space="preserve"> </w:t>
      </w:r>
      <w:r>
        <w:t xml:space="preserve">· Effects of subcutaneous tirzepatide versus placebo or semaglutide on pancreatic islet function and insulin sensitivity in adults with type 2 diabetes: a multicentre, randomised, double-blind, parallel-arm, phase 1 clinical trial. PMID 35468322</w:t>
      </w:r>
    </w:p>
    <w:p>
      <w:pPr>
        <w:numPr>
          <w:ilvl w:val="0"/>
          <w:numId w:val="1380"/>
        </w:numPr>
        <w:pStyle w:val="Compact"/>
      </w:pPr>
      <w:r>
        <w:t xml:space="preserve">2022 · Battelino T ·</w:t>
      </w:r>
      <w:r>
        <w:t xml:space="preserve"> </w:t>
      </w:r>
      <w:r>
        <w:rPr>
          <w:iCs/>
          <w:i/>
        </w:rPr>
        <w:t xml:space="preserve">Lancet Diabetes Endocrinol</w:t>
      </w:r>
      <w:r>
        <w:t xml:space="preserve"> </w:t>
      </w:r>
      <w:r>
        <w:t xml:space="preserve">· Efficacy of once-weekly tirzepatide versus once-daily insulin degludec on glycaemic control measured by continuous glucose monitoring in adults with type 2 diabetes (SURPASS-3 CGM): a substudy of the randomised, open-label, parallel-group, phase 3 SURPASS-3 trial. PMID 35468321</w:t>
      </w:r>
    </w:p>
    <w:p>
      <w:pPr>
        <w:numPr>
          <w:ilvl w:val="0"/>
          <w:numId w:val="1380"/>
        </w:numPr>
        <w:pStyle w:val="Compact"/>
      </w:pPr>
      <w:r>
        <w:t xml:space="preserve">2022 · Dahl D ·</w:t>
      </w:r>
      <w:r>
        <w:t xml:space="preserve"> </w:t>
      </w:r>
      <w:r>
        <w:rPr>
          <w:iCs/>
          <w:i/>
        </w:rPr>
        <w:t xml:space="preserve">JAMA</w:t>
      </w:r>
      <w:r>
        <w:t xml:space="preserve"> </w:t>
      </w:r>
      <w:r>
        <w:t xml:space="preserve">· Effect of Subcutaneous Tirzepatide vs Placebo Added to Titrated Insulin Glargine on Glycemic Control in Patients With Type 2 Diabetes: The SURPASS-5 Randomized Clinical Trial. PMID 35133415</w:t>
      </w:r>
    </w:p>
    <w:p>
      <w:pPr>
        <w:numPr>
          <w:ilvl w:val="0"/>
          <w:numId w:val="1380"/>
        </w:numPr>
        <w:pStyle w:val="Compact"/>
      </w:pPr>
      <w:r>
        <w:t xml:space="preserve">2022 · Furihata K ·</w:t>
      </w:r>
      <w:r>
        <w:t xml:space="preserve"> </w:t>
      </w:r>
      <w:r>
        <w:rPr>
          <w:iCs/>
          <w:i/>
        </w:rPr>
        <w:t xml:space="preserve">Diabetes Obes Metab</w:t>
      </w:r>
      <w:r>
        <w:t xml:space="preserve"> </w:t>
      </w:r>
      <w:r>
        <w:t xml:space="preserve">· A phase 1 multiple-ascending dose study of tirzepatide in Japanese participants with type 2 diabetes. PMID 34647404</w:t>
      </w:r>
    </w:p>
    <w:p>
      <w:pPr>
        <w:numPr>
          <w:ilvl w:val="0"/>
          <w:numId w:val="1380"/>
        </w:numPr>
        <w:pStyle w:val="Compact"/>
      </w:pPr>
      <w:r>
        <w:t xml:space="preserve">2022 · Pirro V ·</w:t>
      </w:r>
      <w:r>
        <w:t xml:space="preserve"> </w:t>
      </w:r>
      <w:r>
        <w:rPr>
          <w:iCs/>
          <w:i/>
        </w:rPr>
        <w:t xml:space="preserve">J Clin Endocrinol Metab</w:t>
      </w:r>
      <w:r>
        <w:t xml:space="preserve"> </w:t>
      </w:r>
      <w:r>
        <w:t xml:space="preserve">· Effects of Tirzepatide, a Dual GIP and GLP-1 RA, on Lipid and Metabolite Profiles in Subjects With Type 2 Diabetes. PMID 34608929</w:t>
      </w:r>
    </w:p>
    <w:p>
      <w:pPr>
        <w:numPr>
          <w:ilvl w:val="0"/>
          <w:numId w:val="1380"/>
        </w:numPr>
        <w:pStyle w:val="Compact"/>
      </w:pPr>
      <w:r>
        <w:t xml:space="preserve">2022 · Wilson JM ·</w:t>
      </w:r>
      <w:r>
        <w:t xml:space="preserve"> </w:t>
      </w:r>
      <w:r>
        <w:rPr>
          <w:iCs/>
          <w:i/>
        </w:rPr>
        <w:t xml:space="preserve">Diabetes Obes Metab</w:t>
      </w:r>
      <w:r>
        <w:t xml:space="preserve"> </w:t>
      </w:r>
      <w:r>
        <w:t xml:space="preserve">· The dual glucose-dependent insulinotropic polypeptide and glucagon-like peptide-1 receptor agonist tirzepatide improves cardiovascular risk biomarkers in patients with type 2 diabetes: A post hoc analysis. PMID 34542221</w:t>
      </w:r>
    </w:p>
    <w:p>
      <w:pPr>
        <w:numPr>
          <w:ilvl w:val="0"/>
          <w:numId w:val="1380"/>
        </w:numPr>
        <w:pStyle w:val="Compact"/>
      </w:pPr>
      <w:r>
        <w:t xml:space="preserve">2021 · Del Prato S ·</w:t>
      </w:r>
      <w:r>
        <w:t xml:space="preserve"> </w:t>
      </w:r>
      <w:r>
        <w:rPr>
          <w:iCs/>
          <w:i/>
        </w:rPr>
        <w:t xml:space="preserve">Lancet</w:t>
      </w:r>
      <w:r>
        <w:t xml:space="preserve"> </w:t>
      </w:r>
      <w:r>
        <w:t xml:space="preserve">· Tirzepatide versus insulin glargine in type 2 diabetes and increased cardiovascular risk (SURPASS-4): a randomised, open-label, parallel-group, multicentre, phase 3 trial. PMID 34672967</w:t>
      </w:r>
    </w:p>
    <w:p>
      <w:pPr>
        <w:numPr>
          <w:ilvl w:val="0"/>
          <w:numId w:val="1380"/>
        </w:numPr>
        <w:pStyle w:val="Compact"/>
      </w:pPr>
      <w:r>
        <w:t xml:space="preserve">2021 · Ludvik B ·</w:t>
      </w:r>
      <w:r>
        <w:t xml:space="preserve"> </w:t>
      </w:r>
      <w:r>
        <w:rPr>
          <w:iCs/>
          <w:i/>
        </w:rPr>
        <w:t xml:space="preserve">Lancet</w:t>
      </w:r>
      <w:r>
        <w:t xml:space="preserve"> </w:t>
      </w:r>
      <w:r>
        <w:t xml:space="preserve">· Once-weekly tirzepatide versus once-daily insulin degludec as add-on to metformin with or without SGLT2 inhibitors in patients with type 2 diabetes (SURPASS-3): a randomised, open-label, parallel-group, phase 3 trial. PMID 34370970</w:t>
      </w:r>
    </w:p>
    <w:p>
      <w:pPr>
        <w:numPr>
          <w:ilvl w:val="0"/>
          <w:numId w:val="1380"/>
        </w:numPr>
        <w:pStyle w:val="Compact"/>
      </w:pPr>
      <w:r>
        <w:t xml:space="preserve">2021 · Rosenstock J ·</w:t>
      </w:r>
      <w:r>
        <w:t xml:space="preserve"> </w:t>
      </w:r>
      <w:r>
        <w:rPr>
          <w:iCs/>
          <w:i/>
        </w:rPr>
        <w:t xml:space="preserve">Lancet</w:t>
      </w:r>
      <w:r>
        <w:t xml:space="preserve"> </w:t>
      </w:r>
      <w:r>
        <w:t xml:space="preserve">· Efficacy and safety of a novel dual GIP and GLP-1 receptor agonist tirzepatide in patients with type 2 diabetes (SURPASS-1): a double-blind, randomised, phase 3 trial. PMID 34186022</w:t>
      </w:r>
    </w:p>
    <w:p>
      <w:pPr>
        <w:numPr>
          <w:ilvl w:val="0"/>
          <w:numId w:val="1380"/>
        </w:numPr>
        <w:pStyle w:val="Compact"/>
      </w:pPr>
      <w:r>
        <w:t xml:space="preserve">2021 · Frías JP ·</w:t>
      </w:r>
      <w:r>
        <w:t xml:space="preserve"> </w:t>
      </w:r>
      <w:r>
        <w:rPr>
          <w:iCs/>
          <w:i/>
        </w:rPr>
        <w:t xml:space="preserve">N Engl J Med</w:t>
      </w:r>
      <w:r>
        <w:t xml:space="preserve"> </w:t>
      </w:r>
      <w:r>
        <w:t xml:space="preserve">· Tirzepatide versus Semaglutide Once Weekly in Patients with Type 2 Diabetes. PMID 34170647</w:t>
      </w:r>
    </w:p>
    <w:p>
      <w:pPr>
        <w:numPr>
          <w:ilvl w:val="0"/>
          <w:numId w:val="1380"/>
        </w:numPr>
        <w:pStyle w:val="Compact"/>
      </w:pPr>
      <w:r>
        <w:t xml:space="preserve">2021 · Urva S ·</w:t>
      </w:r>
      <w:r>
        <w:t xml:space="preserve"> </w:t>
      </w:r>
      <w:r>
        <w:rPr>
          <w:iCs/>
          <w:i/>
        </w:rPr>
        <w:t xml:space="preserve">Clin Pharmacokinet</w:t>
      </w:r>
      <w:r>
        <w:t xml:space="preserve"> </w:t>
      </w:r>
      <w:r>
        <w:t xml:space="preserve">· Effects of Renal Impairment on the Pharmacokinetics of the Dual GIP and GLP-1 Receptor Agonist Tirzepatide. PMID 33778934</w:t>
      </w:r>
    </w:p>
    <w:p>
      <w:pPr>
        <w:numPr>
          <w:ilvl w:val="0"/>
          <w:numId w:val="1380"/>
        </w:numPr>
        <w:pStyle w:val="Compact"/>
      </w:pPr>
      <w:r>
        <w:t xml:space="preserve">2021 · Thomas MK ·</w:t>
      </w:r>
      <w:r>
        <w:t xml:space="preserve"> </w:t>
      </w:r>
      <w:r>
        <w:rPr>
          <w:iCs/>
          <w:i/>
        </w:rPr>
        <w:t xml:space="preserve">J Clin Endocrinol Metab</w:t>
      </w:r>
      <w:r>
        <w:t xml:space="preserve"> </w:t>
      </w:r>
      <w:r>
        <w:t xml:space="preserve">· Dual GIP and GLP-1 Receptor Agonist Tirzepatide Improves Beta-cell Function and Insulin Sensitivity in Type 2 Diabetes. PMID 33236115</w:t>
      </w:r>
    </w:p>
    <w:p>
      <w:pPr>
        <w:numPr>
          <w:ilvl w:val="0"/>
          <w:numId w:val="1380"/>
        </w:numPr>
        <w:pStyle w:val="Compact"/>
      </w:pPr>
      <w:r>
        <w:t xml:space="preserve">2020 · Wilson JM ·</w:t>
      </w:r>
      <w:r>
        <w:t xml:space="preserve"> </w:t>
      </w:r>
      <w:r>
        <w:rPr>
          <w:iCs/>
          <w:i/>
        </w:rPr>
        <w:t xml:space="preserve">Diabetes Obes Metab</w:t>
      </w:r>
      <w:r>
        <w:t xml:space="preserve"> </w:t>
      </w:r>
      <w:r>
        <w:t xml:space="preserve">· The dual glucose-dependent insulinotropic peptide and glucagon-like peptide-1 receptor agonist, tirzepatide, improves lipoprotein biomarkers associated with insulin resistance and cardiovascular risk in patients with type 2 diabetes. PMID 33462955</w:t>
      </w:r>
    </w:p>
    <w:p>
      <w:pPr>
        <w:numPr>
          <w:ilvl w:val="0"/>
          <w:numId w:val="1380"/>
        </w:numPr>
        <w:pStyle w:val="Compact"/>
      </w:pPr>
      <w:r>
        <w:t xml:space="preserve">2020 · Hartman ML ·</w:t>
      </w:r>
      <w:r>
        <w:t xml:space="preserve"> </w:t>
      </w:r>
      <w:r>
        <w:rPr>
          <w:iCs/>
          <w:i/>
        </w:rPr>
        <w:t xml:space="preserve">Diabetes Care</w:t>
      </w:r>
      <w:r>
        <w:t xml:space="preserve"> </w:t>
      </w:r>
      <w:r>
        <w:t xml:space="preserve">· Effects of Novel Dual GIP and GLP-1 Receptor Agonist Tirzepatide on Biomarkers of Nonalcoholic Steatohepatitis in Patients With Type 2 Diabetes. PMID 32291277</w:t>
      </w:r>
    </w:p>
    <w:p>
      <w:pPr>
        <w:numPr>
          <w:ilvl w:val="0"/>
          <w:numId w:val="1380"/>
        </w:numPr>
        <w:pStyle w:val="Compact"/>
      </w:pPr>
      <w:r>
        <w:t xml:space="preserve">2020 · Frias JP ·</w:t>
      </w:r>
      <w:r>
        <w:t xml:space="preserve"> </w:t>
      </w:r>
      <w:r>
        <w:rPr>
          <w:iCs/>
          <w:i/>
        </w:rPr>
        <w:t xml:space="preserve">Diabetes Obes Metab</w:t>
      </w:r>
      <w:r>
        <w:t xml:space="preserve"> </w:t>
      </w:r>
      <w:r>
        <w:t xml:space="preserve">· Efficacy and tolerability of tirzepatide, a dual glucose-dependent insulinotropic peptide and glucagon-like peptide-1 receptor agonist in patients with type 2 diabetes: A 12-week, randomized, double-blind, placebo-controlled study to evaluate different dose-escalation regimens. PMID 31984598</w:t>
      </w:r>
    </w:p>
    <w:bookmarkEnd w:id="3017"/>
    <w:bookmarkStart w:id="3018" w:name="rétatrutide-10"/>
    <w:p>
      <w:pPr>
        <w:pStyle w:val="Heading2"/>
      </w:pPr>
      <w:r>
        <w:t xml:space="preserve">Rétatrutide (10)</w:t>
      </w:r>
    </w:p>
    <w:p>
      <w:pPr>
        <w:numPr>
          <w:ilvl w:val="0"/>
          <w:numId w:val="1381"/>
        </w:numPr>
        <w:pStyle w:val="Compact"/>
      </w:pPr>
      <w:r>
        <w:t xml:space="preserve">2026 · Bellido V ·</w:t>
      </w:r>
      <w:r>
        <w:t xml:space="preserve"> </w:t>
      </w:r>
      <w:r>
        <w:rPr>
          <w:iCs/>
          <w:i/>
        </w:rPr>
        <w:t xml:space="preserve">Lancet</w:t>
      </w:r>
      <w:r>
        <w:t xml:space="preserve"> </w:t>
      </w:r>
      <w:r>
        <w:t xml:space="preserve">· Retatrutide in adults with obesity and type 2 diabetes (TRIUMPH-2): a double-blind, parallel-group, randomised, placebo-controlled, phase 3 trial. PMID 42810372</w:t>
      </w:r>
    </w:p>
    <w:p>
      <w:pPr>
        <w:numPr>
          <w:ilvl w:val="0"/>
          <w:numId w:val="1381"/>
        </w:numPr>
        <w:pStyle w:val="Compact"/>
      </w:pPr>
      <w:r>
        <w:t xml:space="preserve">2026 · Ruotolo G ·</w:t>
      </w:r>
      <w:r>
        <w:t xml:space="preserve"> </w:t>
      </w:r>
      <w:r>
        <w:rPr>
          <w:iCs/>
          <w:i/>
        </w:rPr>
        <w:t xml:space="preserve">Diabetes Obes Metab</w:t>
      </w:r>
      <w:r>
        <w:t xml:space="preserve"> </w:t>
      </w:r>
      <w:r>
        <w:t xml:space="preserve">· Retatrutide-Associated Improvements in Cardiovascular Risk Biomarkers in Adults With Obesity With or Without Type 2 Diabetes. PMID 42608321</w:t>
      </w:r>
    </w:p>
    <w:p>
      <w:pPr>
        <w:numPr>
          <w:ilvl w:val="0"/>
          <w:numId w:val="1381"/>
        </w:numPr>
        <w:pStyle w:val="Compact"/>
      </w:pPr>
      <w:r>
        <w:t xml:space="preserve">2026 · Bajaj HS ·</w:t>
      </w:r>
      <w:r>
        <w:t xml:space="preserve"> </w:t>
      </w:r>
      <w:r>
        <w:rPr>
          <w:iCs/>
          <w:i/>
        </w:rPr>
        <w:t xml:space="preserve">Lancet</w:t>
      </w:r>
      <w:r>
        <w:t xml:space="preserve"> </w:t>
      </w:r>
      <w:r>
        <w:t xml:space="preserve">· Efficacy and safety of retatrutide, a GIP, GLP-1, and glucagon receptor agonist, in people with type 2 diabetes and inadequate glycaemic control with diet and exercise (TRANSCEND-T2D-1): a double-blind, randomised, phase 3 trial. PMID 42250575</w:t>
      </w:r>
    </w:p>
    <w:p>
      <w:pPr>
        <w:numPr>
          <w:ilvl w:val="0"/>
          <w:numId w:val="1381"/>
        </w:numPr>
        <w:pStyle w:val="Compact"/>
      </w:pPr>
      <w:r>
        <w:t xml:space="preserve">2026 · Pearson MJ ·</w:t>
      </w:r>
      <w:r>
        <w:t xml:space="preserve"> </w:t>
      </w:r>
      <w:r>
        <w:rPr>
          <w:iCs/>
          <w:i/>
        </w:rPr>
        <w:t xml:space="preserve">J Clin Endocrinol Metab</w:t>
      </w:r>
      <w:r>
        <w:t xml:space="preserve"> </w:t>
      </w:r>
      <w:r>
        <w:t xml:space="preserve">· Retatrutide and lipid and metabolite profiles in participants with obesity with or without type 2 diabetes. PMID 42135195</w:t>
      </w:r>
    </w:p>
    <w:p>
      <w:pPr>
        <w:numPr>
          <w:ilvl w:val="0"/>
          <w:numId w:val="1381"/>
        </w:numPr>
        <w:pStyle w:val="Compact"/>
      </w:pPr>
      <w:r>
        <w:t xml:space="preserve">2025 · Kanu C ·</w:t>
      </w:r>
      <w:r>
        <w:t xml:space="preserve"> </w:t>
      </w:r>
      <w:r>
        <w:rPr>
          <w:iCs/>
          <w:i/>
        </w:rPr>
        <w:t xml:space="preserve">Diabetes Obes Metab</w:t>
      </w:r>
      <w:r>
        <w:t xml:space="preserve"> </w:t>
      </w:r>
      <w:r>
        <w:t xml:space="preserve">· Appetite, eating attitudes, and eating behaviours during treatment with retatrutide in adults with type 2 diabetes: Results of a phase 2 study. PMID 40916752</w:t>
      </w:r>
    </w:p>
    <w:p>
      <w:pPr>
        <w:numPr>
          <w:ilvl w:val="0"/>
          <w:numId w:val="1381"/>
        </w:numPr>
        <w:pStyle w:val="Compact"/>
      </w:pPr>
      <w:r>
        <w:t xml:space="preserve">2025 · Wen Y ·</w:t>
      </w:r>
      <w:r>
        <w:t xml:space="preserve"> </w:t>
      </w:r>
      <w:r>
        <w:rPr>
          <w:iCs/>
          <w:i/>
        </w:rPr>
        <w:t xml:space="preserve">Diabetes Obes Metab</w:t>
      </w:r>
      <w:r>
        <w:t xml:space="preserve"> </w:t>
      </w:r>
      <w:r>
        <w:t xml:space="preserve">· Decreases in circulating ANGPTL3/8 concentrations following retatrutide treatment parallel reductions in serum lipids. PMID 40726454</w:t>
      </w:r>
    </w:p>
    <w:p>
      <w:pPr>
        <w:numPr>
          <w:ilvl w:val="0"/>
          <w:numId w:val="1381"/>
        </w:numPr>
        <w:pStyle w:val="Compact"/>
      </w:pPr>
      <w:r>
        <w:t xml:space="preserve">2025 · Coskun T ·</w:t>
      </w:r>
      <w:r>
        <w:t xml:space="preserve"> </w:t>
      </w:r>
      <w:r>
        <w:rPr>
          <w:iCs/>
          <w:i/>
        </w:rPr>
        <w:t xml:space="preserve">Lancet Diabetes Endocrinol</w:t>
      </w:r>
      <w:r>
        <w:t xml:space="preserve"> </w:t>
      </w:r>
      <w:r>
        <w:t xml:space="preserve">· Effects of retatrutide on body composition in people with type 2 diabetes: a substudy of a phase 2, double-blind, parallel-group, placebo-controlled, randomised trial. PMID 40609566</w:t>
      </w:r>
    </w:p>
    <w:p>
      <w:pPr>
        <w:numPr>
          <w:ilvl w:val="0"/>
          <w:numId w:val="1381"/>
        </w:numPr>
        <w:pStyle w:val="Compact"/>
      </w:pPr>
      <w:r>
        <w:t xml:space="preserve">2024 · Sanyal AJ ·</w:t>
      </w:r>
      <w:r>
        <w:t xml:space="preserve"> </w:t>
      </w:r>
      <w:r>
        <w:rPr>
          <w:iCs/>
          <w:i/>
        </w:rPr>
        <w:t xml:space="preserve">Nat Med</w:t>
      </w:r>
      <w:r>
        <w:t xml:space="preserve"> </w:t>
      </w:r>
      <w:r>
        <w:t xml:space="preserve">· Triple hormone receptor agonist retatrutide for metabolic dysfunction-associated steatotic liver disease: a randomized phase 2a trial. PMID 38858523</w:t>
      </w:r>
    </w:p>
    <w:p>
      <w:pPr>
        <w:numPr>
          <w:ilvl w:val="0"/>
          <w:numId w:val="1381"/>
        </w:numPr>
        <w:pStyle w:val="Compact"/>
      </w:pPr>
      <w:r>
        <w:t xml:space="preserve">2023 · Rosenstock J ·</w:t>
      </w:r>
      <w:r>
        <w:t xml:space="preserve"> </w:t>
      </w:r>
      <w:r>
        <w:rPr>
          <w:iCs/>
          <w:i/>
        </w:rPr>
        <w:t xml:space="preserve">Lancet</w:t>
      </w:r>
      <w:r>
        <w:t xml:space="preserve"> </w:t>
      </w:r>
      <w:r>
        <w:t xml:space="preserve">· Retatrutide, a GIP, GLP-1 and glucagon receptor agonist, for people with type 2 diabetes: a randomised, double-blind, placebo and active-controlled, parallel-group, phase 2 trial conducted in the USA. PMID 37385280</w:t>
      </w:r>
    </w:p>
    <w:p>
      <w:pPr>
        <w:numPr>
          <w:ilvl w:val="0"/>
          <w:numId w:val="1381"/>
        </w:numPr>
        <w:pStyle w:val="Compact"/>
      </w:pPr>
      <w:r>
        <w:t xml:space="preserve">2023 · Jastreboff AM ·</w:t>
      </w:r>
      <w:r>
        <w:t xml:space="preserve"> </w:t>
      </w:r>
      <w:r>
        <w:rPr>
          <w:iCs/>
          <w:i/>
        </w:rPr>
        <w:t xml:space="preserve">N Engl J Med</w:t>
      </w:r>
      <w:r>
        <w:t xml:space="preserve"> </w:t>
      </w:r>
      <w:r>
        <w:t xml:space="preserve">· Triple-Hormone-Receptor Agonist Retatrutide for Obesity - A Phase 2 Trial. PMID 37366315</w:t>
      </w:r>
    </w:p>
    <w:bookmarkEnd w:id="3018"/>
    <w:bookmarkStart w:id="3019" w:name="survodutide-10"/>
    <w:p>
      <w:pPr>
        <w:pStyle w:val="Heading2"/>
      </w:pPr>
      <w:r>
        <w:t xml:space="preserve">Survodutide (10)</w:t>
      </w:r>
    </w:p>
    <w:p>
      <w:pPr>
        <w:numPr>
          <w:ilvl w:val="0"/>
          <w:numId w:val="1382"/>
        </w:numPr>
        <w:pStyle w:val="Compact"/>
      </w:pPr>
      <w:r>
        <w:t xml:space="preserve">2026 · Ekinci EI ·</w:t>
      </w:r>
      <w:r>
        <w:t xml:space="preserve"> </w:t>
      </w:r>
      <w:r>
        <w:rPr>
          <w:iCs/>
          <w:i/>
        </w:rPr>
        <w:t xml:space="preserve">Diabetes Obes Metab</w:t>
      </w:r>
      <w:r>
        <w:t xml:space="preserve"> </w:t>
      </w:r>
      <w:r>
        <w:t xml:space="preserve">· Dual Glucagon and GLP-1 Receptor Agonist Survodutide Improves Biomarkers of Beta-Cell Function and Insulin Sensitivity in People With Type 2 Diabetes or Living With Overweight/Obesity. PMID 42331726</w:t>
      </w:r>
    </w:p>
    <w:p>
      <w:pPr>
        <w:numPr>
          <w:ilvl w:val="0"/>
          <w:numId w:val="1382"/>
        </w:numPr>
        <w:pStyle w:val="Compact"/>
      </w:pPr>
      <w:r>
        <w:t xml:space="preserve">2026 · le Roux CW ·</w:t>
      </w:r>
      <w:r>
        <w:t xml:space="preserve"> </w:t>
      </w:r>
      <w:r>
        <w:rPr>
          <w:iCs/>
          <w:i/>
        </w:rPr>
        <w:t xml:space="preserve">N Engl J Med</w:t>
      </w:r>
      <w:r>
        <w:t xml:space="preserve"> </w:t>
      </w:r>
      <w:r>
        <w:t xml:space="preserve">· Survodutide Once Weekly for the Treatment of Adults with Obesity. PMID 42253238</w:t>
      </w:r>
    </w:p>
    <w:p>
      <w:pPr>
        <w:numPr>
          <w:ilvl w:val="0"/>
          <w:numId w:val="1382"/>
        </w:numPr>
        <w:pStyle w:val="Compact"/>
      </w:pPr>
      <w:r>
        <w:t xml:space="preserve">2026 · Kaplan LM ·</w:t>
      </w:r>
      <w:r>
        <w:t xml:space="preserve"> </w:t>
      </w:r>
      <w:r>
        <w:rPr>
          <w:iCs/>
          <w:i/>
        </w:rPr>
        <w:t xml:space="preserve">Nat Med</w:t>
      </w:r>
      <w:r>
        <w:t xml:space="preserve"> </w:t>
      </w:r>
      <w:r>
        <w:t xml:space="preserve">· Survodutide in adults with obesity and metabolic dysfunction-associated steatotic liver disease: SYNCHRONIZE-MASLD, a randomized, double-blind, placebo-controlled phase 3 trial. PMID 42252333</w:t>
      </w:r>
    </w:p>
    <w:p>
      <w:pPr>
        <w:numPr>
          <w:ilvl w:val="0"/>
          <w:numId w:val="1382"/>
        </w:numPr>
        <w:pStyle w:val="Compact"/>
      </w:pPr>
      <w:r>
        <w:t xml:space="preserve">2026 · Wharton S ·</w:t>
      </w:r>
      <w:r>
        <w:t xml:space="preserve"> </w:t>
      </w:r>
      <w:r>
        <w:rPr>
          <w:iCs/>
          <w:i/>
        </w:rPr>
        <w:t xml:space="preserve">Diabetes Obes Metab</w:t>
      </w:r>
      <w:r>
        <w:t xml:space="preserve"> </w:t>
      </w:r>
      <w:r>
        <w:t xml:space="preserve">· Baseline characteristics in the SYNCHRONIZE™-2 randomized phase 3 trial of survodutide, a glucagon receptor/GLP-1 receptor dual agonist, for obesity in people with type 2 diabetes. PMID 41216778</w:t>
      </w:r>
    </w:p>
    <w:p>
      <w:pPr>
        <w:numPr>
          <w:ilvl w:val="0"/>
          <w:numId w:val="1382"/>
        </w:numPr>
        <w:pStyle w:val="Compact"/>
      </w:pPr>
      <w:r>
        <w:t xml:space="preserve">2026 · le Roux CW ·</w:t>
      </w:r>
      <w:r>
        <w:t xml:space="preserve"> </w:t>
      </w:r>
      <w:r>
        <w:rPr>
          <w:iCs/>
          <w:i/>
        </w:rPr>
        <w:t xml:space="preserve">Diabetes Obes Metab</w:t>
      </w:r>
      <w:r>
        <w:t xml:space="preserve"> </w:t>
      </w:r>
      <w:r>
        <w:t xml:space="preserve">· Survodutide for treatment of obesity: Baseline characteristics of participants in a randomized, double-blind, placebo-controlled, phase 3 trial (SYNCHRONIZE™-1). PMID 41187967</w:t>
      </w:r>
    </w:p>
    <w:p>
      <w:pPr>
        <w:numPr>
          <w:ilvl w:val="0"/>
          <w:numId w:val="1382"/>
        </w:numPr>
        <w:pStyle w:val="Compact"/>
      </w:pPr>
      <w:r>
        <w:t xml:space="preserve">2025 · le Roux CW ·</w:t>
      </w:r>
      <w:r>
        <w:t xml:space="preserve"> </w:t>
      </w:r>
      <w:r>
        <w:rPr>
          <w:iCs/>
          <w:i/>
        </w:rPr>
        <w:t xml:space="preserve">Diabetes Obes Metab</w:t>
      </w:r>
      <w:r>
        <w:t xml:space="preserve"> </w:t>
      </w:r>
      <w:r>
        <w:t xml:space="preserve">· Subgroup analysis by sex and baseline BMI in people with a BMI ≥27 kg/m(2) in the phase 2 trial of survodutide, a glucagon/GLP-1 receptor dual agonist. PMID 39821928</w:t>
      </w:r>
    </w:p>
    <w:p>
      <w:pPr>
        <w:numPr>
          <w:ilvl w:val="0"/>
          <w:numId w:val="1382"/>
        </w:numPr>
        <w:pStyle w:val="Compact"/>
      </w:pPr>
      <w:r>
        <w:t xml:space="preserve">2024 · Lawitz EJ ·</w:t>
      </w:r>
      <w:r>
        <w:t xml:space="preserve"> </w:t>
      </w:r>
      <w:r>
        <w:rPr>
          <w:iCs/>
          <w:i/>
        </w:rPr>
        <w:t xml:space="preserve">J Hepatol</w:t>
      </w:r>
      <w:r>
        <w:t xml:space="preserve"> </w:t>
      </w:r>
      <w:r>
        <w:t xml:space="preserve">· Efficacy, tolerability and pharmacokinetics of survodutide, a glucagon/glucagon-like peptide-1 receptor dual agonist, in cirrhosis. PMID 38857788</w:t>
      </w:r>
    </w:p>
    <w:p>
      <w:pPr>
        <w:numPr>
          <w:ilvl w:val="0"/>
          <w:numId w:val="1382"/>
        </w:numPr>
        <w:pStyle w:val="Compact"/>
      </w:pPr>
      <w:r>
        <w:t xml:space="preserve">2024 · Sanyal AJ ·</w:t>
      </w:r>
      <w:r>
        <w:t xml:space="preserve"> </w:t>
      </w:r>
      <w:r>
        <w:rPr>
          <w:iCs/>
          <w:i/>
        </w:rPr>
        <w:t xml:space="preserve">N Engl J Med</w:t>
      </w:r>
      <w:r>
        <w:t xml:space="preserve"> </w:t>
      </w:r>
      <w:r>
        <w:t xml:space="preserve">· A Phase 2 Randomized Trial of Survodutide in MASH and Fibrosis. PMID 38847460</w:t>
      </w:r>
    </w:p>
    <w:p>
      <w:pPr>
        <w:numPr>
          <w:ilvl w:val="0"/>
          <w:numId w:val="1382"/>
        </w:numPr>
        <w:pStyle w:val="Compact"/>
      </w:pPr>
      <w:r>
        <w:t xml:space="preserve">2024 · le Roux CW ·</w:t>
      </w:r>
      <w:r>
        <w:t xml:space="preserve"> </w:t>
      </w:r>
      <w:r>
        <w:rPr>
          <w:iCs/>
          <w:i/>
        </w:rPr>
        <w:t xml:space="preserve">Lancet Diabetes Endocrinol</w:t>
      </w:r>
      <w:r>
        <w:t xml:space="preserve"> </w:t>
      </w:r>
      <w:r>
        <w:t xml:space="preserve">· Glucagon and GLP-1 receptor dual agonist survodutide for obesity: a randomised, double-blind, placebo-controlled, dose-finding phase 2 trial. PMID 38330987</w:t>
      </w:r>
    </w:p>
    <w:p>
      <w:pPr>
        <w:numPr>
          <w:ilvl w:val="0"/>
          <w:numId w:val="1382"/>
        </w:numPr>
        <w:pStyle w:val="Compact"/>
      </w:pPr>
      <w:r>
        <w:t xml:space="preserve">2024 · Blüher M ·</w:t>
      </w:r>
      <w:r>
        <w:t xml:space="preserve"> </w:t>
      </w:r>
      <w:r>
        <w:rPr>
          <w:iCs/>
          <w:i/>
        </w:rPr>
        <w:t xml:space="preserve">Diabetologia</w:t>
      </w:r>
      <w:r>
        <w:t xml:space="preserve"> </w:t>
      </w:r>
      <w:r>
        <w:t xml:space="preserve">· Dose-response effects on HbA(1c) and bodyweight reduction of survodutide, a dual glucagon/GLP-1 receptor agonist, compared with placebo and open-label semaglutide in people with type 2 diabetes: a randomised clinical trial. PMID 38095657</w:t>
      </w:r>
    </w:p>
    <w:bookmarkEnd w:id="3019"/>
    <w:bookmarkStart w:id="3020" w:name="mazdutide-9"/>
    <w:p>
      <w:pPr>
        <w:pStyle w:val="Heading2"/>
      </w:pPr>
      <w:r>
        <w:t xml:space="preserve">Mazdutide (9)</w:t>
      </w:r>
    </w:p>
    <w:p>
      <w:pPr>
        <w:numPr>
          <w:ilvl w:val="0"/>
          <w:numId w:val="1383"/>
        </w:numPr>
        <w:pStyle w:val="Compact"/>
      </w:pPr>
      <w:r>
        <w:t xml:space="preserve">2026 · Hsia SH ·</w:t>
      </w:r>
      <w:r>
        <w:t xml:space="preserve"> </w:t>
      </w:r>
      <w:r>
        <w:rPr>
          <w:iCs/>
          <w:i/>
        </w:rPr>
        <w:t xml:space="preserve">Lancet Diabetes Endocrinol</w:t>
      </w:r>
      <w:r>
        <w:t xml:space="preserve"> </w:t>
      </w:r>
      <w:r>
        <w:t xml:space="preserve">· Efficacy and safety of mazdutide in adults with obesity or overweight: a US-based, multicentre, phase 2, randomised, placebo-controlled clinical trial. PMID 42628555</w:t>
      </w:r>
    </w:p>
    <w:p>
      <w:pPr>
        <w:numPr>
          <w:ilvl w:val="0"/>
          <w:numId w:val="1383"/>
        </w:numPr>
        <w:pStyle w:val="Compact"/>
      </w:pPr>
      <w:r>
        <w:t xml:space="preserve">2026 · Gao L ·</w:t>
      </w:r>
      <w:r>
        <w:t xml:space="preserve"> </w:t>
      </w:r>
      <w:r>
        <w:rPr>
          <w:iCs/>
          <w:i/>
        </w:rPr>
        <w:t xml:space="preserve">JAMA</w:t>
      </w:r>
      <w:r>
        <w:t xml:space="preserve"> </w:t>
      </w:r>
      <w:r>
        <w:t xml:space="preserve">· Treatment With 9-mg Mazdutide for Weight Reduction in Chinese Adults With Obesity: The GLORY-2 Randomized Clinical Trial. PMID 42251595</w:t>
      </w:r>
    </w:p>
    <w:p>
      <w:pPr>
        <w:numPr>
          <w:ilvl w:val="0"/>
          <w:numId w:val="1383"/>
        </w:numPr>
        <w:pStyle w:val="Compact"/>
      </w:pPr>
      <w:r>
        <w:t xml:space="preserve">2026 · Ji L ·</w:t>
      </w:r>
      <w:r>
        <w:t xml:space="preserve"> </w:t>
      </w:r>
      <w:r>
        <w:rPr>
          <w:iCs/>
          <w:i/>
        </w:rPr>
        <w:t xml:space="preserve">Med</w:t>
      </w:r>
      <w:r>
        <w:t xml:space="preserve"> </w:t>
      </w:r>
      <w:r>
        <w:t xml:space="preserve">· Mazdutide 9 mg in Chinese adults with a body mass index ≥30 kg/m(2) but without diabetes: A phase 2 randomized controlled trial. PMID 41875890</w:t>
      </w:r>
    </w:p>
    <w:p>
      <w:pPr>
        <w:numPr>
          <w:ilvl w:val="0"/>
          <w:numId w:val="1383"/>
        </w:numPr>
        <w:pStyle w:val="Compact"/>
      </w:pPr>
      <w:r>
        <w:t xml:space="preserve">2026 · Guo L ·</w:t>
      </w:r>
      <w:r>
        <w:t xml:space="preserve"> </w:t>
      </w:r>
      <w:r>
        <w:rPr>
          <w:iCs/>
          <w:i/>
        </w:rPr>
        <w:t xml:space="preserve">Nature</w:t>
      </w:r>
      <w:r>
        <w:t xml:space="preserve"> </w:t>
      </w:r>
      <w:r>
        <w:t xml:space="preserve">· Mazdutide versus dulaglutide in Chinese adults with type 2 diabetes. PMID 41407860</w:t>
      </w:r>
    </w:p>
    <w:p>
      <w:pPr>
        <w:numPr>
          <w:ilvl w:val="0"/>
          <w:numId w:val="1383"/>
        </w:numPr>
        <w:pStyle w:val="Compact"/>
      </w:pPr>
      <w:r>
        <w:t xml:space="preserve">2026 · Zhu D ·</w:t>
      </w:r>
      <w:r>
        <w:t xml:space="preserve"> </w:t>
      </w:r>
      <w:r>
        <w:rPr>
          <w:iCs/>
          <w:i/>
        </w:rPr>
        <w:t xml:space="preserve">Nature</w:t>
      </w:r>
      <w:r>
        <w:t xml:space="preserve"> </w:t>
      </w:r>
      <w:r>
        <w:t xml:space="preserve">· Mazdutide versus placebo in Chinese adults with type 2 diabetes. PMID 41407859</w:t>
      </w:r>
    </w:p>
    <w:p>
      <w:pPr>
        <w:numPr>
          <w:ilvl w:val="0"/>
          <w:numId w:val="1383"/>
        </w:numPr>
        <w:pStyle w:val="Compact"/>
      </w:pPr>
      <w:r>
        <w:t xml:space="preserve">2025 · Bhattachar SN ·</w:t>
      </w:r>
      <w:r>
        <w:t xml:space="preserve"> </w:t>
      </w:r>
      <w:r>
        <w:rPr>
          <w:iCs/>
          <w:i/>
        </w:rPr>
        <w:t xml:space="preserve">Diabetes Obes Metab</w:t>
      </w:r>
      <w:r>
        <w:t xml:space="preserve"> </w:t>
      </w:r>
      <w:r>
        <w:t xml:space="preserve">· Mazdutide reduces body weight in adults with overweight or obesity: A high-dose Phase 1 trial. PMID 40832785</w:t>
      </w:r>
    </w:p>
    <w:p>
      <w:pPr>
        <w:numPr>
          <w:ilvl w:val="0"/>
          <w:numId w:val="1383"/>
        </w:numPr>
        <w:pStyle w:val="Compact"/>
      </w:pPr>
      <w:r>
        <w:t xml:space="preserve">2025 · Ji L ·</w:t>
      </w:r>
      <w:r>
        <w:t xml:space="preserve"> </w:t>
      </w:r>
      <w:r>
        <w:rPr>
          <w:iCs/>
          <w:i/>
        </w:rPr>
        <w:t xml:space="preserve">N Engl J Med</w:t>
      </w:r>
      <w:r>
        <w:t xml:space="preserve"> </w:t>
      </w:r>
      <w:r>
        <w:t xml:space="preserve">· Once-Weekly Mazdutide in Chinese Adults with Obesity or Overweight. PMID 40421736</w:t>
      </w:r>
    </w:p>
    <w:p>
      <w:pPr>
        <w:numPr>
          <w:ilvl w:val="0"/>
          <w:numId w:val="1383"/>
        </w:numPr>
        <w:pStyle w:val="Compact"/>
      </w:pPr>
      <w:r>
        <w:t xml:space="preserve">2024 · Zhang B ·</w:t>
      </w:r>
      <w:r>
        <w:t xml:space="preserve"> </w:t>
      </w:r>
      <w:r>
        <w:rPr>
          <w:iCs/>
          <w:i/>
        </w:rPr>
        <w:t xml:space="preserve">Diabetes Care</w:t>
      </w:r>
      <w:r>
        <w:t xml:space="preserve"> </w:t>
      </w:r>
      <w:r>
        <w:t xml:space="preserve">· Efficacy and Safety of Mazdutide in Chinese Patients With Type 2 Diabetes: A Randomized, Double-Blind, Placebo-Controlled Phase 2 Trial. PMID 37943529</w:t>
      </w:r>
    </w:p>
    <w:p>
      <w:pPr>
        <w:numPr>
          <w:ilvl w:val="0"/>
          <w:numId w:val="1383"/>
        </w:numPr>
        <w:pStyle w:val="Compact"/>
      </w:pPr>
      <w:r>
        <w:t xml:space="preserve">2023 · Ji L ·</w:t>
      </w:r>
      <w:r>
        <w:t xml:space="preserve"> </w:t>
      </w:r>
      <w:r>
        <w:rPr>
          <w:iCs/>
          <w:i/>
        </w:rPr>
        <w:t xml:space="preserve">Nat Commun</w:t>
      </w:r>
      <w:r>
        <w:t xml:space="preserve"> </w:t>
      </w:r>
      <w:r>
        <w:t xml:space="preserve">· A phase 2 randomised controlled trial of mazdutide in Chinese overweight adults or adults with obesity. PMID 38092790</w:t>
      </w:r>
    </w:p>
    <w:bookmarkEnd w:id="3020"/>
    <w:bookmarkStart w:id="3021" w:name="cagrilintide-et-cagrisema-15"/>
    <w:p>
      <w:pPr>
        <w:pStyle w:val="Heading2"/>
      </w:pPr>
      <w:r>
        <w:t xml:space="preserve">Cagrilintide et CagriSema (15)</w:t>
      </w:r>
    </w:p>
    <w:p>
      <w:pPr>
        <w:numPr>
          <w:ilvl w:val="0"/>
          <w:numId w:val="1384"/>
        </w:numPr>
        <w:pStyle w:val="Compact"/>
      </w:pPr>
      <w:r>
        <w:t xml:space="preserve">2026 · Busetto L ·</w:t>
      </w:r>
      <w:r>
        <w:t xml:space="preserve"> </w:t>
      </w:r>
      <w:r>
        <w:rPr>
          <w:iCs/>
          <w:i/>
        </w:rPr>
        <w:t xml:space="preserve">Diabetes Obes Metab</w:t>
      </w:r>
      <w:r>
        <w:t xml:space="preserve"> </w:t>
      </w:r>
      <w:r>
        <w:t xml:space="preserve">· Efficacy of CagriSema for Reaching Anthropometric Treatment Targets and Cardiometabolic Outcomes: A Secondary, Post hoc Analysis of REDEFINE 1. PMID 42503495</w:t>
      </w:r>
    </w:p>
    <w:p>
      <w:pPr>
        <w:numPr>
          <w:ilvl w:val="0"/>
          <w:numId w:val="1384"/>
        </w:numPr>
        <w:pStyle w:val="Compact"/>
      </w:pPr>
      <w:r>
        <w:t xml:space="preserve">2026 · Loomba R ·</w:t>
      </w:r>
      <w:r>
        <w:t xml:space="preserve"> </w:t>
      </w:r>
      <w:r>
        <w:rPr>
          <w:iCs/>
          <w:i/>
        </w:rPr>
        <w:t xml:space="preserve">Lancet Gastroenterol Hepatol</w:t>
      </w:r>
      <w:r>
        <w:t xml:space="preserve"> </w:t>
      </w:r>
      <w:r>
        <w:t xml:space="preserve">· Efficacy and safety of zalfermin co-administered with semaglutide in participants with fibrosis and cirrhosis due to metabolic dysfunction-associated steatohepatitis: a phase 2, dose-ranging, double-blind, randomised controlled trial. PMID 42456707</w:t>
      </w:r>
    </w:p>
    <w:p>
      <w:pPr>
        <w:numPr>
          <w:ilvl w:val="0"/>
          <w:numId w:val="1384"/>
        </w:numPr>
        <w:pStyle w:val="Compact"/>
      </w:pPr>
      <w:r>
        <w:t xml:space="preserve">2026 · Aroda VR ·</w:t>
      </w:r>
      <w:r>
        <w:t xml:space="preserve"> </w:t>
      </w:r>
      <w:r>
        <w:rPr>
          <w:iCs/>
          <w:i/>
        </w:rPr>
        <w:t xml:space="preserve">Lancet Diabetes Endocrinol</w:t>
      </w:r>
      <w:r>
        <w:t xml:space="preserve"> </w:t>
      </w:r>
      <w:r>
        <w:t xml:space="preserve">· Efficacy and safety of once-weekly cagrilintide-semaglutide (CagriSema) in adults with type 2 diabetes inadequately controlled on diet and exercise (REIMAGINE 1): a randomised, double-blind, placebo-controlled, phase 3a study. PMID 42251860</w:t>
      </w:r>
    </w:p>
    <w:p>
      <w:pPr>
        <w:numPr>
          <w:ilvl w:val="0"/>
          <w:numId w:val="1384"/>
        </w:numPr>
        <w:pStyle w:val="Compact"/>
      </w:pPr>
      <w:r>
        <w:t xml:space="preserve">2026 · Buse JB ·</w:t>
      </w:r>
      <w:r>
        <w:t xml:space="preserve"> </w:t>
      </w:r>
      <w:r>
        <w:rPr>
          <w:iCs/>
          <w:i/>
        </w:rPr>
        <w:t xml:space="preserve">Lancet Diabetes Endocrinol</w:t>
      </w:r>
      <w:r>
        <w:t xml:space="preserve"> </w:t>
      </w:r>
      <w:r>
        <w:t xml:space="preserve">· Cagrilintide-semaglutide (CagriSema) versus semaglutide or cagrilintide in people with type 2 diabetes (REIMAGINE 2): a double-blind, randomised, controlled, phase 3 study. PMID 42251859</w:t>
      </w:r>
    </w:p>
    <w:p>
      <w:pPr>
        <w:numPr>
          <w:ilvl w:val="0"/>
          <w:numId w:val="1384"/>
        </w:numPr>
        <w:pStyle w:val="Compact"/>
      </w:pPr>
      <w:r>
        <w:t xml:space="preserve">2026 · Rosenstock J ·</w:t>
      </w:r>
      <w:r>
        <w:t xml:space="preserve"> </w:t>
      </w:r>
      <w:r>
        <w:rPr>
          <w:iCs/>
          <w:i/>
        </w:rPr>
        <w:t xml:space="preserve">Lancet</w:t>
      </w:r>
      <w:r>
        <w:t xml:space="preserve"> </w:t>
      </w:r>
      <w:r>
        <w:t xml:space="preserve">· Cagrilintide-semaglutide (CagriSema) as an add-on to basal insulin in adults with type 2 diabetes (REIMAGINE 3): a randomised, double-blind, placebo-controlled, multicentre, phase 3 study. PMID 42251856</w:t>
      </w:r>
    </w:p>
    <w:p>
      <w:pPr>
        <w:numPr>
          <w:ilvl w:val="0"/>
          <w:numId w:val="1384"/>
        </w:numPr>
        <w:pStyle w:val="Compact"/>
      </w:pPr>
      <w:r>
        <w:t xml:space="preserve">2026 · Nielsen MJF ·</w:t>
      </w:r>
      <w:r>
        <w:t xml:space="preserve"> </w:t>
      </w:r>
      <w:r>
        <w:rPr>
          <w:iCs/>
          <w:i/>
        </w:rPr>
        <w:t xml:space="preserve">Clin Pharmacokinet</w:t>
      </w:r>
      <w:r>
        <w:t xml:space="preserve"> </w:t>
      </w:r>
      <w:r>
        <w:t xml:space="preserve">· Renal or Hepatic Impairment Does Not Affect Pharmacokinetics, Safety, or Tolerability of Subcutaneous Cagrilintide. PMID 42228334</w:t>
      </w:r>
    </w:p>
    <w:p>
      <w:pPr>
        <w:numPr>
          <w:ilvl w:val="0"/>
          <w:numId w:val="1384"/>
        </w:numPr>
        <w:pStyle w:val="Compact"/>
      </w:pPr>
      <w:r>
        <w:t xml:space="preserve">2026 · Yamauchi T ·</w:t>
      </w:r>
      <w:r>
        <w:t xml:space="preserve"> </w:t>
      </w:r>
      <w:r>
        <w:rPr>
          <w:iCs/>
          <w:i/>
        </w:rPr>
        <w:t xml:space="preserve">Lancet Diabetes Endocrinol</w:t>
      </w:r>
      <w:r>
        <w:t xml:space="preserve"> </w:t>
      </w:r>
      <w:r>
        <w:t xml:space="preserve">· Efficacy and safety of co-administered cagrilintide and semaglutide versus semaglutide alone in adults with overweight or obesity with or without type 2 diabetes in Japan and Taiwan (REDEFINE 5): a multicentre, randomised, active-controlled, phase 3a trial. PMID 42009015</w:t>
      </w:r>
    </w:p>
    <w:p>
      <w:pPr>
        <w:numPr>
          <w:ilvl w:val="0"/>
          <w:numId w:val="1384"/>
        </w:numPr>
        <w:pStyle w:val="Compact"/>
      </w:pPr>
      <w:r>
        <w:t xml:space="preserve">2026 · Verma S ·</w:t>
      </w:r>
      <w:r>
        <w:t xml:space="preserve"> </w:t>
      </w:r>
      <w:r>
        <w:rPr>
          <w:iCs/>
          <w:i/>
        </w:rPr>
        <w:t xml:space="preserve">Hypertension</w:t>
      </w:r>
      <w:r>
        <w:t xml:space="preserve"> </w:t>
      </w:r>
      <w:r>
        <w:t xml:space="preserve">· CagriSema Reduces Blood Pressure in Adults With Overweight or Obesity: REDEFINE 1. PMID 41328546</w:t>
      </w:r>
    </w:p>
    <w:p>
      <w:pPr>
        <w:numPr>
          <w:ilvl w:val="0"/>
          <w:numId w:val="1384"/>
        </w:numPr>
        <w:pStyle w:val="Compact"/>
      </w:pPr>
      <w:r>
        <w:t xml:space="preserve">2025 · Briere DA ·</w:t>
      </w:r>
      <w:r>
        <w:t xml:space="preserve"> </w:t>
      </w:r>
      <w:r>
        <w:rPr>
          <w:iCs/>
          <w:i/>
        </w:rPr>
        <w:t xml:space="preserve">Mol Metab</w:t>
      </w:r>
      <w:r>
        <w:t xml:space="preserve"> </w:t>
      </w:r>
      <w:r>
        <w:t xml:space="preserve">· Eloralintide (LY3841136), a novel amylin receptor agonist for the treatment of obesity: From discovery to clinical proof of concept. PMID 41109426</w:t>
      </w:r>
    </w:p>
    <w:p>
      <w:pPr>
        <w:numPr>
          <w:ilvl w:val="0"/>
          <w:numId w:val="1384"/>
        </w:numPr>
        <w:pStyle w:val="Compact"/>
      </w:pPr>
      <w:r>
        <w:t xml:space="preserve">2025 · Garvey WT ·</w:t>
      </w:r>
      <w:r>
        <w:t xml:space="preserve"> </w:t>
      </w:r>
      <w:r>
        <w:rPr>
          <w:iCs/>
          <w:i/>
        </w:rPr>
        <w:t xml:space="preserve">N Engl J Med</w:t>
      </w:r>
      <w:r>
        <w:t xml:space="preserve"> </w:t>
      </w:r>
      <w:r>
        <w:t xml:space="preserve">· Coadministered Cagrilintide and Semaglutide in Adults with Overweight or Obesity. PMID 40544433</w:t>
      </w:r>
    </w:p>
    <w:p>
      <w:pPr>
        <w:numPr>
          <w:ilvl w:val="0"/>
          <w:numId w:val="1384"/>
        </w:numPr>
        <w:pStyle w:val="Compact"/>
      </w:pPr>
      <w:r>
        <w:t xml:space="preserve">2025 · Davies MJ ·</w:t>
      </w:r>
      <w:r>
        <w:t xml:space="preserve"> </w:t>
      </w:r>
      <w:r>
        <w:rPr>
          <w:iCs/>
          <w:i/>
        </w:rPr>
        <w:t xml:space="preserve">N Engl J Med</w:t>
      </w:r>
      <w:r>
        <w:t xml:space="preserve"> </w:t>
      </w:r>
      <w:r>
        <w:t xml:space="preserve">· Cagrilintide-Semaglutide in Adults with Overweight or Obesity and Type 2 Diabetes. PMID 40544432</w:t>
      </w:r>
    </w:p>
    <w:p>
      <w:pPr>
        <w:numPr>
          <w:ilvl w:val="0"/>
          <w:numId w:val="1384"/>
        </w:numPr>
        <w:pStyle w:val="Compact"/>
      </w:pPr>
      <w:r>
        <w:t xml:space="preserve">2024 · Gabe MBN ·</w:t>
      </w:r>
      <w:r>
        <w:t xml:space="preserve"> </w:t>
      </w:r>
      <w:r>
        <w:rPr>
          <w:iCs/>
          <w:i/>
        </w:rPr>
        <w:t xml:space="preserve">Diabetes Obes Metab</w:t>
      </w:r>
      <w:r>
        <w:t xml:space="preserve"> </w:t>
      </w:r>
      <w:r>
        <w:t xml:space="preserve">· Cagrilintide is not associated with clinically relevant QTc prolongation: A thorough QT study in healthy participants. PMID 39279639</w:t>
      </w:r>
    </w:p>
    <w:p>
      <w:pPr>
        <w:numPr>
          <w:ilvl w:val="0"/>
          <w:numId w:val="1384"/>
        </w:numPr>
        <w:pStyle w:val="Compact"/>
      </w:pPr>
      <w:r>
        <w:t xml:space="preserve">2023 · Frias JP ·</w:t>
      </w:r>
      <w:r>
        <w:t xml:space="preserve"> </w:t>
      </w:r>
      <w:r>
        <w:rPr>
          <w:iCs/>
          <w:i/>
        </w:rPr>
        <w:t xml:space="preserve">Lancet</w:t>
      </w:r>
      <w:r>
        <w:t xml:space="preserve"> </w:t>
      </w:r>
      <w:r>
        <w:t xml:space="preserve">· Efficacy and safety of co-administered once-weekly cagrilintide 2·4 mg with once-weekly semaglutide 2·4 mg in type 2 diabetes: a multicentre, randomised, double-blind, active-controlled, phase 2 trial. PMID 37364590</w:t>
      </w:r>
    </w:p>
    <w:p>
      <w:pPr>
        <w:numPr>
          <w:ilvl w:val="0"/>
          <w:numId w:val="1384"/>
        </w:numPr>
        <w:pStyle w:val="Compact"/>
      </w:pPr>
      <w:r>
        <w:t xml:space="preserve">2021 · Lau DCW ·</w:t>
      </w:r>
      <w:r>
        <w:t xml:space="preserve"> </w:t>
      </w:r>
      <w:r>
        <w:rPr>
          <w:iCs/>
          <w:i/>
        </w:rPr>
        <w:t xml:space="preserve">Lancet</w:t>
      </w:r>
      <w:r>
        <w:t xml:space="preserve"> </w:t>
      </w:r>
      <w:r>
        <w:t xml:space="preserve">· Once-weekly cagrilintide for weight management in people with overweight and obesity: a multicentre, randomised, double-blind, placebo-controlled and active-controlled, dose-finding phase 2 trial. PMID 34798060</w:t>
      </w:r>
    </w:p>
    <w:p>
      <w:pPr>
        <w:numPr>
          <w:ilvl w:val="0"/>
          <w:numId w:val="1384"/>
        </w:numPr>
        <w:pStyle w:val="Compact"/>
      </w:pPr>
      <w:r>
        <w:t xml:space="preserve">2021 · Enebo LB ·</w:t>
      </w:r>
      <w:r>
        <w:t xml:space="preserve"> </w:t>
      </w:r>
      <w:r>
        <w:rPr>
          <w:iCs/>
          <w:i/>
        </w:rPr>
        <w:t xml:space="preserve">Lancet</w:t>
      </w:r>
      <w:r>
        <w:t xml:space="preserve"> </w:t>
      </w:r>
      <w:r>
        <w:t xml:space="preserve">· Safety, tolerability, pharmacokinetics, and pharmacodynamics of concomitant administration of multiple doses of cagrilintide with semaglutide 2·4 mg for weight management: a randomised, controlled, phase 1b trial. PMID 33894838</w:t>
      </w:r>
    </w:p>
    <w:bookmarkEnd w:id="3021"/>
    <w:bookmarkStart w:id="3022" w:name="amycrétine-zénagamtide-4"/>
    <w:p>
      <w:pPr>
        <w:pStyle w:val="Heading2"/>
      </w:pPr>
      <w:r>
        <w:t xml:space="preserve">Amycrétine (zénagamtide) (4)</w:t>
      </w:r>
    </w:p>
    <w:p>
      <w:pPr>
        <w:numPr>
          <w:ilvl w:val="0"/>
          <w:numId w:val="1385"/>
        </w:numPr>
        <w:pStyle w:val="Compact"/>
      </w:pPr>
      <w:r>
        <w:t xml:space="preserve">2026 · Mora P ·</w:t>
      </w:r>
      <w:r>
        <w:t xml:space="preserve"> </w:t>
      </w:r>
      <w:r>
        <w:rPr>
          <w:iCs/>
          <w:i/>
        </w:rPr>
        <w:t xml:space="preserve">Lancet</w:t>
      </w:r>
      <w:r>
        <w:t xml:space="preserve"> </w:t>
      </w:r>
      <w:r>
        <w:t xml:space="preserve">· Efficacy and safety of once-weekly subcutaneous zenagamtide, a novel unimolecular GLP-1 and amylin receptor agonist, in type 2 diabetes: a multicentre, randomised, parallel, double-blind, placebo-controlled, dose-finding, phase 2 trial. PMID 42532080</w:t>
      </w:r>
    </w:p>
    <w:p>
      <w:pPr>
        <w:numPr>
          <w:ilvl w:val="0"/>
          <w:numId w:val="1385"/>
        </w:numPr>
        <w:pStyle w:val="Compact"/>
      </w:pPr>
      <w:r>
        <w:t xml:space="preserve">2026 · Mora P ·</w:t>
      </w:r>
      <w:r>
        <w:t xml:space="preserve"> </w:t>
      </w:r>
      <w:r>
        <w:rPr>
          <w:iCs/>
          <w:i/>
        </w:rPr>
        <w:t xml:space="preserve">Lancet</w:t>
      </w:r>
      <w:r>
        <w:t xml:space="preserve"> </w:t>
      </w:r>
      <w:r>
        <w:t xml:space="preserve">· Efficacy and safety of once-daily oral zenagamtide, a novel unimolecular GLP-1 and amylin receptor agonist, in adults with type 2 diabetes: a multicentre, randomised, parallel, double-blind, placebo-controlled, dose-finding, phase 2 trial. PMID 42532079</w:t>
      </w:r>
    </w:p>
    <w:p>
      <w:pPr>
        <w:numPr>
          <w:ilvl w:val="0"/>
          <w:numId w:val="1385"/>
        </w:numPr>
        <w:pStyle w:val="Compact"/>
      </w:pPr>
      <w:r>
        <w:t xml:space="preserve">2025 · Dahl K ·</w:t>
      </w:r>
      <w:r>
        <w:t xml:space="preserve"> </w:t>
      </w:r>
      <w:r>
        <w:rPr>
          <w:iCs/>
          <w:i/>
        </w:rPr>
        <w:t xml:space="preserve">Lancet</w:t>
      </w:r>
      <w:r>
        <w:t xml:space="preserve"> </w:t>
      </w:r>
      <w:r>
        <w:t xml:space="preserve">· Amycretin, a novel, unimolecular GLP-1 and amylin receptor agonist administered subcutaneously: results from a phase 1b/2a randomised controlled study. PMID 40550231</w:t>
      </w:r>
    </w:p>
    <w:p>
      <w:pPr>
        <w:numPr>
          <w:ilvl w:val="0"/>
          <w:numId w:val="1385"/>
        </w:numPr>
        <w:pStyle w:val="Compact"/>
      </w:pPr>
      <w:r>
        <w:t xml:space="preserve">2025 · Gasiorek A ·</w:t>
      </w:r>
      <w:r>
        <w:t xml:space="preserve"> </w:t>
      </w:r>
      <w:r>
        <w:rPr>
          <w:iCs/>
          <w:i/>
        </w:rPr>
        <w:t xml:space="preserve">Lancet</w:t>
      </w:r>
      <w:r>
        <w:t xml:space="preserve"> </w:t>
      </w:r>
      <w:r>
        <w:t xml:space="preserve">· Safety, tolerability, pharmacokinetics, and pharmacodynamics of the first-in-class GLP-1 and amylin receptor agonist, amycretin: a first-in-human, phase 1, double-blind, randomised, placebo-controlled trial. PMID 40550229</w:t>
      </w:r>
    </w:p>
    <w:bookmarkEnd w:id="3022"/>
    <w:bookmarkStart w:id="3023" w:name="maridebart-cafraglutide-maritide-2"/>
    <w:p>
      <w:pPr>
        <w:pStyle w:val="Heading2"/>
      </w:pPr>
      <w:r>
        <w:t xml:space="preserve">Maridebart cafraglutide (MariTide) (2)</w:t>
      </w:r>
    </w:p>
    <w:p>
      <w:pPr>
        <w:numPr>
          <w:ilvl w:val="0"/>
          <w:numId w:val="1386"/>
        </w:numPr>
        <w:pStyle w:val="Compact"/>
      </w:pPr>
      <w:r>
        <w:t xml:space="preserve">2025 · Jastreboff AM ·</w:t>
      </w:r>
      <w:r>
        <w:t xml:space="preserve"> </w:t>
      </w:r>
      <w:r>
        <w:rPr>
          <w:iCs/>
          <w:i/>
        </w:rPr>
        <w:t xml:space="preserve">N Engl J Med</w:t>
      </w:r>
      <w:r>
        <w:t xml:space="preserve"> </w:t>
      </w:r>
      <w:r>
        <w:t xml:space="preserve">· Once-Monthly Maridebart Cafraglutide for the Treatment of Obesity - A Phase 2 Trial. PMID 40549887</w:t>
      </w:r>
    </w:p>
    <w:p>
      <w:pPr>
        <w:numPr>
          <w:ilvl w:val="0"/>
          <w:numId w:val="1386"/>
        </w:numPr>
        <w:pStyle w:val="Compact"/>
      </w:pPr>
      <w:r>
        <w:t xml:space="preserve">2024 · Véniant MM ·</w:t>
      </w:r>
      <w:r>
        <w:t xml:space="preserve"> </w:t>
      </w:r>
      <w:r>
        <w:rPr>
          <w:iCs/>
          <w:i/>
        </w:rPr>
        <w:t xml:space="preserve">Nat Metab</w:t>
      </w:r>
      <w:r>
        <w:t xml:space="preserve"> </w:t>
      </w:r>
      <w:r>
        <w:t xml:space="preserve">· A GIPR antagonist conjugated to GLP-1 analogues promotes weight loss with improved metabolic parameters in preclinical and phase 1 settings. PMID 38316982</w:t>
      </w:r>
    </w:p>
    <w:bookmarkEnd w:id="3023"/>
    <w:bookmarkStart w:id="3024" w:name="pramlintide-76"/>
    <w:p>
      <w:pPr>
        <w:pStyle w:val="Heading2"/>
      </w:pPr>
      <w:r>
        <w:t xml:space="preserve">Pramlintide (76)</w:t>
      </w:r>
    </w:p>
    <w:p>
      <w:pPr>
        <w:numPr>
          <w:ilvl w:val="0"/>
          <w:numId w:val="1387"/>
        </w:numPr>
        <w:pStyle w:val="Compact"/>
      </w:pPr>
      <w:r>
        <w:t xml:space="preserve">2025 · Odabassian M ·</w:t>
      </w:r>
      <w:r>
        <w:t xml:space="preserve"> </w:t>
      </w:r>
      <w:r>
        <w:rPr>
          <w:iCs/>
          <w:i/>
        </w:rPr>
        <w:t xml:space="preserve">J Diabetes Sci Technol</w:t>
      </w:r>
      <w:r>
        <w:t xml:space="preserve"> </w:t>
      </w:r>
      <w:r>
        <w:t xml:space="preserve">· A Pilot Outpatient Assessment of a Fully Closed-Loop Insulin and Pramlintide System. PMID 41174925</w:t>
      </w:r>
    </w:p>
    <w:p>
      <w:pPr>
        <w:numPr>
          <w:ilvl w:val="0"/>
          <w:numId w:val="1387"/>
        </w:numPr>
        <w:pStyle w:val="Compact"/>
      </w:pPr>
      <w:r>
        <w:t xml:space="preserve">2024 · Andersen G ·</w:t>
      </w:r>
      <w:r>
        <w:t xml:space="preserve"> </w:t>
      </w:r>
      <w:r>
        <w:rPr>
          <w:iCs/>
          <w:i/>
        </w:rPr>
        <w:t xml:space="preserve">Diabetes Obes Metab</w:t>
      </w:r>
      <w:r>
        <w:t xml:space="preserve"> </w:t>
      </w:r>
      <w:r>
        <w:t xml:space="preserve">· ADO09, a co-formulation of pramlintide and insulin A21G, lowers body weight versus insulin lispro in type 1 diabetes. PMID 39109464</w:t>
      </w:r>
    </w:p>
    <w:p>
      <w:pPr>
        <w:numPr>
          <w:ilvl w:val="0"/>
          <w:numId w:val="1387"/>
        </w:numPr>
        <w:pStyle w:val="Compact"/>
      </w:pPr>
      <w:r>
        <w:t xml:space="preserve">2024 · Cohen E ·</w:t>
      </w:r>
      <w:r>
        <w:t xml:space="preserve"> </w:t>
      </w:r>
      <w:r>
        <w:rPr>
          <w:iCs/>
          <w:i/>
        </w:rPr>
        <w:t xml:space="preserve">Lancet Digit Health</w:t>
      </w:r>
      <w:r>
        <w:t xml:space="preserve"> </w:t>
      </w:r>
      <w:r>
        <w:t xml:space="preserve">· Simple meal announcements and pramlintide delivery versus carbohydrate counting in type 1 diabetes with automated fast-acting insulin aspart delivery: a randomised crossover trial in Montreal, Canada. PMID 38906614</w:t>
      </w:r>
    </w:p>
    <w:p>
      <w:pPr>
        <w:numPr>
          <w:ilvl w:val="0"/>
          <w:numId w:val="1387"/>
        </w:numPr>
        <w:pStyle w:val="Compact"/>
      </w:pPr>
      <w:r>
        <w:t xml:space="preserve">2023 · Andersen G ·</w:t>
      </w:r>
      <w:r>
        <w:t xml:space="preserve"> </w:t>
      </w:r>
      <w:r>
        <w:rPr>
          <w:iCs/>
          <w:i/>
        </w:rPr>
        <w:t xml:space="preserve">Diabetes Obes Metab</w:t>
      </w:r>
      <w:r>
        <w:t xml:space="preserve"> </w:t>
      </w:r>
      <w:r>
        <w:t xml:space="preserve">· A co-formulation of pramlintide and insulin A21G (ADO09) improves postprandial glucose and short-term control of mean glucose, time in range, and body weight versus insulin aspart in adults with type 1 diabetes. PMID 36633505</w:t>
      </w:r>
    </w:p>
    <w:p>
      <w:pPr>
        <w:numPr>
          <w:ilvl w:val="0"/>
          <w:numId w:val="1387"/>
        </w:numPr>
        <w:pStyle w:val="Compact"/>
      </w:pPr>
      <w:r>
        <w:t xml:space="preserve">2021 · Tsoukas MA ·</w:t>
      </w:r>
      <w:r>
        <w:t xml:space="preserve"> </w:t>
      </w:r>
      <w:r>
        <w:rPr>
          <w:iCs/>
          <w:i/>
        </w:rPr>
        <w:t xml:space="preserve">Lancet Digit Health</w:t>
      </w:r>
      <w:r>
        <w:t xml:space="preserve"> </w:t>
      </w:r>
      <w:r>
        <w:t xml:space="preserve">· A fully artificial pancreas versus a hybrid artificial pancreas for type 1 diabetes: a single-centre, open-label, randomised controlled, crossover, non-inferiority trial. PMID 34580055</w:t>
      </w:r>
    </w:p>
    <w:p>
      <w:pPr>
        <w:numPr>
          <w:ilvl w:val="0"/>
          <w:numId w:val="1387"/>
        </w:numPr>
        <w:pStyle w:val="Compact"/>
      </w:pPr>
      <w:r>
        <w:t xml:space="preserve">2021 · Ghanizada H ·</w:t>
      </w:r>
      <w:r>
        <w:t xml:space="preserve"> </w:t>
      </w:r>
      <w:r>
        <w:rPr>
          <w:iCs/>
          <w:i/>
        </w:rPr>
        <w:t xml:space="preserve">Ann Neurol</w:t>
      </w:r>
      <w:r>
        <w:t xml:space="preserve"> </w:t>
      </w:r>
      <w:r>
        <w:t xml:space="preserve">· Amylin Analog Pramlintide Induces Migraine-like Attacks in Patients. PMID 33772845</w:t>
      </w:r>
    </w:p>
    <w:p>
      <w:pPr>
        <w:numPr>
          <w:ilvl w:val="0"/>
          <w:numId w:val="1387"/>
        </w:numPr>
        <w:pStyle w:val="Compact"/>
      </w:pPr>
      <w:r>
        <w:t xml:space="preserve">2020 · Haidar A ·</w:t>
      </w:r>
      <w:r>
        <w:t xml:space="preserve"> </w:t>
      </w:r>
      <w:r>
        <w:rPr>
          <w:iCs/>
          <w:i/>
        </w:rPr>
        <w:t xml:space="preserve">Diabetes Care</w:t>
      </w:r>
      <w:r>
        <w:t xml:space="preserve"> </w:t>
      </w:r>
      <w:r>
        <w:t xml:space="preserve">· A Novel Dual-Hormone Insulin-and-Pramlintide Artificial Pancreas for Type 1 Diabetes: A Randomized Controlled Crossover Trial. PMID 31974099</w:t>
      </w:r>
    </w:p>
    <w:p>
      <w:pPr>
        <w:numPr>
          <w:ilvl w:val="0"/>
          <w:numId w:val="1387"/>
        </w:numPr>
        <w:pStyle w:val="Compact"/>
      </w:pPr>
      <w:r>
        <w:t xml:space="preserve">2018 · Riddle MC ·</w:t>
      </w:r>
      <w:r>
        <w:t xml:space="preserve"> </w:t>
      </w:r>
      <w:r>
        <w:rPr>
          <w:iCs/>
          <w:i/>
        </w:rPr>
        <w:t xml:space="preserve">Diabetes Care</w:t>
      </w:r>
      <w:r>
        <w:t xml:space="preserve"> </w:t>
      </w:r>
      <w:r>
        <w:t xml:space="preserve">· Control of Postprandial Hyperglycemia in Type 1 Diabetes by 24-Hour Fixed-Dose Coadministration of Pramlintide and Regular Human Insulin: A Randomized, Two-Way Crossover Study. PMID 30213882</w:t>
      </w:r>
    </w:p>
    <w:p>
      <w:pPr>
        <w:numPr>
          <w:ilvl w:val="0"/>
          <w:numId w:val="1387"/>
        </w:numPr>
        <w:pStyle w:val="Compact"/>
      </w:pPr>
      <w:r>
        <w:t xml:space="preserve">2018 · Galderisi A ·</w:t>
      </w:r>
      <w:r>
        <w:t xml:space="preserve"> </w:t>
      </w:r>
      <w:r>
        <w:rPr>
          <w:iCs/>
          <w:i/>
        </w:rPr>
        <w:t xml:space="preserve">J Clin Endocrinol Metab</w:t>
      </w:r>
      <w:r>
        <w:t xml:space="preserve"> </w:t>
      </w:r>
      <w:r>
        <w:t xml:space="preserve">· Pramlintide but Not Liraglutide Suppresses Meal-Stimulated Glucagon Responses in Type 1 Diabetes. PMID 29211871</w:t>
      </w:r>
    </w:p>
    <w:p>
      <w:pPr>
        <w:numPr>
          <w:ilvl w:val="0"/>
          <w:numId w:val="1387"/>
        </w:numPr>
        <w:pStyle w:val="Compact"/>
      </w:pPr>
      <w:r>
        <w:t xml:space="preserve">2016 · Sherr JL ·</w:t>
      </w:r>
      <w:r>
        <w:t xml:space="preserve"> </w:t>
      </w:r>
      <w:r>
        <w:rPr>
          <w:iCs/>
          <w:i/>
        </w:rPr>
        <w:t xml:space="preserve">Diabetes Care</w:t>
      </w:r>
      <w:r>
        <w:t xml:space="preserve"> </w:t>
      </w:r>
      <w:r>
        <w:t xml:space="preserve">· Mitigating Meal-Related Glycemic Excursions in an Insulin-Sparing Manner During Closed-Loop Insulin Delivery: The Beneficial Effects of Adjunctive Pramlintide and Liraglutide. PMID 27208332</w:t>
      </w:r>
    </w:p>
    <w:p>
      <w:pPr>
        <w:numPr>
          <w:ilvl w:val="0"/>
          <w:numId w:val="1387"/>
        </w:numPr>
        <w:pStyle w:val="Compact"/>
      </w:pPr>
      <w:r>
        <w:t xml:space="preserve">2016 · Herrmann K ·</w:t>
      </w:r>
      <w:r>
        <w:t xml:space="preserve"> </w:t>
      </w:r>
      <w:r>
        <w:rPr>
          <w:iCs/>
          <w:i/>
        </w:rPr>
        <w:t xml:space="preserve">Adv Ther</w:t>
      </w:r>
      <w:r>
        <w:t xml:space="preserve"> </w:t>
      </w:r>
      <w:r>
        <w:t xml:space="preserve">· Impact of Disease Duration on the Effects of Pramlintide in Type 1 Diabetes: A Post Hoc Analysis of Three Clinical Trials. PMID 27071768</w:t>
      </w:r>
    </w:p>
    <w:p>
      <w:pPr>
        <w:numPr>
          <w:ilvl w:val="0"/>
          <w:numId w:val="1387"/>
        </w:numPr>
        <w:pStyle w:val="Compact"/>
      </w:pPr>
      <w:r>
        <w:t xml:space="preserve">2016 · Hinshaw L ·</w:t>
      </w:r>
      <w:r>
        <w:t xml:space="preserve"> </w:t>
      </w:r>
      <w:r>
        <w:rPr>
          <w:iCs/>
          <w:i/>
        </w:rPr>
        <w:t xml:space="preserve">J Clin Endocrinol Metab</w:t>
      </w:r>
      <w:r>
        <w:t xml:space="preserve"> </w:t>
      </w:r>
      <w:r>
        <w:t xml:space="preserve">· Effect of Pramlintide on Postprandial Glucose Fluxes in Type 1 Diabetes. PMID 26930181</w:t>
      </w:r>
    </w:p>
    <w:p>
      <w:pPr>
        <w:numPr>
          <w:ilvl w:val="0"/>
          <w:numId w:val="1387"/>
        </w:numPr>
        <w:pStyle w:val="Compact"/>
      </w:pPr>
      <w:r>
        <w:t xml:space="preserve">2016 · Chan JL ·</w:t>
      </w:r>
      <w:r>
        <w:t xml:space="preserve"> </w:t>
      </w:r>
      <w:r>
        <w:rPr>
          <w:iCs/>
          <w:i/>
        </w:rPr>
        <w:t xml:space="preserve">Clin Endocrinol (Oxf)</w:t>
      </w:r>
      <w:r>
        <w:t xml:space="preserve"> </w:t>
      </w:r>
      <w:r>
        <w:t xml:space="preserve">· Immunogenicity associated with metreleptin treatment in patients with obesity or lipodystrophy. PMID 26589105</w:t>
      </w:r>
    </w:p>
    <w:p>
      <w:pPr>
        <w:numPr>
          <w:ilvl w:val="0"/>
          <w:numId w:val="1387"/>
        </w:numPr>
        <w:pStyle w:val="Compact"/>
      </w:pPr>
      <w:r>
        <w:t xml:space="preserve">2015 · Riddle MC ·</w:t>
      </w:r>
      <w:r>
        <w:t xml:space="preserve"> </w:t>
      </w:r>
      <w:r>
        <w:rPr>
          <w:iCs/>
          <w:i/>
        </w:rPr>
        <w:t xml:space="preserve">Diabetes Obes Metab</w:t>
      </w:r>
      <w:r>
        <w:t xml:space="preserve"> </w:t>
      </w:r>
      <w:r>
        <w:t xml:space="preserve">· Fixed ratio dosing of pramlintide with regular insulin before a standard meal in patients with type 1 diabetes. PMID 26040429</w:t>
      </w:r>
    </w:p>
    <w:p>
      <w:pPr>
        <w:numPr>
          <w:ilvl w:val="0"/>
          <w:numId w:val="1387"/>
        </w:numPr>
        <w:pStyle w:val="Compact"/>
      </w:pPr>
      <w:r>
        <w:t xml:space="preserve">2014 · Herrmann K ·</w:t>
      </w:r>
      <w:r>
        <w:t xml:space="preserve"> </w:t>
      </w:r>
      <w:r>
        <w:rPr>
          <w:iCs/>
          <w:i/>
        </w:rPr>
        <w:t xml:space="preserve">Endocr Pract</w:t>
      </w:r>
      <w:r>
        <w:t xml:space="preserve"> </w:t>
      </w:r>
      <w:r>
        <w:t xml:space="preserve">· Effects of pramlintide in patients with type 2 diabetes mellitus: an analysis using daily insulin dose tertiles. PMID 25100363</w:t>
      </w:r>
    </w:p>
    <w:p>
      <w:pPr>
        <w:numPr>
          <w:ilvl w:val="0"/>
          <w:numId w:val="1387"/>
        </w:numPr>
        <w:pStyle w:val="Compact"/>
      </w:pPr>
      <w:r>
        <w:t xml:space="preserve">2014 · Renukuntla VS ·</w:t>
      </w:r>
      <w:r>
        <w:t xml:space="preserve"> </w:t>
      </w:r>
      <w:r>
        <w:rPr>
          <w:iCs/>
          <w:i/>
        </w:rPr>
        <w:t xml:space="preserve">J Diabetes Sci Technol</w:t>
      </w:r>
      <w:r>
        <w:t xml:space="preserve"> </w:t>
      </w:r>
      <w:r>
        <w:t xml:space="preserve">· Role of glucagon-like peptide-1 analogue versus amylin as an adjuvant therapy in type 1 diabetes in a closed loop setting with ePID algorithm. PMID 25030181</w:t>
      </w:r>
    </w:p>
    <w:p>
      <w:pPr>
        <w:numPr>
          <w:ilvl w:val="0"/>
          <w:numId w:val="1387"/>
        </w:numPr>
        <w:pStyle w:val="Compact"/>
      </w:pPr>
      <w:r>
        <w:t xml:space="preserve">2013 · Herrmann K ·</w:t>
      </w:r>
      <w:r>
        <w:t xml:space="preserve"> </w:t>
      </w:r>
      <w:r>
        <w:rPr>
          <w:iCs/>
          <w:i/>
        </w:rPr>
        <w:t xml:space="preserve">Postgrad Med</w:t>
      </w:r>
      <w:r>
        <w:t xml:space="preserve"> </w:t>
      </w:r>
      <w:r>
        <w:t xml:space="preserve">· Pramlintide improved measures of glycemic control and body weight in patients with type 1 diabetes mellitus undergoing continuous subcutaneous insulin infusion therapy. PMID 23748514</w:t>
      </w:r>
    </w:p>
    <w:p>
      <w:pPr>
        <w:numPr>
          <w:ilvl w:val="0"/>
          <w:numId w:val="1387"/>
        </w:numPr>
        <w:pStyle w:val="Compact"/>
      </w:pPr>
      <w:r>
        <w:t xml:space="preserve">2013 · Fang J ·</w:t>
      </w:r>
      <w:r>
        <w:t xml:space="preserve"> </w:t>
      </w:r>
      <w:r>
        <w:rPr>
          <w:iCs/>
          <w:i/>
        </w:rPr>
        <w:t xml:space="preserve">AAPS J</w:t>
      </w:r>
      <w:r>
        <w:t xml:space="preserve"> </w:t>
      </w:r>
      <w:r>
        <w:t xml:space="preserve">· Study reanalysis using a mechanism-based pharmacokinetic/pharmacodynamic model of pramlintide in subjects with type 1 diabetes. PMID 23054970</w:t>
      </w:r>
    </w:p>
    <w:p>
      <w:pPr>
        <w:numPr>
          <w:ilvl w:val="0"/>
          <w:numId w:val="1387"/>
        </w:numPr>
        <w:pStyle w:val="Compact"/>
      </w:pPr>
      <w:r>
        <w:t xml:space="preserve">2012 · Weinzimer SA ·</w:t>
      </w:r>
      <w:r>
        <w:t xml:space="preserve"> </w:t>
      </w:r>
      <w:r>
        <w:rPr>
          <w:iCs/>
          <w:i/>
        </w:rPr>
        <w:t xml:space="preserve">Diabetes Care</w:t>
      </w:r>
      <w:r>
        <w:t xml:space="preserve"> </w:t>
      </w:r>
      <w:r>
        <w:t xml:space="preserve">· Effect of pramlintide on prandial glycemic excursions during closed-loop control in adolescents and young adults with type 1 diabetes. PMID 22815298</w:t>
      </w:r>
    </w:p>
    <w:p>
      <w:pPr>
        <w:numPr>
          <w:ilvl w:val="0"/>
          <w:numId w:val="1387"/>
        </w:numPr>
        <w:pStyle w:val="Compact"/>
      </w:pPr>
      <w:r>
        <w:t xml:space="preserve">2010 · Peyrot M ·</w:t>
      </w:r>
      <w:r>
        <w:t xml:space="preserve"> </w:t>
      </w:r>
      <w:r>
        <w:rPr>
          <w:iCs/>
          <w:i/>
        </w:rPr>
        <w:t xml:space="preserve">Curr Med Res Opin</w:t>
      </w:r>
      <w:r>
        <w:t xml:space="preserve"> </w:t>
      </w:r>
      <w:r>
        <w:t xml:space="preserve">· Patient reported outcomes in adults with type 2 diabetes on basal insulin randomized to addition of mealtime pramlintide or rapid-acting insulin analogs. PMID 20199136</w:t>
      </w:r>
    </w:p>
    <w:p>
      <w:pPr>
        <w:numPr>
          <w:ilvl w:val="0"/>
          <w:numId w:val="1387"/>
        </w:numPr>
        <w:pStyle w:val="Compact"/>
      </w:pPr>
      <w:r>
        <w:t xml:space="preserve">2010 · Asmar M ·</w:t>
      </w:r>
      <w:r>
        <w:t xml:space="preserve"> </w:t>
      </w:r>
      <w:r>
        <w:rPr>
          <w:iCs/>
          <w:i/>
        </w:rPr>
        <w:t xml:space="preserve">J Clin Endocrinol Metab</w:t>
      </w:r>
      <w:r>
        <w:t xml:space="preserve"> </w:t>
      </w:r>
      <w:r>
        <w:t xml:space="preserve">· Do the actions of glucagon-like peptide-1 on gastric emptying, appetite, and food intake involve release of amylin in humans?. PMID 20194711</w:t>
      </w:r>
    </w:p>
    <w:p>
      <w:pPr>
        <w:numPr>
          <w:ilvl w:val="0"/>
          <w:numId w:val="1387"/>
        </w:numPr>
        <w:pStyle w:val="Compact"/>
      </w:pPr>
      <w:r>
        <w:t xml:space="preserve">2010 · King AB ·</w:t>
      </w:r>
      <w:r>
        <w:t xml:space="preserve"> </w:t>
      </w:r>
      <w:r>
        <w:rPr>
          <w:iCs/>
          <w:i/>
        </w:rPr>
        <w:t xml:space="preserve">Diabetes Technol Ther</w:t>
      </w:r>
      <w:r>
        <w:t xml:space="preserve"> </w:t>
      </w:r>
      <w:r>
        <w:t xml:space="preserve">· Comparison of the post-meal glucose response to different insulin bolus waveforms in insulin pump- and pre-meal pramlintide-treated type 1 diabetes patients. PMID 20105039</w:t>
      </w:r>
    </w:p>
    <w:p>
      <w:pPr>
        <w:numPr>
          <w:ilvl w:val="0"/>
          <w:numId w:val="1387"/>
        </w:numPr>
        <w:pStyle w:val="Compact"/>
      </w:pPr>
      <w:r>
        <w:t xml:space="preserve">2010 · Aronne LJ ·</w:t>
      </w:r>
      <w:r>
        <w:t xml:space="preserve"> </w:t>
      </w:r>
      <w:r>
        <w:rPr>
          <w:iCs/>
          <w:i/>
        </w:rPr>
        <w:t xml:space="preserve">Obesity (Silver Spring)</w:t>
      </w:r>
      <w:r>
        <w:t xml:space="preserve"> </w:t>
      </w:r>
      <w:r>
        <w:t xml:space="preserve">· Enhanced weight loss following coadministration of pramlintide with sibutramine or phentermine in a multicenter trial. PMID 20094043</w:t>
      </w:r>
    </w:p>
    <w:p>
      <w:pPr>
        <w:numPr>
          <w:ilvl w:val="0"/>
          <w:numId w:val="1387"/>
        </w:numPr>
        <w:pStyle w:val="Compact"/>
      </w:pPr>
      <w:r>
        <w:t xml:space="preserve">2009 · Kishiyama CM ·</w:t>
      </w:r>
      <w:r>
        <w:t xml:space="preserve"> </w:t>
      </w:r>
      <w:r>
        <w:rPr>
          <w:iCs/>
          <w:i/>
        </w:rPr>
        <w:t xml:space="preserve">Pediatrics</w:t>
      </w:r>
      <w:r>
        <w:t xml:space="preserve"> </w:t>
      </w:r>
      <w:r>
        <w:t xml:space="preserve">· A pilot trial of pramlintide home usage in adolescents with type 1 diabetes. PMID 19858155</w:t>
      </w:r>
    </w:p>
    <w:p>
      <w:pPr>
        <w:numPr>
          <w:ilvl w:val="0"/>
          <w:numId w:val="1387"/>
        </w:numPr>
        <w:pStyle w:val="Compact"/>
      </w:pPr>
      <w:r>
        <w:t xml:space="preserve">2009 · Huffman DM ·</w:t>
      </w:r>
      <w:r>
        <w:t xml:space="preserve"> </w:t>
      </w:r>
      <w:r>
        <w:rPr>
          <w:iCs/>
          <w:i/>
        </w:rPr>
        <w:t xml:space="preserve">Endocr Pract</w:t>
      </w:r>
      <w:r>
        <w:t xml:space="preserve"> </w:t>
      </w:r>
      <w:r>
        <w:t xml:space="preserve">· Continuous subcutaneous pramlintide infusion therapy in patients with type 1 diabetes: observations from a pilot study. PMID 19546056</w:t>
      </w:r>
    </w:p>
    <w:p>
      <w:pPr>
        <w:numPr>
          <w:ilvl w:val="0"/>
          <w:numId w:val="1387"/>
        </w:numPr>
        <w:pStyle w:val="Compact"/>
      </w:pPr>
      <w:r>
        <w:t xml:space="preserve">2009 · Ravussin E ·</w:t>
      </w:r>
      <w:r>
        <w:t xml:space="preserve"> </w:t>
      </w:r>
      <w:r>
        <w:rPr>
          <w:iCs/>
          <w:i/>
        </w:rPr>
        <w:t xml:space="preserve">Obesity (Silver Spring)</w:t>
      </w:r>
      <w:r>
        <w:t xml:space="preserve"> </w:t>
      </w:r>
      <w:r>
        <w:t xml:space="preserve">· Enhanced weight loss with pramlintide/metreleptin: an integrated neurohormonal approach to obesity pharmacotherapy. PMID 19521351</w:t>
      </w:r>
    </w:p>
    <w:p>
      <w:pPr>
        <w:numPr>
          <w:ilvl w:val="0"/>
          <w:numId w:val="1387"/>
        </w:numPr>
        <w:pStyle w:val="Compact"/>
      </w:pPr>
      <w:r>
        <w:t xml:space="preserve">2009 · Riddle M ·</w:t>
      </w:r>
      <w:r>
        <w:t xml:space="preserve"> </w:t>
      </w:r>
      <w:r>
        <w:rPr>
          <w:iCs/>
          <w:i/>
        </w:rPr>
        <w:t xml:space="preserve">Diabetes Care</w:t>
      </w:r>
      <w:r>
        <w:t xml:space="preserve"> </w:t>
      </w:r>
      <w:r>
        <w:t xml:space="preserve">· Randomized comparison of pramlintide or mealtime insulin added to basal insulin treatment for patients with type 2 diabetes. PMID 19502544</w:t>
      </w:r>
    </w:p>
    <w:p>
      <w:pPr>
        <w:numPr>
          <w:ilvl w:val="0"/>
          <w:numId w:val="1387"/>
        </w:numPr>
        <w:pStyle w:val="Compact"/>
      </w:pPr>
      <w:r>
        <w:t xml:space="preserve">2009 · Peyrot M ·</w:t>
      </w:r>
      <w:r>
        <w:t xml:space="preserve"> </w:t>
      </w:r>
      <w:r>
        <w:rPr>
          <w:iCs/>
          <w:i/>
        </w:rPr>
        <w:t xml:space="preserve">Diabetes Care</w:t>
      </w:r>
      <w:r>
        <w:t xml:space="preserve"> </w:t>
      </w:r>
      <w:r>
        <w:t xml:space="preserve">· How does treatment satisfaction work?: Modeling determinants of treatment satisfaction and preference. PMID 19470837</w:t>
      </w:r>
    </w:p>
    <w:p>
      <w:pPr>
        <w:numPr>
          <w:ilvl w:val="0"/>
          <w:numId w:val="1387"/>
        </w:numPr>
        <w:pStyle w:val="Compact"/>
      </w:pPr>
      <w:r>
        <w:t xml:space="preserve">2009 · Chase HP ·</w:t>
      </w:r>
      <w:r>
        <w:t xml:space="preserve"> </w:t>
      </w:r>
      <w:r>
        <w:rPr>
          <w:iCs/>
          <w:i/>
        </w:rPr>
        <w:t xml:space="preserve">J Pediatr</w:t>
      </w:r>
      <w:r>
        <w:t xml:space="preserve"> </w:t>
      </w:r>
      <w:r>
        <w:t xml:space="preserve">· Pramlintide lowered glucose excursions and was well-tolerated in adolescents with type 1 diabetes: results from a randomized, single-blind, placebo-controlled, crossover study. PMID 19464026</w:t>
      </w:r>
    </w:p>
    <w:p>
      <w:pPr>
        <w:numPr>
          <w:ilvl w:val="0"/>
          <w:numId w:val="1387"/>
        </w:numPr>
        <w:pStyle w:val="Compact"/>
      </w:pPr>
      <w:r>
        <w:t xml:space="preserve">2009 · King AB ·</w:t>
      </w:r>
      <w:r>
        <w:t xml:space="preserve"> </w:t>
      </w:r>
      <w:r>
        <w:rPr>
          <w:iCs/>
          <w:i/>
        </w:rPr>
        <w:t xml:space="preserve">Endocr Pract</w:t>
      </w:r>
      <w:r>
        <w:t xml:space="preserve"> </w:t>
      </w:r>
      <w:r>
        <w:t xml:space="preserve">· Minimal reduction in insulin dosage with pramlintide therapy when pretreatment near-normal glycemia is established and square-wave meal bolus is used. PMID 19364691</w:t>
      </w:r>
    </w:p>
    <w:p>
      <w:pPr>
        <w:numPr>
          <w:ilvl w:val="0"/>
          <w:numId w:val="1387"/>
        </w:numPr>
        <w:pStyle w:val="Compact"/>
      </w:pPr>
      <w:r>
        <w:t xml:space="preserve">2009 · Heptulla RA ·</w:t>
      </w:r>
      <w:r>
        <w:t xml:space="preserve"> </w:t>
      </w:r>
      <w:r>
        <w:rPr>
          <w:iCs/>
          <w:i/>
        </w:rPr>
        <w:t xml:space="preserve">J Clin Endocrinol Metab</w:t>
      </w:r>
      <w:r>
        <w:t xml:space="preserve"> </w:t>
      </w:r>
      <w:r>
        <w:t xml:space="preserve">· Twenty-four-hour simultaneous subcutaneous Basal-bolus administration of insulin and amylin in adolescents with type 1 diabetes decreases postprandial hyperglycemia. PMID 19190104</w:t>
      </w:r>
    </w:p>
    <w:p>
      <w:pPr>
        <w:numPr>
          <w:ilvl w:val="0"/>
          <w:numId w:val="1387"/>
        </w:numPr>
        <w:pStyle w:val="Compact"/>
      </w:pPr>
      <w:r>
        <w:t xml:space="preserve">2009 · Hassan K ·</w:t>
      </w:r>
      <w:r>
        <w:t xml:space="preserve"> </w:t>
      </w:r>
      <w:r>
        <w:rPr>
          <w:iCs/>
          <w:i/>
        </w:rPr>
        <w:t xml:space="preserve">Pediatr Diabetes</w:t>
      </w:r>
      <w:r>
        <w:t xml:space="preserve"> </w:t>
      </w:r>
      <w:r>
        <w:t xml:space="preserve">· Reducing postprandial hyperglycemia with adjuvant premeal pramlintide and postmeal insulin in children with type 1 diabetes mellitus. PMID 19140902</w:t>
      </w:r>
    </w:p>
    <w:p>
      <w:pPr>
        <w:numPr>
          <w:ilvl w:val="0"/>
          <w:numId w:val="1387"/>
        </w:numPr>
        <w:pStyle w:val="Compact"/>
      </w:pPr>
      <w:r>
        <w:t xml:space="preserve">2008 · Peyrot M ·</w:t>
      </w:r>
      <w:r>
        <w:t xml:space="preserve"> </w:t>
      </w:r>
      <w:r>
        <w:rPr>
          <w:iCs/>
          <w:i/>
        </w:rPr>
        <w:t xml:space="preserve">Diabetes Technol Ther</w:t>
      </w:r>
      <w:r>
        <w:t xml:space="preserve"> </w:t>
      </w:r>
      <w:r>
        <w:t xml:space="preserve">· Diabetes distress and its association with clinical outcomes in patients with type 2 diabetes treated with pramlintide as an adjunct to insulin therapy. PMID 19049375</w:t>
      </w:r>
    </w:p>
    <w:p>
      <w:pPr>
        <w:numPr>
          <w:ilvl w:val="0"/>
          <w:numId w:val="1387"/>
        </w:numPr>
        <w:pStyle w:val="Compact"/>
      </w:pPr>
      <w:r>
        <w:t xml:space="preserve">2008 · Smith SR ·</w:t>
      </w:r>
      <w:r>
        <w:t xml:space="preserve"> </w:t>
      </w:r>
      <w:r>
        <w:rPr>
          <w:iCs/>
          <w:i/>
        </w:rPr>
        <w:t xml:space="preserve">Diabetes Care</w:t>
      </w:r>
      <w:r>
        <w:t xml:space="preserve"> </w:t>
      </w:r>
      <w:r>
        <w:t xml:space="preserve">· Sustained weight loss following 12-month pramlintide treatment as an adjunct to lifestyle intervention in obesity. PMID 18753666</w:t>
      </w:r>
    </w:p>
    <w:p>
      <w:pPr>
        <w:numPr>
          <w:ilvl w:val="0"/>
          <w:numId w:val="1387"/>
        </w:numPr>
        <w:pStyle w:val="Compact"/>
      </w:pPr>
      <w:r>
        <w:t xml:space="preserve">2008 · Wysham C ·</w:t>
      </w:r>
      <w:r>
        <w:t xml:space="preserve"> </w:t>
      </w:r>
      <w:r>
        <w:rPr>
          <w:iCs/>
          <w:i/>
        </w:rPr>
        <w:t xml:space="preserve">Curr Med Res Opin</w:t>
      </w:r>
      <w:r>
        <w:t xml:space="preserve"> </w:t>
      </w:r>
      <w:r>
        <w:t xml:space="preserve">· Effect of pramlintide as an adjunct to basal insulin on markers of cardiovascular risk in patients with type 2 diabetes. PMID 18031595</w:t>
      </w:r>
    </w:p>
    <w:p>
      <w:pPr>
        <w:numPr>
          <w:ilvl w:val="0"/>
          <w:numId w:val="1387"/>
        </w:numPr>
        <w:pStyle w:val="Compact"/>
      </w:pPr>
      <w:r>
        <w:t xml:space="preserve">2008 · Woerle HJ ·</w:t>
      </w:r>
      <w:r>
        <w:t xml:space="preserve"> </w:t>
      </w:r>
      <w:r>
        <w:rPr>
          <w:iCs/>
          <w:i/>
        </w:rPr>
        <w:t xml:space="preserve">Am J Physiol Endocrinol Metab</w:t>
      </w:r>
      <w:r>
        <w:t xml:space="preserve"> </w:t>
      </w:r>
      <w:r>
        <w:t xml:space="preserve">· Importance of changes in gastric emptying for postprandial plasma glucose fluxes in healthy humans. PMID 17971511</w:t>
      </w:r>
    </w:p>
    <w:p>
      <w:pPr>
        <w:numPr>
          <w:ilvl w:val="0"/>
          <w:numId w:val="1387"/>
        </w:numPr>
        <w:pStyle w:val="Compact"/>
      </w:pPr>
      <w:r>
        <w:t xml:space="preserve">2008 · Ceriello A ·</w:t>
      </w:r>
      <w:r>
        <w:t xml:space="preserve"> </w:t>
      </w:r>
      <w:r>
        <w:rPr>
          <w:iCs/>
          <w:i/>
        </w:rPr>
        <w:t xml:space="preserve">Diabetes Metab Res Rev</w:t>
      </w:r>
      <w:r>
        <w:t xml:space="preserve"> </w:t>
      </w:r>
      <w:r>
        <w:t xml:space="preserve">· Pramlintide reduced markers of oxidative stress in the postprandial period in patients with type 2 diabetes. PMID 17694505</w:t>
      </w:r>
    </w:p>
    <w:p>
      <w:pPr>
        <w:numPr>
          <w:ilvl w:val="0"/>
          <w:numId w:val="1387"/>
        </w:numPr>
        <w:pStyle w:val="Compact"/>
      </w:pPr>
      <w:r>
        <w:t xml:space="preserve">2007 · Rodriguez LM ·</w:t>
      </w:r>
      <w:r>
        <w:t xml:space="preserve"> </w:t>
      </w:r>
      <w:r>
        <w:rPr>
          <w:iCs/>
          <w:i/>
        </w:rPr>
        <w:t xml:space="preserve">Pediatr Res</w:t>
      </w:r>
      <w:r>
        <w:t xml:space="preserve"> </w:t>
      </w:r>
      <w:r>
        <w:t xml:space="preserve">· The role of prandial pramlintide in the treatment of adolescents with type 1 diabetes. PMID 17957149</w:t>
      </w:r>
    </w:p>
    <w:p>
      <w:pPr>
        <w:numPr>
          <w:ilvl w:val="0"/>
          <w:numId w:val="1387"/>
        </w:numPr>
        <w:pStyle w:val="Compact"/>
      </w:pPr>
      <w:r>
        <w:t xml:space="preserve">2007 · Riddle M ·</w:t>
      </w:r>
      <w:r>
        <w:t xml:space="preserve"> </w:t>
      </w:r>
      <w:r>
        <w:rPr>
          <w:iCs/>
          <w:i/>
        </w:rPr>
        <w:t xml:space="preserve">Diabetes Care</w:t>
      </w:r>
      <w:r>
        <w:t xml:space="preserve"> </w:t>
      </w:r>
      <w:r>
        <w:t xml:space="preserve">· Pramlintide improved glycemic control and reduced weight in patients with type 2 diabetes using basal insulin. PMID 17698615</w:t>
      </w:r>
    </w:p>
    <w:p>
      <w:pPr>
        <w:numPr>
          <w:ilvl w:val="0"/>
          <w:numId w:val="1387"/>
        </w:numPr>
        <w:pStyle w:val="Compact"/>
      </w:pPr>
      <w:r>
        <w:t xml:space="preserve">2007 · Smith SR ·</w:t>
      </w:r>
      <w:r>
        <w:t xml:space="preserve"> </w:t>
      </w:r>
      <w:r>
        <w:rPr>
          <w:iCs/>
          <w:i/>
        </w:rPr>
        <w:t xml:space="preserve">Am J Physiol Endocrinol Metab</w:t>
      </w:r>
      <w:r>
        <w:t xml:space="preserve"> </w:t>
      </w:r>
      <w:r>
        <w:t xml:space="preserve">· Pramlintide treatment reduces 24-h caloric intake and meal sizes and improves control of eating in obese subjects: a 6-wk translational research study. PMID 17505051</w:t>
      </w:r>
    </w:p>
    <w:p>
      <w:pPr>
        <w:numPr>
          <w:ilvl w:val="0"/>
          <w:numId w:val="1387"/>
        </w:numPr>
        <w:pStyle w:val="Compact"/>
      </w:pPr>
      <w:r>
        <w:t xml:space="preserve">2007 · Aronne L ·</w:t>
      </w:r>
      <w:r>
        <w:t xml:space="preserve"> </w:t>
      </w:r>
      <w:r>
        <w:rPr>
          <w:iCs/>
          <w:i/>
        </w:rPr>
        <w:t xml:space="preserve">J Clin Endocrinol Metab</w:t>
      </w:r>
      <w:r>
        <w:t xml:space="preserve"> </w:t>
      </w:r>
      <w:r>
        <w:t xml:space="preserve">· Progressive reduction in body weight after treatment with the amylin analog pramlintide in obese subjects: a phase 2, randomized, placebo-controlled, dose-escalation study. PMID 17504894</w:t>
      </w:r>
    </w:p>
    <w:p>
      <w:pPr>
        <w:numPr>
          <w:ilvl w:val="0"/>
          <w:numId w:val="1387"/>
        </w:numPr>
        <w:pStyle w:val="Compact"/>
      </w:pPr>
      <w:r>
        <w:t xml:space="preserve">2007 · Chapman I ·</w:t>
      </w:r>
      <w:r>
        <w:t xml:space="preserve"> </w:t>
      </w:r>
      <w:r>
        <w:rPr>
          <w:iCs/>
          <w:i/>
        </w:rPr>
        <w:t xml:space="preserve">Obesity (Silver Spring)</w:t>
      </w:r>
      <w:r>
        <w:t xml:space="preserve"> </w:t>
      </w:r>
      <w:r>
        <w:t xml:space="preserve">· Low-dose pramlintide reduced food intake and meal duration in healthy, normal-weight subjects. PMID 17495194</w:t>
      </w:r>
    </w:p>
    <w:p>
      <w:pPr>
        <w:numPr>
          <w:ilvl w:val="0"/>
          <w:numId w:val="1387"/>
        </w:numPr>
        <w:pStyle w:val="Compact"/>
      </w:pPr>
      <w:r>
        <w:t xml:space="preserve">2007 · Kellmeyer TA ·</w:t>
      </w:r>
      <w:r>
        <w:t xml:space="preserve"> </w:t>
      </w:r>
      <w:r>
        <w:rPr>
          <w:iCs/>
          <w:i/>
        </w:rPr>
        <w:t xml:space="preserve">J Clin Pharmacol</w:t>
      </w:r>
      <w:r>
        <w:t xml:space="preserve"> </w:t>
      </w:r>
      <w:r>
        <w:t xml:space="preserve">· Pharmacokinetics of an oral drug (acetaminophen) administered at various times relative to subcutaneous injection of pramlintide in subjects with type 2 diabetes. PMID 17463219</w:t>
      </w:r>
    </w:p>
    <w:p>
      <w:pPr>
        <w:numPr>
          <w:ilvl w:val="0"/>
          <w:numId w:val="1387"/>
        </w:numPr>
        <w:pStyle w:val="Compact"/>
      </w:pPr>
      <w:r>
        <w:t xml:space="preserve">2007 · Karl D ·</w:t>
      </w:r>
      <w:r>
        <w:t xml:space="preserve"> </w:t>
      </w:r>
      <w:r>
        <w:rPr>
          <w:iCs/>
          <w:i/>
        </w:rPr>
        <w:t xml:space="preserve">Diabetes Technol Ther</w:t>
      </w:r>
      <w:r>
        <w:t xml:space="preserve"> </w:t>
      </w:r>
      <w:r>
        <w:t xml:space="preserve">· Pramlintide as an adjunct to insulin in patients with type 2 diabetes in a clinical practice setting reduced A1C, postprandial glucose excursions, and weight. PMID 17425446</w:t>
      </w:r>
    </w:p>
    <w:p>
      <w:pPr>
        <w:numPr>
          <w:ilvl w:val="0"/>
          <w:numId w:val="1387"/>
        </w:numPr>
        <w:pStyle w:val="Compact"/>
      </w:pPr>
      <w:r>
        <w:t xml:space="preserve">2007 · Marrero DG ·</w:t>
      </w:r>
      <w:r>
        <w:t xml:space="preserve"> </w:t>
      </w:r>
      <w:r>
        <w:rPr>
          <w:iCs/>
          <w:i/>
        </w:rPr>
        <w:t xml:space="preserve">Diabetes Care</w:t>
      </w:r>
      <w:r>
        <w:t xml:space="preserve"> </w:t>
      </w:r>
      <w:r>
        <w:t xml:space="preserve">· Effect of adjunctive pramlintide treatment on treatment satisfaction in patients with type 1 diabetes. PMID 17259483</w:t>
      </w:r>
    </w:p>
    <w:p>
      <w:pPr>
        <w:numPr>
          <w:ilvl w:val="0"/>
          <w:numId w:val="1387"/>
        </w:numPr>
        <w:pStyle w:val="Compact"/>
      </w:pPr>
      <w:r>
        <w:t xml:space="preserve">2006 · Edelman SV ·</w:t>
      </w:r>
      <w:r>
        <w:t xml:space="preserve"> </w:t>
      </w:r>
      <w:r>
        <w:rPr>
          <w:iCs/>
          <w:i/>
        </w:rPr>
        <w:t xml:space="preserve">Int J Clin Pract</w:t>
      </w:r>
      <w:r>
        <w:t xml:space="preserve"> </w:t>
      </w:r>
      <w:r>
        <w:t xml:space="preserve">· Pramlintide in the treatment of diabetes. PMID 17109671</w:t>
      </w:r>
    </w:p>
    <w:p>
      <w:pPr>
        <w:numPr>
          <w:ilvl w:val="0"/>
          <w:numId w:val="1387"/>
        </w:numPr>
        <w:pStyle w:val="Compact"/>
      </w:pPr>
      <w:r>
        <w:t xml:space="preserve">2006 · Edelman S ·</w:t>
      </w:r>
      <w:r>
        <w:t xml:space="preserve"> </w:t>
      </w:r>
      <w:r>
        <w:rPr>
          <w:iCs/>
          <w:i/>
        </w:rPr>
        <w:t xml:space="preserve">Diabetes Care</w:t>
      </w:r>
      <w:r>
        <w:t xml:space="preserve"> </w:t>
      </w:r>
      <w:r>
        <w:t xml:space="preserve">· A double-blind, placebo-controlled trial assessing pramlintide treatment in the setting of intensive insulin therapy in type 1 diabetes. PMID 17003291</w:t>
      </w:r>
    </w:p>
    <w:p>
      <w:pPr>
        <w:numPr>
          <w:ilvl w:val="0"/>
          <w:numId w:val="1387"/>
        </w:numPr>
        <w:pStyle w:val="Compact"/>
      </w:pPr>
      <w:r>
        <w:t xml:space="preserve">2005 · Amiel SA ·</w:t>
      </w:r>
      <w:r>
        <w:t xml:space="preserve"> </w:t>
      </w:r>
      <w:r>
        <w:rPr>
          <w:iCs/>
          <w:i/>
        </w:rPr>
        <w:t xml:space="preserve">Diabetes Obes Metab</w:t>
      </w:r>
      <w:r>
        <w:t xml:space="preserve"> </w:t>
      </w:r>
      <w:r>
        <w:t xml:space="preserve">· The effect of pramlintide on hormonal, metabolic or symptomatic responses to insulin-induced hypoglycaemia in patients with type 1 diabetes. PMID 16050943</w:t>
      </w:r>
    </w:p>
    <w:p>
      <w:pPr>
        <w:numPr>
          <w:ilvl w:val="0"/>
          <w:numId w:val="1387"/>
        </w:numPr>
        <w:pStyle w:val="Compact"/>
      </w:pPr>
      <w:r>
        <w:t xml:space="preserve">2005 · Ratner R ·</w:t>
      </w:r>
      <w:r>
        <w:t xml:space="preserve"> </w:t>
      </w:r>
      <w:r>
        <w:rPr>
          <w:iCs/>
          <w:i/>
        </w:rPr>
        <w:t xml:space="preserve">Exp Clin Endocrinol Diabetes</w:t>
      </w:r>
      <w:r>
        <w:t xml:space="preserve"> </w:t>
      </w:r>
      <w:r>
        <w:t xml:space="preserve">· Adjunctive therapy with pramlintide lowers HbA1c without concomitant weight gain and increased risk of severe hypoglycemia in patients with type 1 diabetes approaching glycemic targets. PMID 15891954</w:t>
      </w:r>
    </w:p>
    <w:p>
      <w:pPr>
        <w:numPr>
          <w:ilvl w:val="0"/>
          <w:numId w:val="1387"/>
        </w:numPr>
        <w:pStyle w:val="Compact"/>
      </w:pPr>
      <w:r>
        <w:t xml:space="preserve">2005 · Chapman I ·</w:t>
      </w:r>
      <w:r>
        <w:t xml:space="preserve"> </w:t>
      </w:r>
      <w:r>
        <w:rPr>
          <w:iCs/>
          <w:i/>
        </w:rPr>
        <w:t xml:space="preserve">Diabetologia</w:t>
      </w:r>
      <w:r>
        <w:t xml:space="preserve"> </w:t>
      </w:r>
      <w:r>
        <w:t xml:space="preserve">· Effect of pramlintide on satiety and food intake in obese subjects and subjects with type 2 diabetes. PMID 15843914</w:t>
      </w:r>
    </w:p>
    <w:p>
      <w:pPr>
        <w:numPr>
          <w:ilvl w:val="0"/>
          <w:numId w:val="1387"/>
        </w:numPr>
        <w:pStyle w:val="Compact"/>
      </w:pPr>
      <w:r>
        <w:t xml:space="preserve">2005 · Weyer C ·</w:t>
      </w:r>
      <w:r>
        <w:t xml:space="preserve"> </w:t>
      </w:r>
      <w:r>
        <w:rPr>
          <w:iCs/>
          <w:i/>
        </w:rPr>
        <w:t xml:space="preserve">Am J Health Syst Pharm</w:t>
      </w:r>
      <w:r>
        <w:t xml:space="preserve"> </w:t>
      </w:r>
      <w:r>
        <w:t xml:space="preserve">· Properties of pramlintide and insulin upon mixing. PMID 15821274</w:t>
      </w:r>
    </w:p>
    <w:p>
      <w:pPr>
        <w:numPr>
          <w:ilvl w:val="0"/>
          <w:numId w:val="1387"/>
        </w:numPr>
        <w:pStyle w:val="Compact"/>
      </w:pPr>
      <w:r>
        <w:t xml:space="preserve">2005 · Heptulla RA ·</w:t>
      </w:r>
      <w:r>
        <w:t xml:space="preserve"> </w:t>
      </w:r>
      <w:r>
        <w:rPr>
          <w:iCs/>
          <w:i/>
        </w:rPr>
        <w:t xml:space="preserve">Diabetes</w:t>
      </w:r>
      <w:r>
        <w:t xml:space="preserve"> </w:t>
      </w:r>
      <w:r>
        <w:t xml:space="preserve">· The role of amylin and glucagon in the dampening of glycemic excursions in children with type 1 diabetes. PMID 15793249</w:t>
      </w:r>
    </w:p>
    <w:p>
      <w:pPr>
        <w:numPr>
          <w:ilvl w:val="0"/>
          <w:numId w:val="1387"/>
        </w:numPr>
        <w:pStyle w:val="Compact"/>
      </w:pPr>
      <w:r>
        <w:t xml:space="preserve">2005 · Ceriello A ·</w:t>
      </w:r>
      <w:r>
        <w:t xml:space="preserve"> </w:t>
      </w:r>
      <w:r>
        <w:rPr>
          <w:iCs/>
          <w:i/>
        </w:rPr>
        <w:t xml:space="preserve">Diabetes Care</w:t>
      </w:r>
      <w:r>
        <w:t xml:space="preserve"> </w:t>
      </w:r>
      <w:r>
        <w:t xml:space="preserve">· Effects of pramlintide on postprandial glucose excursions and measures of oxidative stress in patients with type 1 diabetes. PMID 15735200</w:t>
      </w:r>
    </w:p>
    <w:p>
      <w:pPr>
        <w:numPr>
          <w:ilvl w:val="0"/>
          <w:numId w:val="1387"/>
        </w:numPr>
        <w:pStyle w:val="Compact"/>
      </w:pPr>
      <w:r>
        <w:t xml:space="preserve">2004 · Ratner RE ·</w:t>
      </w:r>
      <w:r>
        <w:t xml:space="preserve"> </w:t>
      </w:r>
      <w:r>
        <w:rPr>
          <w:iCs/>
          <w:i/>
        </w:rPr>
        <w:t xml:space="preserve">Diabet Med</w:t>
      </w:r>
      <w:r>
        <w:t xml:space="preserve"> </w:t>
      </w:r>
      <w:r>
        <w:t xml:space="preserve">· Amylin replacement with pramlintide as an adjunct to insulin therapy improves long-term glycaemic and weight control in Type 1 diabetes mellitus: a 1-year, randomized controlled trial. PMID 15498087</w:t>
      </w:r>
    </w:p>
    <w:p>
      <w:pPr>
        <w:numPr>
          <w:ilvl w:val="0"/>
          <w:numId w:val="1387"/>
        </w:numPr>
        <w:pStyle w:val="Compact"/>
      </w:pPr>
      <w:r>
        <w:t xml:space="preserve">2004 · Heise T ·</w:t>
      </w:r>
      <w:r>
        <w:t xml:space="preserve"> </w:t>
      </w:r>
      <w:r>
        <w:rPr>
          <w:iCs/>
          <w:i/>
        </w:rPr>
        <w:t xml:space="preserve">Metabolism</w:t>
      </w:r>
      <w:r>
        <w:t xml:space="preserve"> </w:t>
      </w:r>
      <w:r>
        <w:t xml:space="preserve">· Effect of pramlintide on symptom, catecholamine, and glucagon responses to hypoglycemia in healthy subjects. PMID 15334389</w:t>
      </w:r>
    </w:p>
    <w:p>
      <w:pPr>
        <w:numPr>
          <w:ilvl w:val="0"/>
          <w:numId w:val="1387"/>
        </w:numPr>
        <w:pStyle w:val="Compact"/>
      </w:pPr>
      <w:r>
        <w:t xml:space="preserve">2004 · Hollander P ·</w:t>
      </w:r>
      <w:r>
        <w:t xml:space="preserve"> </w:t>
      </w:r>
      <w:r>
        <w:rPr>
          <w:iCs/>
          <w:i/>
        </w:rPr>
        <w:t xml:space="preserve">Obes Res</w:t>
      </w:r>
      <w:r>
        <w:t xml:space="preserve"> </w:t>
      </w:r>
      <w:r>
        <w:t xml:space="preserve">· Effect of pramlintide on weight in overweight and obese insulin-treated type 2 diabetes patients. PMID 15090634</w:t>
      </w:r>
    </w:p>
    <w:p>
      <w:pPr>
        <w:numPr>
          <w:ilvl w:val="0"/>
          <w:numId w:val="1387"/>
        </w:numPr>
        <w:pStyle w:val="Compact"/>
      </w:pPr>
      <w:r>
        <w:t xml:space="preserve">2004 · Maggs DG ·</w:t>
      </w:r>
      <w:r>
        <w:t xml:space="preserve"> </w:t>
      </w:r>
      <w:r>
        <w:rPr>
          <w:iCs/>
          <w:i/>
        </w:rPr>
        <w:t xml:space="preserve">Diabetes Metab Res Rev</w:t>
      </w:r>
      <w:r>
        <w:t xml:space="preserve"> </w:t>
      </w:r>
      <w:r>
        <w:t xml:space="preserve">· Pramlintide reduces postprandial glucose excursions when added to insulin lispro in subjects with type 2 diabetes: a dose-timing study. PMID 14737746</w:t>
      </w:r>
    </w:p>
    <w:p>
      <w:pPr>
        <w:numPr>
          <w:ilvl w:val="0"/>
          <w:numId w:val="1387"/>
        </w:numPr>
        <w:pStyle w:val="Compact"/>
      </w:pPr>
      <w:r>
        <w:t xml:space="preserve">2003 · Maggs D ·</w:t>
      </w:r>
      <w:r>
        <w:t xml:space="preserve"> </w:t>
      </w:r>
      <w:r>
        <w:rPr>
          <w:iCs/>
          <w:i/>
        </w:rPr>
        <w:t xml:space="preserve">Metabolism</w:t>
      </w:r>
      <w:r>
        <w:t xml:space="preserve"> </w:t>
      </w:r>
      <w:r>
        <w:t xml:space="preserve">· Effect of pramlintide on A1C and body weight in insulin-treated African Americans and Hispanics with type 2 diabetes: a pooled post hoc analysis. PMID 14669170</w:t>
      </w:r>
    </w:p>
    <w:p>
      <w:pPr>
        <w:numPr>
          <w:ilvl w:val="0"/>
          <w:numId w:val="1387"/>
        </w:numPr>
        <w:pStyle w:val="Compact"/>
      </w:pPr>
      <w:r>
        <w:t xml:space="preserve">2003 · Weyer C ·</w:t>
      </w:r>
      <w:r>
        <w:t xml:space="preserve"> </w:t>
      </w:r>
      <w:r>
        <w:rPr>
          <w:iCs/>
          <w:i/>
        </w:rPr>
        <w:t xml:space="preserve">Diabetes Care</w:t>
      </w:r>
      <w:r>
        <w:t xml:space="preserve"> </w:t>
      </w:r>
      <w:r>
        <w:t xml:space="preserve">· Pramlintide reduces postprandial glucose excursions when added to regular insulin or insulin lispro in subjects with type 1 diabetes: a dose-timing study. PMID 14578242</w:t>
      </w:r>
    </w:p>
    <w:p>
      <w:pPr>
        <w:numPr>
          <w:ilvl w:val="0"/>
          <w:numId w:val="1387"/>
        </w:numPr>
        <w:pStyle w:val="Compact"/>
      </w:pPr>
      <w:r>
        <w:t xml:space="preserve">2003 · Hollander PA ·</w:t>
      </w:r>
      <w:r>
        <w:t xml:space="preserve"> </w:t>
      </w:r>
      <w:r>
        <w:rPr>
          <w:iCs/>
          <w:i/>
        </w:rPr>
        <w:t xml:space="preserve">Diabetes Care</w:t>
      </w:r>
      <w:r>
        <w:t xml:space="preserve"> </w:t>
      </w:r>
      <w:r>
        <w:t xml:space="preserve">· Pramlintide as an adjunct to insulin therapy improves long-term glycemic and weight control in patients with type 2 diabetes: a 1-year randomized controlled trial. PMID 12610038</w:t>
      </w:r>
    </w:p>
    <w:p>
      <w:pPr>
        <w:numPr>
          <w:ilvl w:val="0"/>
          <w:numId w:val="1387"/>
        </w:numPr>
        <w:pStyle w:val="Compact"/>
      </w:pPr>
      <w:r>
        <w:t xml:space="preserve">2003 · Levetan C ·</w:t>
      </w:r>
      <w:r>
        <w:t xml:space="preserve"> </w:t>
      </w:r>
      <w:r>
        <w:rPr>
          <w:iCs/>
          <w:i/>
        </w:rPr>
        <w:t xml:space="preserve">Diabetes Care</w:t>
      </w:r>
      <w:r>
        <w:t xml:space="preserve"> </w:t>
      </w:r>
      <w:r>
        <w:t xml:space="preserve">· Impact of pramlintide on glucose fluctuations and postprandial glucose, glucagon, and triglyceride excursions among patients with type 1 diabetes intensively treated with insulin pumps. PMID 12502651</w:t>
      </w:r>
    </w:p>
    <w:p>
      <w:pPr>
        <w:numPr>
          <w:ilvl w:val="0"/>
          <w:numId w:val="1387"/>
        </w:numPr>
        <w:pStyle w:val="Compact"/>
      </w:pPr>
      <w:r>
        <w:t xml:space="preserve">2002 · Fineman M ·</w:t>
      </w:r>
      <w:r>
        <w:t xml:space="preserve"> </w:t>
      </w:r>
      <w:r>
        <w:rPr>
          <w:iCs/>
          <w:i/>
        </w:rPr>
        <w:t xml:space="preserve">Horm Metab Res</w:t>
      </w:r>
      <w:r>
        <w:t xml:space="preserve"> </w:t>
      </w:r>
      <w:r>
        <w:t xml:space="preserve">· The human amylin analog, pramlintide, reduces postprandial hyperglucagonemia in patients with type 2 diabetes mellitus. PMID 12384827</w:t>
      </w:r>
    </w:p>
    <w:p>
      <w:pPr>
        <w:numPr>
          <w:ilvl w:val="0"/>
          <w:numId w:val="1387"/>
        </w:numPr>
        <w:pStyle w:val="Compact"/>
      </w:pPr>
      <w:r>
        <w:t xml:space="preserve">2002 · Ratner RE ·</w:t>
      </w:r>
      <w:r>
        <w:t xml:space="preserve"> </w:t>
      </w:r>
      <w:r>
        <w:rPr>
          <w:iCs/>
          <w:i/>
        </w:rPr>
        <w:t xml:space="preserve">Diabetes Technol Ther</w:t>
      </w:r>
      <w:r>
        <w:t xml:space="preserve"> </w:t>
      </w:r>
      <w:r>
        <w:t xml:space="preserve">· Adjunctive therapy with the amylin analogue pramlintide leads to a combined improvement in glycemic and weight control in insulin-treated subjects with type 2 diabetes. PMID 12017421</w:t>
      </w:r>
    </w:p>
    <w:p>
      <w:pPr>
        <w:numPr>
          <w:ilvl w:val="0"/>
          <w:numId w:val="1387"/>
        </w:numPr>
        <w:pStyle w:val="Compact"/>
      </w:pPr>
      <w:r>
        <w:t xml:space="preserve">2002 · Fineman MS ·</w:t>
      </w:r>
      <w:r>
        <w:t xml:space="preserve"> </w:t>
      </w:r>
      <w:r>
        <w:rPr>
          <w:iCs/>
          <w:i/>
        </w:rPr>
        <w:t xml:space="preserve">Metabolism</w:t>
      </w:r>
      <w:r>
        <w:t xml:space="preserve"> </w:t>
      </w:r>
      <w:r>
        <w:t xml:space="preserve">· The human amylin analog, pramlintide, corrects postprandial hyperglucagonemia in patients with type 1 diabetes. PMID 11979398</w:t>
      </w:r>
    </w:p>
    <w:p>
      <w:pPr>
        <w:numPr>
          <w:ilvl w:val="0"/>
          <w:numId w:val="1387"/>
        </w:numPr>
        <w:pStyle w:val="Compact"/>
      </w:pPr>
      <w:r>
        <w:t xml:space="preserve">2002 · Vella A ·</w:t>
      </w:r>
      <w:r>
        <w:t xml:space="preserve"> </w:t>
      </w:r>
      <w:r>
        <w:rPr>
          <w:iCs/>
          <w:i/>
        </w:rPr>
        <w:t xml:space="preserve">Neurogastroenterol Motil</w:t>
      </w:r>
      <w:r>
        <w:t xml:space="preserve"> </w:t>
      </w:r>
      <w:r>
        <w:t xml:space="preserve">· Effects of pramlintide, an amylin analogue, on gastric emptying in type 1 and 2 diabetes mellitus. PMID 11975712</w:t>
      </w:r>
    </w:p>
    <w:p>
      <w:pPr>
        <w:numPr>
          <w:ilvl w:val="0"/>
          <w:numId w:val="1387"/>
        </w:numPr>
        <w:pStyle w:val="Compact"/>
      </w:pPr>
      <w:r>
        <w:t xml:space="preserve">2002 · Whitehouse F ·</w:t>
      </w:r>
      <w:r>
        <w:t xml:space="preserve"> </w:t>
      </w:r>
      <w:r>
        <w:rPr>
          <w:iCs/>
          <w:i/>
        </w:rPr>
        <w:t xml:space="preserve">Diabetes Care</w:t>
      </w:r>
      <w:r>
        <w:t xml:space="preserve"> </w:t>
      </w:r>
      <w:r>
        <w:t xml:space="preserve">· A randomized study and open-label extension evaluating the long-term efficacy of pramlintide as an adjunct to insulin therapy in type 1 diabetes. PMID 11919132</w:t>
      </w:r>
    </w:p>
    <w:p>
      <w:pPr>
        <w:numPr>
          <w:ilvl w:val="0"/>
          <w:numId w:val="1387"/>
        </w:numPr>
        <w:pStyle w:val="Compact"/>
      </w:pPr>
      <w:r>
        <w:t xml:space="preserve">2000 · Samsom M ·</w:t>
      </w:r>
      <w:r>
        <w:t xml:space="preserve"> </w:t>
      </w:r>
      <w:r>
        <w:rPr>
          <w:iCs/>
          <w:i/>
        </w:rPr>
        <w:t xml:space="preserve">Am J Physiol Gastrointest Liver Physiol</w:t>
      </w:r>
      <w:r>
        <w:t xml:space="preserve"> </w:t>
      </w:r>
      <w:r>
        <w:t xml:space="preserve">· Pramlintide, an amylin analog, selectively delays gastric emptying: potential role of vagal inhibition. PMID 10859225</w:t>
      </w:r>
    </w:p>
    <w:p>
      <w:pPr>
        <w:numPr>
          <w:ilvl w:val="0"/>
          <w:numId w:val="1387"/>
        </w:numPr>
        <w:pStyle w:val="Compact"/>
      </w:pPr>
      <w:r>
        <w:t xml:space="preserve">1999 · Orskov L ·</w:t>
      </w:r>
      <w:r>
        <w:t xml:space="preserve"> </w:t>
      </w:r>
      <w:r>
        <w:rPr>
          <w:iCs/>
          <w:i/>
        </w:rPr>
        <w:t xml:space="preserve">Diabet Med</w:t>
      </w:r>
      <w:r>
        <w:t xml:space="preserve"> </w:t>
      </w:r>
      <w:r>
        <w:t xml:space="preserve">· Effects of the amylin analogue pramlintide on hepatic glucagon responses and intermediary metabolism in Type 1 diabetic subjects. PMID 10547215</w:t>
      </w:r>
    </w:p>
    <w:p>
      <w:pPr>
        <w:numPr>
          <w:ilvl w:val="0"/>
          <w:numId w:val="1387"/>
        </w:numPr>
        <w:pStyle w:val="Compact"/>
      </w:pPr>
      <w:r>
        <w:t xml:space="preserve">1999 · Nyholm B ·</w:t>
      </w:r>
      <w:r>
        <w:t xml:space="preserve"> </w:t>
      </w:r>
      <w:r>
        <w:rPr>
          <w:iCs/>
          <w:i/>
        </w:rPr>
        <w:t xml:space="preserve">Metabolism</w:t>
      </w:r>
      <w:r>
        <w:t xml:space="preserve"> </w:t>
      </w:r>
      <w:r>
        <w:t xml:space="preserve">· The amylin analog pramlintide improves glycemic control and reduces postprandial glucagon concentrations in patients with type 1 diabetes mellitus. PMID 10421239</w:t>
      </w:r>
    </w:p>
    <w:p>
      <w:pPr>
        <w:numPr>
          <w:ilvl w:val="0"/>
          <w:numId w:val="1387"/>
        </w:numPr>
        <w:pStyle w:val="Compact"/>
      </w:pPr>
      <w:r>
        <w:t xml:space="preserve">1998 · Kong MF ·</w:t>
      </w:r>
      <w:r>
        <w:t xml:space="preserve"> </w:t>
      </w:r>
      <w:r>
        <w:rPr>
          <w:iCs/>
          <w:i/>
        </w:rPr>
        <w:t xml:space="preserve">Diabetologia</w:t>
      </w:r>
      <w:r>
        <w:t xml:space="preserve"> </w:t>
      </w:r>
      <w:r>
        <w:t xml:space="preserve">· The effect of single doses of pramlintide on gastric emptying of two meals in men with IDDM. PMID 9628276</w:t>
      </w:r>
    </w:p>
    <w:p>
      <w:pPr>
        <w:numPr>
          <w:ilvl w:val="0"/>
          <w:numId w:val="1387"/>
        </w:numPr>
        <w:pStyle w:val="Compact"/>
      </w:pPr>
      <w:r>
        <w:t xml:space="preserve">1998 · Thompson RG ·</w:t>
      </w:r>
      <w:r>
        <w:t xml:space="preserve"> </w:t>
      </w:r>
      <w:r>
        <w:rPr>
          <w:iCs/>
          <w:i/>
        </w:rPr>
        <w:t xml:space="preserve">Diabetes Care</w:t>
      </w:r>
      <w:r>
        <w:t xml:space="preserve"> </w:t>
      </w:r>
      <w:r>
        <w:t xml:space="preserve">· Pramlintide, a synthetic analog of human amylin, improves the metabolic profile of patients with type 2 diabetes using insulin. The Pramlintide in Type 2 Diabetes Group. PMID 9614619</w:t>
      </w:r>
    </w:p>
    <w:p>
      <w:pPr>
        <w:numPr>
          <w:ilvl w:val="0"/>
          <w:numId w:val="1387"/>
        </w:numPr>
        <w:pStyle w:val="Compact"/>
      </w:pPr>
      <w:r>
        <w:t xml:space="preserve">1997 · Thompson RG ·</w:t>
      </w:r>
      <w:r>
        <w:t xml:space="preserve"> </w:t>
      </w:r>
      <w:r>
        <w:rPr>
          <w:iCs/>
          <w:i/>
        </w:rPr>
        <w:t xml:space="preserve">Diabetologia</w:t>
      </w:r>
      <w:r>
        <w:t xml:space="preserve"> </w:t>
      </w:r>
      <w:r>
        <w:t xml:space="preserve">· Effects of 4 weeks’ administration of pramlintide, a human amylin analogue, on glycaemia control in patients with IDDM: effects on plasma glucose profiles and serum fructosamine concentrations. PMID 9389419</w:t>
      </w:r>
    </w:p>
    <w:p>
      <w:pPr>
        <w:numPr>
          <w:ilvl w:val="0"/>
          <w:numId w:val="1387"/>
        </w:numPr>
        <w:pStyle w:val="Compact"/>
      </w:pPr>
      <w:r>
        <w:t xml:space="preserve">1997 · Thompson RG ·</w:t>
      </w:r>
      <w:r>
        <w:t xml:space="preserve"> </w:t>
      </w:r>
      <w:r>
        <w:rPr>
          <w:iCs/>
          <w:i/>
        </w:rPr>
        <w:t xml:space="preserve">Diabet Med</w:t>
      </w:r>
      <w:r>
        <w:t xml:space="preserve"> </w:t>
      </w:r>
      <w:r>
        <w:t xml:space="preserve">· Pramlintide: a human amylin analogue reduced postprandial plasma glucose, insulin, and C-peptide concentrations in patients with type 2 diabetes. PMID 9223392</w:t>
      </w:r>
    </w:p>
    <w:p>
      <w:pPr>
        <w:numPr>
          <w:ilvl w:val="0"/>
          <w:numId w:val="1387"/>
        </w:numPr>
        <w:pStyle w:val="Compact"/>
      </w:pPr>
      <w:r>
        <w:t xml:space="preserve">1997 · Thompson RG ·</w:t>
      </w:r>
      <w:r>
        <w:t xml:space="preserve"> </w:t>
      </w:r>
      <w:r>
        <w:rPr>
          <w:iCs/>
          <w:i/>
        </w:rPr>
        <w:t xml:space="preserve">Diabetes</w:t>
      </w:r>
      <w:r>
        <w:t xml:space="preserve"> </w:t>
      </w:r>
      <w:r>
        <w:t xml:space="preserve">· Effects of pramlintide, an analog of human amylin, on plasma glucose profiles in patients with IDDM: results of a multicenter trial. PMID 9075803</w:t>
      </w:r>
    </w:p>
    <w:p>
      <w:pPr>
        <w:numPr>
          <w:ilvl w:val="0"/>
          <w:numId w:val="1387"/>
        </w:numPr>
        <w:pStyle w:val="Compact"/>
      </w:pPr>
      <w:r>
        <w:t xml:space="preserve">1997 · Kong MF ·</w:t>
      </w:r>
      <w:r>
        <w:t xml:space="preserve"> </w:t>
      </w:r>
      <w:r>
        <w:rPr>
          <w:iCs/>
          <w:i/>
        </w:rPr>
        <w:t xml:space="preserve">Diabetologia</w:t>
      </w:r>
      <w:r>
        <w:t xml:space="preserve"> </w:t>
      </w:r>
      <w:r>
        <w:t xml:space="preserve">· Infusion of pramlintide, a human amylin analogue, delays gastric emptying in men with IDDM. PMID 9028722</w:t>
      </w:r>
    </w:p>
    <w:p>
      <w:pPr>
        <w:numPr>
          <w:ilvl w:val="0"/>
          <w:numId w:val="1387"/>
        </w:numPr>
        <w:pStyle w:val="Compact"/>
      </w:pPr>
      <w:r>
        <w:t xml:space="preserve">1996 · Kolterman OG ·</w:t>
      </w:r>
      <w:r>
        <w:t xml:space="preserve"> </w:t>
      </w:r>
      <w:r>
        <w:rPr>
          <w:iCs/>
          <w:i/>
        </w:rPr>
        <w:t xml:space="preserve">Diabetologia</w:t>
      </w:r>
      <w:r>
        <w:t xml:space="preserve"> </w:t>
      </w:r>
      <w:r>
        <w:t xml:space="preserve">· Effect of 14 days’ subcutaneous administration of the human amylin analogue, pramlintide (AC137), on an intravenous insulin challenge and response to a standard liquid meal in patients with IDDM. PMID 8778001</w:t>
      </w:r>
    </w:p>
    <w:bookmarkEnd w:id="3024"/>
    <w:bookmarkStart w:id="3025" w:name="setmélanotide-15"/>
    <w:p>
      <w:pPr>
        <w:pStyle w:val="Heading2"/>
      </w:pPr>
      <w:r>
        <w:t xml:space="preserve">Setmélanotide (15)</w:t>
      </w:r>
    </w:p>
    <w:p>
      <w:pPr>
        <w:numPr>
          <w:ilvl w:val="0"/>
          <w:numId w:val="1388"/>
        </w:numPr>
        <w:pStyle w:val="Compact"/>
      </w:pPr>
      <w:r>
        <w:t xml:space="preserve">2026 · Miller JL ·</w:t>
      </w:r>
      <w:r>
        <w:t xml:space="preserve"> </w:t>
      </w:r>
      <w:r>
        <w:rPr>
          <w:iCs/>
          <w:i/>
        </w:rPr>
        <w:t xml:space="preserve">N Engl J Med</w:t>
      </w:r>
      <w:r>
        <w:t xml:space="preserve"> </w:t>
      </w:r>
      <w:r>
        <w:t xml:space="preserve">· Setmelanotide for the Treatment of Acquired Hypothalamic Obesity. PMID 42418774</w:t>
      </w:r>
    </w:p>
    <w:p>
      <w:pPr>
        <w:numPr>
          <w:ilvl w:val="0"/>
          <w:numId w:val="1388"/>
        </w:numPr>
        <w:pStyle w:val="Compact"/>
      </w:pPr>
      <w:r>
        <w:t xml:space="preserve">2026 · Argente J ·</w:t>
      </w:r>
      <w:r>
        <w:t xml:space="preserve"> </w:t>
      </w:r>
      <w:r>
        <w:rPr>
          <w:iCs/>
          <w:i/>
        </w:rPr>
        <w:t xml:space="preserve">Obesity (Silver Spring)</w:t>
      </w:r>
      <w:r>
        <w:t xml:space="preserve"> </w:t>
      </w:r>
      <w:r>
        <w:t xml:space="preserve">· Setmelanotide in Bardet-Biedl Syndrome: A 52-Week Comparison of Phase 3 Trial Participants With a Matched Registry Cohort. PMID 41703984</w:t>
      </w:r>
    </w:p>
    <w:p>
      <w:pPr>
        <w:numPr>
          <w:ilvl w:val="0"/>
          <w:numId w:val="1388"/>
        </w:numPr>
        <w:pStyle w:val="Compact"/>
      </w:pPr>
      <w:r>
        <w:t xml:space="preserve">2025 · Haqq AM ·</w:t>
      </w:r>
      <w:r>
        <w:t xml:space="preserve"> </w:t>
      </w:r>
      <w:r>
        <w:rPr>
          <w:iCs/>
          <w:i/>
        </w:rPr>
        <w:t xml:space="preserve">J Clin Endocrinol Metab</w:t>
      </w:r>
      <w:r>
        <w:t xml:space="preserve"> </w:t>
      </w:r>
      <w:r>
        <w:t xml:space="preserve">· Impact of Setmelanotide on Metabolic Syndrome Risk in Patients With Bardet-Biedl Syndrome. PMID 39919037</w:t>
      </w:r>
    </w:p>
    <w:p>
      <w:pPr>
        <w:numPr>
          <w:ilvl w:val="0"/>
          <w:numId w:val="1388"/>
        </w:numPr>
        <w:pStyle w:val="Compact"/>
      </w:pPr>
      <w:r>
        <w:t xml:space="preserve">2025 · Argente J ·</w:t>
      </w:r>
      <w:r>
        <w:t xml:space="preserve"> </w:t>
      </w:r>
      <w:r>
        <w:rPr>
          <w:iCs/>
          <w:i/>
        </w:rPr>
        <w:t xml:space="preserve">Lancet Diabetes Endocrinol</w:t>
      </w:r>
      <w:r>
        <w:t xml:space="preserve"> </w:t>
      </w:r>
      <w:r>
        <w:t xml:space="preserve">· Setmelanotide in patients aged 2-5 years with rare MC4R pathway-associated obesity (VENTURE): a 1 year, open-label, multicenter, phase 3 trial. PMID 39549719</w:t>
      </w:r>
    </w:p>
    <w:p>
      <w:pPr>
        <w:numPr>
          <w:ilvl w:val="0"/>
          <w:numId w:val="1388"/>
        </w:numPr>
        <w:pStyle w:val="Compact"/>
      </w:pPr>
      <w:r>
        <w:t xml:space="preserve">2024 · Delplanque J ·</w:t>
      </w:r>
      <w:r>
        <w:t xml:space="preserve"> </w:t>
      </w:r>
      <w:r>
        <w:rPr>
          <w:iCs/>
          <w:i/>
        </w:rPr>
        <w:t xml:space="preserve">Am J Hum Genet</w:t>
      </w:r>
      <w:r>
        <w:t xml:space="preserve"> </w:t>
      </w:r>
      <w:r>
        <w:t xml:space="preserve">· Monoallelic pathogenic variants in LEPR do not cause obesity. PMID 39561769</w:t>
      </w:r>
    </w:p>
    <w:p>
      <w:pPr>
        <w:numPr>
          <w:ilvl w:val="0"/>
          <w:numId w:val="1388"/>
        </w:numPr>
        <w:pStyle w:val="Compact"/>
      </w:pPr>
      <w:r>
        <w:t xml:space="preserve">2024 · Roth CL ·</w:t>
      </w:r>
      <w:r>
        <w:t xml:space="preserve"> </w:t>
      </w:r>
      <w:r>
        <w:rPr>
          <w:iCs/>
          <w:i/>
        </w:rPr>
        <w:t xml:space="preserve">Lancet Diabetes Endocrinol</w:t>
      </w:r>
      <w:r>
        <w:t xml:space="preserve"> </w:t>
      </w:r>
      <w:r>
        <w:t xml:space="preserve">· Setmelanotide for the treatment of acquired hypothalamic obesity: a phase 2, open-label, multicentre trial. PMID 38697184</w:t>
      </w:r>
    </w:p>
    <w:p>
      <w:pPr>
        <w:numPr>
          <w:ilvl w:val="0"/>
          <w:numId w:val="1388"/>
        </w:numPr>
        <w:pStyle w:val="Compact"/>
      </w:pPr>
      <w:r>
        <w:t xml:space="preserve">2023 · van Santen HM ·</w:t>
      </w:r>
      <w:r>
        <w:t xml:space="preserve"> </w:t>
      </w:r>
      <w:r>
        <w:rPr>
          <w:iCs/>
          <w:i/>
        </w:rPr>
        <w:t xml:space="preserve">Front Endocrinol (Lausanne)</w:t>
      </w:r>
      <w:r>
        <w:t xml:space="preserve"> </w:t>
      </w:r>
      <w:r>
        <w:t xml:space="preserve">· Could setmelanotide be the game-changer for acquired hypothalamic obesity?. PMID 38239988</w:t>
      </w:r>
    </w:p>
    <w:p>
      <w:pPr>
        <w:numPr>
          <w:ilvl w:val="0"/>
          <w:numId w:val="1388"/>
        </w:numPr>
        <w:pStyle w:val="Compact"/>
      </w:pPr>
      <w:r>
        <w:t xml:space="preserve">2023 · Forsythe E ·</w:t>
      </w:r>
      <w:r>
        <w:t xml:space="preserve"> </w:t>
      </w:r>
      <w:r>
        <w:rPr>
          <w:iCs/>
          <w:i/>
        </w:rPr>
        <w:t xml:space="preserve">Orphanet J Rare Dis</w:t>
      </w:r>
      <w:r>
        <w:t xml:space="preserve"> </w:t>
      </w:r>
      <w:r>
        <w:t xml:space="preserve">· Quality of life improvements following one year of setmelanotide in children and adult patients with Bardet-Biedl syndrome: phase 3 trial results. PMID 36647077</w:t>
      </w:r>
    </w:p>
    <w:p>
      <w:pPr>
        <w:numPr>
          <w:ilvl w:val="0"/>
          <w:numId w:val="1388"/>
        </w:numPr>
        <w:pStyle w:val="Compact"/>
      </w:pPr>
      <w:r>
        <w:t xml:space="preserve">2022 · Haqq AM ·</w:t>
      </w:r>
      <w:r>
        <w:t xml:space="preserve"> </w:t>
      </w:r>
      <w:r>
        <w:rPr>
          <w:iCs/>
          <w:i/>
        </w:rPr>
        <w:t xml:space="preserve">Lancet Diabetes Endocrinol</w:t>
      </w:r>
      <w:r>
        <w:t xml:space="preserve"> </w:t>
      </w:r>
      <w:r>
        <w:t xml:space="preserve">· Efficacy and safety of setmelanotide, a melanocortin-4 receptor agonist, in patients with Bardet-Biedl syndrome and Alström syndrome: a multicentre, randomised, double-blind, placebo-controlled, phase 3 trial with an open-label period. PMID 36356613</w:t>
      </w:r>
    </w:p>
    <w:p>
      <w:pPr>
        <w:numPr>
          <w:ilvl w:val="0"/>
          <w:numId w:val="1388"/>
        </w:numPr>
        <w:pStyle w:val="Compact"/>
      </w:pPr>
      <w:r>
        <w:t xml:space="preserve">2022 · Kühnen P ·</w:t>
      </w:r>
      <w:r>
        <w:t xml:space="preserve"> </w:t>
      </w:r>
      <w:r>
        <w:rPr>
          <w:iCs/>
          <w:i/>
        </w:rPr>
        <w:t xml:space="preserve">Orphanet J Rare Dis</w:t>
      </w:r>
      <w:r>
        <w:t xml:space="preserve"> </w:t>
      </w:r>
      <w:r>
        <w:t xml:space="preserve">· Quality of life outcomes in two phase 3 trials of setmelanotide in patients with obesity due to LEPR or POMC deficiency. PMID 35123544</w:t>
      </w:r>
    </w:p>
    <w:p>
      <w:pPr>
        <w:numPr>
          <w:ilvl w:val="0"/>
          <w:numId w:val="1388"/>
        </w:numPr>
        <w:pStyle w:val="Compact"/>
      </w:pPr>
      <w:r>
        <w:t xml:space="preserve">2021 · Kanti V ·</w:t>
      </w:r>
      <w:r>
        <w:t xml:space="preserve"> </w:t>
      </w:r>
      <w:r>
        <w:rPr>
          <w:iCs/>
          <w:i/>
        </w:rPr>
        <w:t xml:space="preserve">Skin Pharmacol Physiol</w:t>
      </w:r>
      <w:r>
        <w:t xml:space="preserve"> </w:t>
      </w:r>
      <w:r>
        <w:t xml:space="preserve">· A Melanocortin-4 Receptor Agonist Induces Skin and Hair Pigmentation in Patients with Monogenic Mutations in the Leptin-Melanocortin Pathway. PMID 34058738</w:t>
      </w:r>
    </w:p>
    <w:p>
      <w:pPr>
        <w:numPr>
          <w:ilvl w:val="0"/>
          <w:numId w:val="1388"/>
        </w:numPr>
        <w:pStyle w:val="Compact"/>
      </w:pPr>
      <w:r>
        <w:t xml:space="preserve">2020 · Clément K ·</w:t>
      </w:r>
      <w:r>
        <w:t xml:space="preserve"> </w:t>
      </w:r>
      <w:r>
        <w:rPr>
          <w:iCs/>
          <w:i/>
        </w:rPr>
        <w:t xml:space="preserve">Lancet Diabetes Endocrinol</w:t>
      </w:r>
      <w:r>
        <w:t xml:space="preserve"> </w:t>
      </w:r>
      <w:r>
        <w:t xml:space="preserve">· Efficacy and safety of setmelanotide, an MC4R agonist, in individuals with severe obesity due to LEPR or POMC deficiency: single-arm, open-label, multicentre, phase 3 trials. PMID 33137293</w:t>
      </w:r>
    </w:p>
    <w:p>
      <w:pPr>
        <w:numPr>
          <w:ilvl w:val="0"/>
          <w:numId w:val="1388"/>
        </w:numPr>
        <w:pStyle w:val="Compact"/>
      </w:pPr>
      <w:r>
        <w:t xml:space="preserve">2018 · Clément K ·</w:t>
      </w:r>
      <w:r>
        <w:t xml:space="preserve"> </w:t>
      </w:r>
      <w:r>
        <w:rPr>
          <w:iCs/>
          <w:i/>
        </w:rPr>
        <w:t xml:space="preserve">Nat Med</w:t>
      </w:r>
      <w:r>
        <w:t xml:space="preserve"> </w:t>
      </w:r>
      <w:r>
        <w:t xml:space="preserve">· MC4R agonism promotes durable weight loss in patients with leptin receptor deficiency. PMID 29736023</w:t>
      </w:r>
    </w:p>
    <w:p>
      <w:pPr>
        <w:numPr>
          <w:ilvl w:val="0"/>
          <w:numId w:val="1388"/>
        </w:numPr>
        <w:pStyle w:val="Compact"/>
      </w:pPr>
      <w:r>
        <w:t xml:space="preserve">2017 · Collet TH ·</w:t>
      </w:r>
      <w:r>
        <w:t xml:space="preserve"> </w:t>
      </w:r>
      <w:r>
        <w:rPr>
          <w:iCs/>
          <w:i/>
        </w:rPr>
        <w:t xml:space="preserve">Mol Metab</w:t>
      </w:r>
      <w:r>
        <w:t xml:space="preserve"> </w:t>
      </w:r>
      <w:r>
        <w:t xml:space="preserve">· Evaluation of a melanocortin-4 receptor (MC4R) agonist (Setmelanotide) in MC4R deficiency. PMID 29031731</w:t>
      </w:r>
    </w:p>
    <w:p>
      <w:pPr>
        <w:numPr>
          <w:ilvl w:val="0"/>
          <w:numId w:val="1388"/>
        </w:numPr>
        <w:pStyle w:val="Compact"/>
      </w:pPr>
      <w:r>
        <w:t xml:space="preserve">2016 · Kühnen P ·</w:t>
      </w:r>
      <w:r>
        <w:t xml:space="preserve"> </w:t>
      </w:r>
      <w:r>
        <w:rPr>
          <w:iCs/>
          <w:i/>
        </w:rPr>
        <w:t xml:space="preserve">N Engl J Med</w:t>
      </w:r>
      <w:r>
        <w:t xml:space="preserve"> </w:t>
      </w:r>
      <w:r>
        <w:t xml:space="preserve">· Proopiomelanocortin Deficiency Treated with a Melanocortin-4 Receptor Agonist. PMID 27468060</w:t>
      </w:r>
    </w:p>
    <w:bookmarkEnd w:id="3025"/>
    <w:bookmarkStart w:id="3026" w:name="aod-9604-0"/>
    <w:p>
      <w:pPr>
        <w:pStyle w:val="Heading2"/>
      </w:pPr>
      <w:r>
        <w:t xml:space="preserve">AOD-9604 (0)</w:t>
      </w:r>
    </w:p>
    <w:p>
      <w:pPr>
        <w:pStyle w:val="FirstParagraph"/>
      </w:pPr>
      <w:r>
        <w:t xml:space="preserve">Aucune publication d’étude clinique chez l’humain trouvée.</w:t>
      </w:r>
    </w:p>
    <w:bookmarkEnd w:id="3026"/>
    <w:bookmarkStart w:id="3027" w:name="orforglipron-à-titre-de-comparaison-20"/>
    <w:p>
      <w:pPr>
        <w:pStyle w:val="Heading2"/>
      </w:pPr>
      <w:r>
        <w:t xml:space="preserve">Orforglipron (à titre de comparaison) (20)</w:t>
      </w:r>
    </w:p>
    <w:p>
      <w:pPr>
        <w:numPr>
          <w:ilvl w:val="0"/>
          <w:numId w:val="1389"/>
        </w:numPr>
        <w:pStyle w:val="Compact"/>
      </w:pPr>
      <w:r>
        <w:t xml:space="preserve">2026 · Klein KR ·</w:t>
      </w:r>
      <w:r>
        <w:t xml:space="preserve"> </w:t>
      </w:r>
      <w:r>
        <w:rPr>
          <w:iCs/>
          <w:i/>
        </w:rPr>
        <w:t xml:space="preserve">Lancet</w:t>
      </w:r>
      <w:r>
        <w:t xml:space="preserve"> </w:t>
      </w:r>
      <w:r>
        <w:t xml:space="preserve">· Cardiovascular safety of orforglipron versus insulin glargine in adults with type 2 diabetes at increased cardiovascular risk (ACHIEVE-4): a phase 3, event-driven, randomised, open-label, non-inferiority, active comparator trial. PMID 42815506</w:t>
      </w:r>
    </w:p>
    <w:p>
      <w:pPr>
        <w:numPr>
          <w:ilvl w:val="0"/>
          <w:numId w:val="1389"/>
        </w:numPr>
        <w:pStyle w:val="Compact"/>
      </w:pPr>
      <w:r>
        <w:t xml:space="preserve">2026 · Yabe D ·</w:t>
      </w:r>
      <w:r>
        <w:t xml:space="preserve"> </w:t>
      </w:r>
      <w:r>
        <w:rPr>
          <w:iCs/>
          <w:i/>
        </w:rPr>
        <w:t xml:space="preserve">Lancet Diabetes Endocrinol</w:t>
      </w:r>
      <w:r>
        <w:t xml:space="preserve"> </w:t>
      </w:r>
      <w:r>
        <w:t xml:space="preserve">· Long-term safety of oral orforglipron in Japanese participants with type 2 diabetes (ACHIEVE-J): a multicentre, randomised, open-label, parallel-group phase 3 trial. PMID 42607698</w:t>
      </w:r>
    </w:p>
    <w:p>
      <w:pPr>
        <w:numPr>
          <w:ilvl w:val="0"/>
          <w:numId w:val="1389"/>
        </w:numPr>
        <w:pStyle w:val="Compact"/>
      </w:pPr>
      <w:r>
        <w:t xml:space="preserve">2026 · Wharton S ·</w:t>
      </w:r>
      <w:r>
        <w:t xml:space="preserve"> </w:t>
      </w:r>
      <w:r>
        <w:rPr>
          <w:iCs/>
          <w:i/>
        </w:rPr>
        <w:t xml:space="preserve">Diabetes Obes Metab</w:t>
      </w:r>
      <w:r>
        <w:t xml:space="preserve"> </w:t>
      </w:r>
      <w:r>
        <w:t xml:space="preserve">· Hepatic Safety of Orforglipron in Adults With Obesity or Overweight and/or Type 2 Diabetes: A Pooled Analysis of the Orforglipron Phase 3 Clinical Trials. PMID 42338042</w:t>
      </w:r>
    </w:p>
    <w:p>
      <w:pPr>
        <w:numPr>
          <w:ilvl w:val="0"/>
          <w:numId w:val="1389"/>
        </w:numPr>
        <w:pStyle w:val="Compact"/>
      </w:pPr>
      <w:r>
        <w:t xml:space="preserve">2026 · Welch M ·</w:t>
      </w:r>
      <w:r>
        <w:t xml:space="preserve"> </w:t>
      </w:r>
      <w:r>
        <w:rPr>
          <w:iCs/>
          <w:i/>
        </w:rPr>
        <w:t xml:space="preserve">Lancet</w:t>
      </w:r>
      <w:r>
        <w:t xml:space="preserve"> </w:t>
      </w:r>
      <w:r>
        <w:t xml:space="preserve">· Orforglipron compared with dapagliflozin in adults with type 2 diabetes and inadequate glycaemic control with metformin (ACHIEVE-2): a multicentre, randomised, non-inferiority, open-label, phase 3 trial. PMID 42259339</w:t>
      </w:r>
    </w:p>
    <w:p>
      <w:pPr>
        <w:numPr>
          <w:ilvl w:val="0"/>
          <w:numId w:val="1389"/>
        </w:numPr>
        <w:pStyle w:val="Compact"/>
      </w:pPr>
      <w:r>
        <w:t xml:space="preserve">2026 · Giorgino F ·</w:t>
      </w:r>
      <w:r>
        <w:t xml:space="preserve"> </w:t>
      </w:r>
      <w:r>
        <w:rPr>
          <w:iCs/>
          <w:i/>
        </w:rPr>
        <w:t xml:space="preserve">JAMA</w:t>
      </w:r>
      <w:r>
        <w:t xml:space="preserve"> </w:t>
      </w:r>
      <w:r>
        <w:t xml:space="preserve">· Orforglipron Added to Titrated Insulin Glargine in Type 2 Diabetes: The ACHIEVE-5 Randomized Clinical Trial. PMID 42251769</w:t>
      </w:r>
    </w:p>
    <w:p>
      <w:pPr>
        <w:numPr>
          <w:ilvl w:val="0"/>
          <w:numId w:val="1389"/>
        </w:numPr>
        <w:pStyle w:val="Compact"/>
      </w:pPr>
      <w:r>
        <w:t xml:space="preserve">2026 · Aronne LJ ·</w:t>
      </w:r>
      <w:r>
        <w:t xml:space="preserve"> </w:t>
      </w:r>
      <w:r>
        <w:rPr>
          <w:iCs/>
          <w:i/>
        </w:rPr>
        <w:t xml:space="preserve">Nat Med</w:t>
      </w:r>
      <w:r>
        <w:t xml:space="preserve"> </w:t>
      </w:r>
      <w:r>
        <w:t xml:space="preserve">· Orforglipron for maintenance of body weight reduction: the double-blind, randomized phase 3b ATTAIN-MAINTAIN trial. PMID 42120723</w:t>
      </w:r>
    </w:p>
    <w:p>
      <w:pPr>
        <w:numPr>
          <w:ilvl w:val="0"/>
          <w:numId w:val="1389"/>
        </w:numPr>
        <w:pStyle w:val="Compact"/>
      </w:pPr>
      <w:r>
        <w:t xml:space="preserve">2026 · Ma X ·</w:t>
      </w:r>
      <w:r>
        <w:t xml:space="preserve"> </w:t>
      </w:r>
      <w:r>
        <w:rPr>
          <w:iCs/>
          <w:i/>
        </w:rPr>
        <w:t xml:space="preserve">Diabetes Obes Metab</w:t>
      </w:r>
      <w:r>
        <w:t xml:space="preserve"> </w:t>
      </w:r>
      <w:r>
        <w:t xml:space="preserve">· Pharmacokinetic Bioequivalence of Orforglipron Tablets and Capsules in Healthy Participants With Obesity or Overweight. PMID 41994902</w:t>
      </w:r>
    </w:p>
    <w:p>
      <w:pPr>
        <w:numPr>
          <w:ilvl w:val="0"/>
          <w:numId w:val="1389"/>
        </w:numPr>
        <w:pStyle w:val="Compact"/>
      </w:pPr>
      <w:r>
        <w:t xml:space="preserve">2026 · Rosenstock J ·</w:t>
      </w:r>
      <w:r>
        <w:t xml:space="preserve"> </w:t>
      </w:r>
      <w:r>
        <w:rPr>
          <w:iCs/>
          <w:i/>
        </w:rPr>
        <w:t xml:space="preserve">Lancet</w:t>
      </w:r>
      <w:r>
        <w:t xml:space="preserve"> </w:t>
      </w:r>
      <w:r>
        <w:t xml:space="preserve">· Efficacy and safety of once-daily oral orforglipron compared with oral semaglutide in adults with type 2 diabetes (ACHIEVE-3): a multinational, multicentre, non-inferiority, open-label, randomised, phase 3 trial. PMID 41765029</w:t>
      </w:r>
    </w:p>
    <w:p>
      <w:pPr>
        <w:numPr>
          <w:ilvl w:val="0"/>
          <w:numId w:val="1389"/>
        </w:numPr>
        <w:pStyle w:val="Compact"/>
      </w:pPr>
      <w:r>
        <w:t xml:space="preserve">2026 · Ohwaki K ·</w:t>
      </w:r>
      <w:r>
        <w:t xml:space="preserve"> </w:t>
      </w:r>
      <w:r>
        <w:rPr>
          <w:iCs/>
          <w:i/>
        </w:rPr>
        <w:t xml:space="preserve">J Diabetes Investig</w:t>
      </w:r>
      <w:r>
        <w:t xml:space="preserve"> </w:t>
      </w:r>
      <w:r>
        <w:t xml:space="preserve">· A phase 1 single and multiple ascending dose study of orforglipron in Japanese participants with type 2 diabetes. PMID 41325139</w:t>
      </w:r>
    </w:p>
    <w:p>
      <w:pPr>
        <w:numPr>
          <w:ilvl w:val="0"/>
          <w:numId w:val="1389"/>
        </w:numPr>
        <w:pStyle w:val="Compact"/>
      </w:pPr>
      <w:r>
        <w:t xml:space="preserve">2026 · Horn DB ·</w:t>
      </w:r>
      <w:r>
        <w:t xml:space="preserve"> </w:t>
      </w:r>
      <w:r>
        <w:rPr>
          <w:iCs/>
          <w:i/>
        </w:rPr>
        <w:t xml:space="preserve">Lancet</w:t>
      </w:r>
      <w:r>
        <w:t xml:space="preserve"> </w:t>
      </w:r>
      <w:r>
        <w:t xml:space="preserve">· Orforglipron, an oral small-molecule GLP-1 receptor agonist, for the treatment of obesity in people with type 2 diabetes (ATTAIN-2): a phase 3, double-blind, randomised, multicentre, placebo-controlled trial. PMID 41275875</w:t>
      </w:r>
    </w:p>
    <w:p>
      <w:pPr>
        <w:numPr>
          <w:ilvl w:val="0"/>
          <w:numId w:val="1389"/>
        </w:numPr>
        <w:pStyle w:val="Compact"/>
      </w:pPr>
      <w:r>
        <w:t xml:space="preserve">2026 · Morse BL ·</w:t>
      </w:r>
      <w:r>
        <w:t xml:space="preserve"> </w:t>
      </w:r>
      <w:r>
        <w:rPr>
          <w:iCs/>
          <w:i/>
        </w:rPr>
        <w:t xml:space="preserve">Clin Pharmacol Drug Dev</w:t>
      </w:r>
      <w:r>
        <w:t xml:space="preserve"> </w:t>
      </w:r>
      <w:r>
        <w:t xml:space="preserve">· Disposition and Absolute Bioavailability of Orally Administered Orforglipron in Healthy Participants. PMID 40888509</w:t>
      </w:r>
    </w:p>
    <w:p>
      <w:pPr>
        <w:numPr>
          <w:ilvl w:val="0"/>
          <w:numId w:val="1389"/>
        </w:numPr>
        <w:pStyle w:val="Compact"/>
      </w:pPr>
      <w:r>
        <w:t xml:space="preserve">2025 · Wharton S ·</w:t>
      </w:r>
      <w:r>
        <w:t xml:space="preserve"> </w:t>
      </w:r>
      <w:r>
        <w:rPr>
          <w:iCs/>
          <w:i/>
        </w:rPr>
        <w:t xml:space="preserve">N Engl J Med</w:t>
      </w:r>
      <w:r>
        <w:t xml:space="preserve"> </w:t>
      </w:r>
      <w:r>
        <w:t xml:space="preserve">· Orforglipron, an Oral Small-Molecule GLP-1 Receptor Agonist for Obesity Treatment. PMID 40960239</w:t>
      </w:r>
    </w:p>
    <w:p>
      <w:pPr>
        <w:numPr>
          <w:ilvl w:val="0"/>
          <w:numId w:val="1389"/>
        </w:numPr>
        <w:pStyle w:val="Compact"/>
      </w:pPr>
      <w:r>
        <w:t xml:space="preserve">2025 · Rosenstock J ·</w:t>
      </w:r>
      <w:r>
        <w:t xml:space="preserve"> </w:t>
      </w:r>
      <w:r>
        <w:rPr>
          <w:iCs/>
          <w:i/>
        </w:rPr>
        <w:t xml:space="preserve">Diabetes Obes Metab</w:t>
      </w:r>
      <w:r>
        <w:t xml:space="preserve"> </w:t>
      </w:r>
      <w:r>
        <w:t xml:space="preserve">· Orforglipron, an oral non-peptide glucagon-like peptide-1 receptor agonist, improves markers of β-cell function and insulin sensitivity in type 2 diabetes. PMID 40808573</w:t>
      </w:r>
    </w:p>
    <w:p>
      <w:pPr>
        <w:numPr>
          <w:ilvl w:val="0"/>
          <w:numId w:val="1389"/>
        </w:numPr>
        <w:pStyle w:val="Compact"/>
      </w:pPr>
      <w:r>
        <w:t xml:space="preserve">2025 · Rosenstock J ·</w:t>
      </w:r>
      <w:r>
        <w:t xml:space="preserve"> </w:t>
      </w:r>
      <w:r>
        <w:rPr>
          <w:iCs/>
          <w:i/>
        </w:rPr>
        <w:t xml:space="preserve">N Engl J Med</w:t>
      </w:r>
      <w:r>
        <w:t xml:space="preserve"> </w:t>
      </w:r>
      <w:r>
        <w:t xml:space="preserve">· Orforglipron, an Oral Small-Molecule GLP-1 Receptor Agonist, in Early Type 2 Diabetes. PMID 40544435</w:t>
      </w:r>
    </w:p>
    <w:p>
      <w:pPr>
        <w:numPr>
          <w:ilvl w:val="0"/>
          <w:numId w:val="1389"/>
        </w:numPr>
        <w:pStyle w:val="Compact"/>
      </w:pPr>
      <w:r>
        <w:t xml:space="preserve">2025 · Wharton S ·</w:t>
      </w:r>
      <w:r>
        <w:t xml:space="preserve"> </w:t>
      </w:r>
      <w:r>
        <w:rPr>
          <w:iCs/>
          <w:i/>
        </w:rPr>
        <w:t xml:space="preserve">Cardiovasc Diabetol</w:t>
      </w:r>
      <w:r>
        <w:t xml:space="preserve"> </w:t>
      </w:r>
      <w:r>
        <w:t xml:space="preserve">· Treatment with orforglipron, an oral glucagon like peptide-1 receptor agonist, is associated with improvements of CV risk biomarkers in participants with type 2 diabetes or obesity without diabetes. PMID 40481478</w:t>
      </w:r>
    </w:p>
    <w:p>
      <w:pPr>
        <w:numPr>
          <w:ilvl w:val="0"/>
          <w:numId w:val="1389"/>
        </w:numPr>
        <w:pStyle w:val="Compact"/>
      </w:pPr>
      <w:r>
        <w:t xml:space="preserve">2024 · Pratt E ·</w:t>
      </w:r>
      <w:r>
        <w:t xml:space="preserve"> </w:t>
      </w:r>
      <w:r>
        <w:rPr>
          <w:iCs/>
          <w:i/>
        </w:rPr>
        <w:t xml:space="preserve">Diabetes Obes Metab</w:t>
      </w:r>
      <w:r>
        <w:t xml:space="preserve"> </w:t>
      </w:r>
      <w:r>
        <w:t xml:space="preserve">· Orforglipron (LY3502970), a novel, oral non-peptide glucagon-like peptide-1 receptor agonist: A Phase 1b, multicentre, blinded, placebo-controlled, randomized, multiple-ascending-dose study in people with type 2 diabetes. PMID 37997518</w:t>
      </w:r>
    </w:p>
    <w:p>
      <w:pPr>
        <w:numPr>
          <w:ilvl w:val="0"/>
          <w:numId w:val="1389"/>
        </w:numPr>
        <w:pStyle w:val="Compact"/>
      </w:pPr>
      <w:r>
        <w:t xml:space="preserve">2023 · Frias JP ·</w:t>
      </w:r>
      <w:r>
        <w:t xml:space="preserve"> </w:t>
      </w:r>
      <w:r>
        <w:rPr>
          <w:iCs/>
          <w:i/>
        </w:rPr>
        <w:t xml:space="preserve">Lancet</w:t>
      </w:r>
      <w:r>
        <w:t xml:space="preserve"> </w:t>
      </w:r>
      <w:r>
        <w:t xml:space="preserve">· Efficacy and safety of oral orforglipron in patients with type 2 diabetes: a multicentre, randomised, dose-response, phase 2 study. PMID 37369232</w:t>
      </w:r>
    </w:p>
    <w:p>
      <w:pPr>
        <w:numPr>
          <w:ilvl w:val="0"/>
          <w:numId w:val="1389"/>
        </w:numPr>
        <w:pStyle w:val="Compact"/>
      </w:pPr>
      <w:r>
        <w:t xml:space="preserve">2023 · Wharton S ·</w:t>
      </w:r>
      <w:r>
        <w:t xml:space="preserve"> </w:t>
      </w:r>
      <w:r>
        <w:rPr>
          <w:iCs/>
          <w:i/>
        </w:rPr>
        <w:t xml:space="preserve">N Engl J Med</w:t>
      </w:r>
      <w:r>
        <w:t xml:space="preserve"> </w:t>
      </w:r>
      <w:r>
        <w:t xml:space="preserve">· Daily Oral GLP-1 Receptor Agonist Orforglipron for Adults with Obesity. PMID 37351564</w:t>
      </w:r>
    </w:p>
    <w:p>
      <w:pPr>
        <w:numPr>
          <w:ilvl w:val="0"/>
          <w:numId w:val="1389"/>
        </w:numPr>
        <w:pStyle w:val="Compact"/>
      </w:pPr>
      <w:r>
        <w:t xml:space="preserve">2023 · Pratt E ·</w:t>
      </w:r>
      <w:r>
        <w:t xml:space="preserve"> </w:t>
      </w:r>
      <w:r>
        <w:rPr>
          <w:iCs/>
          <w:i/>
        </w:rPr>
        <w:t xml:space="preserve">Diabetes Obes Metab</w:t>
      </w:r>
      <w:r>
        <w:t xml:space="preserve"> </w:t>
      </w:r>
      <w:r>
        <w:t xml:space="preserve">· Orforglipron (LY3502970), a novel, oral non-peptide glucagon-like peptide-1 receptor agonist: A Phase 1a, blinded, placebo-controlled, randomized, single- and multiple-ascending-dose study in healthy participants. PMID 37344954</w:t>
      </w:r>
    </w:p>
    <w:p>
      <w:pPr>
        <w:numPr>
          <w:ilvl w:val="0"/>
          <w:numId w:val="1389"/>
        </w:numPr>
        <w:pStyle w:val="Compact"/>
      </w:pPr>
      <w:r>
        <w:t xml:space="preserve">2023 · Pratt E ·</w:t>
      </w:r>
      <w:r>
        <w:t xml:space="preserve"> </w:t>
      </w:r>
      <w:r>
        <w:rPr>
          <w:iCs/>
          <w:i/>
        </w:rPr>
        <w:t xml:space="preserve">Diabetes Obes Metab</w:t>
      </w:r>
      <w:r>
        <w:t xml:space="preserve"> </w:t>
      </w:r>
      <w:r>
        <w:t xml:space="preserve">· Orforglipron (LY3502970), a novel, oral non-peptide glucagon-like peptide-1 receptor agonist: A Phase 1b, multicentre, blinded, placebo-controlled, randomized, multiple-ascending-dose study in people with type 2 diabetes. PMID 37264711</w:t>
      </w:r>
    </w:p>
    <w:bookmarkEnd w:id="3027"/>
    <w:bookmarkStart w:id="3028" w:name="bpc-157-0"/>
    <w:p>
      <w:pPr>
        <w:pStyle w:val="Heading2"/>
      </w:pPr>
      <w:r>
        <w:t xml:space="preserve">BPC-157 (0)</w:t>
      </w:r>
    </w:p>
    <w:p>
      <w:pPr>
        <w:pStyle w:val="FirstParagraph"/>
      </w:pPr>
      <w:r>
        <w:t xml:space="preserve">Aucune publication d’étude clinique chez l’humain trouvée.</w:t>
      </w:r>
    </w:p>
    <w:bookmarkEnd w:id="3028"/>
    <w:bookmarkStart w:id="3029" w:name="tb-500-et-thymosine-bêta-4-9"/>
    <w:p>
      <w:pPr>
        <w:pStyle w:val="Heading2"/>
      </w:pPr>
      <w:r>
        <w:t xml:space="preserve">TB-500 et thymosine bêta 4 (9)</w:t>
      </w:r>
    </w:p>
    <w:p>
      <w:pPr>
        <w:numPr>
          <w:ilvl w:val="0"/>
          <w:numId w:val="1390"/>
        </w:numPr>
        <w:pStyle w:val="Compact"/>
      </w:pPr>
      <w:r>
        <w:t xml:space="preserve">2021 · Wang X ·</w:t>
      </w:r>
      <w:r>
        <w:t xml:space="preserve"> </w:t>
      </w:r>
      <w:r>
        <w:rPr>
          <w:iCs/>
          <w:i/>
        </w:rPr>
        <w:t xml:space="preserve">J Cell Mol Med</w:t>
      </w:r>
      <w:r>
        <w:t xml:space="preserve"> </w:t>
      </w:r>
      <w:r>
        <w:t xml:space="preserve">· A first-in-human, randomized, double-blind, single- and multiple-dose, phase I study of recombinant human thymosin β4 in healthy Chinese volunteers. PMID 34346165</w:t>
      </w:r>
    </w:p>
    <w:p>
      <w:pPr>
        <w:numPr>
          <w:ilvl w:val="0"/>
          <w:numId w:val="1390"/>
        </w:numPr>
        <w:pStyle w:val="Compact"/>
      </w:pPr>
      <w:r>
        <w:t xml:space="preserve">2020 · Pathak AK ·</w:t>
      </w:r>
      <w:r>
        <w:t xml:space="preserve"> </w:t>
      </w:r>
      <w:r>
        <w:rPr>
          <w:iCs/>
          <w:i/>
        </w:rPr>
        <w:t xml:space="preserve">Sci Rep</w:t>
      </w:r>
      <w:r>
        <w:t xml:space="preserve"> </w:t>
      </w:r>
      <w:r>
        <w:t xml:space="preserve">· Logistic regression analysis of environmental and other variables and incidences of tuberculosis in respiratory patients. PMID 33318598</w:t>
      </w:r>
    </w:p>
    <w:p>
      <w:pPr>
        <w:numPr>
          <w:ilvl w:val="0"/>
          <w:numId w:val="1390"/>
        </w:numPr>
        <w:pStyle w:val="Compact"/>
      </w:pPr>
      <w:r>
        <w:t xml:space="preserve">2016 · Zhu J ·</w:t>
      </w:r>
      <w:r>
        <w:t xml:space="preserve"> </w:t>
      </w:r>
      <w:r>
        <w:rPr>
          <w:iCs/>
          <w:i/>
        </w:rPr>
        <w:t xml:space="preserve">Cytotherapy</w:t>
      </w:r>
      <w:r>
        <w:t xml:space="preserve"> </w:t>
      </w:r>
      <w:r>
        <w:t xml:space="preserve">· Safety and efficacy of autologous thymosin β4 pre-treated endothelial progenitor cell transplantation in patients with acute ST segment elevation myocardial infarction: A pilot study. PMID 27288307</w:t>
      </w:r>
    </w:p>
    <w:p>
      <w:pPr>
        <w:numPr>
          <w:ilvl w:val="0"/>
          <w:numId w:val="1390"/>
        </w:numPr>
        <w:pStyle w:val="Compact"/>
      </w:pPr>
      <w:r>
        <w:t xml:space="preserve">2015 · Choudry FA ·</w:t>
      </w:r>
      <w:r>
        <w:t xml:space="preserve"> </w:t>
      </w:r>
      <w:r>
        <w:rPr>
          <w:iCs/>
          <w:i/>
        </w:rPr>
        <w:t xml:space="preserve">Regen Med</w:t>
      </w:r>
      <w:r>
        <w:t xml:space="preserve"> </w:t>
      </w:r>
      <w:r>
        <w:t xml:space="preserve">· Increases in plasma Tβ4 after intracardiac cell therapy in chronic ischemic heart failure is associated with symptomatic improvement. PMID 26022762</w:t>
      </w:r>
    </w:p>
    <w:p>
      <w:pPr>
        <w:numPr>
          <w:ilvl w:val="0"/>
          <w:numId w:val="1390"/>
        </w:numPr>
        <w:pStyle w:val="Compact"/>
      </w:pPr>
      <w:r>
        <w:t xml:space="preserve">2015 · Sosne G ·</w:t>
      </w:r>
      <w:r>
        <w:t xml:space="preserve"> </w:t>
      </w:r>
      <w:r>
        <w:rPr>
          <w:iCs/>
          <w:i/>
        </w:rPr>
        <w:t xml:space="preserve">Cornea</w:t>
      </w:r>
      <w:r>
        <w:t xml:space="preserve"> </w:t>
      </w:r>
      <w:r>
        <w:t xml:space="preserve">· Thymosin β4 significantly improves signs and symptoms of severe dry eye in a phase 2 randomized trial. PMID 25826322</w:t>
      </w:r>
    </w:p>
    <w:p>
      <w:pPr>
        <w:numPr>
          <w:ilvl w:val="0"/>
          <w:numId w:val="1390"/>
        </w:numPr>
        <w:pStyle w:val="Compact"/>
      </w:pPr>
      <w:r>
        <w:t xml:space="preserve">2014 · Suzuki Y ·</w:t>
      </w:r>
      <w:r>
        <w:t xml:space="preserve"> </w:t>
      </w:r>
      <w:r>
        <w:rPr>
          <w:iCs/>
          <w:i/>
        </w:rPr>
        <w:t xml:space="preserve">Biol Pharm Bull</w:t>
      </w:r>
      <w:r>
        <w:t xml:space="preserve"> </w:t>
      </w:r>
      <w:r>
        <w:t xml:space="preserve">· Significant decrease in plasma N-acetyl-seryl-aspartyl-lysyl-proline level in patients with end stage renal disease after kidney transplantation. PMID 24882420</w:t>
      </w:r>
    </w:p>
    <w:p>
      <w:pPr>
        <w:numPr>
          <w:ilvl w:val="0"/>
          <w:numId w:val="1390"/>
        </w:numPr>
        <w:pStyle w:val="Compact"/>
      </w:pPr>
      <w:r>
        <w:t xml:space="preserve">2010 · Ruff D ·</w:t>
      </w:r>
      <w:r>
        <w:t xml:space="preserve"> </w:t>
      </w:r>
      <w:r>
        <w:rPr>
          <w:iCs/>
          <w:i/>
        </w:rPr>
        <w:t xml:space="preserve">Ann N Y Acad Sci</w:t>
      </w:r>
      <w:r>
        <w:t xml:space="preserve"> </w:t>
      </w:r>
      <w:r>
        <w:t xml:space="preserve">· A randomized, placebo-controlled, single and multiple dose study of intravenous thymosin beta4 in healthy volunteers. PMID 20536472</w:t>
      </w:r>
    </w:p>
    <w:p>
      <w:pPr>
        <w:numPr>
          <w:ilvl w:val="0"/>
          <w:numId w:val="1390"/>
        </w:numPr>
        <w:pStyle w:val="Compact"/>
      </w:pPr>
      <w:r>
        <w:t xml:space="preserve">2010 · Guarnera G ·</w:t>
      </w:r>
      <w:r>
        <w:t xml:space="preserve"> </w:t>
      </w:r>
      <w:r>
        <w:rPr>
          <w:iCs/>
          <w:i/>
        </w:rPr>
        <w:t xml:space="preserve">Ann N Y Acad Sci</w:t>
      </w:r>
      <w:r>
        <w:t xml:space="preserve"> </w:t>
      </w:r>
      <w:r>
        <w:t xml:space="preserve">· The effect of thymosin treatment of venous ulcers. PMID 20536470</w:t>
      </w:r>
    </w:p>
    <w:p>
      <w:pPr>
        <w:numPr>
          <w:ilvl w:val="0"/>
          <w:numId w:val="1390"/>
        </w:numPr>
        <w:pStyle w:val="Compact"/>
      </w:pPr>
      <w:r>
        <w:t xml:space="preserve">2007 · Guarnera G ·</w:t>
      </w:r>
      <w:r>
        <w:t xml:space="preserve"> </w:t>
      </w:r>
      <w:r>
        <w:rPr>
          <w:iCs/>
          <w:i/>
        </w:rPr>
        <w:t xml:space="preserve">Ann N Y Acad Sci</w:t>
      </w:r>
      <w:r>
        <w:t xml:space="preserve"> </w:t>
      </w:r>
      <w:r>
        <w:t xml:space="preserve">· Thymosin beta-4 and venous ulcers: clinical remarks on a European prospective, randomized study on safety, tolerability, and enhancement on healing. PMID 17495250</w:t>
      </w:r>
    </w:p>
    <w:bookmarkEnd w:id="3029"/>
    <w:bookmarkStart w:id="3030" w:name="thymosine-alpha-1-thymalfasine-90"/>
    <w:p>
      <w:pPr>
        <w:pStyle w:val="Heading2"/>
      </w:pPr>
      <w:r>
        <w:t xml:space="preserve">Thymosine alpha 1 (thymalfasine) (90)</w:t>
      </w:r>
    </w:p>
    <w:p>
      <w:pPr>
        <w:numPr>
          <w:ilvl w:val="0"/>
          <w:numId w:val="1391"/>
        </w:numPr>
        <w:pStyle w:val="Compact"/>
      </w:pPr>
      <w:r>
        <w:t xml:space="preserve">2026 · Zhou Y ·</w:t>
      </w:r>
      <w:r>
        <w:t xml:space="preserve"> </w:t>
      </w:r>
      <w:r>
        <w:rPr>
          <w:iCs/>
          <w:i/>
        </w:rPr>
        <w:t xml:space="preserve">Radiat Oncol</w:t>
      </w:r>
      <w:r>
        <w:t xml:space="preserve"> </w:t>
      </w:r>
      <w:r>
        <w:t xml:space="preserve">· Preliminary results from a phase II trial of spatially fractionated radiotherapy combined with immunotherapy and anti-angiogenic therapy in patients with bulky solid tumors: early evidence of promising efficacy and favorable safety. PMID 42063096</w:t>
      </w:r>
    </w:p>
    <w:p>
      <w:pPr>
        <w:numPr>
          <w:ilvl w:val="0"/>
          <w:numId w:val="1391"/>
        </w:numPr>
        <w:pStyle w:val="Compact"/>
      </w:pPr>
      <w:r>
        <w:t xml:space="preserve">2026 · Li ZH ·</w:t>
      </w:r>
      <w:r>
        <w:t xml:space="preserve"> </w:t>
      </w:r>
      <w:r>
        <w:rPr>
          <w:iCs/>
          <w:i/>
        </w:rPr>
        <w:t xml:space="preserve">Immunopharmacol Immunotoxicol</w:t>
      </w:r>
      <w:r>
        <w:t xml:space="preserve"> </w:t>
      </w:r>
      <w:r>
        <w:t xml:space="preserve">· Thymosin α1 improves the outcomes of patients with hepatitis B virus-related acute-on-chronic liver failure by restoring immune balance. PMID 41887933</w:t>
      </w:r>
    </w:p>
    <w:p>
      <w:pPr>
        <w:numPr>
          <w:ilvl w:val="0"/>
          <w:numId w:val="1391"/>
        </w:numPr>
        <w:pStyle w:val="Compact"/>
      </w:pPr>
      <w:r>
        <w:t xml:space="preserve">2026 · Xu H ·</w:t>
      </w:r>
      <w:r>
        <w:t xml:space="preserve"> </w:t>
      </w:r>
      <w:r>
        <w:rPr>
          <w:iCs/>
          <w:i/>
        </w:rPr>
        <w:t xml:space="preserve">BMC Med</w:t>
      </w:r>
      <w:r>
        <w:t xml:space="preserve"> </w:t>
      </w:r>
      <w:r>
        <w:t xml:space="preserve">· Neoadjuvant immunochemotherapy plus thymalfasin in locally advanced gastric cancer: a prospective clinical trial. PMID 41749205</w:t>
      </w:r>
    </w:p>
    <w:p>
      <w:pPr>
        <w:numPr>
          <w:ilvl w:val="0"/>
          <w:numId w:val="1391"/>
        </w:numPr>
        <w:pStyle w:val="Compact"/>
      </w:pPr>
      <w:r>
        <w:t xml:space="preserve">2025 · Yu J ·</w:t>
      </w:r>
      <w:r>
        <w:t xml:space="preserve"> </w:t>
      </w:r>
      <w:r>
        <w:rPr>
          <w:iCs/>
          <w:i/>
        </w:rPr>
        <w:t xml:space="preserve">Cancer Immunol Immunother</w:t>
      </w:r>
      <w:r>
        <w:t xml:space="preserve"> </w:t>
      </w:r>
      <w:r>
        <w:t xml:space="preserve">· Hypofractionated radiotherapy combined with a PD-1 inhibitor, granulocyte macrophage-colony stimulating factor, and thymosin-α1 in advanced metastatic solid tumors: a multicenter Phase II clinical trial. PMID 39904914</w:t>
      </w:r>
    </w:p>
    <w:p>
      <w:pPr>
        <w:numPr>
          <w:ilvl w:val="0"/>
          <w:numId w:val="1391"/>
        </w:numPr>
        <w:pStyle w:val="Compact"/>
      </w:pPr>
      <w:r>
        <w:t xml:space="preserve">2025 · Wu J ·</w:t>
      </w:r>
      <w:r>
        <w:t xml:space="preserve"> </w:t>
      </w:r>
      <w:r>
        <w:rPr>
          <w:iCs/>
          <w:i/>
        </w:rPr>
        <w:t xml:space="preserve">BMJ</w:t>
      </w:r>
      <w:r>
        <w:t xml:space="preserve"> </w:t>
      </w:r>
      <w:r>
        <w:t xml:space="preserve">· The efficacy and safety of thymosin α1 for sepsis (TESTS): multicentre, double blinded, randomised, placebo controlled, phase 3 trial. PMID 39814420</w:t>
      </w:r>
    </w:p>
    <w:p>
      <w:pPr>
        <w:numPr>
          <w:ilvl w:val="0"/>
          <w:numId w:val="1391"/>
        </w:numPr>
        <w:pStyle w:val="Compact"/>
      </w:pPr>
      <w:r>
        <w:t xml:space="preserve">2024 · Huang X ·</w:t>
      </w:r>
      <w:r>
        <w:t xml:space="preserve"> </w:t>
      </w:r>
      <w:r>
        <w:rPr>
          <w:iCs/>
          <w:i/>
        </w:rPr>
        <w:t xml:space="preserve">Gut Liver</w:t>
      </w:r>
      <w:r>
        <w:t xml:space="preserve"> </w:t>
      </w:r>
      <w:r>
        <w:t xml:space="preserve">· Immune-Enhancing Treatment among Acute Necrotizing Pancreatitis Patients with Metabolic Abnormalities: A Post Hoc Analysis of a Randomized Clinical Trial. PMID 38356344</w:t>
      </w:r>
    </w:p>
    <w:p>
      <w:pPr>
        <w:numPr>
          <w:ilvl w:val="0"/>
          <w:numId w:val="1391"/>
        </w:numPr>
        <w:pStyle w:val="Compact"/>
      </w:pPr>
      <w:r>
        <w:t xml:space="preserve">2024 · Niu W ·</w:t>
      </w:r>
      <w:r>
        <w:t xml:space="preserve"> </w:t>
      </w:r>
      <w:r>
        <w:rPr>
          <w:iCs/>
          <w:i/>
        </w:rPr>
        <w:t xml:space="preserve">Biotechnol Genet Eng Rev</w:t>
      </w:r>
      <w:r>
        <w:t xml:space="preserve"> </w:t>
      </w:r>
      <w:r>
        <w:t xml:space="preserve">· A Prospective and Randomized Control Study on Effects of Thymalfasin for Injection on Perioperative Immune Function and Long-term Prognosis of Patients with Colorectal Cancer. PMID 37248723</w:t>
      </w:r>
    </w:p>
    <w:p>
      <w:pPr>
        <w:numPr>
          <w:ilvl w:val="0"/>
          <w:numId w:val="1391"/>
        </w:numPr>
        <w:pStyle w:val="Compact"/>
      </w:pPr>
      <w:r>
        <w:t xml:space="preserve">2023 · Tuthill CW ·</w:t>
      </w:r>
      <w:r>
        <w:t xml:space="preserve"> </w:t>
      </w:r>
      <w:r>
        <w:rPr>
          <w:iCs/>
          <w:i/>
        </w:rPr>
        <w:t xml:space="preserve">Int Immunopharmacol</w:t>
      </w:r>
      <w:r>
        <w:t xml:space="preserve"> </w:t>
      </w:r>
      <w:r>
        <w:t xml:space="preserve">· A pilot trial of Thymalfasin (Ta1) to prevent covid-19 infection and morbidities in renal dialysis patients: Preliminary report. PMID 36881981</w:t>
      </w:r>
    </w:p>
    <w:p>
      <w:pPr>
        <w:numPr>
          <w:ilvl w:val="0"/>
          <w:numId w:val="1391"/>
        </w:numPr>
        <w:pStyle w:val="Compact"/>
      </w:pPr>
      <w:r>
        <w:t xml:space="preserve">2022 · Bai L ·</w:t>
      </w:r>
      <w:r>
        <w:t xml:space="preserve"> </w:t>
      </w:r>
      <w:r>
        <w:rPr>
          <w:iCs/>
          <w:i/>
        </w:rPr>
        <w:t xml:space="preserve">Altern Ther Health Med</w:t>
      </w:r>
      <w:r>
        <w:t xml:space="preserve"> </w:t>
      </w:r>
      <w:r>
        <w:t xml:space="preserve">· Value of Thymosin α1 Combined With Blood Purification to Increase Successful Rescues of Shock Patients. PMID 35951068</w:t>
      </w:r>
    </w:p>
    <w:p>
      <w:pPr>
        <w:numPr>
          <w:ilvl w:val="0"/>
          <w:numId w:val="1391"/>
        </w:numPr>
        <w:pStyle w:val="Compact"/>
      </w:pPr>
      <w:r>
        <w:t xml:space="preserve">2022 · Liu F ·</w:t>
      </w:r>
      <w:r>
        <w:t xml:space="preserve"> </w:t>
      </w:r>
      <w:r>
        <w:rPr>
          <w:iCs/>
          <w:i/>
        </w:rPr>
        <w:t xml:space="preserve">Int J Radiat Oncol Biol Phys</w:t>
      </w:r>
      <w:r>
        <w:t xml:space="preserve"> </w:t>
      </w:r>
      <w:r>
        <w:t xml:space="preserve">· Efficacy of Thymosin α1 in Management of Radiation Pneumonitis in Patients With Locally Advanced Non-Small Cell Lung Cancer Treated With Concurrent Chemoradiotherapy: A Phase 2 Clinical Trial (GASTO-1043). PMID 35870709</w:t>
      </w:r>
    </w:p>
    <w:p>
      <w:pPr>
        <w:numPr>
          <w:ilvl w:val="0"/>
          <w:numId w:val="1391"/>
        </w:numPr>
        <w:pStyle w:val="Compact"/>
      </w:pPr>
      <w:r>
        <w:t xml:space="preserve">2022 · Ke L ·</w:t>
      </w:r>
      <w:r>
        <w:t xml:space="preserve"> </w:t>
      </w:r>
      <w:r>
        <w:rPr>
          <w:iCs/>
          <w:i/>
        </w:rPr>
        <w:t xml:space="preserve">Intensive Care Med</w:t>
      </w:r>
      <w:r>
        <w:t xml:space="preserve"> </w:t>
      </w:r>
      <w:r>
        <w:t xml:space="preserve">· Immune enhancement in patients with predicted severe acute necrotising pancreatitis: a multicentre double-blind randomised controlled trial. PMID 35713670</w:t>
      </w:r>
    </w:p>
    <w:p>
      <w:pPr>
        <w:numPr>
          <w:ilvl w:val="0"/>
          <w:numId w:val="1391"/>
        </w:numPr>
        <w:pStyle w:val="Compact"/>
      </w:pPr>
      <w:r>
        <w:t xml:space="preserve">2022 · Chen JF ·</w:t>
      </w:r>
      <w:r>
        <w:t xml:space="preserve"> </w:t>
      </w:r>
      <w:r>
        <w:rPr>
          <w:iCs/>
          <w:i/>
        </w:rPr>
        <w:t xml:space="preserve">Hepatol Int</w:t>
      </w:r>
      <w:r>
        <w:t xml:space="preserve"> </w:t>
      </w:r>
      <w:r>
        <w:t xml:space="preserve">· Safety and efficacy of Thymosin α1 in the treatment of hepatitis B virus-related acute-on-chronic liver failure: a randomized controlled trial. PMID 35616850</w:t>
      </w:r>
    </w:p>
    <w:p>
      <w:pPr>
        <w:numPr>
          <w:ilvl w:val="0"/>
          <w:numId w:val="1391"/>
        </w:numPr>
        <w:pStyle w:val="Compact"/>
      </w:pPr>
      <w:r>
        <w:t xml:space="preserve">2022 · Chu C ·</w:t>
      </w:r>
      <w:r>
        <w:t xml:space="preserve"> </w:t>
      </w:r>
      <w:r>
        <w:rPr>
          <w:iCs/>
          <w:i/>
        </w:rPr>
        <w:t xml:space="preserve">Int J Radiat Oncol Biol Phys</w:t>
      </w:r>
      <w:r>
        <w:t xml:space="preserve"> </w:t>
      </w:r>
      <w:r>
        <w:t xml:space="preserve">· Hypofractionated Radiation Therapy Combined With Weekly Chemotherapy in Patients With Unresectable or Recurrent Thymic Epithelial Tumor: A Prospective, Single-Arm Phase 2 Study (GASTO-1042). PMID 35598797</w:t>
      </w:r>
    </w:p>
    <w:p>
      <w:pPr>
        <w:numPr>
          <w:ilvl w:val="0"/>
          <w:numId w:val="1391"/>
        </w:numPr>
        <w:pStyle w:val="Compact"/>
      </w:pPr>
      <w:r>
        <w:t xml:space="preserve">2021 · Meng Z ·</w:t>
      </w:r>
      <w:r>
        <w:t xml:space="preserve"> </w:t>
      </w:r>
      <w:r>
        <w:rPr>
          <w:iCs/>
          <w:i/>
        </w:rPr>
        <w:t xml:space="preserve">Curr Top Med Chem</w:t>
      </w:r>
      <w:r>
        <w:t xml:space="preserve"> </w:t>
      </w:r>
      <w:r>
        <w:t xml:space="preserve">· The Effect of Recombinant Human Interferon Alpha Nasal Drops to Prevent COVID-19 Pneumonia for Medical Staff in an Epidemic Area. PMID 33970846</w:t>
      </w:r>
    </w:p>
    <w:p>
      <w:pPr>
        <w:numPr>
          <w:ilvl w:val="0"/>
          <w:numId w:val="1391"/>
        </w:numPr>
        <w:pStyle w:val="Compact"/>
      </w:pPr>
      <w:r>
        <w:t xml:space="preserve">2019 · Ma Y ·</w:t>
      </w:r>
      <w:r>
        <w:t xml:space="preserve"> </w:t>
      </w:r>
      <w:r>
        <w:rPr>
          <w:iCs/>
          <w:i/>
        </w:rPr>
        <w:t xml:space="preserve">Cell Mol Biol (Noisy-le-grand)</w:t>
      </w:r>
      <w:r>
        <w:t xml:space="preserve"> </w:t>
      </w:r>
      <w:r>
        <w:t xml:space="preserve">· The effect of thymopentin add-on in hepatitis B e antigen positive chronic hepatitis B after virus suppression by peginterferon plus entecavir therapy. PMID 30860474</w:t>
      </w:r>
    </w:p>
    <w:p>
      <w:pPr>
        <w:numPr>
          <w:ilvl w:val="0"/>
          <w:numId w:val="1391"/>
        </w:numPr>
        <w:pStyle w:val="Compact"/>
      </w:pPr>
      <w:r>
        <w:t xml:space="preserve">2018 · Wu X ·</w:t>
      </w:r>
      <w:r>
        <w:t xml:space="preserve"> </w:t>
      </w:r>
      <w:r>
        <w:rPr>
          <w:iCs/>
          <w:i/>
        </w:rPr>
        <w:t xml:space="preserve">Expert Opin Biol Ther</w:t>
      </w:r>
      <w:r>
        <w:t xml:space="preserve"> </w:t>
      </w:r>
      <w:r>
        <w:t xml:space="preserve">· Combination of entecavir with thymosin alpha-1 in HBV-related compensated cirrhosis: a prospective multicenter randomized open-label study. PMID 30063860</w:t>
      </w:r>
    </w:p>
    <w:p>
      <w:pPr>
        <w:numPr>
          <w:ilvl w:val="0"/>
          <w:numId w:val="1391"/>
        </w:numPr>
        <w:pStyle w:val="Compact"/>
      </w:pPr>
      <w:r>
        <w:t xml:space="preserve">2017 · Fang SJ ·</w:t>
      </w:r>
      <w:r>
        <w:t xml:space="preserve"> </w:t>
      </w:r>
      <w:r>
        <w:rPr>
          <w:iCs/>
          <w:i/>
        </w:rPr>
        <w:t xml:space="preserve">Zhonghua Yi Xue Za Zhi</w:t>
      </w:r>
      <w:r>
        <w:t xml:space="preserve"> </w:t>
      </w:r>
      <w:r>
        <w:t xml:space="preserve">· [Effect of transcatheter arterial chemoembolization combined with thymosin alpha 1 on the autophagy of immune cells from advanced hepatocellular carcinoma]. PMID 28693071</w:t>
      </w:r>
    </w:p>
    <w:p>
      <w:pPr>
        <w:numPr>
          <w:ilvl w:val="0"/>
          <w:numId w:val="1391"/>
        </w:numPr>
        <w:pStyle w:val="Compact"/>
      </w:pPr>
      <w:r>
        <w:t xml:space="preserve">2016 · Al-Mahtab M ·</w:t>
      </w:r>
      <w:r>
        <w:t xml:space="preserve"> </w:t>
      </w:r>
      <w:r>
        <w:rPr>
          <w:iCs/>
          <w:i/>
        </w:rPr>
        <w:t xml:space="preserve">PLoS One</w:t>
      </w:r>
      <w:r>
        <w:t xml:space="preserve"> </w:t>
      </w:r>
      <w:r>
        <w:t xml:space="preserve">· Safety and Efficacy of Nucleic Acid Polymers in Monotherapy and Combined with Immunotherapy in Treatment-Naive Bangladeshi Patients with HBeAg+ Chronic Hepatitis B Infection. PMID 27257978</w:t>
      </w:r>
    </w:p>
    <w:p>
      <w:pPr>
        <w:numPr>
          <w:ilvl w:val="0"/>
          <w:numId w:val="1391"/>
        </w:numPr>
        <w:pStyle w:val="Compact"/>
      </w:pPr>
      <w:r>
        <w:t xml:space="preserve">2015 · Zhang SS ·</w:t>
      </w:r>
      <w:r>
        <w:t xml:space="preserve"> </w:t>
      </w:r>
      <w:r>
        <w:rPr>
          <w:iCs/>
          <w:i/>
        </w:rPr>
        <w:t xml:space="preserve">Sichuan Da Xue Xue Bao Yi Xue Ban</w:t>
      </w:r>
      <w:r>
        <w:t xml:space="preserve"> </w:t>
      </w:r>
      <w:r>
        <w:t xml:space="preserve">· [Prevention Effect of Thymosin-alpha1 Aganist Early Ventilator-associated Pneumonia in Patients with Mechanical Ventilation]. PMID 26867337</w:t>
      </w:r>
    </w:p>
    <w:p>
      <w:pPr>
        <w:numPr>
          <w:ilvl w:val="0"/>
          <w:numId w:val="1391"/>
        </w:numPr>
        <w:pStyle w:val="Compact"/>
      </w:pPr>
      <w:r>
        <w:t xml:space="preserve">2015 · Xiao QS ·</w:t>
      </w:r>
      <w:r>
        <w:t xml:space="preserve"> </w:t>
      </w:r>
      <w:r>
        <w:rPr>
          <w:iCs/>
          <w:i/>
        </w:rPr>
        <w:t xml:space="preserve">Zhongguo Zhong Xi Yi Jie He Za Zhi</w:t>
      </w:r>
      <w:r>
        <w:t xml:space="preserve"> </w:t>
      </w:r>
      <w:r>
        <w:t xml:space="preserve">· [Effect of Acupuncture on Prognosis and Immune Function of Sepsis Patients]. PMID 26380438</w:t>
      </w:r>
    </w:p>
    <w:p>
      <w:pPr>
        <w:numPr>
          <w:ilvl w:val="0"/>
          <w:numId w:val="1391"/>
        </w:numPr>
        <w:pStyle w:val="Compact"/>
      </w:pPr>
      <w:r>
        <w:t xml:space="preserve">2015 · Jia Z ·</w:t>
      </w:r>
      <w:r>
        <w:t xml:space="preserve"> </w:t>
      </w:r>
      <w:r>
        <w:rPr>
          <w:iCs/>
          <w:i/>
        </w:rPr>
        <w:t xml:space="preserve">Immunopharmacol Immunotoxicol</w:t>
      </w:r>
      <w:r>
        <w:t xml:space="preserve"> </w:t>
      </w:r>
      <w:r>
        <w:t xml:space="preserve">· Thymosin α1 plus routine treatment inhibit inflammatory reaction and improve the quality of life in AECOPD patients. PMID 26250523</w:t>
      </w:r>
    </w:p>
    <w:p>
      <w:pPr>
        <w:numPr>
          <w:ilvl w:val="0"/>
          <w:numId w:val="1391"/>
        </w:numPr>
        <w:pStyle w:val="Compact"/>
      </w:pPr>
      <w:r>
        <w:t xml:space="preserve">2015 · Qiu SJ ·</w:t>
      </w:r>
      <w:r>
        <w:t xml:space="preserve"> </w:t>
      </w:r>
      <w:r>
        <w:rPr>
          <w:iCs/>
          <w:i/>
        </w:rPr>
        <w:t xml:space="preserve">Expert Opin Biol Ther</w:t>
      </w:r>
      <w:r>
        <w:t xml:space="preserve"> </w:t>
      </w:r>
      <w:r>
        <w:t xml:space="preserve">· A multicenter, randomized, observation-controlled clinical trial to evaluate the efficacy and safety of thymalfasin adjuvant therapy in patients with HBV-related HCC after curative resection - first announcement of the protocol. PMID 26094695</w:t>
      </w:r>
    </w:p>
    <w:p>
      <w:pPr>
        <w:numPr>
          <w:ilvl w:val="0"/>
          <w:numId w:val="1391"/>
        </w:numPr>
        <w:pStyle w:val="Compact"/>
      </w:pPr>
      <w:r>
        <w:t xml:space="preserve">2013 · Wu J ·</w:t>
      </w:r>
      <w:r>
        <w:t xml:space="preserve"> </w:t>
      </w:r>
      <w:r>
        <w:rPr>
          <w:iCs/>
          <w:i/>
        </w:rPr>
        <w:t xml:space="preserve">Crit Care</w:t>
      </w:r>
      <w:r>
        <w:t xml:space="preserve"> </w:t>
      </w:r>
      <w:r>
        <w:t xml:space="preserve">· The efficacy of thymosin alpha 1 for severe sepsis (ETASS): a multicenter, single-blind, randomized and controlled trial. PMID 23327199</w:t>
      </w:r>
    </w:p>
    <w:p>
      <w:pPr>
        <w:numPr>
          <w:ilvl w:val="0"/>
          <w:numId w:val="1391"/>
        </w:numPr>
        <w:pStyle w:val="Compact"/>
      </w:pPr>
      <w:r>
        <w:t xml:space="preserve">2012 · Kim BH ·</w:t>
      </w:r>
      <w:r>
        <w:t xml:space="preserve"> </w:t>
      </w:r>
      <w:r>
        <w:rPr>
          <w:iCs/>
          <w:i/>
        </w:rPr>
        <w:t xml:space="preserve">Scand J Gastroenterol</w:t>
      </w:r>
      <w:r>
        <w:t xml:space="preserve"> </w:t>
      </w:r>
      <w:r>
        <w:t xml:space="preserve">· Efficacy of thymosin α-1 plus peginterferon α-2a combination therapy compared with peginterferon α-2a monotherapy in HBeAg-positive chronic hepatitis B: a prospective, multicenter, randomized, open-label study. PMID 22726105</w:t>
      </w:r>
    </w:p>
    <w:p>
      <w:pPr>
        <w:numPr>
          <w:ilvl w:val="0"/>
          <w:numId w:val="1391"/>
        </w:numPr>
        <w:pStyle w:val="Compact"/>
      </w:pPr>
      <w:r>
        <w:t xml:space="preserve">2012 · Ciancio A ·</w:t>
      </w:r>
      <w:r>
        <w:t xml:space="preserve"> </w:t>
      </w:r>
      <w:r>
        <w:rPr>
          <w:iCs/>
          <w:i/>
        </w:rPr>
        <w:t xml:space="preserve">J Viral Hepat</w:t>
      </w:r>
      <w:r>
        <w:t xml:space="preserve"> </w:t>
      </w:r>
      <w:r>
        <w:t xml:space="preserve">· Thymosin alpha-1 with peginterferon alfa-2a/ribavirin for chronic hepatitis C not responsive to IFN/ribavirin: an adjuvant role?. PMID 22233415</w:t>
      </w:r>
    </w:p>
    <w:p>
      <w:pPr>
        <w:numPr>
          <w:ilvl w:val="0"/>
          <w:numId w:val="1391"/>
        </w:numPr>
        <w:pStyle w:val="Compact"/>
      </w:pPr>
      <w:r>
        <w:t xml:space="preserve">2011 · Wang X ·</w:t>
      </w:r>
      <w:r>
        <w:t xml:space="preserve"> </w:t>
      </w:r>
      <w:r>
        <w:rPr>
          <w:iCs/>
          <w:i/>
        </w:rPr>
        <w:t xml:space="preserve">Inflammation</w:t>
      </w:r>
      <w:r>
        <w:t xml:space="preserve"> </w:t>
      </w:r>
      <w:r>
        <w:t xml:space="preserve">· Thymosin alpha 1 is associated with improved cellular immunity and reduced infection rate in severe acute pancreatitis patients in a double-blind randomized control study. PMID 20549321</w:t>
      </w:r>
    </w:p>
    <w:p>
      <w:pPr>
        <w:numPr>
          <w:ilvl w:val="0"/>
          <w:numId w:val="1391"/>
        </w:numPr>
        <w:pStyle w:val="Compact"/>
      </w:pPr>
      <w:r>
        <w:t xml:space="preserve">2010 · Jiang YF ·</w:t>
      </w:r>
      <w:r>
        <w:t xml:space="preserve"> </w:t>
      </w:r>
      <w:r>
        <w:rPr>
          <w:iCs/>
          <w:i/>
        </w:rPr>
        <w:t xml:space="preserve">J Int Med Res</w:t>
      </w:r>
      <w:r>
        <w:t xml:space="preserve"> </w:t>
      </w:r>
      <w:r>
        <w:t xml:space="preserve">· Effect of thymosin-α(1) on T-helper 1 cell and T-helper 2 cell cytokine synthesis in patients with hepatitis B virus e antigen-positive chronic hepatitis B. PMID 21227010</w:t>
      </w:r>
    </w:p>
    <w:p>
      <w:pPr>
        <w:numPr>
          <w:ilvl w:val="0"/>
          <w:numId w:val="1391"/>
        </w:numPr>
        <w:pStyle w:val="Compact"/>
      </w:pPr>
      <w:r>
        <w:t xml:space="preserve">2010 · Maio M ·</w:t>
      </w:r>
      <w:r>
        <w:t xml:space="preserve"> </w:t>
      </w:r>
      <w:r>
        <w:rPr>
          <w:iCs/>
          <w:i/>
        </w:rPr>
        <w:t xml:space="preserve">J Clin Oncol</w:t>
      </w:r>
      <w:r>
        <w:t xml:space="preserve"> </w:t>
      </w:r>
      <w:r>
        <w:t xml:space="preserve">· Large randomized study of thymosin alpha 1, interferon alfa, or both in combination with dacarbazine in patients with metastatic melanoma. PMID 20194853</w:t>
      </w:r>
    </w:p>
    <w:p>
      <w:pPr>
        <w:numPr>
          <w:ilvl w:val="0"/>
          <w:numId w:val="1391"/>
        </w:numPr>
        <w:pStyle w:val="Compact"/>
      </w:pPr>
      <w:r>
        <w:t xml:space="preserve">2009 · Zhou LX ·</w:t>
      </w:r>
      <w:r>
        <w:t xml:space="preserve"> </w:t>
      </w:r>
      <w:r>
        <w:rPr>
          <w:iCs/>
          <w:i/>
        </w:rPr>
        <w:t xml:space="preserve">Zhonghua Yi Xue Za Zhi</w:t>
      </w:r>
      <w:r>
        <w:t xml:space="preserve"> </w:t>
      </w:r>
      <w:r>
        <w:t xml:space="preserve">· [Immune and inflammation confusion in severe sepsis and effects of bi-immunomodulation therapy: a prospective, randomized, controlled clinical trial]. PMID 19595251</w:t>
      </w:r>
    </w:p>
    <w:p>
      <w:pPr>
        <w:numPr>
          <w:ilvl w:val="0"/>
          <w:numId w:val="1391"/>
        </w:numPr>
        <w:pStyle w:val="Compact"/>
      </w:pPr>
      <w:r>
        <w:t xml:space="preserve">2009 · Chen H ·</w:t>
      </w:r>
      <w:r>
        <w:t xml:space="preserve"> </w:t>
      </w:r>
      <w:r>
        <w:rPr>
          <w:iCs/>
          <w:i/>
        </w:rPr>
        <w:t xml:space="preserve">Chin Med J (Engl)</w:t>
      </w:r>
      <w:r>
        <w:t xml:space="preserve"> </w:t>
      </w:r>
      <w:r>
        <w:t xml:space="preserve">· Treatment of patients with severe sepsis using ulinastatin and thymosin alpha1: a prospective, randomized, controlled pilot study. PMID 19493408</w:t>
      </w:r>
    </w:p>
    <w:p>
      <w:pPr>
        <w:numPr>
          <w:ilvl w:val="0"/>
          <w:numId w:val="1391"/>
        </w:numPr>
        <w:pStyle w:val="Compact"/>
      </w:pPr>
      <w:r>
        <w:t xml:space="preserve">2009 · Su L ·</w:t>
      </w:r>
      <w:r>
        <w:t xml:space="preserve"> </w:t>
      </w:r>
      <w:r>
        <w:rPr>
          <w:iCs/>
          <w:i/>
        </w:rPr>
        <w:t xml:space="preserve">Zhongguo Wei Zhong Bing Ji Jiu Yi Xue</w:t>
      </w:r>
      <w:r>
        <w:t xml:space="preserve"> </w:t>
      </w:r>
      <w:r>
        <w:t xml:space="preserve">· [Clinical effects of ulinastatin and thymosin alpha1 on immune-modulation in septic patients]. PMID 19278583</w:t>
      </w:r>
    </w:p>
    <w:p>
      <w:pPr>
        <w:numPr>
          <w:ilvl w:val="0"/>
          <w:numId w:val="1391"/>
        </w:numPr>
        <w:pStyle w:val="Compact"/>
      </w:pPr>
      <w:r>
        <w:t xml:space="preserve">2009 · Li YN ·</w:t>
      </w:r>
      <w:r>
        <w:t xml:space="preserve"> </w:t>
      </w:r>
      <w:r>
        <w:rPr>
          <w:iCs/>
          <w:i/>
        </w:rPr>
        <w:t xml:space="preserve">Zhongguo Wei Zhong Bing Ji Jiu Yi Xue</w:t>
      </w:r>
      <w:r>
        <w:t xml:space="preserve"> </w:t>
      </w:r>
      <w:r>
        <w:t xml:space="preserve">· [Effect of continuous blood purification and thymosin alpha1 on the cellular immunity in patients with severe sepsis: a prospective, randomized, controlled clinical trial]. PMID 19278581</w:t>
      </w:r>
    </w:p>
    <w:p>
      <w:pPr>
        <w:numPr>
          <w:ilvl w:val="0"/>
          <w:numId w:val="1391"/>
        </w:numPr>
        <w:pStyle w:val="Compact"/>
      </w:pPr>
      <w:r>
        <w:t xml:space="preserve">2009 · Li Yumin ·</w:t>
      </w:r>
      <w:r>
        <w:t xml:space="preserve"> </w:t>
      </w:r>
      <w:r>
        <w:rPr>
          <w:iCs/>
          <w:i/>
        </w:rPr>
        <w:t xml:space="preserve">J Intensive Care Med</w:t>
      </w:r>
      <w:r>
        <w:t xml:space="preserve"> </w:t>
      </w:r>
      <w:r>
        <w:t xml:space="preserve">· A new immunomodulatory therapy for severe sepsis: Ulinastatin Plus Thymosin {alpha} 1. PMID 19033321</w:t>
      </w:r>
    </w:p>
    <w:p>
      <w:pPr>
        <w:numPr>
          <w:ilvl w:val="0"/>
          <w:numId w:val="1391"/>
        </w:numPr>
        <w:pStyle w:val="Compact"/>
      </w:pPr>
      <w:r>
        <w:t xml:space="preserve">2008 · Poo JL ·</w:t>
      </w:r>
      <w:r>
        <w:t xml:space="preserve"> </w:t>
      </w:r>
      <w:r>
        <w:rPr>
          <w:iCs/>
          <w:i/>
        </w:rPr>
        <w:t xml:space="preserve">Ann Hepatol</w:t>
      </w:r>
      <w:r>
        <w:t xml:space="preserve"> </w:t>
      </w:r>
      <w:r>
        <w:t xml:space="preserve">· Efficacy of triple therapy with thymalfasin, peginterferon alpha-2a, and ribavirin for the treatment of hispanic chronic HCV nonresponders. PMID 19034238</w:t>
      </w:r>
    </w:p>
    <w:p>
      <w:pPr>
        <w:numPr>
          <w:ilvl w:val="0"/>
          <w:numId w:val="1391"/>
        </w:numPr>
        <w:pStyle w:val="Compact"/>
      </w:pPr>
      <w:r>
        <w:t xml:space="preserve">2008 · Zheng BX ·</w:t>
      </w:r>
      <w:r>
        <w:t xml:space="preserve"> </w:t>
      </w:r>
      <w:r>
        <w:rPr>
          <w:iCs/>
          <w:i/>
        </w:rPr>
        <w:t xml:space="preserve">Sichuan Da Xue Xue Bao Yi Xue Ban</w:t>
      </w:r>
      <w:r>
        <w:t xml:space="preserve"> </w:t>
      </w:r>
      <w:r>
        <w:t xml:space="preserve">· [The prophylactic effect of thymosin alpha 1 on the acute exacerbation of chronic obstructive pulmonary disease]. PMID 18798500</w:t>
      </w:r>
    </w:p>
    <w:p>
      <w:pPr>
        <w:numPr>
          <w:ilvl w:val="0"/>
          <w:numId w:val="1391"/>
        </w:numPr>
        <w:pStyle w:val="Compact"/>
      </w:pPr>
      <w:r>
        <w:t xml:space="preserve">2008 · Zhang Y ·</w:t>
      </w:r>
      <w:r>
        <w:t xml:space="preserve"> </w:t>
      </w:r>
      <w:r>
        <w:rPr>
          <w:iCs/>
          <w:i/>
        </w:rPr>
        <w:t xml:space="preserve">J Infect Dis</w:t>
      </w:r>
      <w:r>
        <w:t xml:space="preserve"> </w:t>
      </w:r>
      <w:r>
        <w:t xml:space="preserve">· Thymosin alpha1- and ulinastatin-based immunomodulatory strategy for sepsis arising from intra-abdominal infection due to carbapenem-resistant bacteria. PMID 18613793</w:t>
      </w:r>
    </w:p>
    <w:p>
      <w:pPr>
        <w:numPr>
          <w:ilvl w:val="0"/>
          <w:numId w:val="1391"/>
        </w:numPr>
        <w:pStyle w:val="Compact"/>
      </w:pPr>
      <w:r>
        <w:t xml:space="preserve">2008 · Loo WT ·</w:t>
      </w:r>
      <w:r>
        <w:t xml:space="preserve"> </w:t>
      </w:r>
      <w:r>
        <w:rPr>
          <w:iCs/>
          <w:i/>
        </w:rPr>
        <w:t xml:space="preserve">Am J Emerg Med</w:t>
      </w:r>
      <w:r>
        <w:t xml:space="preserve"> </w:t>
      </w:r>
      <w:r>
        <w:t xml:space="preserve">· Thymosin alpha 1 provides short-term and long-term benefits in the reimplantation of avulsed teeth: a double-blind randomized control pilot study. PMID 18534287</w:t>
      </w:r>
    </w:p>
    <w:p>
      <w:pPr>
        <w:numPr>
          <w:ilvl w:val="0"/>
          <w:numId w:val="1391"/>
        </w:numPr>
        <w:pStyle w:val="Compact"/>
      </w:pPr>
      <w:r>
        <w:t xml:space="preserve">2008 · Lee HW ·</w:t>
      </w:r>
      <w:r>
        <w:t xml:space="preserve"> </w:t>
      </w:r>
      <w:r>
        <w:rPr>
          <w:iCs/>
          <w:i/>
        </w:rPr>
        <w:t xml:space="preserve">J Gastroenterol Hepatol</w:t>
      </w:r>
      <w:r>
        <w:t xml:space="preserve"> </w:t>
      </w:r>
      <w:r>
        <w:t xml:space="preserve">· Combination therapy of thymosin alpha-1 and lamivudine for HBeAg positive chronic hepatitis B: A prospective randomized, comparative pilot study. PMID 18410608</w:t>
      </w:r>
    </w:p>
    <w:p>
      <w:pPr>
        <w:numPr>
          <w:ilvl w:val="0"/>
          <w:numId w:val="1391"/>
        </w:numPr>
        <w:pStyle w:val="Compact"/>
      </w:pPr>
      <w:r>
        <w:t xml:space="preserve">2007 · Wang L ·</w:t>
      </w:r>
      <w:r>
        <w:t xml:space="preserve"> </w:t>
      </w:r>
      <w:r>
        <w:rPr>
          <w:iCs/>
          <w:i/>
        </w:rPr>
        <w:t xml:space="preserve">Zhonghua Nei Ke Za Zhi</w:t>
      </w:r>
      <w:r>
        <w:t xml:space="preserve"> </w:t>
      </w:r>
      <w:r>
        <w:t xml:space="preserve">· [Combination therapy of thymosin alpha1 and high dose dexamethasone in patients with chronic idiopathic thrombocytopenic purpura]. PMID 17637261</w:t>
      </w:r>
    </w:p>
    <w:p>
      <w:pPr>
        <w:numPr>
          <w:ilvl w:val="0"/>
          <w:numId w:val="1391"/>
        </w:numPr>
        <w:pStyle w:val="Compact"/>
      </w:pPr>
      <w:r>
        <w:t xml:space="preserve">2007 · Ershler WB ·</w:t>
      </w:r>
      <w:r>
        <w:t xml:space="preserve"> </w:t>
      </w:r>
      <w:r>
        <w:rPr>
          <w:iCs/>
          <w:i/>
        </w:rPr>
        <w:t xml:space="preserve">Ann N Y Acad Sci</w:t>
      </w:r>
      <w:r>
        <w:t xml:space="preserve"> </w:t>
      </w:r>
      <w:r>
        <w:t xml:space="preserve">· Thymosin alpha 1 as an adjunct to influenza vaccination in the elderly: rationale and trial summaries. PMID 17600281</w:t>
      </w:r>
    </w:p>
    <w:p>
      <w:pPr>
        <w:numPr>
          <w:ilvl w:val="0"/>
          <w:numId w:val="1391"/>
        </w:numPr>
        <w:pStyle w:val="Compact"/>
      </w:pPr>
      <w:r>
        <w:t xml:space="preserve">2007 · Cooperative Group of immunomodulatory Therapy of Sepsis ·</w:t>
      </w:r>
      <w:r>
        <w:t xml:space="preserve"> </w:t>
      </w:r>
      <w:r>
        <w:rPr>
          <w:iCs/>
          <w:i/>
        </w:rPr>
        <w:t xml:space="preserve">Zhonghua Yi Xue Za Zhi</w:t>
      </w:r>
      <w:r>
        <w:t xml:space="preserve"> </w:t>
      </w:r>
      <w:r>
        <w:t xml:space="preserve">· [Clinical trial with a new immunomodulatory strategy: treatment of severe sepsis with Ulinastatin and Maipuxin]. PMID 17459221</w:t>
      </w:r>
    </w:p>
    <w:p>
      <w:pPr>
        <w:numPr>
          <w:ilvl w:val="0"/>
          <w:numId w:val="1391"/>
        </w:numPr>
        <w:pStyle w:val="Compact"/>
      </w:pPr>
      <w:r>
        <w:t xml:space="preserve">2007 · Ma LN ·</w:t>
      </w:r>
      <w:r>
        <w:t xml:space="preserve"> </w:t>
      </w:r>
      <w:r>
        <w:rPr>
          <w:iCs/>
          <w:i/>
        </w:rPr>
        <w:t xml:space="preserve">Zhonghua Gan Zang Bing Za Zhi</w:t>
      </w:r>
      <w:r>
        <w:t xml:space="preserve"> </w:t>
      </w:r>
      <w:r>
        <w:t xml:space="preserve">· [A clinical study of thymosin alpha1 as an auxiliary in treating spontaneous peritonitis in patients with liver cirrhosis]. PMID 17407720</w:t>
      </w:r>
    </w:p>
    <w:p>
      <w:pPr>
        <w:numPr>
          <w:ilvl w:val="0"/>
          <w:numId w:val="1391"/>
        </w:numPr>
        <w:pStyle w:val="Compact"/>
      </w:pPr>
      <w:r>
        <w:t xml:space="preserve">2007 · Chen J ·</w:t>
      </w:r>
      <w:r>
        <w:t xml:space="preserve"> </w:t>
      </w:r>
      <w:r>
        <w:rPr>
          <w:iCs/>
          <w:i/>
        </w:rPr>
        <w:t xml:space="preserve">Zhongguo Wei Zhong Bing Ji Jiu Yi Xue</w:t>
      </w:r>
      <w:r>
        <w:t xml:space="preserve"> </w:t>
      </w:r>
      <w:r>
        <w:t xml:space="preserve">· [Effects of thymosin-alpha1 on cell immunity function in patients with septic shock]. PMID 17376268</w:t>
      </w:r>
    </w:p>
    <w:p>
      <w:pPr>
        <w:numPr>
          <w:ilvl w:val="0"/>
          <w:numId w:val="1391"/>
        </w:numPr>
        <w:pStyle w:val="Compact"/>
      </w:pPr>
      <w:r>
        <w:t xml:space="preserve">2006 · Chien RN ·</w:t>
      </w:r>
      <w:r>
        <w:t xml:space="preserve"> </w:t>
      </w:r>
      <w:r>
        <w:rPr>
          <w:iCs/>
          <w:i/>
        </w:rPr>
        <w:t xml:space="preserve">J Viral Hepat</w:t>
      </w:r>
      <w:r>
        <w:t xml:space="preserve"> </w:t>
      </w:r>
      <w:r>
        <w:t xml:space="preserve">· Hepatitis B virus genotype B is associated with better response to thymosin alpha1 therapy than genotype C. PMID 17109685</w:t>
      </w:r>
    </w:p>
    <w:p>
      <w:pPr>
        <w:numPr>
          <w:ilvl w:val="0"/>
          <w:numId w:val="1391"/>
        </w:numPr>
        <w:pStyle w:val="Compact"/>
      </w:pPr>
      <w:r>
        <w:t xml:space="preserve">2006 · Huang SW ·</w:t>
      </w:r>
      <w:r>
        <w:t xml:space="preserve"> </w:t>
      </w:r>
      <w:r>
        <w:rPr>
          <w:iCs/>
          <w:i/>
        </w:rPr>
        <w:t xml:space="preserve">Zhongguo Wei Zhong Bing Ji Jiu Yi Xue</w:t>
      </w:r>
      <w:r>
        <w:t xml:space="preserve"> </w:t>
      </w:r>
      <w:r>
        <w:t xml:space="preserve">· [Clinical study and long-term evaluation of immunomodulation therapy on trauma, severe sepsis and multiple organ dysfunction syndrome patients]. PMID 17092412</w:t>
      </w:r>
    </w:p>
    <w:p>
      <w:pPr>
        <w:numPr>
          <w:ilvl w:val="0"/>
          <w:numId w:val="1391"/>
        </w:numPr>
        <w:pStyle w:val="Compact"/>
      </w:pPr>
      <w:r>
        <w:t xml:space="preserve">2006 · You J ·</w:t>
      </w:r>
      <w:r>
        <w:t xml:space="preserve"> </w:t>
      </w:r>
      <w:r>
        <w:rPr>
          <w:iCs/>
          <w:i/>
        </w:rPr>
        <w:t xml:space="preserve">World J Gastroenterol</w:t>
      </w:r>
      <w:r>
        <w:t xml:space="preserve"> </w:t>
      </w:r>
      <w:r>
        <w:t xml:space="preserve">· Efficacy of thymosin alpha-1 and interferon alpha in treatment of chronic viral hepatitis B: a randomized controlled study. PMID 17075991</w:t>
      </w:r>
    </w:p>
    <w:p>
      <w:pPr>
        <w:numPr>
          <w:ilvl w:val="0"/>
          <w:numId w:val="1391"/>
        </w:numPr>
        <w:pStyle w:val="Compact"/>
      </w:pPr>
      <w:r>
        <w:t xml:space="preserve">2006 · Lim SG ·</w:t>
      </w:r>
      <w:r>
        <w:t xml:space="preserve"> </w:t>
      </w:r>
      <w:r>
        <w:rPr>
          <w:iCs/>
          <w:i/>
        </w:rPr>
        <w:t xml:space="preserve">Antivir Ther</w:t>
      </w:r>
      <w:r>
        <w:t xml:space="preserve"> </w:t>
      </w:r>
      <w:r>
        <w:t xml:space="preserve">· A randomized, placebo-controlled trial of thymosin-alpha1 and lymphoblastoid interferon for HBeAg-positive chronic hepatitis B. PMID 16640105</w:t>
      </w:r>
    </w:p>
    <w:p>
      <w:pPr>
        <w:numPr>
          <w:ilvl w:val="0"/>
          <w:numId w:val="1391"/>
        </w:numPr>
        <w:pStyle w:val="Compact"/>
      </w:pPr>
      <w:r>
        <w:t xml:space="preserve">2006 · Shuqun C ·</w:t>
      </w:r>
      <w:r>
        <w:t xml:space="preserve"> </w:t>
      </w:r>
      <w:r>
        <w:rPr>
          <w:iCs/>
          <w:i/>
        </w:rPr>
        <w:t xml:space="preserve">Hepatogastroenterology</w:t>
      </w:r>
      <w:r>
        <w:t xml:space="preserve"> </w:t>
      </w:r>
      <w:r>
        <w:t xml:space="preserve">· Antiviral therapy using lamivudine and thymosin alpha1 for hepatocellular carcinoma coexisting with chronic hepatitis B infection. PMID 16608033</w:t>
      </w:r>
    </w:p>
    <w:p>
      <w:pPr>
        <w:numPr>
          <w:ilvl w:val="0"/>
          <w:numId w:val="1391"/>
        </w:numPr>
        <w:pStyle w:val="Compact"/>
      </w:pPr>
      <w:r>
        <w:t xml:space="preserve">2006 · Huang DP ·</w:t>
      </w:r>
      <w:r>
        <w:t xml:space="preserve"> </w:t>
      </w:r>
      <w:r>
        <w:rPr>
          <w:iCs/>
          <w:i/>
        </w:rPr>
        <w:t xml:space="preserve">Nan Fang Yi Ke Da Xue Xue Bao</w:t>
      </w:r>
      <w:r>
        <w:t xml:space="preserve"> </w:t>
      </w:r>
      <w:r>
        <w:t xml:space="preserve">· [Prevention and management of lung infections with thymosin alpha1 in critical patients with tracheotomy]. PMID 16495194</w:t>
      </w:r>
    </w:p>
    <w:p>
      <w:pPr>
        <w:numPr>
          <w:ilvl w:val="0"/>
          <w:numId w:val="1391"/>
        </w:numPr>
        <w:pStyle w:val="Compact"/>
      </w:pPr>
      <w:r>
        <w:t xml:space="preserve">2005 · Cui SN ·</w:t>
      </w:r>
      <w:r>
        <w:t xml:space="preserve"> </w:t>
      </w:r>
      <w:r>
        <w:rPr>
          <w:iCs/>
          <w:i/>
        </w:rPr>
        <w:t xml:space="preserve">Zhonghua Shi Yan He Lin Chuang Bing Du Xue Za Zhi</w:t>
      </w:r>
      <w:r>
        <w:t xml:space="preserve"> </w:t>
      </w:r>
      <w:r>
        <w:t xml:space="preserve">· [Antiviral therapy of chronic hepatitis B patients resistant to lamivudine]. PMID 16416004</w:t>
      </w:r>
    </w:p>
    <w:p>
      <w:pPr>
        <w:numPr>
          <w:ilvl w:val="0"/>
          <w:numId w:val="1391"/>
        </w:numPr>
        <w:pStyle w:val="Compact"/>
      </w:pPr>
      <w:r>
        <w:t xml:space="preserve">2005 · Cheng SQ ·</w:t>
      </w:r>
      <w:r>
        <w:t xml:space="preserve"> </w:t>
      </w:r>
      <w:r>
        <w:rPr>
          <w:iCs/>
          <w:i/>
        </w:rPr>
        <w:t xml:space="preserve">Zhonghua Zhong Liu Za Zhi</w:t>
      </w:r>
      <w:r>
        <w:t xml:space="preserve"> </w:t>
      </w:r>
      <w:r>
        <w:t xml:space="preserve">· [Anti-viral therapy using lamivudine and thymosin is helpful to prevent recurrence in hepatocellular carcinoma with coexisting active hepatitis B]. PMID 15946554</w:t>
      </w:r>
    </w:p>
    <w:p>
      <w:pPr>
        <w:numPr>
          <w:ilvl w:val="0"/>
          <w:numId w:val="1391"/>
        </w:numPr>
        <w:pStyle w:val="Compact"/>
      </w:pPr>
      <w:r>
        <w:t xml:space="preserve">2005 · Iino S ·</w:t>
      </w:r>
      <w:r>
        <w:t xml:space="preserve"> </w:t>
      </w:r>
      <w:r>
        <w:rPr>
          <w:iCs/>
          <w:i/>
        </w:rPr>
        <w:t xml:space="preserve">J Viral Hepat</w:t>
      </w:r>
      <w:r>
        <w:t xml:space="preserve"> </w:t>
      </w:r>
      <w:r>
        <w:t xml:space="preserve">· The efficacy and safety of thymosin alpha-1 in Japanese patients with chronic hepatitis B; results from a randomized clinical trial. PMID 15850471</w:t>
      </w:r>
    </w:p>
    <w:p>
      <w:pPr>
        <w:numPr>
          <w:ilvl w:val="0"/>
          <w:numId w:val="1391"/>
        </w:numPr>
        <w:pStyle w:val="Compact"/>
      </w:pPr>
      <w:r>
        <w:t xml:space="preserve">2005 · You J ·</w:t>
      </w:r>
      <w:r>
        <w:t xml:space="preserve"> </w:t>
      </w:r>
      <w:r>
        <w:rPr>
          <w:iCs/>
          <w:i/>
        </w:rPr>
        <w:t xml:space="preserve">J Chin Med Assoc</w:t>
      </w:r>
      <w:r>
        <w:t xml:space="preserve"> </w:t>
      </w:r>
      <w:r>
        <w:t xml:space="preserve">· A randomized, controlled, clinical study of thymosin alpha-1 versus interferon-alpha in [corrected] patients with chronic hepatitis B lacking HBeAg in China [corrected]. PMID 15759817</w:t>
      </w:r>
    </w:p>
    <w:p>
      <w:pPr>
        <w:numPr>
          <w:ilvl w:val="0"/>
          <w:numId w:val="1391"/>
        </w:numPr>
        <w:pStyle w:val="Compact"/>
      </w:pPr>
      <w:r>
        <w:t xml:space="preserve">2004 · Rustgi V ·</w:t>
      </w:r>
      <w:r>
        <w:t xml:space="preserve"> </w:t>
      </w:r>
      <w:r>
        <w:rPr>
          <w:iCs/>
          <w:i/>
        </w:rPr>
        <w:t xml:space="preserve">J Gastroenterol Hepatol</w:t>
      </w:r>
      <w:r>
        <w:t xml:space="preserve"> </w:t>
      </w:r>
      <w:r>
        <w:t xml:space="preserve">· Combination therapy of thymalfasin (thymosin-alpha 1) and peginterferon alfa-2a in patients with chronic hepatitis C virus infection who are non-responders to standard treatment. PMID 15641209</w:t>
      </w:r>
    </w:p>
    <w:p>
      <w:pPr>
        <w:numPr>
          <w:ilvl w:val="0"/>
          <w:numId w:val="1391"/>
        </w:numPr>
        <w:pStyle w:val="Compact"/>
      </w:pPr>
      <w:r>
        <w:t xml:space="preserve">2004 · Poo JL ·</w:t>
      </w:r>
      <w:r>
        <w:t xml:space="preserve"> </w:t>
      </w:r>
      <w:r>
        <w:rPr>
          <w:iCs/>
          <w:i/>
        </w:rPr>
        <w:t xml:space="preserve">J Gastroenterol Hepatol</w:t>
      </w:r>
      <w:r>
        <w:t xml:space="preserve"> </w:t>
      </w:r>
      <w:r>
        <w:t xml:space="preserve">· Triple combination of thymalfasin, peginterferon alfa-2a and ribavirin in patients with chronic hepatitis C who have failed prior interferon and ribavirin treatment: 24-week interim results of a pilot study. PMID 15546256</w:t>
      </w:r>
    </w:p>
    <w:p>
      <w:pPr>
        <w:numPr>
          <w:ilvl w:val="0"/>
          <w:numId w:val="1391"/>
        </w:numPr>
        <w:pStyle w:val="Compact"/>
      </w:pPr>
      <w:r>
        <w:t xml:space="preserve">2004 · Rustgi V ·</w:t>
      </w:r>
      <w:r>
        <w:t xml:space="preserve"> </w:t>
      </w:r>
      <w:r>
        <w:rPr>
          <w:iCs/>
          <w:i/>
        </w:rPr>
        <w:t xml:space="preserve">J Gastroenterol Hepatol</w:t>
      </w:r>
      <w:r>
        <w:t xml:space="preserve"> </w:t>
      </w:r>
      <w:r>
        <w:t xml:space="preserve">· Combination therapy of thymalfasin (thymosin-alpha 1) and peginterferon alfa-2a in patients with chronic hepatitis C virus infection who are non-responders to standard treatment. PMID 15546255</w:t>
      </w:r>
    </w:p>
    <w:p>
      <w:pPr>
        <w:numPr>
          <w:ilvl w:val="0"/>
          <w:numId w:val="1391"/>
        </w:numPr>
        <w:pStyle w:val="Compact"/>
      </w:pPr>
      <w:r>
        <w:t xml:space="preserve">2004 · Chien RN ·</w:t>
      </w:r>
      <w:r>
        <w:t xml:space="preserve"> </w:t>
      </w:r>
      <w:r>
        <w:rPr>
          <w:iCs/>
          <w:i/>
        </w:rPr>
        <w:t xml:space="preserve">Expert Rev Anti Infect Ther</w:t>
      </w:r>
      <w:r>
        <w:t xml:space="preserve"> </w:t>
      </w:r>
      <w:r>
        <w:t xml:space="preserve">· Thymalfasin for the treatment of chronic hepatitis B. PMID 15482167</w:t>
      </w:r>
    </w:p>
    <w:p>
      <w:pPr>
        <w:numPr>
          <w:ilvl w:val="0"/>
          <w:numId w:val="1391"/>
        </w:numPr>
        <w:pStyle w:val="Compact"/>
      </w:pPr>
      <w:r>
        <w:t xml:space="preserve">2004 · Shuqun C ·</w:t>
      </w:r>
      <w:r>
        <w:t xml:space="preserve"> </w:t>
      </w:r>
      <w:r>
        <w:rPr>
          <w:iCs/>
          <w:i/>
        </w:rPr>
        <w:t xml:space="preserve">Hepatogastroenterology</w:t>
      </w:r>
      <w:r>
        <w:t xml:space="preserve"> </w:t>
      </w:r>
      <w:r>
        <w:t xml:space="preserve">· Combination transcatheter hepatic arterial chemoembolization with thymosin alpha1 on recurrence prevention of hepatocellular carcinoma. PMID 15362772</w:t>
      </w:r>
    </w:p>
    <w:p>
      <w:pPr>
        <w:numPr>
          <w:ilvl w:val="0"/>
          <w:numId w:val="1391"/>
        </w:numPr>
        <w:pStyle w:val="Compact"/>
      </w:pPr>
      <w:r>
        <w:t xml:space="preserve">2004 · Lei CL ·</w:t>
      </w:r>
      <w:r>
        <w:t xml:space="preserve"> </w:t>
      </w:r>
      <w:r>
        <w:rPr>
          <w:iCs/>
          <w:i/>
        </w:rPr>
        <w:t xml:space="preserve">Zhonghua Shi Yan He Lin Chuang Bing Du Xue Za Zhi</w:t>
      </w:r>
      <w:r>
        <w:t xml:space="preserve"> </w:t>
      </w:r>
      <w:r>
        <w:t xml:space="preserve">· [Clinical trial of sequential antiviral therapy for patients with chronic hepatitis B in China]. PMID 15340532</w:t>
      </w:r>
    </w:p>
    <w:p>
      <w:pPr>
        <w:numPr>
          <w:ilvl w:val="0"/>
          <w:numId w:val="1391"/>
        </w:numPr>
        <w:pStyle w:val="Compact"/>
      </w:pPr>
      <w:r>
        <w:t xml:space="preserve">2004 · Cheng SQ ·</w:t>
      </w:r>
      <w:r>
        <w:t xml:space="preserve"> </w:t>
      </w:r>
      <w:r>
        <w:rPr>
          <w:iCs/>
          <w:i/>
        </w:rPr>
        <w:t xml:space="preserve">Zhonghua Zhong Liu Za Zhi</w:t>
      </w:r>
      <w:r>
        <w:t xml:space="preserve"> </w:t>
      </w:r>
      <w:r>
        <w:t xml:space="preserve">· [Transcatheter hepatic arterial chemoembolization and thymosin alpha1 in postoperative treatment of hepatocellular carcinoma]. PMID 15312371</w:t>
      </w:r>
    </w:p>
    <w:p>
      <w:pPr>
        <w:numPr>
          <w:ilvl w:val="0"/>
          <w:numId w:val="1391"/>
        </w:numPr>
        <w:pStyle w:val="Compact"/>
      </w:pPr>
      <w:r>
        <w:t xml:space="preserve">2004 · Andreone P ·</w:t>
      </w:r>
      <w:r>
        <w:t xml:space="preserve"> </w:t>
      </w:r>
      <w:r>
        <w:rPr>
          <w:iCs/>
          <w:i/>
        </w:rPr>
        <w:t xml:space="preserve">J Viral Hepat</w:t>
      </w:r>
      <w:r>
        <w:t xml:space="preserve"> </w:t>
      </w:r>
      <w:r>
        <w:t xml:space="preserve">· Thymosin-alpha 1 plus interferon-alpha for naive patients with chronic hepatitis C: results of a randomized controlled pilot trial. PMID 14738560</w:t>
      </w:r>
    </w:p>
    <w:p>
      <w:pPr>
        <w:numPr>
          <w:ilvl w:val="0"/>
          <w:numId w:val="1391"/>
        </w:numPr>
        <w:pStyle w:val="Compact"/>
      </w:pPr>
      <w:r>
        <w:t xml:space="preserve">2003 · Chadwick D ·</w:t>
      </w:r>
      <w:r>
        <w:t xml:space="preserve"> </w:t>
      </w:r>
      <w:r>
        <w:rPr>
          <w:iCs/>
          <w:i/>
        </w:rPr>
        <w:t xml:space="preserve">Clin Exp Immunol</w:t>
      </w:r>
      <w:r>
        <w:t xml:space="preserve"> </w:t>
      </w:r>
      <w:r>
        <w:t xml:space="preserve">· A pilot study of the safety and efficacy of thymosin alpha 1 in augmenting immune reconstitution in HIV-infected patients with low CD4 counts taking highly active antiretroviral therapy. PMID 14632754</w:t>
      </w:r>
    </w:p>
    <w:p>
      <w:pPr>
        <w:numPr>
          <w:ilvl w:val="0"/>
          <w:numId w:val="1391"/>
        </w:numPr>
        <w:pStyle w:val="Compact"/>
      </w:pPr>
      <w:r>
        <w:t xml:space="preserve">2003 · Arase Y ·</w:t>
      </w:r>
      <w:r>
        <w:t xml:space="preserve"> </w:t>
      </w:r>
      <w:r>
        <w:rPr>
          <w:iCs/>
          <w:i/>
        </w:rPr>
        <w:t xml:space="preserve">Intern Med</w:t>
      </w:r>
      <w:r>
        <w:t xml:space="preserve"> </w:t>
      </w:r>
      <w:r>
        <w:t xml:space="preserve">· A pilot study of thymosin alpha1 therapy for chronic hepatitis B patients. PMID 14606705</w:t>
      </w:r>
    </w:p>
    <w:p>
      <w:pPr>
        <w:numPr>
          <w:ilvl w:val="0"/>
          <w:numId w:val="1391"/>
        </w:numPr>
        <w:pStyle w:val="Compact"/>
      </w:pPr>
      <w:r>
        <w:t xml:space="preserve">2003 · Saruc M ·</w:t>
      </w:r>
      <w:r>
        <w:t xml:space="preserve"> </w:t>
      </w:r>
      <w:r>
        <w:rPr>
          <w:iCs/>
          <w:i/>
        </w:rPr>
        <w:t xml:space="preserve">J Pharm Sci</w:t>
      </w:r>
      <w:r>
        <w:t xml:space="preserve"> </w:t>
      </w:r>
      <w:r>
        <w:t xml:space="preserve">· Long-term outcomes of thymosin-alpha 1 and interferon alpha-2b combination therapy in patients with hepatitis B e antigen (HBeAg) negative chronic hepatitis B. PMID 12820143</w:t>
      </w:r>
    </w:p>
    <w:p>
      <w:pPr>
        <w:numPr>
          <w:ilvl w:val="0"/>
          <w:numId w:val="1391"/>
        </w:numPr>
        <w:pStyle w:val="Compact"/>
      </w:pPr>
      <w:r>
        <w:t xml:space="preserve">2002 · Lau GK ·</w:t>
      </w:r>
      <w:r>
        <w:t xml:space="preserve"> </w:t>
      </w:r>
      <w:r>
        <w:rPr>
          <w:iCs/>
          <w:i/>
        </w:rPr>
        <w:t xml:space="preserve">J Viral Hepat</w:t>
      </w:r>
      <w:r>
        <w:t xml:space="preserve"> </w:t>
      </w:r>
      <w:r>
        <w:t xml:space="preserve">· Thymosin-alpha1 and famciclovir combination therapy activates T-cell response in patients with chronic hepatitis B virus infection in immune-tolerant phase. PMID 12081605</w:t>
      </w:r>
    </w:p>
    <w:p>
      <w:pPr>
        <w:numPr>
          <w:ilvl w:val="0"/>
          <w:numId w:val="1391"/>
        </w:numPr>
        <w:pStyle w:val="Compact"/>
      </w:pPr>
      <w:r>
        <w:t xml:space="preserve">2002 · Amarapurkar D ·</w:t>
      </w:r>
      <w:r>
        <w:t xml:space="preserve"> </w:t>
      </w:r>
      <w:r>
        <w:rPr>
          <w:iCs/>
          <w:i/>
        </w:rPr>
        <w:t xml:space="preserve">Indian J Gastroenterol</w:t>
      </w:r>
      <w:r>
        <w:t xml:space="preserve"> </w:t>
      </w:r>
      <w:r>
        <w:t xml:space="preserve">· Thymosin alpha in the treatment of chronic hepatitis B: an uncontrolled open-label trial. PMID 11990327</w:t>
      </w:r>
    </w:p>
    <w:p>
      <w:pPr>
        <w:numPr>
          <w:ilvl w:val="0"/>
          <w:numId w:val="1391"/>
        </w:numPr>
        <w:pStyle w:val="Compact"/>
      </w:pPr>
      <w:r>
        <w:t xml:space="preserve">2001 · Kullavanuaya P ·</w:t>
      </w:r>
      <w:r>
        <w:t xml:space="preserve"> </w:t>
      </w:r>
      <w:r>
        <w:rPr>
          <w:iCs/>
          <w:i/>
        </w:rPr>
        <w:t xml:space="preserve">J Med Assoc Thai</w:t>
      </w:r>
      <w:r>
        <w:t xml:space="preserve"> </w:t>
      </w:r>
      <w:r>
        <w:t xml:space="preserve">· The combined treatment of interferon alpha-2a and thymosin alpha 1 for chronic hepatitis C: the 48 weeks end of treatment results. PMID 11529376</w:t>
      </w:r>
    </w:p>
    <w:p>
      <w:pPr>
        <w:numPr>
          <w:ilvl w:val="0"/>
          <w:numId w:val="1391"/>
        </w:numPr>
        <w:pStyle w:val="Compact"/>
      </w:pPr>
      <w:r>
        <w:t xml:space="preserve">2000 · Rasi G ·</w:t>
      </w:r>
      <w:r>
        <w:t xml:space="preserve"> </w:t>
      </w:r>
      <w:r>
        <w:rPr>
          <w:iCs/>
          <w:i/>
        </w:rPr>
        <w:t xml:space="preserve">Melanoma Res</w:t>
      </w:r>
      <w:r>
        <w:t xml:space="preserve"> </w:t>
      </w:r>
      <w:r>
        <w:t xml:space="preserve">· Combined treatment with thymosin-alpha1 and low dose interferon-alpha after dacarbazine in advanced melanoma. PMID 10803720</w:t>
      </w:r>
    </w:p>
    <w:p>
      <w:pPr>
        <w:numPr>
          <w:ilvl w:val="0"/>
          <w:numId w:val="1391"/>
        </w:numPr>
        <w:pStyle w:val="Compact"/>
      </w:pPr>
      <w:r>
        <w:t xml:space="preserve">2000 · Zavaglia C ·</w:t>
      </w:r>
      <w:r>
        <w:t xml:space="preserve"> </w:t>
      </w:r>
      <w:r>
        <w:rPr>
          <w:iCs/>
          <w:i/>
        </w:rPr>
        <w:t xml:space="preserve">Dig Dis Sci</w:t>
      </w:r>
      <w:r>
        <w:t xml:space="preserve"> </w:t>
      </w:r>
      <w:r>
        <w:t xml:space="preserve">· A randomized, controlled study of thymosin-alpha1 therapy in patients with anti-HBe, HBV-DNA-positive chronic hepatitis B. PMID 10759236</w:t>
      </w:r>
    </w:p>
    <w:p>
      <w:pPr>
        <w:numPr>
          <w:ilvl w:val="0"/>
          <w:numId w:val="1391"/>
        </w:numPr>
        <w:pStyle w:val="Compact"/>
      </w:pPr>
      <w:r>
        <w:t xml:space="preserve">2000 · Molinero P ·</w:t>
      </w:r>
      <w:r>
        <w:t xml:space="preserve"> </w:t>
      </w:r>
      <w:r>
        <w:rPr>
          <w:iCs/>
          <w:i/>
        </w:rPr>
        <w:t xml:space="preserve">J Neuroimmunol</w:t>
      </w:r>
      <w:r>
        <w:t xml:space="preserve"> </w:t>
      </w:r>
      <w:r>
        <w:t xml:space="preserve">· Melatonin is responsible for the nocturnal increase observed in serum and thymus of thymosin alpha1 and thymulin concentrations: observations in rats and humans. PMID 10696913</w:t>
      </w:r>
    </w:p>
    <w:p>
      <w:pPr>
        <w:numPr>
          <w:ilvl w:val="0"/>
          <w:numId w:val="1391"/>
        </w:numPr>
        <w:pStyle w:val="Compact"/>
      </w:pPr>
      <w:r>
        <w:t xml:space="preserve">1999 · Mutchnick MG ·</w:t>
      </w:r>
      <w:r>
        <w:t xml:space="preserve"> </w:t>
      </w:r>
      <w:r>
        <w:rPr>
          <w:iCs/>
          <w:i/>
        </w:rPr>
        <w:t xml:space="preserve">J Viral Hepat</w:t>
      </w:r>
      <w:r>
        <w:t xml:space="preserve"> </w:t>
      </w:r>
      <w:r>
        <w:t xml:space="preserve">· Thymosin alpha1 treatment of chronic hepatitis B: results of a phase III multicentre, randomized, double-blind and placebo-controlled study. PMID 10607256</w:t>
      </w:r>
    </w:p>
    <w:p>
      <w:pPr>
        <w:numPr>
          <w:ilvl w:val="0"/>
          <w:numId w:val="1391"/>
        </w:numPr>
        <w:pStyle w:val="Compact"/>
      </w:pPr>
      <w:r>
        <w:t xml:space="preserve">1999 · Rost KL ·</w:t>
      </w:r>
      <w:r>
        <w:t xml:space="preserve"> </w:t>
      </w:r>
      <w:r>
        <w:rPr>
          <w:iCs/>
          <w:i/>
        </w:rPr>
        <w:t xml:space="preserve">Int J Clin Pharmacol Ther</w:t>
      </w:r>
      <w:r>
        <w:t xml:space="preserve"> </w:t>
      </w:r>
      <w:r>
        <w:t xml:space="preserve">· Pharmacokinetics of thymosin alpha1 after subcutaneous injection of three different formulations in healthy volunteers. PMID 10027483</w:t>
      </w:r>
    </w:p>
    <w:p>
      <w:pPr>
        <w:numPr>
          <w:ilvl w:val="0"/>
          <w:numId w:val="1391"/>
        </w:numPr>
        <w:pStyle w:val="Compact"/>
      </w:pPr>
      <w:r>
        <w:t xml:space="preserve">1998 · Moscarella S ·</w:t>
      </w:r>
      <w:r>
        <w:t xml:space="preserve"> </w:t>
      </w:r>
      <w:r>
        <w:rPr>
          <w:iCs/>
          <w:i/>
        </w:rPr>
        <w:t xml:space="preserve">Liver</w:t>
      </w:r>
      <w:r>
        <w:t xml:space="preserve"> </w:t>
      </w:r>
      <w:r>
        <w:t xml:space="preserve">· Interferon and thymosin combination therapy in naive patients with chronic hepatitis C: preliminary results. PMID 9831367</w:t>
      </w:r>
    </w:p>
    <w:p>
      <w:pPr>
        <w:numPr>
          <w:ilvl w:val="0"/>
          <w:numId w:val="1391"/>
        </w:numPr>
        <w:pStyle w:val="Compact"/>
      </w:pPr>
      <w:r>
        <w:t xml:space="preserve">1998 · Chien RN ·</w:t>
      </w:r>
      <w:r>
        <w:t xml:space="preserve"> </w:t>
      </w:r>
      <w:r>
        <w:rPr>
          <w:iCs/>
          <w:i/>
        </w:rPr>
        <w:t xml:space="preserve">Hepatology</w:t>
      </w:r>
      <w:r>
        <w:t xml:space="preserve"> </w:t>
      </w:r>
      <w:r>
        <w:t xml:space="preserve">· Efficacy of thymosin alpha1 in patients with chronic hepatitis B: a randomized, controlled trial. PMID 9581695</w:t>
      </w:r>
    </w:p>
    <w:p>
      <w:pPr>
        <w:numPr>
          <w:ilvl w:val="0"/>
          <w:numId w:val="1391"/>
        </w:numPr>
        <w:pStyle w:val="Compact"/>
      </w:pPr>
      <w:r>
        <w:t xml:space="preserve">1998 · Sherman KE ·</w:t>
      </w:r>
      <w:r>
        <w:t xml:space="preserve"> </w:t>
      </w:r>
      <w:r>
        <w:rPr>
          <w:iCs/>
          <w:i/>
        </w:rPr>
        <w:t xml:space="preserve">Hepatology</w:t>
      </w:r>
      <w:r>
        <w:t xml:space="preserve"> </w:t>
      </w:r>
      <w:r>
        <w:t xml:space="preserve">· Combination therapy with thymosin alpha1 and interferon for the treatment of chronic hepatitis C infection: a randomized, placebo-controlled double-blind trial. PMID 9537454</w:t>
      </w:r>
    </w:p>
    <w:p>
      <w:pPr>
        <w:numPr>
          <w:ilvl w:val="0"/>
          <w:numId w:val="1391"/>
        </w:numPr>
        <w:pStyle w:val="Compact"/>
      </w:pPr>
      <w:r>
        <w:t xml:space="preserve">1996 · Zavaglia C ·</w:t>
      </w:r>
      <w:r>
        <w:t xml:space="preserve"> </w:t>
      </w:r>
      <w:r>
        <w:rPr>
          <w:iCs/>
          <w:i/>
        </w:rPr>
        <w:t xml:space="preserve">J Clin Gastroenterol</w:t>
      </w:r>
      <w:r>
        <w:t xml:space="preserve"> </w:t>
      </w:r>
      <w:r>
        <w:t xml:space="preserve">· A pilot study of thymosin-alpha 1 therapy for chronic hepatitis D. PMID 8877652</w:t>
      </w:r>
    </w:p>
    <w:p>
      <w:pPr>
        <w:numPr>
          <w:ilvl w:val="0"/>
          <w:numId w:val="1391"/>
        </w:numPr>
        <w:pStyle w:val="Compact"/>
      </w:pPr>
      <w:r>
        <w:t xml:space="preserve">1996 · Andreone P ·</w:t>
      </w:r>
      <w:r>
        <w:t xml:space="preserve"> </w:t>
      </w:r>
      <w:r>
        <w:rPr>
          <w:iCs/>
          <w:i/>
        </w:rPr>
        <w:t xml:space="preserve">Liver</w:t>
      </w:r>
      <w:r>
        <w:t xml:space="preserve"> </w:t>
      </w:r>
      <w:r>
        <w:t xml:space="preserve">· A double-blind, placebo-controlled, pilot trial of thymosin alpha 1 for the treatment of chronic hepatitis C. PMID 8873009</w:t>
      </w:r>
    </w:p>
    <w:p>
      <w:pPr>
        <w:numPr>
          <w:ilvl w:val="0"/>
          <w:numId w:val="1391"/>
        </w:numPr>
        <w:pStyle w:val="Compact"/>
      </w:pPr>
      <w:r>
        <w:t xml:space="preserve">1996 · Rasi G ·</w:t>
      </w:r>
      <w:r>
        <w:t xml:space="preserve"> </w:t>
      </w:r>
      <w:r>
        <w:rPr>
          <w:iCs/>
          <w:i/>
        </w:rPr>
        <w:t xml:space="preserve">J Viral Hepat</w:t>
      </w:r>
      <w:r>
        <w:t xml:space="preserve"> </w:t>
      </w:r>
      <w:r>
        <w:t xml:space="preserve">· Combination low-dose lymphoblastoid interferon and thymosin alpha 1 therapy in the treatment of chronic hepatitis B. PMID 8871880</w:t>
      </w:r>
    </w:p>
    <w:p>
      <w:pPr>
        <w:numPr>
          <w:ilvl w:val="0"/>
          <w:numId w:val="1391"/>
        </w:numPr>
        <w:pStyle w:val="Compact"/>
      </w:pPr>
      <w:r>
        <w:t xml:space="preserve">1996 · Andreone P ·</w:t>
      </w:r>
      <w:r>
        <w:t xml:space="preserve"> </w:t>
      </w:r>
      <w:r>
        <w:rPr>
          <w:iCs/>
          <w:i/>
        </w:rPr>
        <w:t xml:space="preserve">Hepatology</w:t>
      </w:r>
      <w:r>
        <w:t xml:space="preserve"> </w:t>
      </w:r>
      <w:r>
        <w:t xml:space="preserve">· A randomized controlled trial of thymosin-alpha1 versus interferon alfa treatment in patients with hepatitis B e antigen antibody–and hepatitis B virus DNA–positive chronic hepatitis B. PMID 8855175</w:t>
      </w:r>
    </w:p>
    <w:p>
      <w:pPr>
        <w:numPr>
          <w:ilvl w:val="0"/>
          <w:numId w:val="1391"/>
        </w:numPr>
        <w:pStyle w:val="Compact"/>
      </w:pPr>
      <w:r>
        <w:t xml:space="preserve">1996 · Salvati F ·</w:t>
      </w:r>
      <w:r>
        <w:t xml:space="preserve"> </w:t>
      </w:r>
      <w:r>
        <w:rPr>
          <w:iCs/>
          <w:i/>
        </w:rPr>
        <w:t xml:space="preserve">Anticancer Res</w:t>
      </w:r>
      <w:r>
        <w:t xml:space="preserve"> </w:t>
      </w:r>
      <w:r>
        <w:t xml:space="preserve">· Combined treatment with thymosin-alpha1 and low-dose interferon-alpha after ifosfamide in non-small cell lung cancer: a phase-II controlled trial. PMID 8687090</w:t>
      </w:r>
    </w:p>
    <w:p>
      <w:pPr>
        <w:numPr>
          <w:ilvl w:val="0"/>
          <w:numId w:val="1391"/>
        </w:numPr>
        <w:pStyle w:val="Compact"/>
      </w:pPr>
      <w:r>
        <w:t xml:space="preserve">1996 · Ramachandran R ·</w:t>
      </w:r>
      <w:r>
        <w:t xml:space="preserve"> </w:t>
      </w:r>
      <w:r>
        <w:rPr>
          <w:iCs/>
          <w:i/>
        </w:rPr>
        <w:t xml:space="preserve">J Infect Dis</w:t>
      </w:r>
      <w:r>
        <w:t xml:space="preserve"> </w:t>
      </w:r>
      <w:r>
        <w:t xml:space="preserve">· Polyethylene glycol-modified interleukin-2 and thymosin alpha 1 in human immunodeficiency virus type 1 infection. PMID 8603940</w:t>
      </w:r>
    </w:p>
    <w:p>
      <w:pPr>
        <w:numPr>
          <w:ilvl w:val="0"/>
          <w:numId w:val="1391"/>
        </w:numPr>
        <w:pStyle w:val="Compact"/>
      </w:pPr>
      <w:r>
        <w:t xml:space="preserve">1995 · Garaci E ·</w:t>
      </w:r>
      <w:r>
        <w:t xml:space="preserve"> </w:t>
      </w:r>
      <w:r>
        <w:rPr>
          <w:iCs/>
          <w:i/>
        </w:rPr>
        <w:t xml:space="preserve">Eur J Cancer</w:t>
      </w:r>
      <w:r>
        <w:t xml:space="preserve"> </w:t>
      </w:r>
      <w:r>
        <w:t xml:space="preserve">· Sequential chemoimmunotherapy for advanced non-small cell lung cancer using cisplatin, etoposide, thymosin-alpha 1 and interferon-alpha 2a. PMID 8652276</w:t>
      </w:r>
    </w:p>
    <w:p>
      <w:pPr>
        <w:numPr>
          <w:ilvl w:val="0"/>
          <w:numId w:val="1391"/>
        </w:numPr>
        <w:pStyle w:val="Compact"/>
      </w:pPr>
      <w:r>
        <w:t xml:space="preserve">1995 · Naz RK ·</w:t>
      </w:r>
      <w:r>
        <w:t xml:space="preserve"> </w:t>
      </w:r>
      <w:r>
        <w:rPr>
          <w:iCs/>
          <w:i/>
        </w:rPr>
        <w:t xml:space="preserve">Arch Androl</w:t>
      </w:r>
      <w:r>
        <w:t xml:space="preserve"> </w:t>
      </w:r>
      <w:r>
        <w:t xml:space="preserve">· Treatment with thymosin alpha-1 increases fertilizing capacity of sperm of infertile men: a multicenter trial. PMID 8579476</w:t>
      </w:r>
    </w:p>
    <w:p>
      <w:pPr>
        <w:numPr>
          <w:ilvl w:val="0"/>
          <w:numId w:val="1391"/>
        </w:numPr>
        <w:pStyle w:val="Compact"/>
      </w:pPr>
      <w:r>
        <w:t xml:space="preserve">1994 · Garaci E ·</w:t>
      </w:r>
      <w:r>
        <w:t xml:space="preserve"> </w:t>
      </w:r>
      <w:r>
        <w:rPr>
          <w:iCs/>
          <w:i/>
        </w:rPr>
        <w:t xml:space="preserve">Int J Clin Lab Res</w:t>
      </w:r>
      <w:r>
        <w:t xml:space="preserve"> </w:t>
      </w:r>
      <w:r>
        <w:t xml:space="preserve">· Combination treatment with zidovudine, thymosin alpha 1 and interferon-alpha in human immunodeficiency virus infection. PMID 7910053</w:t>
      </w:r>
    </w:p>
    <w:p>
      <w:pPr>
        <w:numPr>
          <w:ilvl w:val="0"/>
          <w:numId w:val="1391"/>
        </w:numPr>
        <w:pStyle w:val="Compact"/>
      </w:pPr>
      <w:r>
        <w:t xml:space="preserve">1994 · Lopez M ·</w:t>
      </w:r>
      <w:r>
        <w:t xml:space="preserve"> </w:t>
      </w:r>
      <w:r>
        <w:rPr>
          <w:iCs/>
          <w:i/>
        </w:rPr>
        <w:t xml:space="preserve">Ann Oncol</w:t>
      </w:r>
      <w:r>
        <w:t xml:space="preserve"> </w:t>
      </w:r>
      <w:r>
        <w:t xml:space="preserve">· Biochemotherapy with thymosin alpha 1, interleukin-2 and dacarbazine in patients with metastatic melanoma: clinical and immunological effects. PMID 7826907</w:t>
      </w:r>
    </w:p>
    <w:p>
      <w:pPr>
        <w:numPr>
          <w:ilvl w:val="0"/>
          <w:numId w:val="1391"/>
        </w:numPr>
        <w:pStyle w:val="Compact"/>
      </w:pPr>
      <w:r>
        <w:t xml:space="preserve">1991 · Mutchnick MG ·</w:t>
      </w:r>
      <w:r>
        <w:t xml:space="preserve"> </w:t>
      </w:r>
      <w:r>
        <w:rPr>
          <w:iCs/>
          <w:i/>
        </w:rPr>
        <w:t xml:space="preserve">Hepatology</w:t>
      </w:r>
      <w:r>
        <w:t xml:space="preserve"> </w:t>
      </w:r>
      <w:r>
        <w:t xml:space="preserve">· Thymosin treatment of chronic hepatitis B: a placebo-controlled pilot trial. PMID 1874487</w:t>
      </w:r>
    </w:p>
    <w:p>
      <w:pPr>
        <w:numPr>
          <w:ilvl w:val="0"/>
          <w:numId w:val="1391"/>
        </w:numPr>
        <w:pStyle w:val="Compact"/>
      </w:pPr>
      <w:r>
        <w:t xml:space="preserve">1989 · Gravenstein S ·</w:t>
      </w:r>
      <w:r>
        <w:t xml:space="preserve"> </w:t>
      </w:r>
      <w:r>
        <w:rPr>
          <w:iCs/>
          <w:i/>
        </w:rPr>
        <w:t xml:space="preserve">J Am Geriatr Soc</w:t>
      </w:r>
      <w:r>
        <w:t xml:space="preserve"> </w:t>
      </w:r>
      <w:r>
        <w:t xml:space="preserve">· Augmentation of influenza antibody response in elderly men by thymosin alpha one. A double-blind placebo-controlled clinical study. PMID 2642497</w:t>
      </w:r>
    </w:p>
    <w:p>
      <w:pPr>
        <w:numPr>
          <w:ilvl w:val="0"/>
          <w:numId w:val="1391"/>
        </w:numPr>
        <w:pStyle w:val="Compact"/>
      </w:pPr>
      <w:r>
        <w:t xml:space="preserve">1985 · Schulof RS ·</w:t>
      </w:r>
      <w:r>
        <w:t xml:space="preserve"> </w:t>
      </w:r>
      <w:r>
        <w:rPr>
          <w:iCs/>
          <w:i/>
        </w:rPr>
        <w:t xml:space="preserve">J Biol Response Mod</w:t>
      </w:r>
      <w:r>
        <w:t xml:space="preserve"> </w:t>
      </w:r>
      <w:r>
        <w:t xml:space="preserve">· A randomized trial to evaluate the immunorestorative properties of synthetic thymosin-alpha 1 in patients with lung cancer. PMID 3998766</w:t>
      </w:r>
    </w:p>
    <w:p>
      <w:pPr>
        <w:numPr>
          <w:ilvl w:val="0"/>
          <w:numId w:val="1391"/>
        </w:numPr>
        <w:pStyle w:val="Compact"/>
      </w:pPr>
      <w:r>
        <w:t xml:space="preserve">1985 · Schulof RS ·</w:t>
      </w:r>
      <w:r>
        <w:t xml:space="preserve"> </w:t>
      </w:r>
      <w:r>
        <w:rPr>
          <w:iCs/>
          <w:i/>
        </w:rPr>
        <w:t xml:space="preserve">Cancer</w:t>
      </w:r>
      <w:r>
        <w:t xml:space="preserve"> </w:t>
      </w:r>
      <w:r>
        <w:t xml:space="preserve">· T-cell abnormalities after mediastinal irradiation for lung cancer. The in vitro influence of synthetic thymosin alpha-1. PMID 3155644</w:t>
      </w:r>
    </w:p>
    <w:p>
      <w:pPr>
        <w:numPr>
          <w:ilvl w:val="0"/>
          <w:numId w:val="1391"/>
        </w:numPr>
        <w:pStyle w:val="Compact"/>
      </w:pPr>
      <w:r>
        <w:t xml:space="preserve">1984 · Naylor PH ·</w:t>
      </w:r>
      <w:r>
        <w:t xml:space="preserve"> </w:t>
      </w:r>
      <w:r>
        <w:rPr>
          <w:iCs/>
          <w:i/>
        </w:rPr>
        <w:t xml:space="preserve">Ann N Y Acad Sci</w:t>
      </w:r>
      <w:r>
        <w:t xml:space="preserve"> </w:t>
      </w:r>
      <w:r>
        <w:t xml:space="preserve">· Thymosin in the early diagnosis and treatment of high risk homosexuals and hemophiliacs with AIDS-like immune dysfunction. PMID 6398657</w:t>
      </w:r>
    </w:p>
    <w:bookmarkEnd w:id="3030"/>
    <w:bookmarkStart w:id="3031" w:name="kpv-0"/>
    <w:p>
      <w:pPr>
        <w:pStyle w:val="Heading2"/>
      </w:pPr>
      <w:r>
        <w:t xml:space="preserve">KPV (0)</w:t>
      </w:r>
    </w:p>
    <w:p>
      <w:pPr>
        <w:pStyle w:val="FirstParagraph"/>
      </w:pPr>
      <w:r>
        <w:t xml:space="preserve">Aucune publication d’étude clinique chez l’humain trouvée.</w:t>
      </w:r>
    </w:p>
    <w:bookmarkEnd w:id="3031"/>
    <w:bookmarkStart w:id="3032" w:name="ll-37-91"/>
    <w:p>
      <w:pPr>
        <w:pStyle w:val="Heading2"/>
      </w:pPr>
      <w:r>
        <w:t xml:space="preserve">LL-37 (91)</w:t>
      </w:r>
    </w:p>
    <w:p>
      <w:pPr>
        <w:numPr>
          <w:ilvl w:val="0"/>
          <w:numId w:val="1392"/>
        </w:numPr>
        <w:pStyle w:val="Compact"/>
      </w:pPr>
      <w:r>
        <w:t xml:space="preserve">2026 · Song S ·</w:t>
      </w:r>
      <w:r>
        <w:t xml:space="preserve"> </w:t>
      </w:r>
      <w:r>
        <w:rPr>
          <w:iCs/>
          <w:i/>
        </w:rPr>
        <w:t xml:space="preserve">Probiotics Antimicrob Proteins</w:t>
      </w:r>
      <w:r>
        <w:t xml:space="preserve"> </w:t>
      </w:r>
      <w:r>
        <w:t xml:space="preserve">· Assessing the Safety and Probiotic Potential of Bifidobacterium longum subsp. infantis BI45: A Comprehensive Study from Genomic Analysis to Randomized Controlled Clinical Trial in Healthy Adults. PMID 42118446</w:t>
      </w:r>
    </w:p>
    <w:p>
      <w:pPr>
        <w:numPr>
          <w:ilvl w:val="0"/>
          <w:numId w:val="1392"/>
        </w:numPr>
        <w:pStyle w:val="Compact"/>
      </w:pPr>
      <w:r>
        <w:t xml:space="preserve">2026 · Jin M ·</w:t>
      </w:r>
      <w:r>
        <w:t xml:space="preserve"> </w:t>
      </w:r>
      <w:r>
        <w:rPr>
          <w:iCs/>
          <w:i/>
        </w:rPr>
        <w:t xml:space="preserve">Food Chem Toxicol</w:t>
      </w:r>
      <w:r>
        <w:t xml:space="preserve"> </w:t>
      </w:r>
      <w:r>
        <w:t xml:space="preserve">· Limosilactobacillus fermentum LF61: A multidimensional study on safety and functionality from genomics to clinical application. PMID 41655688</w:t>
      </w:r>
    </w:p>
    <w:p>
      <w:pPr>
        <w:numPr>
          <w:ilvl w:val="0"/>
          <w:numId w:val="1392"/>
        </w:numPr>
        <w:pStyle w:val="Compact"/>
      </w:pPr>
      <w:r>
        <w:t xml:space="preserve">2026 · Ito R ·</w:t>
      </w:r>
      <w:r>
        <w:t xml:space="preserve"> </w:t>
      </w:r>
      <w:r>
        <w:rPr>
          <w:iCs/>
          <w:i/>
        </w:rPr>
        <w:t xml:space="preserve">Eur J Appl Physiol</w:t>
      </w:r>
      <w:r>
        <w:t xml:space="preserve"> </w:t>
      </w:r>
      <w:r>
        <w:t xml:space="preserve">· Acute effects of continuous and interval cycling on salivary SIgA and anti-microbial peptide secretions: a randomized crossover trial. PMID 40810749</w:t>
      </w:r>
    </w:p>
    <w:p>
      <w:pPr>
        <w:numPr>
          <w:ilvl w:val="0"/>
          <w:numId w:val="1392"/>
        </w:numPr>
        <w:pStyle w:val="Compact"/>
      </w:pPr>
      <w:r>
        <w:t xml:space="preserve">2025 · Welling A ·</w:t>
      </w:r>
      <w:r>
        <w:t xml:space="preserve"> </w:t>
      </w:r>
      <w:r>
        <w:rPr>
          <w:iCs/>
          <w:i/>
        </w:rPr>
        <w:t xml:space="preserve">Eur Spine J</w:t>
      </w:r>
      <w:r>
        <w:t xml:space="preserve"> </w:t>
      </w:r>
      <w:r>
        <w:t xml:space="preserve">· Impact of 3-dimensional myofascial release on tumor necrosis factor (TNF) alpha biomarker in nonspecific low back pain: a randomised controlled trial. PMID 40853451</w:t>
      </w:r>
    </w:p>
    <w:p>
      <w:pPr>
        <w:numPr>
          <w:ilvl w:val="0"/>
          <w:numId w:val="1392"/>
        </w:numPr>
        <w:pStyle w:val="Compact"/>
      </w:pPr>
      <w:r>
        <w:t xml:space="preserve">2025 · Kamboj K ·</w:t>
      </w:r>
      <w:r>
        <w:t xml:space="preserve"> </w:t>
      </w:r>
      <w:r>
        <w:rPr>
          <w:iCs/>
          <w:i/>
        </w:rPr>
        <w:t xml:space="preserve">Front Immunol</w:t>
      </w:r>
      <w:r>
        <w:t xml:space="preserve"> </w:t>
      </w:r>
      <w:r>
        <w:t xml:space="preserve">· Effect of cholecalciferol on immune and vascular function in non-diabetic chronic kidney disease. PMID 40342405</w:t>
      </w:r>
    </w:p>
    <w:p>
      <w:pPr>
        <w:numPr>
          <w:ilvl w:val="0"/>
          <w:numId w:val="1392"/>
        </w:numPr>
        <w:pStyle w:val="Compact"/>
      </w:pPr>
      <w:r>
        <w:t xml:space="preserve">2025 · Gonçalves AM ·</w:t>
      </w:r>
      <w:r>
        <w:t xml:space="preserve"> </w:t>
      </w:r>
      <w:r>
        <w:rPr>
          <w:iCs/>
          <w:i/>
        </w:rPr>
        <w:t xml:space="preserve">Nutrients</w:t>
      </w:r>
      <w:r>
        <w:t xml:space="preserve"> </w:t>
      </w:r>
      <w:r>
        <w:t xml:space="preserve">· The Immunomodulatory Activity of High Doses of Vitamin D in Critical Care Patients with Severe SARS-CoV-2 Pneumonia-A Randomized Controlled Trial. PMID 39940396</w:t>
      </w:r>
    </w:p>
    <w:p>
      <w:pPr>
        <w:numPr>
          <w:ilvl w:val="0"/>
          <w:numId w:val="1392"/>
        </w:numPr>
        <w:pStyle w:val="Compact"/>
      </w:pPr>
      <w:r>
        <w:t xml:space="preserve">2025 · Picosse F ·</w:t>
      </w:r>
      <w:r>
        <w:t xml:space="preserve"> </w:t>
      </w:r>
      <w:r>
        <w:rPr>
          <w:iCs/>
          <w:i/>
        </w:rPr>
        <w:t xml:space="preserve">Int J Dermatol</w:t>
      </w:r>
      <w:r>
        <w:t xml:space="preserve"> </w:t>
      </w:r>
      <w:r>
        <w:t xml:space="preserve">· A comparative exploration of immunohistochemical markers in patients with papulopustular rosacea undergoing treatment with oral isotretinoin versus doxycycline. PMID 39097930</w:t>
      </w:r>
    </w:p>
    <w:p>
      <w:pPr>
        <w:numPr>
          <w:ilvl w:val="0"/>
          <w:numId w:val="1392"/>
        </w:numPr>
        <w:pStyle w:val="Compact"/>
      </w:pPr>
      <w:r>
        <w:t xml:space="preserve">2024 · Reyes ML ·</w:t>
      </w:r>
      <w:r>
        <w:t xml:space="preserve"> </w:t>
      </w:r>
      <w:r>
        <w:rPr>
          <w:iCs/>
          <w:i/>
        </w:rPr>
        <w:t xml:space="preserve">J Pediatr</w:t>
      </w:r>
      <w:r>
        <w:t xml:space="preserve"> </w:t>
      </w:r>
      <w:r>
        <w:t xml:space="preserve">· Weekly Vitamin D Supplementation to Prevent Acute Respiratory Infections in Young Children at Different Latitudes: A Randomized Controlled Trial. PMID 39181322</w:t>
      </w:r>
    </w:p>
    <w:p>
      <w:pPr>
        <w:numPr>
          <w:ilvl w:val="0"/>
          <w:numId w:val="1392"/>
        </w:numPr>
        <w:pStyle w:val="Compact"/>
      </w:pPr>
      <w:r>
        <w:t xml:space="preserve">2024 · Ito R ·</w:t>
      </w:r>
      <w:r>
        <w:t xml:space="preserve"> </w:t>
      </w:r>
      <w:r>
        <w:rPr>
          <w:iCs/>
          <w:i/>
        </w:rPr>
        <w:t xml:space="preserve">Am J Physiol Regul Integr Comp Physiol</w:t>
      </w:r>
      <w:r>
        <w:t xml:space="preserve"> </w:t>
      </w:r>
      <w:r>
        <w:t xml:space="preserve">· Acute salivary antimicrobial peptide secretion response to different exercise intensities and durations. PMID 39155711</w:t>
      </w:r>
    </w:p>
    <w:p>
      <w:pPr>
        <w:numPr>
          <w:ilvl w:val="0"/>
          <w:numId w:val="1392"/>
        </w:numPr>
        <w:pStyle w:val="Compact"/>
      </w:pPr>
      <w:r>
        <w:t xml:space="preserve">2024 · Ashoor TM ·</w:t>
      </w:r>
      <w:r>
        <w:t xml:space="preserve"> </w:t>
      </w:r>
      <w:r>
        <w:rPr>
          <w:iCs/>
          <w:i/>
        </w:rPr>
        <w:t xml:space="preserve">J Intensive Care Med</w:t>
      </w:r>
      <w:r>
        <w:t xml:space="preserve"> </w:t>
      </w:r>
      <w:r>
        <w:t xml:space="preserve">· Outcomes of High-Dose Versus Low-Dose Vitamin D on Prognosis of Sepsis Requiring Mechanical Ventilation: A Randomized Controlled Trial. PMID 38706151</w:t>
      </w:r>
    </w:p>
    <w:p>
      <w:pPr>
        <w:numPr>
          <w:ilvl w:val="0"/>
          <w:numId w:val="1392"/>
        </w:numPr>
        <w:pStyle w:val="Compact"/>
      </w:pPr>
      <w:r>
        <w:t xml:space="preserve">2024 · Borzutzky A ·</w:t>
      </w:r>
      <w:r>
        <w:t xml:space="preserve"> </w:t>
      </w:r>
      <w:r>
        <w:rPr>
          <w:iCs/>
          <w:i/>
        </w:rPr>
        <w:t xml:space="preserve">J Eur Acad Dermatol Venereol</w:t>
      </w:r>
      <w:r>
        <w:t xml:space="preserve"> </w:t>
      </w:r>
      <w:r>
        <w:t xml:space="preserve">· Effect of weekly vitamin D supplementation on the severity of atopic dermatitis and type 2 immunity biomarkers in children: A randomized controlled trial. PMID 38483248</w:t>
      </w:r>
    </w:p>
    <w:p>
      <w:pPr>
        <w:numPr>
          <w:ilvl w:val="0"/>
          <w:numId w:val="1392"/>
        </w:numPr>
        <w:pStyle w:val="Compact"/>
      </w:pPr>
      <w:r>
        <w:t xml:space="preserve">2024 · Chen K ·</w:t>
      </w:r>
      <w:r>
        <w:t xml:space="preserve"> </w:t>
      </w:r>
      <w:r>
        <w:rPr>
          <w:iCs/>
          <w:i/>
        </w:rPr>
        <w:t xml:space="preserve">Eur J Clin Nutr</w:t>
      </w:r>
      <w:r>
        <w:t xml:space="preserve"> </w:t>
      </w:r>
      <w:r>
        <w:t xml:space="preserve">· Adjudicative efficacy of Bifidobacterium animalis subsp. lactis BLa80 in treating acute diarrhea in children: a randomized, double-blinded, placebo-controlled study. PMID 38467857</w:t>
      </w:r>
    </w:p>
    <w:p>
      <w:pPr>
        <w:numPr>
          <w:ilvl w:val="0"/>
          <w:numId w:val="1392"/>
        </w:numPr>
        <w:pStyle w:val="Compact"/>
      </w:pPr>
      <w:r>
        <w:t xml:space="preserve">2023 · Zhao Y ·</w:t>
      </w:r>
      <w:r>
        <w:t xml:space="preserve"> </w:t>
      </w:r>
      <w:r>
        <w:rPr>
          <w:iCs/>
          <w:i/>
        </w:rPr>
        <w:t xml:space="preserve">J Med Virol</w:t>
      </w:r>
      <w:r>
        <w:t xml:space="preserve"> </w:t>
      </w:r>
      <w:r>
        <w:t xml:space="preserve">· Efficacy and safety of Oral LL-37 against the Omicron BA.5.1.3 variant of SARS-COV-2: A randomized trial. PMID 37605995</w:t>
      </w:r>
    </w:p>
    <w:p>
      <w:pPr>
        <w:numPr>
          <w:ilvl w:val="0"/>
          <w:numId w:val="1392"/>
        </w:numPr>
        <w:pStyle w:val="Compact"/>
      </w:pPr>
      <w:r>
        <w:t xml:space="preserve">2023 · Miranda E ·</w:t>
      </w:r>
      <w:r>
        <w:t xml:space="preserve"> </w:t>
      </w:r>
      <w:r>
        <w:rPr>
          <w:iCs/>
          <w:i/>
        </w:rPr>
        <w:t xml:space="preserve">Arch Dermatol Res</w:t>
      </w:r>
      <w:r>
        <w:t xml:space="preserve"> </w:t>
      </w:r>
      <w:r>
        <w:t xml:space="preserve">· Efficacy of LL-37 cream in enhancing healing of diabetic foot ulcer: a randomized double-blind controlled trial. PMID 37480520</w:t>
      </w:r>
    </w:p>
    <w:p>
      <w:pPr>
        <w:numPr>
          <w:ilvl w:val="0"/>
          <w:numId w:val="1392"/>
        </w:numPr>
        <w:pStyle w:val="Compact"/>
      </w:pPr>
      <w:r>
        <w:t xml:space="preserve">2023 · George R ·</w:t>
      </w:r>
      <w:r>
        <w:t xml:space="preserve"> </w:t>
      </w:r>
      <w:r>
        <w:rPr>
          <w:iCs/>
          <w:i/>
        </w:rPr>
        <w:t xml:space="preserve">J Drugs Dermatol</w:t>
      </w:r>
      <w:r>
        <w:t xml:space="preserve"> </w:t>
      </w:r>
      <w:r>
        <w:t xml:space="preserve">· Reduction of Erythema in Moderate-Severe Rosacea by a Low Molecular Weight Heparan Sulfate Analog (HSA). PMID 37276169</w:t>
      </w:r>
    </w:p>
    <w:p>
      <w:pPr>
        <w:numPr>
          <w:ilvl w:val="0"/>
          <w:numId w:val="1392"/>
        </w:numPr>
        <w:pStyle w:val="Compact"/>
      </w:pPr>
      <w:r>
        <w:t xml:space="preserve">2022 · Fujita K ·</w:t>
      </w:r>
      <w:r>
        <w:t xml:space="preserve"> </w:t>
      </w:r>
      <w:r>
        <w:rPr>
          <w:iCs/>
          <w:i/>
        </w:rPr>
        <w:t xml:space="preserve">BMC Pulm Med</w:t>
      </w:r>
      <w:r>
        <w:t xml:space="preserve"> </w:t>
      </w:r>
      <w:r>
        <w:t xml:space="preserve">· Comparison of frailty in patients with nontuberculous mycobacterial lung disease and bronchiectasis: a prospective cohort study. PMID 36329435</w:t>
      </w:r>
    </w:p>
    <w:p>
      <w:pPr>
        <w:numPr>
          <w:ilvl w:val="0"/>
          <w:numId w:val="1392"/>
        </w:numPr>
        <w:pStyle w:val="Compact"/>
      </w:pPr>
      <w:r>
        <w:t xml:space="preserve">2021 · Mahlapuu M ·</w:t>
      </w:r>
      <w:r>
        <w:t xml:space="preserve"> </w:t>
      </w:r>
      <w:r>
        <w:rPr>
          <w:iCs/>
          <w:i/>
        </w:rPr>
        <w:t xml:space="preserve">Wound Repair Regen</w:t>
      </w:r>
      <w:r>
        <w:t xml:space="preserve"> </w:t>
      </w:r>
      <w:r>
        <w:t xml:space="preserve">· Evaluation of LL-37 in healing of hard-to-heal venous leg ulcers: A multicentric prospective randomized placebo-controlled clinical trial. PMID 34687253</w:t>
      </w:r>
    </w:p>
    <w:p>
      <w:pPr>
        <w:numPr>
          <w:ilvl w:val="0"/>
          <w:numId w:val="1392"/>
        </w:numPr>
        <w:pStyle w:val="Compact"/>
      </w:pPr>
      <w:r>
        <w:t xml:space="preserve">2021 · Chen K ·</w:t>
      </w:r>
      <w:r>
        <w:t xml:space="preserve"> </w:t>
      </w:r>
      <w:r>
        <w:rPr>
          <w:iCs/>
          <w:i/>
        </w:rPr>
        <w:t xml:space="preserve">Benef Microbes</w:t>
      </w:r>
      <w:r>
        <w:t xml:space="preserve"> </w:t>
      </w:r>
      <w:r>
        <w:t xml:space="preserve">· Efficacy of Bifidobacterium animalis subsp. lactis, BB-12(®) on infant colic - a randomised, double-blinded, placebo-controlled study. PMID 34550055</w:t>
      </w:r>
    </w:p>
    <w:p>
      <w:pPr>
        <w:numPr>
          <w:ilvl w:val="0"/>
          <w:numId w:val="1392"/>
        </w:numPr>
        <w:pStyle w:val="Compact"/>
      </w:pPr>
      <w:r>
        <w:t xml:space="preserve">2021 · Sarker P ·</w:t>
      </w:r>
      <w:r>
        <w:t xml:space="preserve"> </w:t>
      </w:r>
      <w:r>
        <w:rPr>
          <w:iCs/>
          <w:i/>
        </w:rPr>
        <w:t xml:space="preserve">J Infect Dis</w:t>
      </w:r>
      <w:r>
        <w:t xml:space="preserve"> </w:t>
      </w:r>
      <w:r>
        <w:t xml:space="preserve">· Functional Antibodies and Innate Immune Responses to WRSS1, a Live Oral Shigella sonnei Vaccine Candidate, in Bangladeshi Adults and Children. PMID 34374425</w:t>
      </w:r>
    </w:p>
    <w:p>
      <w:pPr>
        <w:numPr>
          <w:ilvl w:val="0"/>
          <w:numId w:val="1392"/>
        </w:numPr>
        <w:pStyle w:val="Compact"/>
      </w:pPr>
      <w:r>
        <w:t xml:space="preserve">2021 · Chen K ·</w:t>
      </w:r>
      <w:r>
        <w:t xml:space="preserve"> </w:t>
      </w:r>
      <w:r>
        <w:rPr>
          <w:iCs/>
          <w:i/>
        </w:rPr>
        <w:t xml:space="preserve">Nutrition</w:t>
      </w:r>
      <w:r>
        <w:t xml:space="preserve"> </w:t>
      </w:r>
      <w:r>
        <w:t xml:space="preserve">· Dose effect of bovine lactoferrin fortification on diarrhea and respiratory tract infections in weaned infants with anemia: A randomized, controlled trial. PMID 34102559</w:t>
      </w:r>
    </w:p>
    <w:p>
      <w:pPr>
        <w:numPr>
          <w:ilvl w:val="0"/>
          <w:numId w:val="1392"/>
        </w:numPr>
        <w:pStyle w:val="Compact"/>
      </w:pPr>
      <w:r>
        <w:t xml:space="preserve">2021 · Gregório PC ·</w:t>
      </w:r>
      <w:r>
        <w:t xml:space="preserve"> </w:t>
      </w:r>
      <w:r>
        <w:rPr>
          <w:iCs/>
          <w:i/>
        </w:rPr>
        <w:t xml:space="preserve">Clinics (Sao Paulo)</w:t>
      </w:r>
      <w:r>
        <w:t xml:space="preserve"> </w:t>
      </w:r>
      <w:r>
        <w:t xml:space="preserve">· In vitro anti-inflammatory effects of vitamin D supplementation may be blurred in hemodialysis patients. PMID 33624705</w:t>
      </w:r>
    </w:p>
    <w:p>
      <w:pPr>
        <w:numPr>
          <w:ilvl w:val="0"/>
          <w:numId w:val="1392"/>
        </w:numPr>
        <w:pStyle w:val="Compact"/>
      </w:pPr>
      <w:r>
        <w:t xml:space="preserve">2021 · Farsi F ·</w:t>
      </w:r>
      <w:r>
        <w:t xml:space="preserve"> </w:t>
      </w:r>
      <w:r>
        <w:rPr>
          <w:iCs/>
          <w:i/>
        </w:rPr>
        <w:t xml:space="preserve">Eur J Nutr</w:t>
      </w:r>
      <w:r>
        <w:t xml:space="preserve"> </w:t>
      </w:r>
      <w:r>
        <w:t xml:space="preserve">· A randomized controlled trial on the coloprotective effect of coenzyme Q10 on immune-inflammatory cytokines, oxidative status, antimicrobial peptides, and microRNA-146a expression in patients with mild-to-moderate ulcerative colitis. PMID 33620550</w:t>
      </w:r>
    </w:p>
    <w:p>
      <w:pPr>
        <w:numPr>
          <w:ilvl w:val="0"/>
          <w:numId w:val="1392"/>
        </w:numPr>
        <w:pStyle w:val="Compact"/>
      </w:pPr>
      <w:r>
        <w:t xml:space="preserve">2021 · Harrison SE ·</w:t>
      </w:r>
      <w:r>
        <w:t xml:space="preserve"> </w:t>
      </w:r>
      <w:r>
        <w:rPr>
          <w:iCs/>
          <w:i/>
        </w:rPr>
        <w:t xml:space="preserve">Med Sci Sports Exerc</w:t>
      </w:r>
      <w:r>
        <w:t xml:space="preserve"> </w:t>
      </w:r>
      <w:r>
        <w:t xml:space="preserve">· Influence of Vitamin D Supplementation by Simulated Sunlight or Oral D3 on Respiratory Infection during Military Training. PMID 33481482</w:t>
      </w:r>
    </w:p>
    <w:p>
      <w:pPr>
        <w:numPr>
          <w:ilvl w:val="0"/>
          <w:numId w:val="1392"/>
        </w:numPr>
        <w:pStyle w:val="Compact"/>
      </w:pPr>
      <w:r>
        <w:t xml:space="preserve">2020 · Entrenas Castillo M ·</w:t>
      </w:r>
      <w:r>
        <w:t xml:space="preserve"> </w:t>
      </w:r>
      <w:r>
        <w:rPr>
          <w:iCs/>
          <w:i/>
        </w:rPr>
        <w:t xml:space="preserve">J Steroid Biochem Mol Biol</w:t>
      </w:r>
      <w:r>
        <w:t xml:space="preserve"> </w:t>
      </w:r>
      <w:r>
        <w:t xml:space="preserve">·</w:t>
      </w:r>
      <w:r>
        <w:t xml:space="preserve"> </w:t>
      </w:r>
      <w:r>
        <w:t xml:space="preserve">“</w:t>
      </w:r>
      <w:r>
        <w:t xml:space="preserve">Effect of calcifediol treatment and best available therapy versus best available therapy on intensive care unit admission and mortality among patients hospitalized for COVID-19: A pilot randomized clinical study</w:t>
      </w:r>
      <w:r>
        <w:t xml:space="preserve">”</w:t>
      </w:r>
      <w:r>
        <w:t xml:space="preserve">. PMID 32871238</w:t>
      </w:r>
    </w:p>
    <w:p>
      <w:pPr>
        <w:numPr>
          <w:ilvl w:val="0"/>
          <w:numId w:val="1392"/>
        </w:numPr>
        <w:pStyle w:val="Compact"/>
      </w:pPr>
      <w:r>
        <w:t xml:space="preserve">2020 · Vargas Buonfiglio LG ·</w:t>
      </w:r>
      <w:r>
        <w:t xml:space="preserve"> </w:t>
      </w:r>
      <w:r>
        <w:rPr>
          <w:iCs/>
          <w:i/>
        </w:rPr>
        <w:t xml:space="preserve">Nutrients</w:t>
      </w:r>
      <w:r>
        <w:t xml:space="preserve"> </w:t>
      </w:r>
      <w:r>
        <w:t xml:space="preserve">· Seasonal Antimicrobial Activity of the Airway: Post-Hoc Analysis of a Randomized Placebo-Controlled Double-Blind Trial. PMID 32867053</w:t>
      </w:r>
    </w:p>
    <w:p>
      <w:pPr>
        <w:numPr>
          <w:ilvl w:val="0"/>
          <w:numId w:val="1392"/>
        </w:numPr>
        <w:pStyle w:val="Compact"/>
      </w:pPr>
      <w:r>
        <w:t xml:space="preserve">2020 · Banke IJ ·</w:t>
      </w:r>
      <w:r>
        <w:t xml:space="preserve"> </w:t>
      </w:r>
      <w:r>
        <w:rPr>
          <w:iCs/>
          <w:i/>
        </w:rPr>
        <w:t xml:space="preserve">Eur J Med Res</w:t>
      </w:r>
      <w:r>
        <w:t xml:space="preserve"> </w:t>
      </w:r>
      <w:r>
        <w:t xml:space="preserve">· Antimicrobial peptides in human synovial membrane as (low-grade) periprosthetic joint infection biomarkers. PMID 32799924</w:t>
      </w:r>
    </w:p>
    <w:p>
      <w:pPr>
        <w:numPr>
          <w:ilvl w:val="0"/>
          <w:numId w:val="1392"/>
        </w:numPr>
        <w:pStyle w:val="Compact"/>
      </w:pPr>
      <w:r>
        <w:t xml:space="preserve">2020 · Nocerino R ·</w:t>
      </w:r>
      <w:r>
        <w:t xml:space="preserve"> </w:t>
      </w:r>
      <w:r>
        <w:rPr>
          <w:iCs/>
          <w:i/>
        </w:rPr>
        <w:t xml:space="preserve">Aliment Pharmacol Ther</w:t>
      </w:r>
      <w:r>
        <w:t xml:space="preserve"> </w:t>
      </w:r>
      <w:r>
        <w:t xml:space="preserve">· The therapeutic efficacy of Bifidobacterium animalis subsp. lactis BB-12(®) in infant colic: A randomised, double blind, placebo-controlled trial. PMID 31797399</w:t>
      </w:r>
    </w:p>
    <w:p>
      <w:pPr>
        <w:numPr>
          <w:ilvl w:val="0"/>
          <w:numId w:val="1392"/>
        </w:numPr>
        <w:pStyle w:val="Compact"/>
      </w:pPr>
      <w:r>
        <w:t xml:space="preserve">2019 · Huang X ·</w:t>
      </w:r>
      <w:r>
        <w:t xml:space="preserve"> </w:t>
      </w:r>
      <w:r>
        <w:rPr>
          <w:iCs/>
          <w:i/>
        </w:rPr>
        <w:t xml:space="preserve">Sci Rep</w:t>
      </w:r>
      <w:r>
        <w:t xml:space="preserve"> </w:t>
      </w:r>
      <w:r>
        <w:t xml:space="preserve">· Differential DAMP release was observed in the sputum of COPD, asthma and asthma-COPD overlap (ACO) patients. PMID 31848359</w:t>
      </w:r>
    </w:p>
    <w:p>
      <w:pPr>
        <w:numPr>
          <w:ilvl w:val="0"/>
          <w:numId w:val="1392"/>
        </w:numPr>
        <w:pStyle w:val="Compact"/>
      </w:pPr>
      <w:r>
        <w:t xml:space="preserve">2019 · Missailidis C ·</w:t>
      </w:r>
      <w:r>
        <w:t xml:space="preserve"> </w:t>
      </w:r>
      <w:r>
        <w:rPr>
          <w:iCs/>
          <w:i/>
        </w:rPr>
        <w:t xml:space="preserve">Nutrients</w:t>
      </w:r>
      <w:r>
        <w:t xml:space="preserve"> </w:t>
      </w:r>
      <w:r>
        <w:t xml:space="preserve">· Vitamin D and Phenylbutyrate Supplementation Does Not Modulate Gut Derived Immune Activation in HIV-1. PMID 31330899</w:t>
      </w:r>
    </w:p>
    <w:p>
      <w:pPr>
        <w:numPr>
          <w:ilvl w:val="0"/>
          <w:numId w:val="1392"/>
        </w:numPr>
        <w:pStyle w:val="Compact"/>
      </w:pPr>
      <w:r>
        <w:t xml:space="preserve">2019 · Scott JM ·</w:t>
      </w:r>
      <w:r>
        <w:t xml:space="preserve"> </w:t>
      </w:r>
      <w:r>
        <w:rPr>
          <w:iCs/>
          <w:i/>
        </w:rPr>
        <w:t xml:space="preserve">Scand J Med Sci Sports</w:t>
      </w:r>
      <w:r>
        <w:t xml:space="preserve"> </w:t>
      </w:r>
      <w:r>
        <w:t xml:space="preserve">· Effects of vitamin D supplementation on salivary immune responses during Marine Corps basic training. PMID 31099085</w:t>
      </w:r>
    </w:p>
    <w:p>
      <w:pPr>
        <w:numPr>
          <w:ilvl w:val="0"/>
          <w:numId w:val="1392"/>
        </w:numPr>
        <w:pStyle w:val="Compact"/>
      </w:pPr>
      <w:r>
        <w:t xml:space="preserve">2019 · Cao Y ·</w:t>
      </w:r>
      <w:r>
        <w:t xml:space="preserve"> </w:t>
      </w:r>
      <w:r>
        <w:rPr>
          <w:iCs/>
          <w:i/>
        </w:rPr>
        <w:t xml:space="preserve">Clin Exp Allergy</w:t>
      </w:r>
      <w:r>
        <w:t xml:space="preserve"> </w:t>
      </w:r>
      <w:r>
        <w:t xml:space="preserve">· LL-37 promotes neutrophil extracellular trap formation in chronic rhinosinusitis with nasal polyps. PMID 31046155</w:t>
      </w:r>
    </w:p>
    <w:p>
      <w:pPr>
        <w:numPr>
          <w:ilvl w:val="0"/>
          <w:numId w:val="1392"/>
        </w:numPr>
        <w:pStyle w:val="Compact"/>
      </w:pPr>
      <w:r>
        <w:t xml:space="preserve">2019 · Goncalves-Mendes N ·</w:t>
      </w:r>
      <w:r>
        <w:t xml:space="preserve"> </w:t>
      </w:r>
      <w:r>
        <w:rPr>
          <w:iCs/>
          <w:i/>
        </w:rPr>
        <w:t xml:space="preserve">Front Immunol</w:t>
      </w:r>
      <w:r>
        <w:t xml:space="preserve"> </w:t>
      </w:r>
      <w:r>
        <w:t xml:space="preserve">· Impact of Vitamin D Supplementation on Influenza Vaccine Response and Immune Functions in Deficient Elderly Persons: A Randomized Placebo-Controlled Trial. PMID 30800121</w:t>
      </w:r>
    </w:p>
    <w:p>
      <w:pPr>
        <w:numPr>
          <w:ilvl w:val="0"/>
          <w:numId w:val="1392"/>
        </w:numPr>
        <w:pStyle w:val="Compact"/>
      </w:pPr>
      <w:r>
        <w:t xml:space="preserve">2019 · Tangpricha V ·</w:t>
      </w:r>
      <w:r>
        <w:t xml:space="preserve"> </w:t>
      </w:r>
      <w:r>
        <w:rPr>
          <w:iCs/>
          <w:i/>
        </w:rPr>
        <w:t xml:space="preserve">Am J Clin Nutr</w:t>
      </w:r>
      <w:r>
        <w:t xml:space="preserve"> </w:t>
      </w:r>
      <w:r>
        <w:t xml:space="preserve">· Vitamin D for the Immune System in Cystic Fibrosis (DISC): a double-blind, multicenter, randomized, placebo-controlled clinical trial. PMID 30793177</w:t>
      </w:r>
    </w:p>
    <w:p>
      <w:pPr>
        <w:numPr>
          <w:ilvl w:val="0"/>
          <w:numId w:val="1392"/>
        </w:numPr>
        <w:pStyle w:val="Compact"/>
      </w:pPr>
      <w:r>
        <w:t xml:space="preserve">2019 · Hauger H ·</w:t>
      </w:r>
      <w:r>
        <w:t xml:space="preserve"> </w:t>
      </w:r>
      <w:r>
        <w:rPr>
          <w:iCs/>
          <w:i/>
        </w:rPr>
        <w:t xml:space="preserve">Eur J Nutr</w:t>
      </w:r>
      <w:r>
        <w:t xml:space="preserve"> </w:t>
      </w:r>
      <w:r>
        <w:t xml:space="preserve">· Winter cholecalciferol supplementation at 55°N has little effect on markers of innate immune defense in healthy children aged 4-8 years: a secondary analysis from a randomized controlled trial. PMID 29572676</w:t>
      </w:r>
    </w:p>
    <w:p>
      <w:pPr>
        <w:numPr>
          <w:ilvl w:val="0"/>
          <w:numId w:val="1392"/>
        </w:numPr>
        <w:pStyle w:val="Compact"/>
      </w:pPr>
      <w:r>
        <w:t xml:space="preserve">2018 · Savonius O ·</w:t>
      </w:r>
      <w:r>
        <w:t xml:space="preserve"> </w:t>
      </w:r>
      <w:r>
        <w:rPr>
          <w:iCs/>
          <w:i/>
        </w:rPr>
        <w:t xml:space="preserve">Acta Paediatr</w:t>
      </w:r>
      <w:r>
        <w:t xml:space="preserve"> </w:t>
      </w:r>
      <w:r>
        <w:t xml:space="preserve">· Vitamin D was not associated with survival or cerebrospinal fluid cathelicidin levels in children with bacterial meningitis. PMID 29751358</w:t>
      </w:r>
    </w:p>
    <w:p>
      <w:pPr>
        <w:numPr>
          <w:ilvl w:val="0"/>
          <w:numId w:val="1392"/>
        </w:numPr>
        <w:pStyle w:val="Compact"/>
      </w:pPr>
      <w:r>
        <w:t xml:space="preserve">2018 · Ramos-Martínez E ·</w:t>
      </w:r>
      <w:r>
        <w:t xml:space="preserve"> </w:t>
      </w:r>
      <w:r>
        <w:rPr>
          <w:iCs/>
          <w:i/>
        </w:rPr>
        <w:t xml:space="preserve">Cytokine</w:t>
      </w:r>
      <w:r>
        <w:t xml:space="preserve"> </w:t>
      </w:r>
      <w:r>
        <w:t xml:space="preserve">· Reduction of respiratory infections in asthma patients supplemented with vitamin D is related to increased serum IL-10 and IFNγ levels and cathelicidin expression. PMID 29402723</w:t>
      </w:r>
    </w:p>
    <w:p>
      <w:pPr>
        <w:numPr>
          <w:ilvl w:val="0"/>
          <w:numId w:val="1392"/>
        </w:numPr>
        <w:pStyle w:val="Compact"/>
      </w:pPr>
      <w:r>
        <w:t xml:space="preserve">2018 · Savonius O ·</w:t>
      </w:r>
      <w:r>
        <w:t xml:space="preserve"> </w:t>
      </w:r>
      <w:r>
        <w:rPr>
          <w:iCs/>
          <w:i/>
        </w:rPr>
        <w:t xml:space="preserve">Pediatr Infect Dis J</w:t>
      </w:r>
      <w:r>
        <w:t xml:space="preserve"> </w:t>
      </w:r>
      <w:r>
        <w:t xml:space="preserve">· Cerebrospinal Fluid Cathelicidin Correlates With the Bacterial Load and Outcomes in Childhood Bacterial Meningitis. PMID 28827496</w:t>
      </w:r>
    </w:p>
    <w:p>
      <w:pPr>
        <w:numPr>
          <w:ilvl w:val="0"/>
          <w:numId w:val="1392"/>
        </w:numPr>
        <w:pStyle w:val="Compact"/>
      </w:pPr>
      <w:r>
        <w:t xml:space="preserve">2018 · Alvarez JA ·</w:t>
      </w:r>
      <w:r>
        <w:t xml:space="preserve"> </w:t>
      </w:r>
      <w:r>
        <w:rPr>
          <w:iCs/>
          <w:i/>
        </w:rPr>
        <w:t xml:space="preserve">J Steroid Biochem Mol Biol</w:t>
      </w:r>
      <w:r>
        <w:t xml:space="preserve"> </w:t>
      </w:r>
      <w:r>
        <w:t xml:space="preserve">· Vitamin D deficiency is associated with an oxidized plasma cysteine redox potential in critically Ill children. PMID 27641738</w:t>
      </w:r>
    </w:p>
    <w:p>
      <w:pPr>
        <w:numPr>
          <w:ilvl w:val="0"/>
          <w:numId w:val="1392"/>
        </w:numPr>
        <w:pStyle w:val="Compact"/>
      </w:pPr>
      <w:r>
        <w:t xml:space="preserve">2017 · Sigal GB ·</w:t>
      </w:r>
      <w:r>
        <w:t xml:space="preserve"> </w:t>
      </w:r>
      <w:r>
        <w:rPr>
          <w:iCs/>
          <w:i/>
        </w:rPr>
        <w:t xml:space="preserve">EBioMedicine</w:t>
      </w:r>
      <w:r>
        <w:t xml:space="preserve"> </w:t>
      </w:r>
      <w:r>
        <w:t xml:space="preserve">· Biomarkers of Tuberculosis Severity and Treatment Effect: A Directed Screen of 70 Host Markers in a Randomized Clinical Trial. PMID 29100778</w:t>
      </w:r>
    </w:p>
    <w:p>
      <w:pPr>
        <w:numPr>
          <w:ilvl w:val="0"/>
          <w:numId w:val="1392"/>
        </w:numPr>
        <w:pStyle w:val="Compact"/>
      </w:pPr>
      <w:r>
        <w:t xml:space="preserve">2017 · Wirth PJ ·</w:t>
      </w:r>
      <w:r>
        <w:t xml:space="preserve"> </w:t>
      </w:r>
      <w:r>
        <w:rPr>
          <w:iCs/>
          <w:i/>
        </w:rPr>
        <w:t xml:space="preserve">Skin Therapy Lett</w:t>
      </w:r>
      <w:r>
        <w:t xml:space="preserve"> </w:t>
      </w:r>
      <w:r>
        <w:t xml:space="preserve">· Real-World Efficacy of Azelaic Acid 15% Gel for the Reduction of Inflammatory Lesions of Rosacea. PMID 29091380</w:t>
      </w:r>
    </w:p>
    <w:p>
      <w:pPr>
        <w:numPr>
          <w:ilvl w:val="0"/>
          <w:numId w:val="1392"/>
        </w:numPr>
        <w:pStyle w:val="Compact"/>
      </w:pPr>
      <w:r>
        <w:t xml:space="preserve">2017 · Uruska A ·</w:t>
      </w:r>
      <w:r>
        <w:t xml:space="preserve"> </w:t>
      </w:r>
      <w:r>
        <w:rPr>
          <w:iCs/>
          <w:i/>
        </w:rPr>
        <w:t xml:space="preserve">Clin Biochem</w:t>
      </w:r>
      <w:r>
        <w:t xml:space="preserve"> </w:t>
      </w:r>
      <w:r>
        <w:t xml:space="preserve">· Is cathelicidin a novel marker of diabetic microangiopathy in patients with type 1 diabetes?. PMID 28964758</w:t>
      </w:r>
    </w:p>
    <w:p>
      <w:pPr>
        <w:numPr>
          <w:ilvl w:val="0"/>
          <w:numId w:val="1392"/>
        </w:numPr>
        <w:pStyle w:val="Compact"/>
      </w:pPr>
      <w:r>
        <w:t xml:space="preserve">2017 · Majewski K ·</w:t>
      </w:r>
      <w:r>
        <w:t xml:space="preserve"> </w:t>
      </w:r>
      <w:r>
        <w:rPr>
          <w:iCs/>
          <w:i/>
        </w:rPr>
        <w:t xml:space="preserve">J Biol Regul Homeost Agents</w:t>
      </w:r>
      <w:r>
        <w:t xml:space="preserve"> </w:t>
      </w:r>
      <w:r>
        <w:t xml:space="preserve">· Serum level of cathelicidin LL-37 in patients with active tuberculosis and other infectious diseases. PMID 28956425</w:t>
      </w:r>
    </w:p>
    <w:p>
      <w:pPr>
        <w:numPr>
          <w:ilvl w:val="0"/>
          <w:numId w:val="1392"/>
        </w:numPr>
        <w:pStyle w:val="Compact"/>
      </w:pPr>
      <w:r>
        <w:t xml:space="preserve">2017 · Corsello G ·</w:t>
      </w:r>
      <w:r>
        <w:t xml:space="preserve"> </w:t>
      </w:r>
      <w:r>
        <w:rPr>
          <w:iCs/>
          <w:i/>
        </w:rPr>
        <w:t xml:space="preserve">Nutrients</w:t>
      </w:r>
      <w:r>
        <w:t xml:space="preserve"> </w:t>
      </w:r>
      <w:r>
        <w:t xml:space="preserve">· Preventive Effect of Cow’s Milk Fermented with Lactobacillus paracasei CBA L74 on Common Infectious Diseases in Children: A Multicenter Randomized Controlled Trial. PMID 28654019</w:t>
      </w:r>
    </w:p>
    <w:p>
      <w:pPr>
        <w:numPr>
          <w:ilvl w:val="0"/>
          <w:numId w:val="1392"/>
        </w:numPr>
        <w:pStyle w:val="Compact"/>
      </w:pPr>
      <w:r>
        <w:t xml:space="preserve">2017 · Han JE ·</w:t>
      </w:r>
      <w:r>
        <w:t xml:space="preserve"> </w:t>
      </w:r>
      <w:r>
        <w:rPr>
          <w:iCs/>
          <w:i/>
        </w:rPr>
        <w:t xml:space="preserve">Nutrition</w:t>
      </w:r>
      <w:r>
        <w:t xml:space="preserve"> </w:t>
      </w:r>
      <w:r>
        <w:t xml:space="preserve">· Impact of high-dose vitamin D(3) on plasma free 25-hydroxyvitamin D concentrations and antimicrobial peptides in critically ill mechanically ventilated adults. PMID 28526374</w:t>
      </w:r>
    </w:p>
    <w:p>
      <w:pPr>
        <w:numPr>
          <w:ilvl w:val="0"/>
          <w:numId w:val="1392"/>
        </w:numPr>
        <w:pStyle w:val="Compact"/>
      </w:pPr>
      <w:r>
        <w:t xml:space="preserve">2017 · Nakatsuji T ·</w:t>
      </w:r>
      <w:r>
        <w:t xml:space="preserve"> </w:t>
      </w:r>
      <w:r>
        <w:rPr>
          <w:iCs/>
          <w:i/>
        </w:rPr>
        <w:t xml:space="preserve">Sci Transl Med</w:t>
      </w:r>
      <w:r>
        <w:t xml:space="preserve"> </w:t>
      </w:r>
      <w:r>
        <w:t xml:space="preserve">· Antimicrobials from human skin commensal bacteria protect against Staphylococcus aureus and are deficient in atopic dermatitis. PMID 28228596</w:t>
      </w:r>
    </w:p>
    <w:p>
      <w:pPr>
        <w:numPr>
          <w:ilvl w:val="0"/>
          <w:numId w:val="1392"/>
        </w:numPr>
        <w:pStyle w:val="Compact"/>
      </w:pPr>
      <w:r>
        <w:t xml:space="preserve">2017 · Majewski K ·</w:t>
      </w:r>
      <w:r>
        <w:t xml:space="preserve"> </w:t>
      </w:r>
      <w:r>
        <w:rPr>
          <w:iCs/>
          <w:i/>
        </w:rPr>
        <w:t xml:space="preserve">Clin Invest Med</w:t>
      </w:r>
      <w:r>
        <w:t xml:space="preserve"> </w:t>
      </w:r>
      <w:r>
        <w:t xml:space="preserve">· Circulating cathelicidin LL-37 in adult patients with pulmonary infectious diseases. PMID 28218580</w:t>
      </w:r>
    </w:p>
    <w:p>
      <w:pPr>
        <w:numPr>
          <w:ilvl w:val="0"/>
          <w:numId w:val="1392"/>
        </w:numPr>
        <w:pStyle w:val="Compact"/>
      </w:pPr>
      <w:r>
        <w:t xml:space="preserve">2017 · Mathapathi MS ·</w:t>
      </w:r>
      <w:r>
        <w:t xml:space="preserve"> </w:t>
      </w:r>
      <w:r>
        <w:rPr>
          <w:iCs/>
          <w:i/>
        </w:rPr>
        <w:t xml:space="preserve">Exp Dermatol</w:t>
      </w:r>
      <w:r>
        <w:t xml:space="preserve"> </w:t>
      </w:r>
      <w:r>
        <w:t xml:space="preserve">· Niacinamide leave-on formulation provides long-lasting protection against bacteria in vivo. PMID 28094872</w:t>
      </w:r>
    </w:p>
    <w:p>
      <w:pPr>
        <w:numPr>
          <w:ilvl w:val="0"/>
          <w:numId w:val="1392"/>
        </w:numPr>
        <w:pStyle w:val="Compact"/>
      </w:pPr>
      <w:r>
        <w:t xml:space="preserve">2017 · Todd JJ ·</w:t>
      </w:r>
      <w:r>
        <w:t xml:space="preserve"> </w:t>
      </w:r>
      <w:r>
        <w:rPr>
          <w:iCs/>
          <w:i/>
        </w:rPr>
        <w:t xml:space="preserve">Scand J Med Sci Sports</w:t>
      </w:r>
      <w:r>
        <w:t xml:space="preserve"> </w:t>
      </w:r>
      <w:r>
        <w:t xml:space="preserve">· Oral spray wintertime vitamin D(3) supplementation has no impact on inflammation in Gaelic footballers. PMID 27704631</w:t>
      </w:r>
    </w:p>
    <w:p>
      <w:pPr>
        <w:numPr>
          <w:ilvl w:val="0"/>
          <w:numId w:val="1392"/>
        </w:numPr>
        <w:pStyle w:val="Compact"/>
      </w:pPr>
      <w:r>
        <w:t xml:space="preserve">2017 · Nocerino R ·</w:t>
      </w:r>
      <w:r>
        <w:t xml:space="preserve"> </w:t>
      </w:r>
      <w:r>
        <w:rPr>
          <w:iCs/>
          <w:i/>
        </w:rPr>
        <w:t xml:space="preserve">Clin Nutr</w:t>
      </w:r>
      <w:r>
        <w:t xml:space="preserve"> </w:t>
      </w:r>
      <w:r>
        <w:t xml:space="preserve">· Cow’s milk and rice fermented with Lactobacillus paracasei CBA L74 prevent infectious diseases in children: A randomized controlled trial. PMID 26732025</w:t>
      </w:r>
    </w:p>
    <w:p>
      <w:pPr>
        <w:numPr>
          <w:ilvl w:val="0"/>
          <w:numId w:val="1392"/>
        </w:numPr>
        <w:pStyle w:val="Compact"/>
      </w:pPr>
      <w:r>
        <w:t xml:space="preserve">2016 · Gupta P ·</w:t>
      </w:r>
      <w:r>
        <w:t xml:space="preserve"> </w:t>
      </w:r>
      <w:r>
        <w:rPr>
          <w:iCs/>
          <w:i/>
        </w:rPr>
        <w:t xml:space="preserve">Indian Pediatr</w:t>
      </w:r>
      <w:r>
        <w:t xml:space="preserve"> </w:t>
      </w:r>
      <w:r>
        <w:t xml:space="preserve">· Vitamin D Supplementation for Treatment and Prevention of Pneumonia in Under-five Children: A Randomized Double-blind Placebo Controlled Trial. PMID 27889723</w:t>
      </w:r>
    </w:p>
    <w:p>
      <w:pPr>
        <w:numPr>
          <w:ilvl w:val="0"/>
          <w:numId w:val="1392"/>
        </w:numPr>
        <w:pStyle w:val="Compact"/>
      </w:pPr>
      <w:r>
        <w:t xml:space="preserve">2016 · Zheng JQ ·</w:t>
      </w:r>
      <w:r>
        <w:t xml:space="preserve"> </w:t>
      </w:r>
      <w:r>
        <w:rPr>
          <w:iCs/>
          <w:i/>
        </w:rPr>
        <w:t xml:space="preserve">Nutrients</w:t>
      </w:r>
      <w:r>
        <w:t xml:space="preserve"> </w:t>
      </w:r>
      <w:r>
        <w:t xml:space="preserve">· Cholecalciferol Additively Reduces Serum Parathyroid Hormone and Increases Vitamin D and Cathelicidin Levels in Paricalcitol-Treated Secondary Hyperparathyroid Hemodialysis Patients. PMID 27827962</w:t>
      </w:r>
    </w:p>
    <w:p>
      <w:pPr>
        <w:numPr>
          <w:ilvl w:val="0"/>
          <w:numId w:val="1392"/>
        </w:numPr>
        <w:pStyle w:val="Compact"/>
      </w:pPr>
      <w:r>
        <w:t xml:space="preserve">2016 · Sharifi A ·</w:t>
      </w:r>
      <w:r>
        <w:t xml:space="preserve"> </w:t>
      </w:r>
      <w:r>
        <w:rPr>
          <w:iCs/>
          <w:i/>
        </w:rPr>
        <w:t xml:space="preserve">Saudi J Gastroenterol</w:t>
      </w:r>
      <w:r>
        <w:t xml:space="preserve"> </w:t>
      </w:r>
      <w:r>
        <w:t xml:space="preserve">· A randomized controlled trial on the effect of vitamin D3 on inflammation and cathelicidin gene expression in ulcerative colitis patients. PMID 27488327</w:t>
      </w:r>
    </w:p>
    <w:p>
      <w:pPr>
        <w:numPr>
          <w:ilvl w:val="0"/>
          <w:numId w:val="1392"/>
        </w:numPr>
        <w:pStyle w:val="Compact"/>
      </w:pPr>
      <w:r>
        <w:t xml:space="preserve">2016 · Two AM ·</w:t>
      </w:r>
      <w:r>
        <w:t xml:space="preserve"> </w:t>
      </w:r>
      <w:r>
        <w:rPr>
          <w:iCs/>
          <w:i/>
        </w:rPr>
        <w:t xml:space="preserve">J Invest Dermatol</w:t>
      </w:r>
      <w:r>
        <w:t xml:space="preserve"> </w:t>
      </w:r>
      <w:r>
        <w:t xml:space="preserve">· The Cutaneous Microbiome and Aspects of Skin Antimicrobial Defense System Resist Acute Treatment with Topical Skin Cleansers. PMID 27377698</w:t>
      </w:r>
    </w:p>
    <w:p>
      <w:pPr>
        <w:numPr>
          <w:ilvl w:val="0"/>
          <w:numId w:val="1392"/>
        </w:numPr>
        <w:pStyle w:val="Compact"/>
      </w:pPr>
      <w:r>
        <w:t xml:space="preserve">2016 · Di Nardo A ·</w:t>
      </w:r>
      <w:r>
        <w:t xml:space="preserve"> </w:t>
      </w:r>
      <w:r>
        <w:rPr>
          <w:iCs/>
          <w:i/>
        </w:rPr>
        <w:t xml:space="preserve">J Am Acad Dermatol</w:t>
      </w:r>
      <w:r>
        <w:t xml:space="preserve"> </w:t>
      </w:r>
      <w:r>
        <w:t xml:space="preserve">· Improved clinical outcome and biomarkers in adults with papulopustular rosacea treated with doxycycline modified-release capsules in a randomized trial. PMID 26951940</w:t>
      </w:r>
    </w:p>
    <w:p>
      <w:pPr>
        <w:numPr>
          <w:ilvl w:val="0"/>
          <w:numId w:val="1392"/>
        </w:numPr>
        <w:pStyle w:val="Compact"/>
      </w:pPr>
      <w:r>
        <w:t xml:space="preserve">2016 · He CS ·</w:t>
      </w:r>
      <w:r>
        <w:t xml:space="preserve"> </w:t>
      </w:r>
      <w:r>
        <w:rPr>
          <w:iCs/>
          <w:i/>
        </w:rPr>
        <w:t xml:space="preserve">J Sports Sci</w:t>
      </w:r>
      <w:r>
        <w:t xml:space="preserve"> </w:t>
      </w:r>
      <w:r>
        <w:t xml:space="preserve">· The effect of 14 weeks of vitamin D3 supplementation on antimicrobial peptides and proteins in athletes. PMID 25861808</w:t>
      </w:r>
    </w:p>
    <w:p>
      <w:pPr>
        <w:numPr>
          <w:ilvl w:val="0"/>
          <w:numId w:val="1392"/>
        </w:numPr>
        <w:pStyle w:val="Compact"/>
      </w:pPr>
      <w:r>
        <w:t xml:space="preserve">2015 · Udompataikul M ·</w:t>
      </w:r>
      <w:r>
        <w:t xml:space="preserve"> </w:t>
      </w:r>
      <w:r>
        <w:rPr>
          <w:iCs/>
          <w:i/>
        </w:rPr>
        <w:t xml:space="preserve">J Med Assoc Thai</w:t>
      </w:r>
      <w:r>
        <w:t xml:space="preserve"> </w:t>
      </w:r>
      <w:r>
        <w:t xml:space="preserve">· The Effects of Oral Vitamin D Supplement on Atopic Dermatitis: A Clinical Trial with Staphylococcus aureus Colonization Determination. PMID 26817206</w:t>
      </w:r>
    </w:p>
    <w:p>
      <w:pPr>
        <w:numPr>
          <w:ilvl w:val="0"/>
          <w:numId w:val="1392"/>
        </w:numPr>
        <w:pStyle w:val="Compact"/>
      </w:pPr>
      <w:r>
        <w:t xml:space="preserve">2015 · Thijs W ·</w:t>
      </w:r>
      <w:r>
        <w:t xml:space="preserve"> </w:t>
      </w:r>
      <w:r>
        <w:rPr>
          <w:iCs/>
          <w:i/>
        </w:rPr>
        <w:t xml:space="preserve">PLoS One</w:t>
      </w:r>
      <w:r>
        <w:t xml:space="preserve"> </w:t>
      </w:r>
      <w:r>
        <w:t xml:space="preserve">· Nasal Levels of Antimicrobial Peptides in Allergic Asthma Patients and Healthy Controls: Differences and Effect of a Short 1,25(OH)2 Vitamin D3 Treatment. PMID 26545199</w:t>
      </w:r>
    </w:p>
    <w:p>
      <w:pPr>
        <w:numPr>
          <w:ilvl w:val="0"/>
          <w:numId w:val="1392"/>
        </w:numPr>
        <w:pStyle w:val="Compact"/>
      </w:pPr>
      <w:r>
        <w:t xml:space="preserve">2015 · Mily A ·</w:t>
      </w:r>
      <w:r>
        <w:t xml:space="preserve"> </w:t>
      </w:r>
      <w:r>
        <w:rPr>
          <w:iCs/>
          <w:i/>
        </w:rPr>
        <w:t xml:space="preserve">PLoS One</w:t>
      </w:r>
      <w:r>
        <w:t xml:space="preserve"> </w:t>
      </w:r>
      <w:r>
        <w:t xml:space="preserve">· Significant Effects of Oral Phenylbutyrate and Vitamin D3 Adjunctive Therapy in Pulmonary Tuberculosis: A Randomized Controlled Trial. PMID 26394045</w:t>
      </w:r>
    </w:p>
    <w:p>
      <w:pPr>
        <w:numPr>
          <w:ilvl w:val="0"/>
          <w:numId w:val="1392"/>
        </w:numPr>
        <w:pStyle w:val="Compact"/>
      </w:pPr>
      <w:r>
        <w:t xml:space="preserve">2015 · Nair P ·</w:t>
      </w:r>
      <w:r>
        <w:t xml:space="preserve"> </w:t>
      </w:r>
      <w:r>
        <w:rPr>
          <w:iCs/>
          <w:i/>
        </w:rPr>
        <w:t xml:space="preserve">Crit Care Med</w:t>
      </w:r>
      <w:r>
        <w:t xml:space="preserve"> </w:t>
      </w:r>
      <w:r>
        <w:t xml:space="preserve">· A Randomized Study of a Single Dose of Intramuscular Cholecalciferol in Critically Ill Adults. PMID 26186566</w:t>
      </w:r>
    </w:p>
    <w:p>
      <w:pPr>
        <w:numPr>
          <w:ilvl w:val="0"/>
          <w:numId w:val="1392"/>
        </w:numPr>
        <w:pStyle w:val="Compact"/>
      </w:pPr>
      <w:r>
        <w:t xml:space="preserve">2015 · Quraishi SA ·</w:t>
      </w:r>
      <w:r>
        <w:t xml:space="preserve"> </w:t>
      </w:r>
      <w:r>
        <w:rPr>
          <w:iCs/>
          <w:i/>
        </w:rPr>
        <w:t xml:space="preserve">Crit Care Med</w:t>
      </w:r>
      <w:r>
        <w:t xml:space="preserve"> </w:t>
      </w:r>
      <w:r>
        <w:t xml:space="preserve">· Effect of Cholecalciferol Supplementation on Vitamin D Status and Cathelicidin Levels in Sepsis: A Randomized, Placebo-Controlled Trial. PMID 26086941</w:t>
      </w:r>
    </w:p>
    <w:p>
      <w:pPr>
        <w:numPr>
          <w:ilvl w:val="0"/>
          <w:numId w:val="1392"/>
        </w:numPr>
        <w:pStyle w:val="Compact"/>
      </w:pPr>
      <w:r>
        <w:t xml:space="preserve">2015 · Lachmann R ·</w:t>
      </w:r>
      <w:r>
        <w:t xml:space="preserve"> </w:t>
      </w:r>
      <w:r>
        <w:rPr>
          <w:iCs/>
          <w:i/>
        </w:rPr>
        <w:t xml:space="preserve">AIDS</w:t>
      </w:r>
      <w:r>
        <w:t xml:space="preserve"> </w:t>
      </w:r>
      <w:r>
        <w:t xml:space="preserve">· A comparative phase 1 clinical trial to identify anti-infective mechanisms of vitamin D in people with HIV infection. PMID 25870995</w:t>
      </w:r>
    </w:p>
    <w:p>
      <w:pPr>
        <w:numPr>
          <w:ilvl w:val="0"/>
          <w:numId w:val="1392"/>
        </w:numPr>
        <w:pStyle w:val="Compact"/>
      </w:pPr>
      <w:r>
        <w:t xml:space="preserve">2015 · Lim R ·</w:t>
      </w:r>
      <w:r>
        <w:t xml:space="preserve"> </w:t>
      </w:r>
      <w:r>
        <w:rPr>
          <w:iCs/>
          <w:i/>
        </w:rPr>
        <w:t xml:space="preserve">J Reprod Immunol</w:t>
      </w:r>
      <w:r>
        <w:t xml:space="preserve"> </w:t>
      </w:r>
      <w:r>
        <w:t xml:space="preserve">· Human cathelicidin antimicrobial protein 18 (hCAP18/LL-37) is increased in foetal membranes and myometrium after spontaneous labour and delivery. PMID 25435436</w:t>
      </w:r>
    </w:p>
    <w:p>
      <w:pPr>
        <w:numPr>
          <w:ilvl w:val="0"/>
          <w:numId w:val="1392"/>
        </w:numPr>
        <w:pStyle w:val="Compact"/>
      </w:pPr>
      <w:r>
        <w:t xml:space="preserve">2015 · Gad GI ·</w:t>
      </w:r>
      <w:r>
        <w:t xml:space="preserve"> </w:t>
      </w:r>
      <w:r>
        <w:rPr>
          <w:iCs/>
          <w:i/>
        </w:rPr>
        <w:t xml:space="preserve">J Matern Fetal Neonatal Med</w:t>
      </w:r>
      <w:r>
        <w:t xml:space="preserve"> </w:t>
      </w:r>
      <w:r>
        <w:t xml:space="preserve">· Diagnostic value of anti-microbial peptide, cathelicidin in congenital pneumonia. PMID 25354286</w:t>
      </w:r>
    </w:p>
    <w:p>
      <w:pPr>
        <w:numPr>
          <w:ilvl w:val="0"/>
          <w:numId w:val="1392"/>
        </w:numPr>
        <w:pStyle w:val="Compact"/>
      </w:pPr>
      <w:r>
        <w:t xml:space="preserve">2014 · Montreekachon P ·</w:t>
      </w:r>
      <w:r>
        <w:t xml:space="preserve"> </w:t>
      </w:r>
      <w:r>
        <w:rPr>
          <w:iCs/>
          <w:i/>
        </w:rPr>
        <w:t xml:space="preserve">Asian Pac J Allergy Immunol</w:t>
      </w:r>
      <w:r>
        <w:t xml:space="preserve"> </w:t>
      </w:r>
      <w:r>
        <w:t xml:space="preserve">· Favorable interleukin-8 induction in human gingival epithelial cells by the antimicrobial peptide LL-37. PMID 25268344</w:t>
      </w:r>
    </w:p>
    <w:p>
      <w:pPr>
        <w:numPr>
          <w:ilvl w:val="0"/>
          <w:numId w:val="1392"/>
        </w:numPr>
        <w:pStyle w:val="Compact"/>
      </w:pPr>
      <w:r>
        <w:t xml:space="preserve">2014 · Raqib R ·</w:t>
      </w:r>
      <w:r>
        <w:t xml:space="preserve"> </w:t>
      </w:r>
      <w:r>
        <w:rPr>
          <w:iCs/>
          <w:i/>
        </w:rPr>
        <w:t xml:space="preserve">Br J Nutr</w:t>
      </w:r>
      <w:r>
        <w:t xml:space="preserve"> </w:t>
      </w:r>
      <w:r>
        <w:t xml:space="preserve">· Prenatal vitamin D₃ supplementation suppresses LL-37 peptide expression in ex vivo activated neonatal macrophages but not their killing capacity. PMID 25089537</w:t>
      </w:r>
    </w:p>
    <w:p>
      <w:pPr>
        <w:numPr>
          <w:ilvl w:val="0"/>
          <w:numId w:val="1392"/>
        </w:numPr>
        <w:pStyle w:val="Compact"/>
      </w:pPr>
      <w:r>
        <w:t xml:space="preserve">2014 · Grönberg A ·</w:t>
      </w:r>
      <w:r>
        <w:t xml:space="preserve"> </w:t>
      </w:r>
      <w:r>
        <w:rPr>
          <w:iCs/>
          <w:i/>
        </w:rPr>
        <w:t xml:space="preserve">Wound Repair Regen</w:t>
      </w:r>
      <w:r>
        <w:t xml:space="preserve"> </w:t>
      </w:r>
      <w:r>
        <w:t xml:space="preserve">· Treatment with LL-37 is safe and effective in enhancing healing of hard-to-heal venous leg ulcers: a randomized, placebo-controlled clinical trial. PMID 25041740</w:t>
      </w:r>
    </w:p>
    <w:p>
      <w:pPr>
        <w:numPr>
          <w:ilvl w:val="0"/>
          <w:numId w:val="1392"/>
        </w:numPr>
        <w:pStyle w:val="Compact"/>
      </w:pPr>
      <w:r>
        <w:t xml:space="preserve">2014 · Leaf DE ·</w:t>
      </w:r>
      <w:r>
        <w:t xml:space="preserve"> </w:t>
      </w:r>
      <w:r>
        <w:rPr>
          <w:iCs/>
          <w:i/>
        </w:rPr>
        <w:t xml:space="preserve">Am J Respir Crit Care Med</w:t>
      </w:r>
      <w:r>
        <w:t xml:space="preserve"> </w:t>
      </w:r>
      <w:r>
        <w:t xml:space="preserve">· Randomized controlled trial of calcitriol in severe sepsis. PMID 25029202</w:t>
      </w:r>
    </w:p>
    <w:p>
      <w:pPr>
        <w:numPr>
          <w:ilvl w:val="0"/>
          <w:numId w:val="1392"/>
        </w:numPr>
        <w:pStyle w:val="Compact"/>
      </w:pPr>
      <w:r>
        <w:t xml:space="preserve">2014 · Koziel J ·</w:t>
      </w:r>
      <w:r>
        <w:t xml:space="preserve"> </w:t>
      </w:r>
      <w:r>
        <w:rPr>
          <w:iCs/>
          <w:i/>
        </w:rPr>
        <w:t xml:space="preserve">J Immunol</w:t>
      </w:r>
      <w:r>
        <w:t xml:space="preserve"> </w:t>
      </w:r>
      <w:r>
        <w:t xml:space="preserve">· Citrullination alters immunomodulatory function of LL-37 essential for prevention of endotoxin-induced sepsis. PMID 24771854</w:t>
      </w:r>
    </w:p>
    <w:p>
      <w:pPr>
        <w:numPr>
          <w:ilvl w:val="0"/>
          <w:numId w:val="1392"/>
        </w:numPr>
        <w:pStyle w:val="Compact"/>
      </w:pPr>
      <w:r>
        <w:t xml:space="preserve">2014 · Limoli DH ·</w:t>
      </w:r>
      <w:r>
        <w:t xml:space="preserve"> </w:t>
      </w:r>
      <w:r>
        <w:rPr>
          <w:iCs/>
          <w:i/>
        </w:rPr>
        <w:t xml:space="preserve">PLoS Pathog</w:t>
      </w:r>
      <w:r>
        <w:t xml:space="preserve"> </w:t>
      </w:r>
      <w:r>
        <w:t xml:space="preserve">· Cationic antimicrobial peptides promote microbial mutagenesis and pathoadaptation in chronic infections. PMID 24763694</w:t>
      </w:r>
    </w:p>
    <w:p>
      <w:pPr>
        <w:numPr>
          <w:ilvl w:val="0"/>
          <w:numId w:val="1392"/>
        </w:numPr>
        <w:pStyle w:val="Compact"/>
      </w:pPr>
      <w:r>
        <w:t xml:space="preserve">2014 · Wheelwright M ·</w:t>
      </w:r>
      <w:r>
        <w:t xml:space="preserve"> </w:t>
      </w:r>
      <w:r>
        <w:rPr>
          <w:iCs/>
          <w:i/>
        </w:rPr>
        <w:t xml:space="preserve">J Immunol</w:t>
      </w:r>
      <w:r>
        <w:t xml:space="preserve"> </w:t>
      </w:r>
      <w:r>
        <w:t xml:space="preserve">· All-trans retinoic acid-triggered antimicrobial activity against Mycobacterium tuberculosis is dependent on NPC2. PMID 24501203</w:t>
      </w:r>
    </w:p>
    <w:p>
      <w:pPr>
        <w:numPr>
          <w:ilvl w:val="0"/>
          <w:numId w:val="1392"/>
        </w:numPr>
        <w:pStyle w:val="Compact"/>
      </w:pPr>
      <w:r>
        <w:t xml:space="preserve">2014 · Das M ·</w:t>
      </w:r>
      <w:r>
        <w:t xml:space="preserve"> </w:t>
      </w:r>
      <w:r>
        <w:rPr>
          <w:iCs/>
          <w:i/>
        </w:rPr>
        <w:t xml:space="preserve">Eur J Clin Nutr</w:t>
      </w:r>
      <w:r>
        <w:t xml:space="preserve"> </w:t>
      </w:r>
      <w:r>
        <w:t xml:space="preserve">· Effect of vitamin D supplementation on cathelicidin, IFN-γ, IL-4 and Th1/Th2 transcription factors in young healthy females. PMID 24398649</w:t>
      </w:r>
    </w:p>
    <w:p>
      <w:pPr>
        <w:numPr>
          <w:ilvl w:val="0"/>
          <w:numId w:val="1392"/>
        </w:numPr>
        <w:pStyle w:val="Compact"/>
      </w:pPr>
      <w:r>
        <w:t xml:space="preserve">2014 · Hata TR ·</w:t>
      </w:r>
      <w:r>
        <w:t xml:space="preserve"> </w:t>
      </w:r>
      <w:r>
        <w:rPr>
          <w:iCs/>
          <w:i/>
        </w:rPr>
        <w:t xml:space="preserve">J Eur Acad Dermatol Venereol</w:t>
      </w:r>
      <w:r>
        <w:t xml:space="preserve"> </w:t>
      </w:r>
      <w:r>
        <w:t xml:space="preserve">· A randomized controlled double-blind investigation of the effects of vitamin D dietary supplementation in subjects with atopic dermatitis. PMID 23638978</w:t>
      </w:r>
    </w:p>
    <w:p>
      <w:pPr>
        <w:numPr>
          <w:ilvl w:val="0"/>
          <w:numId w:val="1392"/>
        </w:numPr>
        <w:pStyle w:val="Compact"/>
      </w:pPr>
      <w:r>
        <w:t xml:space="preserve">2013 · Mily A ·</w:t>
      </w:r>
      <w:r>
        <w:t xml:space="preserve"> </w:t>
      </w:r>
      <w:r>
        <w:rPr>
          <w:iCs/>
          <w:i/>
        </w:rPr>
        <w:t xml:space="preserve">BMC Pulm Med</w:t>
      </w:r>
      <w:r>
        <w:t xml:space="preserve"> </w:t>
      </w:r>
      <w:r>
        <w:t xml:space="preserve">· Oral intake of phenylbutyrate with or without vitamin D3 upregulates the cathelicidin LL-37 in human macrophages: a dose finding study for treatment of tuberculosis. PMID 23590701</w:t>
      </w:r>
    </w:p>
    <w:p>
      <w:pPr>
        <w:numPr>
          <w:ilvl w:val="0"/>
          <w:numId w:val="1392"/>
        </w:numPr>
        <w:pStyle w:val="Compact"/>
      </w:pPr>
      <w:r>
        <w:t xml:space="preserve">2013 · Gollwitzer H ·</w:t>
      </w:r>
      <w:r>
        <w:t xml:space="preserve"> </w:t>
      </w:r>
      <w:r>
        <w:rPr>
          <w:iCs/>
          <w:i/>
        </w:rPr>
        <w:t xml:space="preserve">J Bone Joint Surg Am</w:t>
      </w:r>
      <w:r>
        <w:t xml:space="preserve"> </w:t>
      </w:r>
      <w:r>
        <w:t xml:space="preserve">· Antimicrobial peptides and proinflammatory cytokines in periprosthetic joint infection. PMID 23553300</w:t>
      </w:r>
    </w:p>
    <w:p>
      <w:pPr>
        <w:numPr>
          <w:ilvl w:val="0"/>
          <w:numId w:val="1392"/>
        </w:numPr>
        <w:pStyle w:val="Compact"/>
      </w:pPr>
      <w:r>
        <w:t xml:space="preserve">2013 · Alvarez JA ·</w:t>
      </w:r>
      <w:r>
        <w:t xml:space="preserve"> </w:t>
      </w:r>
      <w:r>
        <w:rPr>
          <w:iCs/>
          <w:i/>
        </w:rPr>
        <w:t xml:space="preserve">Eur J Clin Nutr</w:t>
      </w:r>
      <w:r>
        <w:t xml:space="preserve"> </w:t>
      </w:r>
      <w:r>
        <w:t xml:space="preserve">· Effects of high-dose cholecalciferol on serum markers of inflammation and immunity in patients with early chronic kidney disease. PMID 23361158</w:t>
      </w:r>
    </w:p>
    <w:p>
      <w:pPr>
        <w:numPr>
          <w:ilvl w:val="0"/>
          <w:numId w:val="1392"/>
        </w:numPr>
        <w:pStyle w:val="Compact"/>
      </w:pPr>
      <w:r>
        <w:t xml:space="preserve">2013 · Klug-Micu GM ·</w:t>
      </w:r>
      <w:r>
        <w:t xml:space="preserve"> </w:t>
      </w:r>
      <w:r>
        <w:rPr>
          <w:iCs/>
          <w:i/>
        </w:rPr>
        <w:t xml:space="preserve">Immunology</w:t>
      </w:r>
      <w:r>
        <w:t xml:space="preserve"> </w:t>
      </w:r>
      <w:r>
        <w:t xml:space="preserve">· CD40 ligand and interferon-γ induce an antimicrobial response against Mycobacterium tuberculosis in human monocytes. PMID 23289765</w:t>
      </w:r>
    </w:p>
    <w:p>
      <w:pPr>
        <w:numPr>
          <w:ilvl w:val="0"/>
          <w:numId w:val="1392"/>
        </w:numPr>
        <w:pStyle w:val="Compact"/>
      </w:pPr>
      <w:r>
        <w:t xml:space="preserve">2012 · Campbell GR ·</w:t>
      </w:r>
      <w:r>
        <w:t xml:space="preserve"> </w:t>
      </w:r>
      <w:r>
        <w:rPr>
          <w:iCs/>
          <w:i/>
        </w:rPr>
        <w:t xml:space="preserve">PLoS Pathog</w:t>
      </w:r>
      <w:r>
        <w:t xml:space="preserve"> </w:t>
      </w:r>
      <w:r>
        <w:t xml:space="preserve">· Toll-like receptor 8 ligands activate a vitamin D mediated autophagic response that inhibits human immunodeficiency virus type 1. PMID 23166493</w:t>
      </w:r>
    </w:p>
    <w:p>
      <w:pPr>
        <w:numPr>
          <w:ilvl w:val="0"/>
          <w:numId w:val="1392"/>
        </w:numPr>
        <w:pStyle w:val="Compact"/>
      </w:pPr>
      <w:r>
        <w:t xml:space="preserve">2012 · Grossmann RE ·</w:t>
      </w:r>
      <w:r>
        <w:t xml:space="preserve"> </w:t>
      </w:r>
      <w:r>
        <w:rPr>
          <w:iCs/>
          <w:i/>
        </w:rPr>
        <w:t xml:space="preserve">Eur J Clin Nutr</w:t>
      </w:r>
      <w:r>
        <w:t xml:space="preserve"> </w:t>
      </w:r>
      <w:r>
        <w:t xml:space="preserve">· Impact of vitamin D supplementation on markers of inflammation in adults with cystic fibrosis hospitalized for a pulmonary exacerbation. PMID 22805498</w:t>
      </w:r>
    </w:p>
    <w:p>
      <w:pPr>
        <w:numPr>
          <w:ilvl w:val="0"/>
          <w:numId w:val="1392"/>
        </w:numPr>
        <w:pStyle w:val="Compact"/>
      </w:pPr>
      <w:r>
        <w:t xml:space="preserve">2012 · Raqib R ·</w:t>
      </w:r>
      <w:r>
        <w:t xml:space="preserve"> </w:t>
      </w:r>
      <w:r>
        <w:rPr>
          <w:iCs/>
          <w:i/>
        </w:rPr>
        <w:t xml:space="preserve">BMC Infect Dis</w:t>
      </w:r>
      <w:r>
        <w:t xml:space="preserve"> </w:t>
      </w:r>
      <w:r>
        <w:t xml:space="preserve">· Efficacy of sodium butyrate adjunct therapy in shigellosis: a randomized, double-blind, placebo-controlled clinical trial. PMID 22574737</w:t>
      </w:r>
    </w:p>
    <w:p>
      <w:pPr>
        <w:numPr>
          <w:ilvl w:val="0"/>
          <w:numId w:val="1392"/>
        </w:numPr>
        <w:pStyle w:val="Compact"/>
      </w:pPr>
      <w:r>
        <w:t xml:space="preserve">2012 · Nijnik A ·</w:t>
      </w:r>
      <w:r>
        <w:t xml:space="preserve"> </w:t>
      </w:r>
      <w:r>
        <w:rPr>
          <w:iCs/>
          <w:i/>
        </w:rPr>
        <w:t xml:space="preserve">J Leukoc Biol</w:t>
      </w:r>
      <w:r>
        <w:t xml:space="preserve"> </w:t>
      </w:r>
      <w:r>
        <w:t xml:space="preserve">· The role of the Src family kinase Lyn in the immunomodulatory activities of cathelicidin peptide LL-37 on monocytic cells. PMID 22246800</w:t>
      </w:r>
    </w:p>
    <w:p>
      <w:pPr>
        <w:numPr>
          <w:ilvl w:val="0"/>
          <w:numId w:val="1392"/>
        </w:numPr>
        <w:pStyle w:val="Compact"/>
      </w:pPr>
      <w:r>
        <w:t xml:space="preserve">2011 · Usui T ·</w:t>
      </w:r>
      <w:r>
        <w:t xml:space="preserve"> </w:t>
      </w:r>
      <w:r>
        <w:rPr>
          <w:iCs/>
          <w:i/>
        </w:rPr>
        <w:t xml:space="preserve">Eur J Appl Physiol</w:t>
      </w:r>
      <w:r>
        <w:t xml:space="preserve"> </w:t>
      </w:r>
      <w:r>
        <w:t xml:space="preserve">· Changes in salivary antimicrobial peptides, immunoglobulin A and cortisol after prolonged strenuous exercise. PMID 21249386</w:t>
      </w:r>
    </w:p>
    <w:p>
      <w:pPr>
        <w:numPr>
          <w:ilvl w:val="0"/>
          <w:numId w:val="1392"/>
        </w:numPr>
        <w:pStyle w:val="Compact"/>
      </w:pPr>
      <w:r>
        <w:t xml:space="preserve">2010 · Muratov V ·</w:t>
      </w:r>
      <w:r>
        <w:t xml:space="preserve"> </w:t>
      </w:r>
      <w:r>
        <w:rPr>
          <w:iCs/>
          <w:i/>
        </w:rPr>
        <w:t xml:space="preserve">J Clin Apher</w:t>
      </w:r>
      <w:r>
        <w:t xml:space="preserve"> </w:t>
      </w:r>
      <w:r>
        <w:t xml:space="preserve">· Safety and tolerability of a modified filter-type device for leukocytapheresis using ACD-A as anticoagulant in patients with mild to moderately active ulcerative colitis. Results of a pilot study. PMID 20806415</w:t>
      </w:r>
    </w:p>
    <w:p>
      <w:pPr>
        <w:numPr>
          <w:ilvl w:val="0"/>
          <w:numId w:val="1392"/>
        </w:numPr>
        <w:pStyle w:val="Compact"/>
      </w:pPr>
      <w:r>
        <w:t xml:space="preserve">2010 · Dhaliwal W ·</w:t>
      </w:r>
      <w:r>
        <w:t xml:space="preserve"> </w:t>
      </w:r>
      <w:r>
        <w:rPr>
          <w:iCs/>
          <w:i/>
        </w:rPr>
        <w:t xml:space="preserve">J Infect Dis</w:t>
      </w:r>
      <w:r>
        <w:t xml:space="preserve"> </w:t>
      </w:r>
      <w:r>
        <w:t xml:space="preserve">· Intestinal antimicrobial gene expression: impact of micronutrients in malnourished adults during a randomized trial. PMID 20695797</w:t>
      </w:r>
    </w:p>
    <w:p>
      <w:pPr>
        <w:numPr>
          <w:ilvl w:val="0"/>
          <w:numId w:val="1392"/>
        </w:numPr>
        <w:pStyle w:val="Compact"/>
      </w:pPr>
      <w:r>
        <w:t xml:space="preserve">2010 · Yamshchikov AV ·</w:t>
      </w:r>
      <w:r>
        <w:t xml:space="preserve"> </w:t>
      </w:r>
      <w:r>
        <w:rPr>
          <w:iCs/>
          <w:i/>
        </w:rPr>
        <w:t xml:space="preserve">Am J Clin Nutr</w:t>
      </w:r>
      <w:r>
        <w:t xml:space="preserve"> </w:t>
      </w:r>
      <w:r>
        <w:t xml:space="preserve">· Vitamin D status and antimicrobial peptide cathelicidin (LL-37) concentrations in patients with active pulmonary tuberculosis. PMID 20610636</w:t>
      </w:r>
    </w:p>
    <w:p>
      <w:pPr>
        <w:numPr>
          <w:ilvl w:val="0"/>
          <w:numId w:val="1392"/>
        </w:numPr>
        <w:pStyle w:val="Compact"/>
      </w:pPr>
      <w:r>
        <w:t xml:space="preserve">2010 · Park KY ·</w:t>
      </w:r>
      <w:r>
        <w:t xml:space="preserve"> </w:t>
      </w:r>
      <w:r>
        <w:rPr>
          <w:iCs/>
          <w:i/>
        </w:rPr>
        <w:t xml:space="preserve">J Korean Med Sci</w:t>
      </w:r>
      <w:r>
        <w:t xml:space="preserve"> </w:t>
      </w:r>
      <w:r>
        <w:t xml:space="preserve">· Changes of antimicrobial peptides and transepidermal water loss after topical application of tacrolimus and ceramide-dominant emollient in patients with atopic dermatitis. PMID 20436715</w:t>
      </w:r>
    </w:p>
    <w:p>
      <w:pPr>
        <w:numPr>
          <w:ilvl w:val="0"/>
          <w:numId w:val="1392"/>
        </w:numPr>
        <w:pStyle w:val="Compact"/>
      </w:pPr>
      <w:r>
        <w:t xml:space="preserve">2010 · Heilborn JD ·</w:t>
      </w:r>
      <w:r>
        <w:t xml:space="preserve"> </w:t>
      </w:r>
      <w:r>
        <w:rPr>
          <w:iCs/>
          <w:i/>
        </w:rPr>
        <w:t xml:space="preserve">Exp Dermatol</w:t>
      </w:r>
      <w:r>
        <w:t xml:space="preserve"> </w:t>
      </w:r>
      <w:r>
        <w:t xml:space="preserve">· Topical treatment with the vitamin D analogue calcipotriol enhances the upregulation of the antimicrobial protein hCAP18/LL-37 during wounding in human skin in vivo. PMID 19878298</w:t>
      </w:r>
    </w:p>
    <w:p>
      <w:pPr>
        <w:numPr>
          <w:ilvl w:val="0"/>
          <w:numId w:val="1392"/>
        </w:numPr>
        <w:pStyle w:val="Compact"/>
      </w:pPr>
      <w:r>
        <w:t xml:space="preserve">2009 · Misawa Y ·</w:t>
      </w:r>
      <w:r>
        <w:t xml:space="preserve"> </w:t>
      </w:r>
      <w:r>
        <w:rPr>
          <w:iCs/>
          <w:i/>
        </w:rPr>
        <w:t xml:space="preserve">Int J Hematol</w:t>
      </w:r>
      <w:r>
        <w:t xml:space="preserve"> </w:t>
      </w:r>
      <w:r>
        <w:t xml:space="preserve">· Vitamin D(3) induces expression of human cathelicidin antimicrobial peptide 18 in newborns. PMID 19943126</w:t>
      </w:r>
    </w:p>
    <w:p>
      <w:pPr>
        <w:numPr>
          <w:ilvl w:val="0"/>
          <w:numId w:val="1392"/>
        </w:numPr>
        <w:pStyle w:val="Compact"/>
      </w:pPr>
      <w:r>
        <w:t xml:space="preserve">2009 · Levinson P ·</w:t>
      </w:r>
      <w:r>
        <w:t xml:space="preserve"> </w:t>
      </w:r>
      <w:r>
        <w:rPr>
          <w:iCs/>
          <w:i/>
        </w:rPr>
        <w:t xml:space="preserve">AIDS</w:t>
      </w:r>
      <w:r>
        <w:t xml:space="preserve"> </w:t>
      </w:r>
      <w:r>
        <w:t xml:space="preserve">· Levels of innate immune factors in genital fluids: association of alpha defensins and LL-37 with genital infections and increased HIV acquisition. PMID 19114868</w:t>
      </w:r>
    </w:p>
    <w:p>
      <w:pPr>
        <w:numPr>
          <w:ilvl w:val="0"/>
          <w:numId w:val="1392"/>
        </w:numPr>
        <w:pStyle w:val="Compact"/>
      </w:pPr>
      <w:r>
        <w:t xml:space="preserve">2008 · Hata TR ·</w:t>
      </w:r>
      <w:r>
        <w:t xml:space="preserve"> </w:t>
      </w:r>
      <w:r>
        <w:rPr>
          <w:iCs/>
          <w:i/>
        </w:rPr>
        <w:t xml:space="preserve">J Allergy Clin Immunol</w:t>
      </w:r>
      <w:r>
        <w:t xml:space="preserve"> </w:t>
      </w:r>
      <w:r>
        <w:t xml:space="preserve">· Administration of oral vitamin D induces cathelicidin production in atopic individuals. PMID 19014773</w:t>
      </w:r>
    </w:p>
    <w:p>
      <w:pPr>
        <w:numPr>
          <w:ilvl w:val="0"/>
          <w:numId w:val="1392"/>
        </w:numPr>
        <w:pStyle w:val="Compact"/>
      </w:pPr>
      <w:r>
        <w:t xml:space="preserve">2007 · Christensen RD ·</w:t>
      </w:r>
      <w:r>
        <w:t xml:space="preserve"> </w:t>
      </w:r>
      <w:r>
        <w:rPr>
          <w:iCs/>
          <w:i/>
        </w:rPr>
        <w:t xml:space="preserve">J Perinatol</w:t>
      </w:r>
      <w:r>
        <w:t xml:space="preserve"> </w:t>
      </w:r>
      <w:r>
        <w:t xml:space="preserve">· ETCare: a randomized, controlled, masked trial comparing two solutions for upper airway care in the NICU. PMID 17568755</w:t>
      </w:r>
    </w:p>
    <w:p>
      <w:pPr>
        <w:numPr>
          <w:ilvl w:val="0"/>
          <w:numId w:val="1392"/>
        </w:numPr>
        <w:pStyle w:val="Compact"/>
      </w:pPr>
      <w:r>
        <w:t xml:space="preserve">2006 · Schauber J ·</w:t>
      </w:r>
      <w:r>
        <w:t xml:space="preserve"> </w:t>
      </w:r>
      <w:r>
        <w:rPr>
          <w:iCs/>
          <w:i/>
        </w:rPr>
        <w:t xml:space="preserve">Mol Nutr Food Res</w:t>
      </w:r>
      <w:r>
        <w:t xml:space="preserve"> </w:t>
      </w:r>
      <w:r>
        <w:t xml:space="preserve">· Human rectal mucosal gene expression after consumption of digestible and non-digestible carbohydrates. PMID 17039460</w:t>
      </w:r>
    </w:p>
    <w:bookmarkEnd w:id="3032"/>
    <w:bookmarkStart w:id="3033" w:name="ara-290-cibinétide-5"/>
    <w:p>
      <w:pPr>
        <w:pStyle w:val="Heading2"/>
      </w:pPr>
      <w:r>
        <w:t xml:space="preserve">ARA-290 (cibinétide) (5)</w:t>
      </w:r>
    </w:p>
    <w:p>
      <w:pPr>
        <w:numPr>
          <w:ilvl w:val="0"/>
          <w:numId w:val="1393"/>
        </w:numPr>
        <w:pStyle w:val="Compact"/>
      </w:pPr>
      <w:r>
        <w:t xml:space="preserve">2017 · Culver DA ·</w:t>
      </w:r>
      <w:r>
        <w:t xml:space="preserve"> </w:t>
      </w:r>
      <w:r>
        <w:rPr>
          <w:iCs/>
          <w:i/>
        </w:rPr>
        <w:t xml:space="preserve">Invest Ophthalmol Vis Sci</w:t>
      </w:r>
      <w:r>
        <w:t xml:space="preserve"> </w:t>
      </w:r>
      <w:r>
        <w:t xml:space="preserve">· Cibinetide Improves Corneal Nerve Fiber Abundance in Patients With Sarcoidosis-Associated Small Nerve Fiber Loss and Neuropathic Pain. PMID 28475703</w:t>
      </w:r>
    </w:p>
    <w:p>
      <w:pPr>
        <w:numPr>
          <w:ilvl w:val="0"/>
          <w:numId w:val="1393"/>
        </w:numPr>
        <w:pStyle w:val="Compact"/>
      </w:pPr>
      <w:r>
        <w:t xml:space="preserve">2015 · Cerit H ·</w:t>
      </w:r>
      <w:r>
        <w:t xml:space="preserve"> </w:t>
      </w:r>
      <w:r>
        <w:rPr>
          <w:iCs/>
          <w:i/>
        </w:rPr>
        <w:t xml:space="preserve">Eur Neuropsychopharmacol</w:t>
      </w:r>
      <w:r>
        <w:t xml:space="preserve"> </w:t>
      </w:r>
      <w:r>
        <w:t xml:space="preserve">· Testing the antidepressant properties of the peptide ARA290 in a human neuropsychological model of drug action. PMID 26431906</w:t>
      </w:r>
    </w:p>
    <w:p>
      <w:pPr>
        <w:numPr>
          <w:ilvl w:val="0"/>
          <w:numId w:val="1393"/>
        </w:numPr>
        <w:pStyle w:val="Compact"/>
      </w:pPr>
      <w:r>
        <w:t xml:space="preserve">2015 · Brines M ·</w:t>
      </w:r>
      <w:r>
        <w:t xml:space="preserve"> </w:t>
      </w:r>
      <w:r>
        <w:rPr>
          <w:iCs/>
          <w:i/>
        </w:rPr>
        <w:t xml:space="preserve">Mol Med</w:t>
      </w:r>
      <w:r>
        <w:t xml:space="preserve"> </w:t>
      </w:r>
      <w:r>
        <w:t xml:space="preserve">· ARA 290, a nonerythropoietic peptide engineered from erythropoietin, improves metabolic control and neuropathic symptoms in patients with type 2 diabetes. PMID 25387363</w:t>
      </w:r>
    </w:p>
    <w:p>
      <w:pPr>
        <w:numPr>
          <w:ilvl w:val="0"/>
          <w:numId w:val="1393"/>
        </w:numPr>
        <w:pStyle w:val="Compact"/>
      </w:pPr>
      <w:r>
        <w:t xml:space="preserve">2013 · Dahan A ·</w:t>
      </w:r>
      <w:r>
        <w:t xml:space="preserve"> </w:t>
      </w:r>
      <w:r>
        <w:rPr>
          <w:iCs/>
          <w:i/>
        </w:rPr>
        <w:t xml:space="preserve">Mol Med</w:t>
      </w:r>
      <w:r>
        <w:t xml:space="preserve"> </w:t>
      </w:r>
      <w:r>
        <w:t xml:space="preserve">· ARA 290 improves symptoms in patients with sarcoidosis-associated small nerve fiber loss and increases corneal nerve fiber density. PMID 24136731</w:t>
      </w:r>
    </w:p>
    <w:p>
      <w:pPr>
        <w:numPr>
          <w:ilvl w:val="0"/>
          <w:numId w:val="1393"/>
        </w:numPr>
        <w:pStyle w:val="Compact"/>
      </w:pPr>
      <w:r>
        <w:t xml:space="preserve">2012 · Heij L ·</w:t>
      </w:r>
      <w:r>
        <w:t xml:space="preserve"> </w:t>
      </w:r>
      <w:r>
        <w:rPr>
          <w:iCs/>
          <w:i/>
        </w:rPr>
        <w:t xml:space="preserve">Mol Med</w:t>
      </w:r>
      <w:r>
        <w:t xml:space="preserve"> </w:t>
      </w:r>
      <w:r>
        <w:t xml:space="preserve">· Safety and efficacy of ARA 290 in sarcoidosis patients with symptoms of small fiber neuropathy: a randomized, double-blind pilot study. PMID 23168581</w:t>
      </w:r>
    </w:p>
    <w:bookmarkEnd w:id="3033"/>
    <w:bookmarkStart w:id="3034" w:name="larazotide-4"/>
    <w:p>
      <w:pPr>
        <w:pStyle w:val="Heading2"/>
      </w:pPr>
      <w:r>
        <w:t xml:space="preserve">Larazotide (4)</w:t>
      </w:r>
    </w:p>
    <w:p>
      <w:pPr>
        <w:numPr>
          <w:ilvl w:val="0"/>
          <w:numId w:val="1394"/>
        </w:numPr>
        <w:pStyle w:val="Compact"/>
      </w:pPr>
      <w:r>
        <w:t xml:space="preserve">2025 · Yonker LM ·</w:t>
      </w:r>
      <w:r>
        <w:t xml:space="preserve"> </w:t>
      </w:r>
      <w:r>
        <w:rPr>
          <w:iCs/>
          <w:i/>
        </w:rPr>
        <w:t xml:space="preserve">Sci Transl Med</w:t>
      </w:r>
      <w:r>
        <w:t xml:space="preserve"> </w:t>
      </w:r>
      <w:r>
        <w:t xml:space="preserve">· Viral spike antigen clearance and augmented recovery in children with post-COVID multisystem inflammatory syndrome treated with larazotide. PMID 40737433</w:t>
      </w:r>
    </w:p>
    <w:p>
      <w:pPr>
        <w:numPr>
          <w:ilvl w:val="0"/>
          <w:numId w:val="1394"/>
        </w:numPr>
        <w:pStyle w:val="Compact"/>
      </w:pPr>
      <w:r>
        <w:t xml:space="preserve">2015 · Leffler DA ·</w:t>
      </w:r>
      <w:r>
        <w:t xml:space="preserve"> </w:t>
      </w:r>
      <w:r>
        <w:rPr>
          <w:iCs/>
          <w:i/>
        </w:rPr>
        <w:t xml:space="preserve">Gastroenterology</w:t>
      </w:r>
      <w:r>
        <w:t xml:space="preserve"> </w:t>
      </w:r>
      <w:r>
        <w:t xml:space="preserve">· Larazotide acetate for persistent symptoms of celiac disease despite a gluten-free diet: a randomized controlled trial. PMID 25683116</w:t>
      </w:r>
    </w:p>
    <w:p>
      <w:pPr>
        <w:numPr>
          <w:ilvl w:val="0"/>
          <w:numId w:val="1394"/>
        </w:numPr>
        <w:pStyle w:val="Compact"/>
      </w:pPr>
      <w:r>
        <w:t xml:space="preserve">2013 · Kelly CP ·</w:t>
      </w:r>
      <w:r>
        <w:t xml:space="preserve"> </w:t>
      </w:r>
      <w:r>
        <w:rPr>
          <w:iCs/>
          <w:i/>
        </w:rPr>
        <w:t xml:space="preserve">Aliment Pharmacol Ther</w:t>
      </w:r>
      <w:r>
        <w:t xml:space="preserve"> </w:t>
      </w:r>
      <w:r>
        <w:t xml:space="preserve">· Larazotide acetate in patients with coeliac disease undergoing a gluten challenge: a randomised placebo-controlled study. PMID 23163616</w:t>
      </w:r>
    </w:p>
    <w:p>
      <w:pPr>
        <w:numPr>
          <w:ilvl w:val="0"/>
          <w:numId w:val="1394"/>
        </w:numPr>
        <w:pStyle w:val="Compact"/>
      </w:pPr>
      <w:r>
        <w:t xml:space="preserve">2012 · Leffler DA ·</w:t>
      </w:r>
      <w:r>
        <w:t xml:space="preserve"> </w:t>
      </w:r>
      <w:r>
        <w:rPr>
          <w:iCs/>
          <w:i/>
        </w:rPr>
        <w:t xml:space="preserve">Am J Gastroenterol</w:t>
      </w:r>
      <w:r>
        <w:t xml:space="preserve"> </w:t>
      </w:r>
      <w:r>
        <w:t xml:space="preserve">· A randomized, double-blind study of larazotide acetate to prevent the activation of celiac disease during gluten challenge. PMID 22825365</w:t>
      </w:r>
    </w:p>
    <w:bookmarkEnd w:id="3034"/>
    <w:bookmarkStart w:id="3035" w:name="thymaline-et-thymogène-17"/>
    <w:p>
      <w:pPr>
        <w:pStyle w:val="Heading2"/>
      </w:pPr>
      <w:r>
        <w:t xml:space="preserve">Thymaline et thymogène (17)</w:t>
      </w:r>
    </w:p>
    <w:p>
      <w:pPr>
        <w:numPr>
          <w:ilvl w:val="0"/>
          <w:numId w:val="1395"/>
        </w:numPr>
        <w:pStyle w:val="Compact"/>
      </w:pPr>
      <w:r>
        <w:t xml:space="preserve">2015 · Litvinenko GI ·</w:t>
      </w:r>
      <w:r>
        <w:t xml:space="preserve"> </w:t>
      </w:r>
      <w:r>
        <w:rPr>
          <w:iCs/>
          <w:i/>
        </w:rPr>
        <w:t xml:space="preserve">Bull Exp Biol Med</w:t>
      </w:r>
      <w:r>
        <w:t xml:space="preserve"> </w:t>
      </w:r>
      <w:r>
        <w:t xml:space="preserve">· Chrono- and Immunocorrection of Inflammatory Disorders of Internal Reproductive Organs in Women of Reproductive Age. PMID 26033592</w:t>
      </w:r>
    </w:p>
    <w:p>
      <w:pPr>
        <w:numPr>
          <w:ilvl w:val="0"/>
          <w:numId w:val="1395"/>
        </w:numPr>
        <w:pStyle w:val="Compact"/>
      </w:pPr>
      <w:r>
        <w:t xml:space="preserve">2011 · Smirnov VS ·</w:t>
      </w:r>
      <w:r>
        <w:t xml:space="preserve"> </w:t>
      </w:r>
      <w:r>
        <w:rPr>
          <w:iCs/>
          <w:i/>
        </w:rPr>
        <w:t xml:space="preserve">Adv Gerontol</w:t>
      </w:r>
      <w:r>
        <w:t xml:space="preserve"> </w:t>
      </w:r>
      <w:r>
        <w:t xml:space="preserve">· [Application thymogen for preoperative preparation of elderly patients with tumor processes in abdominal cavity]. PMID 21957588</w:t>
      </w:r>
    </w:p>
    <w:p>
      <w:pPr>
        <w:numPr>
          <w:ilvl w:val="0"/>
          <w:numId w:val="1395"/>
        </w:numPr>
        <w:pStyle w:val="Compact"/>
      </w:pPr>
      <w:r>
        <w:t xml:space="preserve">2004 · Kopchak VM ·</w:t>
      </w:r>
      <w:r>
        <w:t xml:space="preserve"> </w:t>
      </w:r>
      <w:r>
        <w:rPr>
          <w:iCs/>
          <w:i/>
        </w:rPr>
        <w:t xml:space="preserve">Klin Khir</w:t>
      </w:r>
      <w:r>
        <w:t xml:space="preserve"> </w:t>
      </w:r>
      <w:r>
        <w:t xml:space="preserve">· [The application efficacy of immunomodulators in complex of treatment of an acute necrotic pancreatitis]. PMID 15560588</w:t>
      </w:r>
    </w:p>
    <w:p>
      <w:pPr>
        <w:numPr>
          <w:ilvl w:val="0"/>
          <w:numId w:val="1395"/>
        </w:numPr>
        <w:pStyle w:val="Compact"/>
      </w:pPr>
      <w:r>
        <w:t xml:space="preserve">2003 · Khavinson VKh ·</w:t>
      </w:r>
      <w:r>
        <w:t xml:space="preserve"> </w:t>
      </w:r>
      <w:r>
        <w:rPr>
          <w:iCs/>
          <w:i/>
        </w:rPr>
        <w:t xml:space="preserve">Neuro Endocrinol Lett</w:t>
      </w:r>
      <w:r>
        <w:t xml:space="preserve"> </w:t>
      </w:r>
      <w:r>
        <w:t xml:space="preserve">· Peptides of pineal gland and thymus prolong human life. PMID 14523363</w:t>
      </w:r>
    </w:p>
    <w:p>
      <w:pPr>
        <w:numPr>
          <w:ilvl w:val="0"/>
          <w:numId w:val="1395"/>
        </w:numPr>
        <w:pStyle w:val="Compact"/>
      </w:pPr>
      <w:r>
        <w:t xml:space="preserve">2000 · Potiĭ VV ·</w:t>
      </w:r>
      <w:r>
        <w:t xml:space="preserve"> </w:t>
      </w:r>
      <w:r>
        <w:rPr>
          <w:iCs/>
          <w:i/>
        </w:rPr>
        <w:t xml:space="preserve">Klin Khir</w:t>
      </w:r>
      <w:r>
        <w:t xml:space="preserve"> </w:t>
      </w:r>
      <w:r>
        <w:t xml:space="preserve">· [Applications of immunomodulators in complex of treatment of the soft tissue purulent wounds]. PMID 11247420</w:t>
      </w:r>
    </w:p>
    <w:p>
      <w:pPr>
        <w:numPr>
          <w:ilvl w:val="0"/>
          <w:numId w:val="1395"/>
        </w:numPr>
        <w:pStyle w:val="Compact"/>
      </w:pPr>
      <w:r>
        <w:t xml:space="preserve">1999 · Medus AI ·</w:t>
      </w:r>
      <w:r>
        <w:t xml:space="preserve"> </w:t>
      </w:r>
      <w:r>
        <w:rPr>
          <w:iCs/>
          <w:i/>
        </w:rPr>
        <w:t xml:space="preserve">Voen Med Zh</w:t>
      </w:r>
      <w:r>
        <w:t xml:space="preserve"> </w:t>
      </w:r>
      <w:r>
        <w:t xml:space="preserve">· [The effect of thymogen on the state of immunity in destructive pulmonary tuberculosis]. PMID 10605346</w:t>
      </w:r>
    </w:p>
    <w:p>
      <w:pPr>
        <w:numPr>
          <w:ilvl w:val="0"/>
          <w:numId w:val="1395"/>
        </w:numPr>
        <w:pStyle w:val="Compact"/>
      </w:pPr>
      <w:r>
        <w:t xml:space="preserve">1999 · Musienko GV ·</w:t>
      </w:r>
      <w:r>
        <w:t xml:space="preserve"> </w:t>
      </w:r>
      <w:r>
        <w:rPr>
          <w:iCs/>
          <w:i/>
        </w:rPr>
        <w:t xml:space="preserve">Lik Sprava</w:t>
      </w:r>
      <w:r>
        <w:t xml:space="preserve"> </w:t>
      </w:r>
      <w:r>
        <w:t xml:space="preserve">· [Thymalin in the combined treatment of parkinsonism patients]. PMID 10424021</w:t>
      </w:r>
    </w:p>
    <w:p>
      <w:pPr>
        <w:numPr>
          <w:ilvl w:val="0"/>
          <w:numId w:val="1395"/>
        </w:numPr>
        <w:pStyle w:val="Compact"/>
      </w:pPr>
      <w:r>
        <w:t xml:space="preserve">1994 · Bushmelev VA ·</w:t>
      </w:r>
      <w:r>
        <w:t xml:space="preserve"> </w:t>
      </w:r>
      <w:r>
        <w:rPr>
          <w:iCs/>
          <w:i/>
        </w:rPr>
        <w:t xml:space="preserve">Khirurgiia (Mosk)</w:t>
      </w:r>
      <w:r>
        <w:t xml:space="preserve"> </w:t>
      </w:r>
      <w:r>
        <w:t xml:space="preserve">· [Prevention of postoperative complications in diffuse purulent peritonitis in children]. PMID 7990325</w:t>
      </w:r>
    </w:p>
    <w:p>
      <w:pPr>
        <w:numPr>
          <w:ilvl w:val="0"/>
          <w:numId w:val="1395"/>
        </w:numPr>
        <w:pStyle w:val="Compact"/>
      </w:pPr>
      <w:r>
        <w:t xml:space="preserve">1994 · Litvinova NV ·</w:t>
      </w:r>
      <w:r>
        <w:t xml:space="preserve"> </w:t>
      </w:r>
      <w:r>
        <w:rPr>
          <w:iCs/>
          <w:i/>
        </w:rPr>
        <w:t xml:space="preserve">Probl Tuberk</w:t>
      </w:r>
      <w:r>
        <w:t xml:space="preserve"> </w:t>
      </w:r>
      <w:r>
        <w:t xml:space="preserve">· [Changes of immune and non-specific reactivity in patients with chronic suppurative obstructive bronchitis in comprehensive treatment with thymogen]. PMID 7984617</w:t>
      </w:r>
    </w:p>
    <w:p>
      <w:pPr>
        <w:numPr>
          <w:ilvl w:val="0"/>
          <w:numId w:val="1395"/>
        </w:numPr>
        <w:pStyle w:val="Compact"/>
      </w:pPr>
      <w:r>
        <w:t xml:space="preserve">1994 · Ivanova LA ·</w:t>
      </w:r>
      <w:r>
        <w:t xml:space="preserve"> </w:t>
      </w:r>
      <w:r>
        <w:rPr>
          <w:iCs/>
          <w:i/>
        </w:rPr>
        <w:t xml:space="preserve">Probl Tuberk</w:t>
      </w:r>
      <w:r>
        <w:t xml:space="preserve"> </w:t>
      </w:r>
      <w:r>
        <w:t xml:space="preserve">· [Immunotherapy in the combined treatment of chronic destructive pulmonary tuberculosis]. PMID 7937662</w:t>
      </w:r>
    </w:p>
    <w:p>
      <w:pPr>
        <w:numPr>
          <w:ilvl w:val="0"/>
          <w:numId w:val="1395"/>
        </w:numPr>
        <w:pStyle w:val="Compact"/>
      </w:pPr>
      <w:r>
        <w:t xml:space="preserve">1992 · Tsvelev IuV ·</w:t>
      </w:r>
      <w:r>
        <w:t xml:space="preserve"> </w:t>
      </w:r>
      <w:r>
        <w:rPr>
          <w:iCs/>
          <w:i/>
        </w:rPr>
        <w:t xml:space="preserve">Akush Ginekol (Mosk)</w:t>
      </w:r>
      <w:r>
        <w:t xml:space="preserve"> </w:t>
      </w:r>
      <w:r>
        <w:t xml:space="preserve">· [Thymogen in the complex treatment of inflammatory diseases of the female genital system]. PMID 1476231</w:t>
      </w:r>
    </w:p>
    <w:p>
      <w:pPr>
        <w:numPr>
          <w:ilvl w:val="0"/>
          <w:numId w:val="1395"/>
        </w:numPr>
        <w:pStyle w:val="Compact"/>
      </w:pPr>
      <w:r>
        <w:t xml:space="preserve">1992 · Tkach SM ·</w:t>
      </w:r>
      <w:r>
        <w:t xml:space="preserve"> </w:t>
      </w:r>
      <w:r>
        <w:rPr>
          <w:iCs/>
          <w:i/>
        </w:rPr>
        <w:t xml:space="preserve">Lik Sprava</w:t>
      </w:r>
      <w:r>
        <w:t xml:space="preserve"> </w:t>
      </w:r>
      <w:r>
        <w:t xml:space="preserve">· [Differentiated immunocorrective therapy in nonspecific ulcerative colitis]. PMID 1441366</w:t>
      </w:r>
    </w:p>
    <w:p>
      <w:pPr>
        <w:numPr>
          <w:ilvl w:val="0"/>
          <w:numId w:val="1395"/>
        </w:numPr>
        <w:pStyle w:val="Compact"/>
      </w:pPr>
      <w:r>
        <w:t xml:space="preserve">1990 · Govorin NV ·</w:t>
      </w:r>
      <w:r>
        <w:t xml:space="preserve"> </w:t>
      </w:r>
      <w:r>
        <w:rPr>
          <w:iCs/>
          <w:i/>
        </w:rPr>
        <w:t xml:space="preserve">Zh Nevropatol Psikhiatr Im S S Korsakova</w:t>
      </w:r>
      <w:r>
        <w:t xml:space="preserve"> </w:t>
      </w:r>
      <w:r>
        <w:t xml:space="preserve">· [Use of thymic peptide thymalin in the complex treatment of therapy-resistant schizophrenia]. PMID 2163147</w:t>
      </w:r>
    </w:p>
    <w:p>
      <w:pPr>
        <w:numPr>
          <w:ilvl w:val="0"/>
          <w:numId w:val="1395"/>
        </w:numPr>
        <w:pStyle w:val="Compact"/>
      </w:pPr>
      <w:r>
        <w:t xml:space="preserve">1990 · Kogosova LS ·</w:t>
      </w:r>
      <w:r>
        <w:t xml:space="preserve"> </w:t>
      </w:r>
      <w:r>
        <w:rPr>
          <w:iCs/>
          <w:i/>
        </w:rPr>
        <w:t xml:space="preserve">Probl Tuberk</w:t>
      </w:r>
      <w:r>
        <w:t xml:space="preserve"> </w:t>
      </w:r>
      <w:r>
        <w:t xml:space="preserve">· [Effectiveness of administration of thymalin in the complex treatment of pulmonary tuberculosis]. PMID 2080155</w:t>
      </w:r>
    </w:p>
    <w:p>
      <w:pPr>
        <w:numPr>
          <w:ilvl w:val="0"/>
          <w:numId w:val="1395"/>
        </w:numPr>
        <w:pStyle w:val="Compact"/>
      </w:pPr>
      <w:r>
        <w:t xml:space="preserve">1987 · Pateiuk VG ·</w:t>
      </w:r>
      <w:r>
        <w:t xml:space="preserve"> </w:t>
      </w:r>
      <w:r>
        <w:rPr>
          <w:iCs/>
          <w:i/>
        </w:rPr>
        <w:t xml:space="preserve">Klin Med (Mosk)</w:t>
      </w:r>
      <w:r>
        <w:t xml:space="preserve"> </w:t>
      </w:r>
      <w:r>
        <w:t xml:space="preserve">· [Thymalin in the treatment of patients with erysipelas]. PMID 3312790</w:t>
      </w:r>
    </w:p>
    <w:p>
      <w:pPr>
        <w:numPr>
          <w:ilvl w:val="0"/>
          <w:numId w:val="1395"/>
        </w:numPr>
        <w:pStyle w:val="Compact"/>
      </w:pPr>
      <w:r>
        <w:t xml:space="preserve">1985 · Boĭko IN ·</w:t>
      </w:r>
      <w:r>
        <w:t xml:space="preserve"> </w:t>
      </w:r>
      <w:r>
        <w:rPr>
          <w:iCs/>
          <w:i/>
        </w:rPr>
        <w:t xml:space="preserve">Voen Med Zh</w:t>
      </w:r>
      <w:r>
        <w:t xml:space="preserve"> </w:t>
      </w:r>
      <w:r>
        <w:t xml:space="preserve">· [Effectiveness of thymalin and prodigiozan in the complex treatment of patients with dysentery]. PMID 3901509</w:t>
      </w:r>
    </w:p>
    <w:p>
      <w:pPr>
        <w:numPr>
          <w:ilvl w:val="0"/>
          <w:numId w:val="1395"/>
        </w:numPr>
        <w:pStyle w:val="Compact"/>
      </w:pPr>
      <w:r>
        <w:t xml:space="preserve">1982 · Khavinson VKh ·</w:t>
      </w:r>
      <w:r>
        <w:t xml:space="preserve"> </w:t>
      </w:r>
      <w:r>
        <w:rPr>
          <w:iCs/>
          <w:i/>
        </w:rPr>
        <w:t xml:space="preserve">Voen Med Zh</w:t>
      </w:r>
      <w:r>
        <w:t xml:space="preserve"> </w:t>
      </w:r>
      <w:r>
        <w:t xml:space="preserve">· [Experimental and clinical study of a new immunoregulator preparation thymalin]. PMID 7048731</w:t>
      </w:r>
    </w:p>
    <w:bookmarkEnd w:id="3035"/>
    <w:bookmarkStart w:id="3036" w:name="sermoréline-0"/>
    <w:p>
      <w:pPr>
        <w:pStyle w:val="Heading2"/>
      </w:pPr>
      <w:r>
        <w:t xml:space="preserve">Sermoréline (0)</w:t>
      </w:r>
    </w:p>
    <w:p>
      <w:pPr>
        <w:pStyle w:val="FirstParagraph"/>
      </w:pPr>
      <w:r>
        <w:t xml:space="preserve">Aucune publication d’étude clinique chez l’humain trouvée.</w:t>
      </w:r>
    </w:p>
    <w:bookmarkEnd w:id="3036"/>
    <w:bookmarkStart w:id="3037" w:name="tésamoréline-23"/>
    <w:p>
      <w:pPr>
        <w:pStyle w:val="Heading2"/>
      </w:pPr>
      <w:r>
        <w:t xml:space="preserve">Tésamoréline (23)</w:t>
      </w:r>
    </w:p>
    <w:p>
      <w:pPr>
        <w:numPr>
          <w:ilvl w:val="0"/>
          <w:numId w:val="1396"/>
        </w:numPr>
        <w:pStyle w:val="Compact"/>
      </w:pPr>
      <w:r>
        <w:t xml:space="preserve">2025 · Ellis RJ ·</w:t>
      </w:r>
      <w:r>
        <w:t xml:space="preserve"> </w:t>
      </w:r>
      <w:r>
        <w:rPr>
          <w:iCs/>
          <w:i/>
        </w:rPr>
        <w:t xml:space="preserve">J Infect Dis</w:t>
      </w:r>
      <w:r>
        <w:t xml:space="preserve"> </w:t>
      </w:r>
      <w:r>
        <w:t xml:space="preserve">· Effects of Tesamorelin on Neurocognitive Impairment in Persons With HIV and Abdominal Obesity. PMID 39813152</w:t>
      </w:r>
    </w:p>
    <w:p>
      <w:pPr>
        <w:numPr>
          <w:ilvl w:val="0"/>
          <w:numId w:val="1396"/>
        </w:numPr>
        <w:pStyle w:val="Compact"/>
      </w:pPr>
      <w:r>
        <w:t xml:space="preserve">2024 · Russo SC ·</w:t>
      </w:r>
      <w:r>
        <w:t xml:space="preserve"> </w:t>
      </w:r>
      <w:r>
        <w:rPr>
          <w:iCs/>
          <w:i/>
        </w:rPr>
        <w:t xml:space="preserve">AIDS</w:t>
      </w:r>
      <w:r>
        <w:t xml:space="preserve"> </w:t>
      </w:r>
      <w:r>
        <w:t xml:space="preserve">· Efficacy and safety of tesamorelin in people with HIV on integrase inhibitors. PMID 38905488</w:t>
      </w:r>
    </w:p>
    <w:p>
      <w:pPr>
        <w:numPr>
          <w:ilvl w:val="0"/>
          <w:numId w:val="1396"/>
        </w:numPr>
        <w:pStyle w:val="Compact"/>
      </w:pPr>
      <w:r>
        <w:t xml:space="preserve">2021 · Stanley TL ·</w:t>
      </w:r>
      <w:r>
        <w:t xml:space="preserve"> </w:t>
      </w:r>
      <w:r>
        <w:rPr>
          <w:iCs/>
          <w:i/>
        </w:rPr>
        <w:t xml:space="preserve">Clin Infect Dis</w:t>
      </w:r>
      <w:r>
        <w:t xml:space="preserve"> </w:t>
      </w:r>
      <w:r>
        <w:t xml:space="preserve">· Growth Hormone Releasing Hormone Reduces Circulating Markers of Immune Activation in Parallel with Effects on Hepatic Immune Pathways in Individuals with HIV-infection and Nonalcoholic Fatty Liver Disease. PMID 33852720</w:t>
      </w:r>
    </w:p>
    <w:p>
      <w:pPr>
        <w:numPr>
          <w:ilvl w:val="0"/>
          <w:numId w:val="1396"/>
        </w:numPr>
        <w:pStyle w:val="Compact"/>
      </w:pPr>
      <w:r>
        <w:t xml:space="preserve">2021 · Fourman LT ·</w:t>
      </w:r>
      <w:r>
        <w:t xml:space="preserve"> </w:t>
      </w:r>
      <w:r>
        <w:rPr>
          <w:iCs/>
          <w:i/>
        </w:rPr>
        <w:t xml:space="preserve">Clin Infect Dis</w:t>
      </w:r>
      <w:r>
        <w:t xml:space="preserve"> </w:t>
      </w:r>
      <w:r>
        <w:t xml:space="preserve">· Clinical Predictors of Liver Fibrosis Presence and Progression in Human Immunodeficiency Virus-Associated Nonalcoholic Fatty Liver Disease. PMID 32270862</w:t>
      </w:r>
    </w:p>
    <w:p>
      <w:pPr>
        <w:numPr>
          <w:ilvl w:val="0"/>
          <w:numId w:val="1396"/>
        </w:numPr>
        <w:pStyle w:val="Compact"/>
      </w:pPr>
      <w:r>
        <w:t xml:space="preserve">2020 · Fourman LT ·</w:t>
      </w:r>
      <w:r>
        <w:t xml:space="preserve"> </w:t>
      </w:r>
      <w:r>
        <w:rPr>
          <w:iCs/>
          <w:i/>
        </w:rPr>
        <w:t xml:space="preserve">JCI Insight</w:t>
      </w:r>
      <w:r>
        <w:t xml:space="preserve"> </w:t>
      </w:r>
      <w:r>
        <w:t xml:space="preserve">· Effects of tesamorelin on hepatic transcriptomic signatures in HIV-associated NAFLD. PMID 32701508</w:t>
      </w:r>
    </w:p>
    <w:p>
      <w:pPr>
        <w:numPr>
          <w:ilvl w:val="0"/>
          <w:numId w:val="1396"/>
        </w:numPr>
        <w:pStyle w:val="Compact"/>
      </w:pPr>
      <w:r>
        <w:t xml:space="preserve">2019 · Stanley TL ·</w:t>
      </w:r>
      <w:r>
        <w:t xml:space="preserve"> </w:t>
      </w:r>
      <w:r>
        <w:rPr>
          <w:iCs/>
          <w:i/>
        </w:rPr>
        <w:t xml:space="preserve">Lancet HIV</w:t>
      </w:r>
      <w:r>
        <w:t xml:space="preserve"> </w:t>
      </w:r>
      <w:r>
        <w:t xml:space="preserve">· Effects of tesamorelin on non-alcoholic fatty liver disease in HIV: a randomised, double-blind, multicentre trial. PMID 31611038</w:t>
      </w:r>
    </w:p>
    <w:p>
      <w:pPr>
        <w:numPr>
          <w:ilvl w:val="0"/>
          <w:numId w:val="1396"/>
        </w:numPr>
        <w:pStyle w:val="Compact"/>
      </w:pPr>
      <w:r>
        <w:t xml:space="preserve">2019 · Adrian S ·</w:t>
      </w:r>
      <w:r>
        <w:t xml:space="preserve"> </w:t>
      </w:r>
      <w:r>
        <w:rPr>
          <w:iCs/>
          <w:i/>
        </w:rPr>
        <w:t xml:space="preserve">J Frailty Aging</w:t>
      </w:r>
      <w:r>
        <w:t xml:space="preserve"> </w:t>
      </w:r>
      <w:r>
        <w:t xml:space="preserve">· The Growth Hormone Releasing Hormone Analogue, Tesamorelin, Decreases Muscle Fat and Increases Muscle Area in Adults with HIV. PMID 31237318</w:t>
      </w:r>
    </w:p>
    <w:p>
      <w:pPr>
        <w:numPr>
          <w:ilvl w:val="0"/>
          <w:numId w:val="1396"/>
        </w:numPr>
        <w:pStyle w:val="Compact"/>
      </w:pPr>
      <w:r>
        <w:t xml:space="preserve">2017 · Braun LR ·</w:t>
      </w:r>
      <w:r>
        <w:t xml:space="preserve"> </w:t>
      </w:r>
      <w:r>
        <w:rPr>
          <w:iCs/>
          <w:i/>
        </w:rPr>
        <w:t xml:space="preserve">Growth Horm IGF Res</w:t>
      </w:r>
      <w:r>
        <w:t xml:space="preserve"> </w:t>
      </w:r>
      <w:r>
        <w:t xml:space="preserve">· Fibroblast growth factor 21 decreases after liver fat reduction via growth hormone augmentation. PMID 29031905</w:t>
      </w:r>
    </w:p>
    <w:p>
      <w:pPr>
        <w:numPr>
          <w:ilvl w:val="0"/>
          <w:numId w:val="1396"/>
        </w:numPr>
        <w:pStyle w:val="Compact"/>
      </w:pPr>
      <w:r>
        <w:t xml:space="preserve">2017 · Clemmons DR ·</w:t>
      </w:r>
      <w:r>
        <w:t xml:space="preserve"> </w:t>
      </w:r>
      <w:r>
        <w:rPr>
          <w:iCs/>
          <w:i/>
        </w:rPr>
        <w:t xml:space="preserve">PLoS One</w:t>
      </w:r>
      <w:r>
        <w:t xml:space="preserve"> </w:t>
      </w:r>
      <w:r>
        <w:t xml:space="preserve">· Safety and metabolic effects of tesamorelin, a growth hormone-releasing factor analogue, in patients with type 2 diabetes: A randomized, placebo-controlled trial. PMID 28617838</w:t>
      </w:r>
    </w:p>
    <w:p>
      <w:pPr>
        <w:numPr>
          <w:ilvl w:val="0"/>
          <w:numId w:val="1396"/>
        </w:numPr>
        <w:pStyle w:val="Compact"/>
      </w:pPr>
      <w:r>
        <w:t xml:space="preserve">2015 · Mangili A ·</w:t>
      </w:r>
      <w:r>
        <w:t xml:space="preserve"> </w:t>
      </w:r>
      <w:r>
        <w:rPr>
          <w:iCs/>
          <w:i/>
        </w:rPr>
        <w:t xml:space="preserve">PLoS One</w:t>
      </w:r>
      <w:r>
        <w:t xml:space="preserve"> </w:t>
      </w:r>
      <w:r>
        <w:t xml:space="preserve">· Predictors of Treatment Response to Tesamorelin, a Growth Hormone-Releasing Factor Analog, in HIV-Infected Patients with Excess Abdominal Fat. PMID 26457580</w:t>
      </w:r>
    </w:p>
    <w:p>
      <w:pPr>
        <w:numPr>
          <w:ilvl w:val="0"/>
          <w:numId w:val="1396"/>
        </w:numPr>
        <w:pStyle w:val="Compact"/>
      </w:pPr>
      <w:r>
        <w:t xml:space="preserve">2015 · González-Sales M ·</w:t>
      </w:r>
      <w:r>
        <w:t xml:space="preserve"> </w:t>
      </w:r>
      <w:r>
        <w:rPr>
          <w:iCs/>
          <w:i/>
        </w:rPr>
        <w:t xml:space="preserve">J Pharmacokinet Pharmacodyn</w:t>
      </w:r>
      <w:r>
        <w:t xml:space="preserve"> </w:t>
      </w:r>
      <w:r>
        <w:t xml:space="preserve">· Population pharmacokinetic and pharmacodynamic analysis of tesamorelin in HIV-infected patients and healthy subjects. PMID 25895899</w:t>
      </w:r>
    </w:p>
    <w:p>
      <w:pPr>
        <w:numPr>
          <w:ilvl w:val="0"/>
          <w:numId w:val="1396"/>
        </w:numPr>
        <w:pStyle w:val="Compact"/>
      </w:pPr>
      <w:r>
        <w:t xml:space="preserve">2015 · González-Sales M ·</w:t>
      </w:r>
      <w:r>
        <w:t xml:space="preserve"> </w:t>
      </w:r>
      <w:r>
        <w:rPr>
          <w:iCs/>
          <w:i/>
        </w:rPr>
        <w:t xml:space="preserve">Clin Pharmacokinet</w:t>
      </w:r>
      <w:r>
        <w:t xml:space="preserve"> </w:t>
      </w:r>
      <w:r>
        <w:t xml:space="preserve">· Population pharmacokinetic analysis of tesamorelin in HIV-infected patients and healthy subjects. PMID 25358450</w:t>
      </w:r>
    </w:p>
    <w:p>
      <w:pPr>
        <w:numPr>
          <w:ilvl w:val="0"/>
          <w:numId w:val="1396"/>
        </w:numPr>
        <w:pStyle w:val="Compact"/>
      </w:pPr>
      <w:r>
        <w:t xml:space="preserve">2014 · Stanley TL ·</w:t>
      </w:r>
      <w:r>
        <w:t xml:space="preserve"> </w:t>
      </w:r>
      <w:r>
        <w:rPr>
          <w:iCs/>
          <w:i/>
        </w:rPr>
        <w:t xml:space="preserve">JAMA</w:t>
      </w:r>
      <w:r>
        <w:t xml:space="preserve"> </w:t>
      </w:r>
      <w:r>
        <w:t xml:space="preserve">· Effect of tesamorelin on visceral fat and liver fat in HIV-infected patients with abdominal fat accumulation: a randomized clinical trial. PMID 25038357</w:t>
      </w:r>
    </w:p>
    <w:p>
      <w:pPr>
        <w:numPr>
          <w:ilvl w:val="0"/>
          <w:numId w:val="1396"/>
        </w:numPr>
        <w:pStyle w:val="Compact"/>
      </w:pPr>
      <w:r>
        <w:t xml:space="preserve">2014 · Makimura H ·</w:t>
      </w:r>
      <w:r>
        <w:t xml:space="preserve"> </w:t>
      </w:r>
      <w:r>
        <w:rPr>
          <w:iCs/>
          <w:i/>
        </w:rPr>
        <w:t xml:space="preserve">J Clin Endocrinol Metab</w:t>
      </w:r>
      <w:r>
        <w:t xml:space="preserve"> </w:t>
      </w:r>
      <w:r>
        <w:t xml:space="preserve">· The effects of tesamorelin on phosphocreatine recovery in obese subjects with reduced GH. PMID 24178787</w:t>
      </w:r>
    </w:p>
    <w:p>
      <w:pPr>
        <w:numPr>
          <w:ilvl w:val="0"/>
          <w:numId w:val="1396"/>
        </w:numPr>
        <w:pStyle w:val="Compact"/>
      </w:pPr>
      <w:r>
        <w:t xml:space="preserve">2013 · Friedman SD ·</w:t>
      </w:r>
      <w:r>
        <w:t xml:space="preserve"> </w:t>
      </w:r>
      <w:r>
        <w:rPr>
          <w:iCs/>
          <w:i/>
        </w:rPr>
        <w:t xml:space="preserve">JAMA Neurol</w:t>
      </w:r>
      <w:r>
        <w:t xml:space="preserve"> </w:t>
      </w:r>
      <w:r>
        <w:t xml:space="preserve">· Growth hormone-releasing hormone effects on brain γ-aminobutyric acid levels in mild cognitive impairment and healthy aging. PMID 23689947</w:t>
      </w:r>
    </w:p>
    <w:p>
      <w:pPr>
        <w:numPr>
          <w:ilvl w:val="0"/>
          <w:numId w:val="1396"/>
        </w:numPr>
        <w:pStyle w:val="Compact"/>
      </w:pPr>
      <w:r>
        <w:t xml:space="preserve">2012 · Makimura H ·</w:t>
      </w:r>
      <w:r>
        <w:t xml:space="preserve"> </w:t>
      </w:r>
      <w:r>
        <w:rPr>
          <w:iCs/>
          <w:i/>
        </w:rPr>
        <w:t xml:space="preserve">J Clin Endocrinol Metab</w:t>
      </w:r>
      <w:r>
        <w:t xml:space="preserve"> </w:t>
      </w:r>
      <w:r>
        <w:t xml:space="preserve">· Metabolic effects of a growth hormone-releasing factor in obese subjects with reduced growth hormone secretion: a randomized controlled trial. PMID 23015655</w:t>
      </w:r>
    </w:p>
    <w:p>
      <w:pPr>
        <w:numPr>
          <w:ilvl w:val="0"/>
          <w:numId w:val="1396"/>
        </w:numPr>
        <w:pStyle w:val="Compact"/>
      </w:pPr>
      <w:r>
        <w:t xml:space="preserve">2012 · Baker LD ·</w:t>
      </w:r>
      <w:r>
        <w:t xml:space="preserve"> </w:t>
      </w:r>
      <w:r>
        <w:rPr>
          <w:iCs/>
          <w:i/>
        </w:rPr>
        <w:t xml:space="preserve">Arch Neurol</w:t>
      </w:r>
      <w:r>
        <w:t xml:space="preserve"> </w:t>
      </w:r>
      <w:r>
        <w:t xml:space="preserve">· Effects of growth hormone–releasing hormone on cognitive function in adults with mild cognitive impairment and healthy older adults: results of a controlled trial. PMID 22869065</w:t>
      </w:r>
    </w:p>
    <w:p>
      <w:pPr>
        <w:numPr>
          <w:ilvl w:val="0"/>
          <w:numId w:val="1396"/>
        </w:numPr>
        <w:pStyle w:val="Compact"/>
      </w:pPr>
      <w:r>
        <w:t xml:space="preserve">2012 · Stanley TL ·</w:t>
      </w:r>
      <w:r>
        <w:t xml:space="preserve"> </w:t>
      </w:r>
      <w:r>
        <w:rPr>
          <w:iCs/>
          <w:i/>
        </w:rPr>
        <w:t xml:space="preserve">Clin Infect Dis</w:t>
      </w:r>
      <w:r>
        <w:t xml:space="preserve"> </w:t>
      </w:r>
      <w:r>
        <w:t xml:space="preserve">· Reduction in visceral adiposity is associated with an improved metabolic profile in HIV-infected patients receiving tesamorelin. PMID 22495074</w:t>
      </w:r>
    </w:p>
    <w:p>
      <w:pPr>
        <w:numPr>
          <w:ilvl w:val="0"/>
          <w:numId w:val="1396"/>
        </w:numPr>
        <w:pStyle w:val="Compact"/>
      </w:pPr>
      <w:r>
        <w:t xml:space="preserve">2011 · Makimura H ·</w:t>
      </w:r>
      <w:r>
        <w:t xml:space="preserve"> </w:t>
      </w:r>
      <w:r>
        <w:rPr>
          <w:iCs/>
          <w:i/>
        </w:rPr>
        <w:t xml:space="preserve">Growth Horm IGF Res</w:t>
      </w:r>
      <w:r>
        <w:t xml:space="preserve"> </w:t>
      </w:r>
      <w:r>
        <w:t xml:space="preserve">· Relationship of adiponectin to endogenous GH pulse secretion parameters in response to stimulation with a growth hormone releasing factor. PMID 21531600</w:t>
      </w:r>
    </w:p>
    <w:p>
      <w:pPr>
        <w:numPr>
          <w:ilvl w:val="0"/>
          <w:numId w:val="1396"/>
        </w:numPr>
        <w:pStyle w:val="Compact"/>
      </w:pPr>
      <w:r>
        <w:t xml:space="preserve">2011 · Stanley TL ·</w:t>
      </w:r>
      <w:r>
        <w:t xml:space="preserve"> </w:t>
      </w:r>
      <w:r>
        <w:rPr>
          <w:iCs/>
          <w:i/>
        </w:rPr>
        <w:t xml:space="preserve">AIDS</w:t>
      </w:r>
      <w:r>
        <w:t xml:space="preserve"> </w:t>
      </w:r>
      <w:r>
        <w:t xml:space="preserve">· Effects of tesamorelin on inflammatory markers in HIV patients with excess abdominal fat: relationship with visceral adipose reduction. PMID 21516030</w:t>
      </w:r>
    </w:p>
    <w:p>
      <w:pPr>
        <w:numPr>
          <w:ilvl w:val="0"/>
          <w:numId w:val="1396"/>
        </w:numPr>
        <w:pStyle w:val="Compact"/>
      </w:pPr>
      <w:r>
        <w:t xml:space="preserve">2010 · Falutz J ·</w:t>
      </w:r>
      <w:r>
        <w:t xml:space="preserve"> </w:t>
      </w:r>
      <w:r>
        <w:rPr>
          <w:iCs/>
          <w:i/>
        </w:rPr>
        <w:t xml:space="preserve">J Acquir Immune Defic Syndr</w:t>
      </w:r>
      <w:r>
        <w:t xml:space="preserve"> </w:t>
      </w:r>
      <w:r>
        <w:t xml:space="preserve">· Effects of tesamorelin, a growth hormone-releasing factor, in HIV-infected patients with abdominal fat accumulation: a randomized placebo-controlled trial with a safety extension. PMID 20101189</w:t>
      </w:r>
    </w:p>
    <w:p>
      <w:pPr>
        <w:numPr>
          <w:ilvl w:val="0"/>
          <w:numId w:val="1396"/>
        </w:numPr>
        <w:pStyle w:val="Compact"/>
      </w:pPr>
      <w:r>
        <w:t xml:space="preserve">2008 · Falutz J ·</w:t>
      </w:r>
      <w:r>
        <w:t xml:space="preserve"> </w:t>
      </w:r>
      <w:r>
        <w:rPr>
          <w:iCs/>
          <w:i/>
        </w:rPr>
        <w:t xml:space="preserve">AIDS</w:t>
      </w:r>
      <w:r>
        <w:t xml:space="preserve"> </w:t>
      </w:r>
      <w:r>
        <w:t xml:space="preserve">· Long-term safety and effects of tesamorelin, a growth hormone-releasing factor analogue, in HIV patients with abdominal fat accumulation. PMID 18690162</w:t>
      </w:r>
    </w:p>
    <w:p>
      <w:pPr>
        <w:numPr>
          <w:ilvl w:val="0"/>
          <w:numId w:val="1396"/>
        </w:numPr>
        <w:pStyle w:val="Compact"/>
      </w:pPr>
      <w:r>
        <w:t xml:space="preserve">2007 · Falutz J ·</w:t>
      </w:r>
      <w:r>
        <w:t xml:space="preserve"> </w:t>
      </w:r>
      <w:r>
        <w:rPr>
          <w:iCs/>
          <w:i/>
        </w:rPr>
        <w:t xml:space="preserve">N Engl J Med</w:t>
      </w:r>
      <w:r>
        <w:t xml:space="preserve"> </w:t>
      </w:r>
      <w:r>
        <w:t xml:space="preserve">· Metabolic effects of a growth hormone-releasing factor in patients with HIV. PMID 18057338</w:t>
      </w:r>
    </w:p>
    <w:bookmarkEnd w:id="3037"/>
    <w:bookmarkStart w:id="3038" w:name="cjc-1295-2"/>
    <w:p>
      <w:pPr>
        <w:pStyle w:val="Heading2"/>
      </w:pPr>
      <w:r>
        <w:t xml:space="preserve">CJC-1295 (2)</w:t>
      </w:r>
    </w:p>
    <w:p>
      <w:pPr>
        <w:numPr>
          <w:ilvl w:val="0"/>
          <w:numId w:val="1397"/>
        </w:numPr>
        <w:pStyle w:val="Compact"/>
      </w:pPr>
      <w:r>
        <w:t xml:space="preserve">2006 · Ionescu M ·</w:t>
      </w:r>
      <w:r>
        <w:t xml:space="preserve"> </w:t>
      </w:r>
      <w:r>
        <w:rPr>
          <w:iCs/>
          <w:i/>
        </w:rPr>
        <w:t xml:space="preserve">J Clin Endocrinol Metab</w:t>
      </w:r>
      <w:r>
        <w:t xml:space="preserve"> </w:t>
      </w:r>
      <w:r>
        <w:t xml:space="preserve">· Pulsatile secretion of growth hormone (GH) persists during continuous stimulation by CJC-1295, a long-acting GH-releasing hormone analog. PMID 17018654</w:t>
      </w:r>
    </w:p>
    <w:p>
      <w:pPr>
        <w:numPr>
          <w:ilvl w:val="0"/>
          <w:numId w:val="1397"/>
        </w:numPr>
        <w:pStyle w:val="Compact"/>
      </w:pPr>
      <w:r>
        <w:t xml:space="preserve">2006 · Teichman SL ·</w:t>
      </w:r>
      <w:r>
        <w:t xml:space="preserve"> </w:t>
      </w:r>
      <w:r>
        <w:rPr>
          <w:iCs/>
          <w:i/>
        </w:rPr>
        <w:t xml:space="preserve">J Clin Endocrinol Metab</w:t>
      </w:r>
      <w:r>
        <w:t xml:space="preserve"> </w:t>
      </w:r>
      <w:r>
        <w:t xml:space="preserve">· Prolonged stimulation of growth hormone (GH) and insulin-like growth factor I secretion by CJC-1295, a long-acting analog of GH-releasing hormone, in healthy adults. PMID 16352683</w:t>
      </w:r>
    </w:p>
    <w:bookmarkEnd w:id="3038"/>
    <w:bookmarkStart w:id="3039" w:name="ipamoréline-2"/>
    <w:p>
      <w:pPr>
        <w:pStyle w:val="Heading2"/>
      </w:pPr>
      <w:r>
        <w:t xml:space="preserve">Ipamoréline (2)</w:t>
      </w:r>
    </w:p>
    <w:p>
      <w:pPr>
        <w:numPr>
          <w:ilvl w:val="0"/>
          <w:numId w:val="1398"/>
        </w:numPr>
        <w:pStyle w:val="Compact"/>
      </w:pPr>
      <w:r>
        <w:t xml:space="preserve">2014 · Beck DE ·</w:t>
      </w:r>
      <w:r>
        <w:t xml:space="preserve"> </w:t>
      </w:r>
      <w:r>
        <w:rPr>
          <w:iCs/>
          <w:i/>
        </w:rPr>
        <w:t xml:space="preserve">Int J Colorectal Dis</w:t>
      </w:r>
      <w:r>
        <w:t xml:space="preserve"> </w:t>
      </w:r>
      <w:r>
        <w:t xml:space="preserve">· Prospective, randomized, controlled, proof-of-concept study of the Ghrelin mimetic ipamorelin for the management of postoperative ileus in bowel resection patients. PMID 25331030</w:t>
      </w:r>
    </w:p>
    <w:p>
      <w:pPr>
        <w:numPr>
          <w:ilvl w:val="0"/>
          <w:numId w:val="1398"/>
        </w:numPr>
        <w:pStyle w:val="Compact"/>
      </w:pPr>
      <w:r>
        <w:t xml:space="preserve">1999 · Gobburu JV ·</w:t>
      </w:r>
      <w:r>
        <w:t xml:space="preserve"> </w:t>
      </w:r>
      <w:r>
        <w:rPr>
          <w:iCs/>
          <w:i/>
        </w:rPr>
        <w:t xml:space="preserve">Pharm Res</w:t>
      </w:r>
      <w:r>
        <w:t xml:space="preserve"> </w:t>
      </w:r>
      <w:r>
        <w:t xml:space="preserve">· Pharmacokinetic-pharmacodynamic modeling of ipamorelin, a growth hormone releasing peptide, in human volunteers. PMID 10496658</w:t>
      </w:r>
    </w:p>
    <w:bookmarkEnd w:id="3039"/>
    <w:bookmarkStart w:id="3040" w:name="ghrp-2-pralmoréline-55"/>
    <w:p>
      <w:pPr>
        <w:pStyle w:val="Heading2"/>
      </w:pPr>
      <w:r>
        <w:t xml:space="preserve">GHRP-2 (pralmoréline) (55)</w:t>
      </w:r>
    </w:p>
    <w:p>
      <w:pPr>
        <w:numPr>
          <w:ilvl w:val="0"/>
          <w:numId w:val="1399"/>
        </w:numPr>
        <w:pStyle w:val="Compact"/>
      </w:pPr>
      <w:r>
        <w:t xml:space="preserve">2016 · Arimura H ·</w:t>
      </w:r>
      <w:r>
        <w:t xml:space="preserve"> </w:t>
      </w:r>
      <w:r>
        <w:rPr>
          <w:iCs/>
          <w:i/>
        </w:rPr>
        <w:t xml:space="preserve">Endocr J</w:t>
      </w:r>
      <w:r>
        <w:t xml:space="preserve"> </w:t>
      </w:r>
      <w:r>
        <w:t xml:space="preserve">· Investigation of the clinical significance of the growth hormone-releasing peptide-2 test for the diagnosis of secondary adrenal failure. PMID 27020037</w:t>
      </w:r>
    </w:p>
    <w:p>
      <w:pPr>
        <w:numPr>
          <w:ilvl w:val="0"/>
          <w:numId w:val="1399"/>
        </w:numPr>
        <w:pStyle w:val="Compact"/>
      </w:pPr>
      <w:r>
        <w:t xml:space="preserve">2013 · Norman C ·</w:t>
      </w:r>
      <w:r>
        <w:t xml:space="preserve"> </w:t>
      </w:r>
      <w:r>
        <w:rPr>
          <w:iCs/>
          <w:i/>
        </w:rPr>
        <w:t xml:space="preserve">Am J Physiol Regul Integr Comp Physiol</w:t>
      </w:r>
      <w:r>
        <w:t xml:space="preserve"> </w:t>
      </w:r>
      <w:r>
        <w:t xml:space="preserve">· Differential pulsatile secretagogue control of GH secretion in healthy men. PMID 23485864</w:t>
      </w:r>
    </w:p>
    <w:p>
      <w:pPr>
        <w:numPr>
          <w:ilvl w:val="0"/>
          <w:numId w:val="1399"/>
        </w:numPr>
        <w:pStyle w:val="Compact"/>
      </w:pPr>
      <w:r>
        <w:t xml:space="preserve">2011 · Veldhuis JD ·</w:t>
      </w:r>
      <w:r>
        <w:t xml:space="preserve"> </w:t>
      </w:r>
      <w:r>
        <w:rPr>
          <w:iCs/>
          <w:i/>
        </w:rPr>
        <w:t xml:space="preserve">Am J Physiol Regul Integr Comp Physiol</w:t>
      </w:r>
      <w:r>
        <w:t xml:space="preserve"> </w:t>
      </w:r>
      <w:r>
        <w:t xml:space="preserve">· Regulated recovery of pulsatile growth hormone secretion from negative feedback: a preclinical investigation. PMID 21795635</w:t>
      </w:r>
    </w:p>
    <w:p>
      <w:pPr>
        <w:numPr>
          <w:ilvl w:val="0"/>
          <w:numId w:val="1399"/>
        </w:numPr>
        <w:pStyle w:val="Compact"/>
      </w:pPr>
      <w:r>
        <w:t xml:space="preserve">2011 · Veldhuis JD ·</w:t>
      </w:r>
      <w:r>
        <w:t xml:space="preserve"> </w:t>
      </w:r>
      <w:r>
        <w:rPr>
          <w:iCs/>
          <w:i/>
        </w:rPr>
        <w:t xml:space="preserve">J Clin Endocrinol Metab</w:t>
      </w:r>
      <w:r>
        <w:t xml:space="preserve"> </w:t>
      </w:r>
      <w:r>
        <w:t xml:space="preserve">· Gender, sex-steroid, and secretagogue-selective recovery from growth hormone-induced feedback in older women and men. PMID 21613353</w:t>
      </w:r>
    </w:p>
    <w:p>
      <w:pPr>
        <w:numPr>
          <w:ilvl w:val="0"/>
          <w:numId w:val="1399"/>
        </w:numPr>
        <w:pStyle w:val="Compact"/>
      </w:pPr>
      <w:r>
        <w:t xml:space="preserve">2011 · Veldhuis JD ·</w:t>
      </w:r>
      <w:r>
        <w:t xml:space="preserve"> </w:t>
      </w:r>
      <w:r>
        <w:rPr>
          <w:iCs/>
          <w:i/>
        </w:rPr>
        <w:t xml:space="preserve">Am J Physiol Endocrinol Metab</w:t>
      </w:r>
      <w:r>
        <w:t xml:space="preserve"> </w:t>
      </w:r>
      <w:r>
        <w:t xml:space="preserve">· Complex regulation of GH autofeedback under dual-peptide drive: studies under a pharmacological GH and sex steroid clamp. PMID 21467302</w:t>
      </w:r>
    </w:p>
    <w:p>
      <w:pPr>
        <w:numPr>
          <w:ilvl w:val="0"/>
          <w:numId w:val="1399"/>
        </w:numPr>
        <w:pStyle w:val="Compact"/>
      </w:pPr>
      <w:r>
        <w:t xml:space="preserve">2010 · Iranmanesh A ·</w:t>
      </w:r>
      <w:r>
        <w:t xml:space="preserve"> </w:t>
      </w:r>
      <w:r>
        <w:rPr>
          <w:iCs/>
          <w:i/>
        </w:rPr>
        <w:t xml:space="preserve">Eur J Endocrinol</w:t>
      </w:r>
      <w:r>
        <w:t xml:space="preserve"> </w:t>
      </w:r>
      <w:r>
        <w:t xml:space="preserve">· Secretagogue type, sex-steroid milieu, and abdominal visceral adiposity individually determine secretagogue-stimulated cortisol secretion. PMID 20299490</w:t>
      </w:r>
    </w:p>
    <w:p>
      <w:pPr>
        <w:numPr>
          <w:ilvl w:val="0"/>
          <w:numId w:val="1399"/>
        </w:numPr>
        <w:pStyle w:val="Compact"/>
      </w:pPr>
      <w:r>
        <w:t xml:space="preserve">2010 · Hudson SB ·</w:t>
      </w:r>
      <w:r>
        <w:t xml:space="preserve"> </w:t>
      </w:r>
      <w:r>
        <w:rPr>
          <w:iCs/>
          <w:i/>
        </w:rPr>
        <w:t xml:space="preserve">J Clin Endocrinol Metab</w:t>
      </w:r>
      <w:r>
        <w:t xml:space="preserve"> </w:t>
      </w:r>
      <w:r>
        <w:t xml:space="preserve">· Pre- versus postmenopausal age, estradiol, and peptide-secretagogue type determine pulsatile growth hormone secretion in healthy women: studies using submaximal agonist drive and an estrogen clamp. PMID 19858315</w:t>
      </w:r>
    </w:p>
    <w:p>
      <w:pPr>
        <w:numPr>
          <w:ilvl w:val="0"/>
          <w:numId w:val="1399"/>
        </w:numPr>
        <w:pStyle w:val="Compact"/>
      </w:pPr>
      <w:r>
        <w:t xml:space="preserve">2009 · Veldhuis JD ·</w:t>
      </w:r>
      <w:r>
        <w:t xml:space="preserve"> </w:t>
      </w:r>
      <w:r>
        <w:rPr>
          <w:iCs/>
          <w:i/>
        </w:rPr>
        <w:t xml:space="preserve">Am J Physiol Endocrinol Metab</w:t>
      </w:r>
      <w:r>
        <w:t xml:space="preserve"> </w:t>
      </w:r>
      <w:r>
        <w:t xml:space="preserve">· Relative effects of estrogen, age, and visceral fat on pulsatile growth hormone secretion in healthy women. PMID 19470834</w:t>
      </w:r>
    </w:p>
    <w:p>
      <w:pPr>
        <w:numPr>
          <w:ilvl w:val="0"/>
          <w:numId w:val="1399"/>
        </w:numPr>
        <w:pStyle w:val="Compact"/>
      </w:pPr>
      <w:r>
        <w:t xml:space="preserve">2009 · Veldhuis JD ·</w:t>
      </w:r>
      <w:r>
        <w:t xml:space="preserve"> </w:t>
      </w:r>
      <w:r>
        <w:rPr>
          <w:iCs/>
          <w:i/>
        </w:rPr>
        <w:t xml:space="preserve">Eur J Endocrinol</w:t>
      </w:r>
      <w:r>
        <w:t xml:space="preserve"> </w:t>
      </w:r>
      <w:r>
        <w:t xml:space="preserve">· Preservation of GHRH and GH-releasing peptide-2 efficacy in young men with experimentally induced hypogonadism. PMID 19458139</w:t>
      </w:r>
    </w:p>
    <w:p>
      <w:pPr>
        <w:numPr>
          <w:ilvl w:val="0"/>
          <w:numId w:val="1399"/>
        </w:numPr>
        <w:pStyle w:val="Compact"/>
      </w:pPr>
      <w:r>
        <w:t xml:space="preserve">2009 · Veldhuis JD ·</w:t>
      </w:r>
      <w:r>
        <w:t xml:space="preserve"> </w:t>
      </w:r>
      <w:r>
        <w:rPr>
          <w:iCs/>
          <w:i/>
        </w:rPr>
        <w:t xml:space="preserve">J Clin Endocrinol Metab</w:t>
      </w:r>
      <w:r>
        <w:t xml:space="preserve"> </w:t>
      </w:r>
      <w:r>
        <w:t xml:space="preserve">· Factors other than sex steroids modulate GHRH and GHRP-2 efficacies in men: evaluation using a GnRH agonist/testosterone clamp. PMID 19351731</w:t>
      </w:r>
    </w:p>
    <w:p>
      <w:pPr>
        <w:numPr>
          <w:ilvl w:val="0"/>
          <w:numId w:val="1399"/>
        </w:numPr>
        <w:pStyle w:val="Compact"/>
      </w:pPr>
      <w:r>
        <w:t xml:space="preserve">2009 · Veldhuis JD ·</w:t>
      </w:r>
      <w:r>
        <w:t xml:space="preserve"> </w:t>
      </w:r>
      <w:r>
        <w:rPr>
          <w:iCs/>
          <w:i/>
        </w:rPr>
        <w:t xml:space="preserve">J Clin Endocrinol Metab</w:t>
      </w:r>
      <w:r>
        <w:t xml:space="preserve"> </w:t>
      </w:r>
      <w:r>
        <w:t xml:space="preserve">· Novel relationships of age, visceral adiposity, insulin-like growth factor (IGF)-I and IGF binding protein concentrations to growth hormone (GH) releasing-hormone and GH releasing-peptide efficacies in men during experimental hypogonadal clamp. PMID 19351723</w:t>
      </w:r>
    </w:p>
    <w:p>
      <w:pPr>
        <w:numPr>
          <w:ilvl w:val="0"/>
          <w:numId w:val="1399"/>
        </w:numPr>
        <w:pStyle w:val="Compact"/>
      </w:pPr>
      <w:r>
        <w:t xml:space="preserve">2009 · Veldhuis JD ·</w:t>
      </w:r>
      <w:r>
        <w:t xml:space="preserve"> </w:t>
      </w:r>
      <w:r>
        <w:rPr>
          <w:iCs/>
          <w:i/>
        </w:rPr>
        <w:t xml:space="preserve">Am J Physiol Endocrinol Metab</w:t>
      </w:r>
      <w:r>
        <w:t xml:space="preserve"> </w:t>
      </w:r>
      <w:r>
        <w:t xml:space="preserve">· Determinants of GH-releasing hormone and GH-releasing peptide synergy in men. PMID 19240251</w:t>
      </w:r>
    </w:p>
    <w:p>
      <w:pPr>
        <w:numPr>
          <w:ilvl w:val="0"/>
          <w:numId w:val="1399"/>
        </w:numPr>
        <w:pStyle w:val="Compact"/>
      </w:pPr>
      <w:r>
        <w:t xml:space="preserve">2009 · Veldhuis JD ·</w:t>
      </w:r>
      <w:r>
        <w:t xml:space="preserve"> </w:t>
      </w:r>
      <w:r>
        <w:rPr>
          <w:iCs/>
          <w:i/>
        </w:rPr>
        <w:t xml:space="preserve">J Clin Endocrinol Metab</w:t>
      </w:r>
      <w:r>
        <w:t xml:space="preserve"> </w:t>
      </w:r>
      <w:r>
        <w:t xml:space="preserve">· Aromatase and 5alpha-reductase inhibition during an exogenous testosterone clamp unveils selective sex steroid modulation of somatostatin and growth hormone secretagogue actions in healthy older men. PMID 19088159</w:t>
      </w:r>
    </w:p>
    <w:p>
      <w:pPr>
        <w:numPr>
          <w:ilvl w:val="0"/>
          <w:numId w:val="1399"/>
        </w:numPr>
        <w:pStyle w:val="Compact"/>
      </w:pPr>
      <w:r>
        <w:t xml:space="preserve">2008 · Veldhuis JD ·</w:t>
      </w:r>
      <w:r>
        <w:t xml:space="preserve"> </w:t>
      </w:r>
      <w:r>
        <w:rPr>
          <w:iCs/>
          <w:i/>
        </w:rPr>
        <w:t xml:space="preserve">Eur J Endocrinol</w:t>
      </w:r>
      <w:r>
        <w:t xml:space="preserve"> </w:t>
      </w:r>
      <w:r>
        <w:t xml:space="preserve">· Secretagogues govern GH secretory-burst waveform and mass in healthy eugonadal and short-term hypogonadal men. PMID 18703567</w:t>
      </w:r>
    </w:p>
    <w:p>
      <w:pPr>
        <w:numPr>
          <w:ilvl w:val="0"/>
          <w:numId w:val="1399"/>
        </w:numPr>
        <w:pStyle w:val="Compact"/>
      </w:pPr>
      <w:r>
        <w:t xml:space="preserve">2008 · Paulo RC ·</w:t>
      </w:r>
      <w:r>
        <w:t xml:space="preserve"> </w:t>
      </w:r>
      <w:r>
        <w:rPr>
          <w:iCs/>
          <w:i/>
        </w:rPr>
        <w:t xml:space="preserve">J Clin Endocrinol Metab</w:t>
      </w:r>
      <w:r>
        <w:t xml:space="preserve"> </w:t>
      </w:r>
      <w:r>
        <w:t xml:space="preserve">· Gonadal status and body mass index jointly determine growth hormone (GH)-releasing hormone/GH-releasing peptide synergy in healthy men. PMID 18073313</w:t>
      </w:r>
    </w:p>
    <w:p>
      <w:pPr>
        <w:numPr>
          <w:ilvl w:val="0"/>
          <w:numId w:val="1399"/>
        </w:numPr>
        <w:pStyle w:val="Compact"/>
      </w:pPr>
      <w:r>
        <w:t xml:space="preserve">2007 · Veldhuis JD ·</w:t>
      </w:r>
      <w:r>
        <w:t xml:space="preserve"> </w:t>
      </w:r>
      <w:r>
        <w:rPr>
          <w:iCs/>
          <w:i/>
        </w:rPr>
        <w:t xml:space="preserve">Am J Physiol Regul Integr Comp Physiol</w:t>
      </w:r>
      <w:r>
        <w:t xml:space="preserve"> </w:t>
      </w:r>
      <w:r>
        <w:t xml:space="preserve">· Peripheral estrogen receptor-alpha selectively modulates the waveform of GH secretory bursts in healthy women. PMID 17686882</w:t>
      </w:r>
    </w:p>
    <w:p>
      <w:pPr>
        <w:numPr>
          <w:ilvl w:val="0"/>
          <w:numId w:val="1399"/>
        </w:numPr>
        <w:pStyle w:val="Compact"/>
      </w:pPr>
      <w:r>
        <w:t xml:space="preserve">2007 · Chihara K ·</w:t>
      </w:r>
      <w:r>
        <w:t xml:space="preserve"> </w:t>
      </w:r>
      <w:r>
        <w:rPr>
          <w:iCs/>
          <w:i/>
        </w:rPr>
        <w:t xml:space="preserve">Eur J Endocrinol</w:t>
      </w:r>
      <w:r>
        <w:t xml:space="preserve"> </w:t>
      </w:r>
      <w:r>
        <w:t xml:space="preserve">· A simple diagnostic test using GH-releasing peptide-2 in adult GH deficiency. PMID 17609397</w:t>
      </w:r>
    </w:p>
    <w:p>
      <w:pPr>
        <w:numPr>
          <w:ilvl w:val="0"/>
          <w:numId w:val="1399"/>
        </w:numPr>
        <w:pStyle w:val="Compact"/>
      </w:pPr>
      <w:r>
        <w:t xml:space="preserve">2007 · Veldhuis JD ·</w:t>
      </w:r>
      <w:r>
        <w:t xml:space="preserve"> </w:t>
      </w:r>
      <w:r>
        <w:rPr>
          <w:iCs/>
          <w:i/>
        </w:rPr>
        <w:t xml:space="preserve">Am J Physiol Regul Integr Comp Physiol</w:t>
      </w:r>
      <w:r>
        <w:t xml:space="preserve"> </w:t>
      </w:r>
      <w:r>
        <w:t xml:space="preserve">· Estimation of the size and shape of GH secretory bursts in healthy women using a physiological estradiol clamp and variable-waveform deconvolution model. PMID 17537842</w:t>
      </w:r>
    </w:p>
    <w:p>
      <w:pPr>
        <w:numPr>
          <w:ilvl w:val="0"/>
          <w:numId w:val="1399"/>
        </w:numPr>
        <w:pStyle w:val="Compact"/>
      </w:pPr>
      <w:r>
        <w:t xml:space="preserve">2007 · Veldhuis JD ·</w:t>
      </w:r>
      <w:r>
        <w:t xml:space="preserve"> </w:t>
      </w:r>
      <w:r>
        <w:rPr>
          <w:iCs/>
          <w:i/>
        </w:rPr>
        <w:t xml:space="preserve">J Clin Endocrinol Metab</w:t>
      </w:r>
      <w:r>
        <w:t xml:space="preserve"> </w:t>
      </w:r>
      <w:r>
        <w:t xml:space="preserve">· Tripartite control of growth hormone secretion in women during controlled estradiol repletion. PMID 17405836</w:t>
      </w:r>
    </w:p>
    <w:p>
      <w:pPr>
        <w:numPr>
          <w:ilvl w:val="0"/>
          <w:numId w:val="1399"/>
        </w:numPr>
        <w:pStyle w:val="Compact"/>
      </w:pPr>
      <w:r>
        <w:t xml:space="preserve">2006 · Salvatori R ·</w:t>
      </w:r>
      <w:r>
        <w:t xml:space="preserve"> </w:t>
      </w:r>
      <w:r>
        <w:rPr>
          <w:iCs/>
          <w:i/>
        </w:rPr>
        <w:t xml:space="preserve">J Endocrinol Invest</w:t>
      </w:r>
      <w:r>
        <w:t xml:space="preserve"> </w:t>
      </w:r>
      <w:r>
        <w:t xml:space="preserve">· GH response to hypoglycemia and clonidine in the GH-releasing hormone resistance syndrome. PMID 17114911</w:t>
      </w:r>
    </w:p>
    <w:p>
      <w:pPr>
        <w:numPr>
          <w:ilvl w:val="0"/>
          <w:numId w:val="1399"/>
        </w:numPr>
        <w:pStyle w:val="Compact"/>
      </w:pPr>
      <w:r>
        <w:t xml:space="preserve">2006 · Laferrère B ·</w:t>
      </w:r>
      <w:r>
        <w:t xml:space="preserve"> </w:t>
      </w:r>
      <w:r>
        <w:rPr>
          <w:iCs/>
          <w:i/>
        </w:rPr>
        <w:t xml:space="preserve">Obesity (Silver Spring)</w:t>
      </w:r>
      <w:r>
        <w:t xml:space="preserve"> </w:t>
      </w:r>
      <w:r>
        <w:t xml:space="preserve">· Obese subjects respond to the stimulatory effect of the ghrelin agonist growth hormone-releasing peptide-2 on food intake. PMID 16861611</w:t>
      </w:r>
    </w:p>
    <w:p>
      <w:pPr>
        <w:numPr>
          <w:ilvl w:val="0"/>
          <w:numId w:val="1399"/>
        </w:numPr>
        <w:pStyle w:val="Compact"/>
      </w:pPr>
      <w:r>
        <w:t xml:space="preserve">2005 · Veldhuis JD ·</w:t>
      </w:r>
      <w:r>
        <w:t xml:space="preserve"> </w:t>
      </w:r>
      <w:r>
        <w:rPr>
          <w:iCs/>
          <w:i/>
        </w:rPr>
        <w:t xml:space="preserve">Eur J Endocrinol</w:t>
      </w:r>
      <w:r>
        <w:t xml:space="preserve"> </w:t>
      </w:r>
      <w:r>
        <w:t xml:space="preserve">· Testosterone supplementation in healthy older men drives GH and IGF-I secretion without potentiating peptidyl secretagogue efficacy. PMID 16189179</w:t>
      </w:r>
    </w:p>
    <w:p>
      <w:pPr>
        <w:numPr>
          <w:ilvl w:val="0"/>
          <w:numId w:val="1399"/>
        </w:numPr>
        <w:pStyle w:val="Compact"/>
      </w:pPr>
      <w:r>
        <w:t xml:space="preserve">2005 · Soares-Welch C ·</w:t>
      </w:r>
      <w:r>
        <w:t xml:space="preserve"> </w:t>
      </w:r>
      <w:r>
        <w:rPr>
          <w:iCs/>
          <w:i/>
        </w:rPr>
        <w:t xml:space="preserve">Clin Endocrinol (Oxf)</w:t>
      </w:r>
      <w:r>
        <w:t xml:space="preserve"> </w:t>
      </w:r>
      <w:r>
        <w:t xml:space="preserve">· Short-term testosterone supplementation does not activate GH and IGF-I production in postmenopausal women. PMID 15963058</w:t>
      </w:r>
    </w:p>
    <w:p>
      <w:pPr>
        <w:numPr>
          <w:ilvl w:val="0"/>
          <w:numId w:val="1399"/>
        </w:numPr>
        <w:pStyle w:val="Compact"/>
      </w:pPr>
      <w:r>
        <w:t xml:space="preserve">2005 · Veldhuis JD ·</w:t>
      </w:r>
      <w:r>
        <w:t xml:space="preserve"> </w:t>
      </w:r>
      <w:r>
        <w:rPr>
          <w:iCs/>
          <w:i/>
        </w:rPr>
        <w:t xml:space="preserve">J Clin Endocrinol Metab</w:t>
      </w:r>
      <w:r>
        <w:t xml:space="preserve"> </w:t>
      </w:r>
      <w:r>
        <w:t xml:space="preserve">· Joint mechanisms of impaired growth-hormone pulse renewal in aging men. PMID 15811926</w:t>
      </w:r>
    </w:p>
    <w:p>
      <w:pPr>
        <w:numPr>
          <w:ilvl w:val="0"/>
          <w:numId w:val="1399"/>
        </w:numPr>
        <w:pStyle w:val="Compact"/>
      </w:pPr>
      <w:r>
        <w:t xml:space="preserve">2005 · Erickson D ·</w:t>
      </w:r>
      <w:r>
        <w:t xml:space="preserve"> </w:t>
      </w:r>
      <w:r>
        <w:rPr>
          <w:iCs/>
          <w:i/>
        </w:rPr>
        <w:t xml:space="preserve">J Clin Endocrinol Metab</w:t>
      </w:r>
      <w:r>
        <w:t xml:space="preserve"> </w:t>
      </w:r>
      <w:r>
        <w:t xml:space="preserve">· Determinants of dual secretagogue drive of burst-like growth hormone secretion in premenopausal women studied under a selective estradiol clamp. PMID 15613434</w:t>
      </w:r>
    </w:p>
    <w:p>
      <w:pPr>
        <w:numPr>
          <w:ilvl w:val="0"/>
          <w:numId w:val="1399"/>
        </w:numPr>
        <w:pStyle w:val="Compact"/>
      </w:pPr>
      <w:r>
        <w:t xml:space="preserve">2004 · Veldhuis JD ·</w:t>
      </w:r>
      <w:r>
        <w:t xml:space="preserve"> </w:t>
      </w:r>
      <w:r>
        <w:rPr>
          <w:iCs/>
          <w:i/>
        </w:rPr>
        <w:t xml:space="preserve">J Clin Endocrinol Metab</w:t>
      </w:r>
      <w:r>
        <w:t xml:space="preserve"> </w:t>
      </w:r>
      <w:r>
        <w:t xml:space="preserve">· Contributions of gender and systemic estradiol and testosterone concentrations to maximal secretagogue drive of burst-like growth hormone secretion in healthy middle-aged and older adults. PMID 15579792</w:t>
      </w:r>
    </w:p>
    <w:p>
      <w:pPr>
        <w:numPr>
          <w:ilvl w:val="0"/>
          <w:numId w:val="1399"/>
        </w:numPr>
        <w:pStyle w:val="Compact"/>
      </w:pPr>
      <w:r>
        <w:t xml:space="preserve">2004 · Iranmanesh A ·</w:t>
      </w:r>
      <w:r>
        <w:t xml:space="preserve"> </w:t>
      </w:r>
      <w:r>
        <w:rPr>
          <w:iCs/>
          <w:i/>
        </w:rPr>
        <w:t xml:space="preserve">J Clin Endocrinol Metab</w:t>
      </w:r>
      <w:r>
        <w:t xml:space="preserve"> </w:t>
      </w:r>
      <w:r>
        <w:t xml:space="preserve">· Activation of somatostatin-receptor subtype-2/-5 suppresses the mass, frequency, and irregularity of growth hormone (GH)-releasing peptide-2-stimulated GH secretion in men. PMID 15356066</w:t>
      </w:r>
    </w:p>
    <w:p>
      <w:pPr>
        <w:numPr>
          <w:ilvl w:val="0"/>
          <w:numId w:val="1399"/>
        </w:numPr>
        <w:pStyle w:val="Compact"/>
      </w:pPr>
      <w:r>
        <w:t xml:space="preserve">2004 · Veldhuis JD ·</w:t>
      </w:r>
      <w:r>
        <w:t xml:space="preserve"> </w:t>
      </w:r>
      <w:r>
        <w:rPr>
          <w:iCs/>
          <w:i/>
        </w:rPr>
        <w:t xml:space="preserve">J Clin Endocrinol Metab</w:t>
      </w:r>
      <w:r>
        <w:t xml:space="preserve"> </w:t>
      </w:r>
      <w:r>
        <w:t xml:space="preserve">· Short-term testosterone supplementation relieves growth hormone autonegative feedback in men. PMID 15001624</w:t>
      </w:r>
    </w:p>
    <w:p>
      <w:pPr>
        <w:numPr>
          <w:ilvl w:val="0"/>
          <w:numId w:val="1399"/>
        </w:numPr>
        <w:pStyle w:val="Compact"/>
      </w:pPr>
      <w:r>
        <w:t xml:space="preserve">2003 · Mericq V ·</w:t>
      </w:r>
      <w:r>
        <w:t xml:space="preserve"> </w:t>
      </w:r>
      <w:r>
        <w:rPr>
          <w:iCs/>
          <w:i/>
        </w:rPr>
        <w:t xml:space="preserve">J Pediatr Endocrinol Metab</w:t>
      </w:r>
      <w:r>
        <w:t xml:space="preserve"> </w:t>
      </w:r>
      <w:r>
        <w:t xml:space="preserve">· Changes in appetite and body weight in response to long-term oral administration of the ghrelin agonist GHRP-2 in growth hormone deficient children. PMID 14513874</w:t>
      </w:r>
    </w:p>
    <w:p>
      <w:pPr>
        <w:numPr>
          <w:ilvl w:val="0"/>
          <w:numId w:val="1399"/>
        </w:numPr>
        <w:pStyle w:val="Compact"/>
      </w:pPr>
      <w:r>
        <w:t xml:space="preserve">2002 · Van den Berghe G ·</w:t>
      </w:r>
      <w:r>
        <w:t xml:space="preserve"> </w:t>
      </w:r>
      <w:r>
        <w:rPr>
          <w:iCs/>
          <w:i/>
        </w:rPr>
        <w:t xml:space="preserve">Clin Endocrinol (Oxf)</w:t>
      </w:r>
      <w:r>
        <w:t xml:space="preserve"> </w:t>
      </w:r>
      <w:r>
        <w:t xml:space="preserve">· The combined administration of GH-releasing peptide-2 (GHRP-2), TRH and GnRH to men with prolonged critical illness evokes superior endocrine and metabolic effects compared to treatment with GHRP-2 alone. PMID 12030918</w:t>
      </w:r>
    </w:p>
    <w:p>
      <w:pPr>
        <w:numPr>
          <w:ilvl w:val="0"/>
          <w:numId w:val="1399"/>
        </w:numPr>
        <w:pStyle w:val="Compact"/>
      </w:pPr>
      <w:r>
        <w:t xml:space="preserve">2002 · Veldhuis JD ·</w:t>
      </w:r>
      <w:r>
        <w:t xml:space="preserve"> </w:t>
      </w:r>
      <w:r>
        <w:rPr>
          <w:iCs/>
          <w:i/>
        </w:rPr>
        <w:t xml:space="preserve">J Clin Endocrinol Metab</w:t>
      </w:r>
      <w:r>
        <w:t xml:space="preserve"> </w:t>
      </w:r>
      <w:r>
        <w:t xml:space="preserve">· Impact of estradiol supplementation on dual peptidyl drive of GH secretion in postmenopausal women. PMID 11836333</w:t>
      </w:r>
    </w:p>
    <w:p>
      <w:pPr>
        <w:numPr>
          <w:ilvl w:val="0"/>
          <w:numId w:val="1399"/>
        </w:numPr>
        <w:pStyle w:val="Compact"/>
      </w:pPr>
      <w:r>
        <w:t xml:space="preserve">2001 · Anderson SM ·</w:t>
      </w:r>
      <w:r>
        <w:t xml:space="preserve"> </w:t>
      </w:r>
      <w:r>
        <w:rPr>
          <w:iCs/>
          <w:i/>
        </w:rPr>
        <w:t xml:space="preserve">J Clin Endocrinol Metab</w:t>
      </w:r>
      <w:r>
        <w:t xml:space="preserve"> </w:t>
      </w:r>
      <w:r>
        <w:t xml:space="preserve">· E2 supplementation selectively relieves GH’s autonegative feedback on GH-releasing peptide-2-stimulated GH secretion. PMID 11739462</w:t>
      </w:r>
    </w:p>
    <w:p>
      <w:pPr>
        <w:numPr>
          <w:ilvl w:val="0"/>
          <w:numId w:val="1399"/>
        </w:numPr>
        <w:pStyle w:val="Compact"/>
      </w:pPr>
      <w:r>
        <w:t xml:space="preserve">2001 · Bowers CY ·</w:t>
      </w:r>
      <w:r>
        <w:t xml:space="preserve"> </w:t>
      </w:r>
      <w:r>
        <w:rPr>
          <w:iCs/>
          <w:i/>
        </w:rPr>
        <w:t xml:space="preserve">Endocrine</w:t>
      </w:r>
      <w:r>
        <w:t xml:space="preserve"> </w:t>
      </w:r>
      <w:r>
        <w:t xml:space="preserve">· Growth hormone/insulin-like growth factor-1 response to acute and chronic growth hormone-releasing peptide-2, growth hormone-releasing hormone 1-44NH2 and in combination in older men and women with decreased growth hormone secretion. PMID 11322505</w:t>
      </w:r>
    </w:p>
    <w:p>
      <w:pPr>
        <w:numPr>
          <w:ilvl w:val="0"/>
          <w:numId w:val="1399"/>
        </w:numPr>
        <w:pStyle w:val="Compact"/>
      </w:pPr>
      <w:r>
        <w:t xml:space="preserve">2000 · Van Dam PS ·</w:t>
      </w:r>
      <w:r>
        <w:t xml:space="preserve"> </w:t>
      </w:r>
      <w:r>
        <w:rPr>
          <w:iCs/>
          <w:i/>
        </w:rPr>
        <w:t xml:space="preserve">J Clin Endocrinol Metab</w:t>
      </w:r>
      <w:r>
        <w:t xml:space="preserve"> </w:t>
      </w:r>
      <w:r>
        <w:t xml:space="preserve">· Reduction of free fatty acids by acipimox enhances the growth hormone (GH) responses to GH-releasing peptide 2 in elderly men. PMID 11134132</w:t>
      </w:r>
    </w:p>
    <w:p>
      <w:pPr>
        <w:numPr>
          <w:ilvl w:val="0"/>
          <w:numId w:val="1399"/>
        </w:numPr>
        <w:pStyle w:val="Compact"/>
      </w:pPr>
      <w:r>
        <w:t xml:space="preserve">2000 · Wideman L ·</w:t>
      </w:r>
      <w:r>
        <w:t xml:space="preserve"> </w:t>
      </w:r>
      <w:r>
        <w:rPr>
          <w:iCs/>
          <w:i/>
        </w:rPr>
        <w:t xml:space="preserve">Am J Physiol Regul Integr Comp Physiol</w:t>
      </w:r>
      <w:r>
        <w:t xml:space="preserve"> </w:t>
      </w:r>
      <w:r>
        <w:t xml:space="preserve">· Synergy of L-arginine and GHRP-2 stimulation of growth hormone in men and women: modulation by exercise. PMID 11004017</w:t>
      </w:r>
    </w:p>
    <w:p>
      <w:pPr>
        <w:numPr>
          <w:ilvl w:val="0"/>
          <w:numId w:val="1399"/>
        </w:numPr>
        <w:pStyle w:val="Compact"/>
      </w:pPr>
      <w:r>
        <w:t xml:space="preserve">2000 · Shah N ·</w:t>
      </w:r>
      <w:r>
        <w:t xml:space="preserve"> </w:t>
      </w:r>
      <w:r>
        <w:rPr>
          <w:iCs/>
          <w:i/>
        </w:rPr>
        <w:t xml:space="preserve">J Clin Endocrinol Metab</w:t>
      </w:r>
      <w:r>
        <w:t xml:space="preserve"> </w:t>
      </w:r>
      <w:r>
        <w:t xml:space="preserve">· Oral estradiol administration modulates continuous intravenous growth hormone (GH)-releasing peptide-2-driven GH secretion in postmenopausal women. PMID 10946861</w:t>
      </w:r>
    </w:p>
    <w:p>
      <w:pPr>
        <w:numPr>
          <w:ilvl w:val="0"/>
          <w:numId w:val="1399"/>
        </w:numPr>
        <w:pStyle w:val="Compact"/>
      </w:pPr>
      <w:r>
        <w:t xml:space="preserve">2000 · Van den Berghe G ·</w:t>
      </w:r>
      <w:r>
        <w:t xml:space="preserve"> </w:t>
      </w:r>
      <w:r>
        <w:rPr>
          <w:iCs/>
          <w:i/>
        </w:rPr>
        <w:t xml:space="preserve">J Clin Endocrinol Metab</w:t>
      </w:r>
      <w:r>
        <w:t xml:space="preserve"> </w:t>
      </w:r>
      <w:r>
        <w:t xml:space="preserve">· A paradoxical gender dissociation within the growth hormone/insulin-like growth factor I axis during protracted critical illness. PMID 10634385</w:t>
      </w:r>
    </w:p>
    <w:p>
      <w:pPr>
        <w:numPr>
          <w:ilvl w:val="0"/>
          <w:numId w:val="1399"/>
        </w:numPr>
        <w:pStyle w:val="Compact"/>
      </w:pPr>
      <w:r>
        <w:t xml:space="preserve">1999 · Shah N ·</w:t>
      </w:r>
      <w:r>
        <w:t xml:space="preserve"> </w:t>
      </w:r>
      <w:r>
        <w:rPr>
          <w:iCs/>
          <w:i/>
        </w:rPr>
        <w:t xml:space="preserve">J Clin Endocrinol Metab</w:t>
      </w:r>
      <w:r>
        <w:t xml:space="preserve"> </w:t>
      </w:r>
      <w:r>
        <w:t xml:space="preserve">· Tripartite neuroendocrine activation of the human growth hormone (GH) axis in women by continuous 24-hour GH-releasing peptide infusion: pulsatile, entropic, and nyctohemeral mechanisms. PMID 10372723</w:t>
      </w:r>
    </w:p>
    <w:p>
      <w:pPr>
        <w:numPr>
          <w:ilvl w:val="0"/>
          <w:numId w:val="1399"/>
        </w:numPr>
        <w:pStyle w:val="Compact"/>
      </w:pPr>
      <w:r>
        <w:t xml:space="preserve">1999 · Meacham LR ·</w:t>
      </w:r>
      <w:r>
        <w:t xml:space="preserve"> </w:t>
      </w:r>
      <w:r>
        <w:rPr>
          <w:iCs/>
          <w:i/>
        </w:rPr>
        <w:t xml:space="preserve">Metabolism</w:t>
      </w:r>
      <w:r>
        <w:t xml:space="preserve"> </w:t>
      </w:r>
      <w:r>
        <w:t xml:space="preserve">· Preservation of growth hormone secretion in response to growth hormone-releasing peptide-2 during prednisone therapy. PMID 10337858</w:t>
      </w:r>
    </w:p>
    <w:p>
      <w:pPr>
        <w:numPr>
          <w:ilvl w:val="0"/>
          <w:numId w:val="1399"/>
        </w:numPr>
        <w:pStyle w:val="Compact"/>
      </w:pPr>
      <w:r>
        <w:t xml:space="preserve">1999 · Van den Berghe G ·</w:t>
      </w:r>
      <w:r>
        <w:t xml:space="preserve"> </w:t>
      </w:r>
      <w:r>
        <w:rPr>
          <w:iCs/>
          <w:i/>
        </w:rPr>
        <w:t xml:space="preserve">J Clin Endocrinol Metab</w:t>
      </w:r>
      <w:r>
        <w:t xml:space="preserve"> </w:t>
      </w:r>
      <w:r>
        <w:t xml:space="preserve">· Reactivation of pituitary hormone release and metabolic improvement by infusion of growth hormone-releasing peptide and thyrotropin-releasing hormone in patients with protracted critical illness. PMID 10199772</w:t>
      </w:r>
    </w:p>
    <w:p>
      <w:pPr>
        <w:numPr>
          <w:ilvl w:val="0"/>
          <w:numId w:val="1399"/>
        </w:numPr>
        <w:pStyle w:val="Compact"/>
      </w:pPr>
      <w:r>
        <w:t xml:space="preserve">1999 · Arvat E ·</w:t>
      </w:r>
      <w:r>
        <w:t xml:space="preserve"> </w:t>
      </w:r>
      <w:r>
        <w:rPr>
          <w:iCs/>
          <w:i/>
        </w:rPr>
        <w:t xml:space="preserve">J Endocrinol Invest</w:t>
      </w:r>
      <w:r>
        <w:t xml:space="preserve"> </w:t>
      </w:r>
      <w:r>
        <w:t xml:space="preserve">· Tyr-Ala-Hexarelin, a synthetic octapeptide, possesses the same endocrine activities of Hexarelin and GHRP-2 in humans. PMID 10195374</w:t>
      </w:r>
    </w:p>
    <w:p>
      <w:pPr>
        <w:numPr>
          <w:ilvl w:val="0"/>
          <w:numId w:val="1399"/>
        </w:numPr>
        <w:pStyle w:val="Compact"/>
      </w:pPr>
      <w:r>
        <w:t xml:space="preserve">1999 · Van den Berghe G ·</w:t>
      </w:r>
      <w:r>
        <w:t xml:space="preserve"> </w:t>
      </w:r>
      <w:r>
        <w:rPr>
          <w:iCs/>
          <w:i/>
        </w:rPr>
        <w:t xml:space="preserve">Eur J Endocrinol</w:t>
      </w:r>
      <w:r>
        <w:t xml:space="preserve"> </w:t>
      </w:r>
      <w:r>
        <w:t xml:space="preserve">· Growth hormone-releasing peptide-2 infusion synchronizes growth hormone, thyrotrophin and prolactin release in prolonged critical illness. PMID 10037246</w:t>
      </w:r>
    </w:p>
    <w:p>
      <w:pPr>
        <w:numPr>
          <w:ilvl w:val="0"/>
          <w:numId w:val="1399"/>
        </w:numPr>
        <w:pStyle w:val="Compact"/>
      </w:pPr>
      <w:r>
        <w:t xml:space="preserve">1998 · Van den Berghe G ·</w:t>
      </w:r>
      <w:r>
        <w:t xml:space="preserve"> </w:t>
      </w:r>
      <w:r>
        <w:rPr>
          <w:iCs/>
          <w:i/>
        </w:rPr>
        <w:t xml:space="preserve">J Clin Endocrinol Metab</w:t>
      </w:r>
      <w:r>
        <w:t xml:space="preserve"> </w:t>
      </w:r>
      <w:r>
        <w:t xml:space="preserve">· Leptin levels in protracted critical illness: effects of growth hormone-secretagogues and thyrotropin-releasing hormone. PMID 9745404</w:t>
      </w:r>
    </w:p>
    <w:p>
      <w:pPr>
        <w:numPr>
          <w:ilvl w:val="0"/>
          <w:numId w:val="1399"/>
        </w:numPr>
        <w:pStyle w:val="Compact"/>
      </w:pPr>
      <w:r>
        <w:t xml:space="preserve">1998 · Mericq V ·</w:t>
      </w:r>
      <w:r>
        <w:t xml:space="preserve"> </w:t>
      </w:r>
      <w:r>
        <w:rPr>
          <w:iCs/>
          <w:i/>
        </w:rPr>
        <w:t xml:space="preserve">J Clin Endocrinol Metab</w:t>
      </w:r>
      <w:r>
        <w:t xml:space="preserve"> </w:t>
      </w:r>
      <w:r>
        <w:t xml:space="preserve">· Effects of eight months treatment with graded doses of a growth hormone (GH)-releasing peptide in GH-deficient children. PMID 9661608</w:t>
      </w:r>
    </w:p>
    <w:p>
      <w:pPr>
        <w:numPr>
          <w:ilvl w:val="0"/>
          <w:numId w:val="1399"/>
        </w:numPr>
        <w:pStyle w:val="Compact"/>
      </w:pPr>
      <w:r>
        <w:t xml:space="preserve">1998 · Moreno-Reyes R ·</w:t>
      </w:r>
      <w:r>
        <w:t xml:space="preserve"> </w:t>
      </w:r>
      <w:r>
        <w:rPr>
          <w:iCs/>
          <w:i/>
        </w:rPr>
        <w:t xml:space="preserve">Am J Physiol</w:t>
      </w:r>
      <w:r>
        <w:t xml:space="preserve"> </w:t>
      </w:r>
      <w:r>
        <w:t xml:space="preserve">· Evidence against a role for the growth hormone-releasing peptide axis in human slow-wave sleep regulation. PMID 9612233</w:t>
      </w:r>
    </w:p>
    <w:p>
      <w:pPr>
        <w:numPr>
          <w:ilvl w:val="0"/>
          <w:numId w:val="1399"/>
        </w:numPr>
        <w:pStyle w:val="Compact"/>
      </w:pPr>
      <w:r>
        <w:t xml:space="preserve">1998 · Pihoker C ·</w:t>
      </w:r>
      <w:r>
        <w:t xml:space="preserve"> </w:t>
      </w:r>
      <w:r>
        <w:rPr>
          <w:iCs/>
          <w:i/>
        </w:rPr>
        <w:t xml:space="preserve">J Clin Endocrinol Metab</w:t>
      </w:r>
      <w:r>
        <w:t xml:space="preserve"> </w:t>
      </w:r>
      <w:r>
        <w:t xml:space="preserve">· Pharmacokinetics and pharmacodynamics of growth hormone-releasing peptide-2: a phase I study in children. PMID 9543135</w:t>
      </w:r>
    </w:p>
    <w:p>
      <w:pPr>
        <w:numPr>
          <w:ilvl w:val="0"/>
          <w:numId w:val="1399"/>
        </w:numPr>
        <w:pStyle w:val="Compact"/>
      </w:pPr>
      <w:r>
        <w:t xml:space="preserve">1998 · Van den Berghe G ·</w:t>
      </w:r>
      <w:r>
        <w:t xml:space="preserve"> </w:t>
      </w:r>
      <w:r>
        <w:rPr>
          <w:iCs/>
          <w:i/>
        </w:rPr>
        <w:t xml:space="preserve">J Clin Endocrinol Metab</w:t>
      </w:r>
      <w:r>
        <w:t xml:space="preserve"> </w:t>
      </w:r>
      <w:r>
        <w:t xml:space="preserve">· Neuroendocrinology of prolonged critical illness: effects of exogenous thyrotropin-releasing hormone and its combination with growth hormone secretagogues. PMID 9467533</w:t>
      </w:r>
    </w:p>
    <w:p>
      <w:pPr>
        <w:numPr>
          <w:ilvl w:val="0"/>
          <w:numId w:val="1399"/>
        </w:numPr>
        <w:pStyle w:val="Compact"/>
      </w:pPr>
      <w:r>
        <w:t xml:space="preserve">1997 · Van den Berghe G ·</w:t>
      </w:r>
      <w:r>
        <w:t xml:space="preserve"> </w:t>
      </w:r>
      <w:r>
        <w:rPr>
          <w:iCs/>
          <w:i/>
        </w:rPr>
        <w:t xml:space="preserve">Clin Endocrinol (Oxf)</w:t>
      </w:r>
      <w:r>
        <w:t xml:space="preserve"> </w:t>
      </w:r>
      <w:r>
        <w:t xml:space="preserve">· Thyrotrophin and prolactin release in prolonged critical illness: dynamics of spontaneous secretion and effects of growth hormone-secretagogues. PMID 9425400</w:t>
      </w:r>
    </w:p>
    <w:p>
      <w:pPr>
        <w:numPr>
          <w:ilvl w:val="0"/>
          <w:numId w:val="1399"/>
        </w:numPr>
        <w:pStyle w:val="Compact"/>
      </w:pPr>
      <w:r>
        <w:t xml:space="preserve">1997 · Pihoker C ·</w:t>
      </w:r>
      <w:r>
        <w:t xml:space="preserve"> </w:t>
      </w:r>
      <w:r>
        <w:rPr>
          <w:iCs/>
          <w:i/>
        </w:rPr>
        <w:t xml:space="preserve">J Endocrinol</w:t>
      </w:r>
      <w:r>
        <w:t xml:space="preserve"> </w:t>
      </w:r>
      <w:r>
        <w:t xml:space="preserve">· Treatment effects of intranasal growth hormone releasing peptide-2 in children with short stature. PMID 9390009</w:t>
      </w:r>
    </w:p>
    <w:p>
      <w:pPr>
        <w:numPr>
          <w:ilvl w:val="0"/>
          <w:numId w:val="1399"/>
        </w:numPr>
        <w:pStyle w:val="Compact"/>
      </w:pPr>
      <w:r>
        <w:t xml:space="preserve">1997 · Van den Berghe G ·</w:t>
      </w:r>
      <w:r>
        <w:t xml:space="preserve"> </w:t>
      </w:r>
      <w:r>
        <w:rPr>
          <w:iCs/>
          <w:i/>
        </w:rPr>
        <w:t xml:space="preserve">J Clin Endocrinol Metab</w:t>
      </w:r>
      <w:r>
        <w:t xml:space="preserve"> </w:t>
      </w:r>
      <w:r>
        <w:t xml:space="preserve">· The somatotropic axis in critical illness: effect of continuous growth hormone (GH)-releasing hormone and GH-releasing peptide-2 infusion. PMID 9024260</w:t>
      </w:r>
    </w:p>
    <w:p>
      <w:pPr>
        <w:numPr>
          <w:ilvl w:val="0"/>
          <w:numId w:val="1399"/>
        </w:numPr>
        <w:pStyle w:val="Compact"/>
      </w:pPr>
      <w:r>
        <w:t xml:space="preserve">1996 · Van den Berghe G ·</w:t>
      </w:r>
      <w:r>
        <w:t xml:space="preserve"> </w:t>
      </w:r>
      <w:r>
        <w:rPr>
          <w:iCs/>
          <w:i/>
        </w:rPr>
        <w:t xml:space="preserve">Clin Endocrinol (Oxf)</w:t>
      </w:r>
      <w:r>
        <w:t xml:space="preserve"> </w:t>
      </w:r>
      <w:r>
        <w:t xml:space="preserve">· Pituitary responsiveness to GH-releasing hormone, GH-releasing peptide-2 and thyrotrophin-releasing hormone in critical illness. PMID 8949573</w:t>
      </w:r>
    </w:p>
    <w:p>
      <w:pPr>
        <w:numPr>
          <w:ilvl w:val="0"/>
          <w:numId w:val="1399"/>
        </w:numPr>
        <w:pStyle w:val="Compact"/>
      </w:pPr>
      <w:r>
        <w:t xml:space="preserve">1996 · Bowers CY ·</w:t>
      </w:r>
      <w:r>
        <w:t xml:space="preserve"> </w:t>
      </w:r>
      <w:r>
        <w:rPr>
          <w:iCs/>
          <w:i/>
        </w:rPr>
        <w:t xml:space="preserve">J Pediatr Endocrinol Metab</w:t>
      </w:r>
      <w:r>
        <w:t xml:space="preserve"> </w:t>
      </w:r>
      <w:r>
        <w:t xml:space="preserve">· GHRP-2, GHRH and SRIF interrelationships during chronic administration of GHRP-2 to humans. PMID 8887169</w:t>
      </w:r>
    </w:p>
    <w:p>
      <w:pPr>
        <w:numPr>
          <w:ilvl w:val="0"/>
          <w:numId w:val="1399"/>
        </w:numPr>
        <w:pStyle w:val="Compact"/>
      </w:pPr>
      <w:r>
        <w:t xml:space="preserve">1995 · Tuilpakov AN ·</w:t>
      </w:r>
      <w:r>
        <w:t xml:space="preserve"> </w:t>
      </w:r>
      <w:r>
        <w:rPr>
          <w:iCs/>
          <w:i/>
        </w:rPr>
        <w:t xml:space="preserve">Metabolism</w:t>
      </w:r>
      <w:r>
        <w:t xml:space="preserve"> </w:t>
      </w:r>
      <w:r>
        <w:t xml:space="preserve">· Growth hormone (GH)-releasing effects of synthetic peptide GH-releasing peptide-2 and GH-releasing hormone (1-29NH2) in children with GH insufficiency and idiopathic short stature. PMID 7666796</w:t>
      </w:r>
    </w:p>
    <w:p>
      <w:pPr>
        <w:numPr>
          <w:ilvl w:val="0"/>
          <w:numId w:val="1399"/>
        </w:numPr>
        <w:pStyle w:val="Compact"/>
      </w:pPr>
      <w:r>
        <w:t xml:space="preserve">1995 · Tiulpakov AN ·</w:t>
      </w:r>
      <w:r>
        <w:t xml:space="preserve"> </w:t>
      </w:r>
      <w:r>
        <w:rPr>
          <w:iCs/>
          <w:i/>
        </w:rPr>
        <w:t xml:space="preserve">Clin Endocrinol (Oxf)</w:t>
      </w:r>
      <w:r>
        <w:t xml:space="preserve"> </w:t>
      </w:r>
      <w:r>
        <w:t xml:space="preserve">· GH responses to intravenous bolus infusions of GH releasing hormone and GH releasing peptide 2 separately and in combination in adult volunteers. PMID 7586605</w:t>
      </w:r>
    </w:p>
    <w:p>
      <w:pPr>
        <w:numPr>
          <w:ilvl w:val="0"/>
          <w:numId w:val="1399"/>
        </w:numPr>
        <w:pStyle w:val="Compact"/>
      </w:pPr>
      <w:r>
        <w:t xml:space="preserve">1995 · Pihoker C ·</w:t>
      </w:r>
      <w:r>
        <w:t xml:space="preserve"> </w:t>
      </w:r>
      <w:r>
        <w:rPr>
          <w:iCs/>
          <w:i/>
        </w:rPr>
        <w:t xml:space="preserve">J Clin Endocrinol Metab</w:t>
      </w:r>
      <w:r>
        <w:t xml:space="preserve"> </w:t>
      </w:r>
      <w:r>
        <w:t xml:space="preserve">· Diagnostic studies with intravenous and intranasal growth hormone-releasing peptide-2 in children of short stature. PMID 7559885</w:t>
      </w:r>
    </w:p>
    <w:bookmarkEnd w:id="3040"/>
    <w:bookmarkStart w:id="3041" w:name="ghrp-6-40"/>
    <w:p>
      <w:pPr>
        <w:pStyle w:val="Heading2"/>
      </w:pPr>
      <w:r>
        <w:t xml:space="preserve">GHRP-6 (40)</w:t>
      </w:r>
    </w:p>
    <w:p>
      <w:pPr>
        <w:numPr>
          <w:ilvl w:val="0"/>
          <w:numId w:val="1400"/>
        </w:numPr>
        <w:pStyle w:val="Compact"/>
      </w:pPr>
      <w:r>
        <w:t xml:space="preserve">2013 · Cabrales A ·</w:t>
      </w:r>
      <w:r>
        <w:t xml:space="preserve"> </w:t>
      </w:r>
      <w:r>
        <w:rPr>
          <w:iCs/>
          <w:i/>
        </w:rPr>
        <w:t xml:space="preserve">Eur J Pharm Sci</w:t>
      </w:r>
      <w:r>
        <w:t xml:space="preserve"> </w:t>
      </w:r>
      <w:r>
        <w:t xml:space="preserve">· Pharmacokinetic study of Growth Hormone-Releasing Peptide 6 (GHRP-6) in nine male healthy volunteers. PMID 23099431</w:t>
      </w:r>
    </w:p>
    <w:p>
      <w:pPr>
        <w:numPr>
          <w:ilvl w:val="0"/>
          <w:numId w:val="1400"/>
        </w:numPr>
        <w:pStyle w:val="Compact"/>
      </w:pPr>
      <w:r>
        <w:t xml:space="preserve">2010 · Molica P ·</w:t>
      </w:r>
      <w:r>
        <w:t xml:space="preserve"> </w:t>
      </w:r>
      <w:r>
        <w:rPr>
          <w:iCs/>
          <w:i/>
        </w:rPr>
        <w:t xml:space="preserve">Pituitary</w:t>
      </w:r>
      <w:r>
        <w:t xml:space="preserve"> </w:t>
      </w:r>
      <w:r>
        <w:t xml:space="preserve">· Effects of ghrelin, GH-releasing peptide-6 (GHRP-6) and GHRH on GH, ACTH and cortisol release in hyperthyroidism before and after treatment. PMID 20602173</w:t>
      </w:r>
    </w:p>
    <w:p>
      <w:pPr>
        <w:numPr>
          <w:ilvl w:val="0"/>
          <w:numId w:val="1400"/>
        </w:numPr>
        <w:pStyle w:val="Compact"/>
      </w:pPr>
      <w:r>
        <w:t xml:space="preserve">2010 · de Sá LB ·</w:t>
      </w:r>
      <w:r>
        <w:t xml:space="preserve"> </w:t>
      </w:r>
      <w:r>
        <w:rPr>
          <w:iCs/>
          <w:i/>
        </w:rPr>
        <w:t xml:space="preserve">Metabolism</w:t>
      </w:r>
      <w:r>
        <w:t xml:space="preserve"> </w:t>
      </w:r>
      <w:r>
        <w:t xml:space="preserve">· Effects of ghrelin, growth hormone-releasing peptide-6, and growth hormone-releasing hormone on growth hormone, adrenocorticotropic hormone, and cortisol release in type 1 diabetes mellitus. PMID 20189610</w:t>
      </w:r>
    </w:p>
    <w:p>
      <w:pPr>
        <w:numPr>
          <w:ilvl w:val="0"/>
          <w:numId w:val="1400"/>
        </w:numPr>
        <w:pStyle w:val="Compact"/>
      </w:pPr>
      <w:r>
        <w:t xml:space="preserve">2010 · Alaioubi B ·</w:t>
      </w:r>
      <w:r>
        <w:t xml:space="preserve"> </w:t>
      </w:r>
      <w:r>
        <w:rPr>
          <w:iCs/>
          <w:i/>
        </w:rPr>
        <w:t xml:space="preserve">Horm Metab Res</w:t>
      </w:r>
      <w:r>
        <w:t xml:space="preserve"> </w:t>
      </w:r>
      <w:r>
        <w:t xml:space="preserve">· Diagnosis of adrenal insufficiency using the GHRP-6 Test: comparison with the insulin tolerance test in patients with hypothalamic-pituitary-adrenal disease. PMID 19946832</w:t>
      </w:r>
    </w:p>
    <w:p>
      <w:pPr>
        <w:numPr>
          <w:ilvl w:val="0"/>
          <w:numId w:val="1400"/>
        </w:numPr>
        <w:pStyle w:val="Compact"/>
      </w:pPr>
      <w:r>
        <w:t xml:space="preserve">2010 · Correa-Silva SR ·</w:t>
      </w:r>
      <w:r>
        <w:t xml:space="preserve"> </w:t>
      </w:r>
      <w:r>
        <w:rPr>
          <w:iCs/>
          <w:i/>
        </w:rPr>
        <w:t xml:space="preserve">Clin Endocrinol (Oxf)</w:t>
      </w:r>
      <w:r>
        <w:t xml:space="preserve"> </w:t>
      </w:r>
      <w:r>
        <w:t xml:space="preserve">· Adrenocorticotrophic hormone (ACTH) responsiveness to ghrelin increases after 6 months of ketoconazole use in patients with Cushing’s disease: comparison with GH-releasing peptide-6 (GHRP-6). PMID 19453623</w:t>
      </w:r>
    </w:p>
    <w:p>
      <w:pPr>
        <w:numPr>
          <w:ilvl w:val="0"/>
          <w:numId w:val="1400"/>
        </w:numPr>
        <w:pStyle w:val="Compact"/>
      </w:pPr>
      <w:r>
        <w:t xml:space="preserve">2009 · Nascif SO ·</w:t>
      </w:r>
      <w:r>
        <w:t xml:space="preserve"> </w:t>
      </w:r>
      <w:r>
        <w:rPr>
          <w:iCs/>
          <w:i/>
        </w:rPr>
        <w:t xml:space="preserve">Pituitary</w:t>
      </w:r>
      <w:r>
        <w:t xml:space="preserve"> </w:t>
      </w:r>
      <w:r>
        <w:t xml:space="preserve">· Ghrelin and GHRP-6-induced ACTH and cortisol release in thyrotoxicosis. PMID 19396632</w:t>
      </w:r>
    </w:p>
    <w:p>
      <w:pPr>
        <w:numPr>
          <w:ilvl w:val="0"/>
          <w:numId w:val="1400"/>
        </w:numPr>
        <w:pStyle w:val="Compact"/>
      </w:pPr>
      <w:r>
        <w:t xml:space="preserve">2008 · Machado MC ·</w:t>
      </w:r>
      <w:r>
        <w:t xml:space="preserve"> </w:t>
      </w:r>
      <w:r>
        <w:rPr>
          <w:iCs/>
          <w:i/>
        </w:rPr>
        <w:t xml:space="preserve">Eur J Endocrinol</w:t>
      </w:r>
      <w:r>
        <w:t xml:space="preserve"> </w:t>
      </w:r>
      <w:r>
        <w:t xml:space="preserve">· Association between tumoral GH-releasing peptide receptor type 1a mRNA expression and in vivo response to GH-releasing peptide-6 in ACTH-dependent Cushing’s syndrome patients. PMID 18426818</w:t>
      </w:r>
    </w:p>
    <w:p>
      <w:pPr>
        <w:numPr>
          <w:ilvl w:val="0"/>
          <w:numId w:val="1400"/>
        </w:numPr>
        <w:pStyle w:val="Compact"/>
      </w:pPr>
      <w:r>
        <w:t xml:space="preserve">2007 · Nascif SO ·</w:t>
      </w:r>
      <w:r>
        <w:t xml:space="preserve"> </w:t>
      </w:r>
      <w:r>
        <w:rPr>
          <w:iCs/>
          <w:i/>
        </w:rPr>
        <w:t xml:space="preserve">Pituitary</w:t>
      </w:r>
      <w:r>
        <w:t xml:space="preserve"> </w:t>
      </w:r>
      <w:r>
        <w:t xml:space="preserve">· Decreased ghrelin-induced GH release in thyrotoxicosis: comparison with GH-releasing peptide-6 (GHRP-6) and GHRH. PMID 17410412</w:t>
      </w:r>
    </w:p>
    <w:p>
      <w:pPr>
        <w:numPr>
          <w:ilvl w:val="0"/>
          <w:numId w:val="1400"/>
        </w:numPr>
        <w:pStyle w:val="Compact"/>
      </w:pPr>
      <w:r>
        <w:t xml:space="preserve">2006 · Correa-Silva SR ·</w:t>
      </w:r>
      <w:r>
        <w:t xml:space="preserve"> </w:t>
      </w:r>
      <w:r>
        <w:rPr>
          <w:iCs/>
          <w:i/>
        </w:rPr>
        <w:t xml:space="preserve">Pituitary</w:t>
      </w:r>
      <w:r>
        <w:t xml:space="preserve"> </w:t>
      </w:r>
      <w:r>
        <w:t xml:space="preserve">· Decreased GH secretion and enhanced ACTH and cortisol release after ghrelin administration in Cushing’s disease: comparison with GH-releasing peptide-6 (GHRP-6) and GHRH. PMID 16832586</w:t>
      </w:r>
    </w:p>
    <w:p>
      <w:pPr>
        <w:numPr>
          <w:ilvl w:val="0"/>
          <w:numId w:val="1400"/>
        </w:numPr>
        <w:pStyle w:val="Compact"/>
      </w:pPr>
      <w:r>
        <w:t xml:space="preserve">2004 · Frieboes RM ·</w:t>
      </w:r>
      <w:r>
        <w:t xml:space="preserve"> </w:t>
      </w:r>
      <w:r>
        <w:rPr>
          <w:iCs/>
          <w:i/>
        </w:rPr>
        <w:t xml:space="preserve">Psychoneuroendocrinology</w:t>
      </w:r>
      <w:r>
        <w:t xml:space="preserve"> </w:t>
      </w:r>
      <w:r>
        <w:t xml:space="preserve">· Hexarelin decreases slow-wave sleep and stimulates the secretion of GH, ACTH, cortisol and prolactin during sleep in healthy volunteers. PMID 15177700</w:t>
      </w:r>
    </w:p>
    <w:p>
      <w:pPr>
        <w:numPr>
          <w:ilvl w:val="0"/>
          <w:numId w:val="1400"/>
        </w:numPr>
        <w:pStyle w:val="Compact"/>
      </w:pPr>
      <w:r>
        <w:t xml:space="preserve">2004 · Micic D ·</w:t>
      </w:r>
      <w:r>
        <w:t xml:space="preserve"> </w:t>
      </w:r>
      <w:r>
        <w:rPr>
          <w:iCs/>
          <w:i/>
        </w:rPr>
        <w:t xml:space="preserve">Diabetes Res Clin Pract</w:t>
      </w:r>
      <w:r>
        <w:t xml:space="preserve"> </w:t>
      </w:r>
      <w:r>
        <w:t xml:space="preserve">· Growth hormone response to GHRH + GHRP-6 in type 2 diabetes during euglycemic and hyperglycemic clamp. PMID 14693411</w:t>
      </w:r>
    </w:p>
    <w:p>
      <w:pPr>
        <w:numPr>
          <w:ilvl w:val="0"/>
          <w:numId w:val="1400"/>
        </w:numPr>
        <w:pStyle w:val="Compact"/>
      </w:pPr>
      <w:r>
        <w:t xml:space="preserve">2003 · Cordido F ·</w:t>
      </w:r>
      <w:r>
        <w:t xml:space="preserve"> </w:t>
      </w:r>
      <w:r>
        <w:rPr>
          <w:iCs/>
          <w:i/>
        </w:rPr>
        <w:t xml:space="preserve">Eur J Endocrinol</w:t>
      </w:r>
      <w:r>
        <w:t xml:space="preserve"> </w:t>
      </w:r>
      <w:r>
        <w:t xml:space="preserve">· Comparison between insulin tolerance test, growth hormone (GH)-releasing hormone (GHRH), GHRH plus acipimox and GHRH plus GH-releasing peptide-6 for the diagnosis of adult GH deficiency in normal subjects, obese and hypopituitary patients. PMID 12887288</w:t>
      </w:r>
    </w:p>
    <w:p>
      <w:pPr>
        <w:numPr>
          <w:ilvl w:val="0"/>
          <w:numId w:val="1400"/>
        </w:numPr>
        <w:pStyle w:val="Compact"/>
      </w:pPr>
      <w:r>
        <w:t xml:space="preserve">2003 · Micić D ·</w:t>
      </w:r>
      <w:r>
        <w:t xml:space="preserve"> </w:t>
      </w:r>
      <w:r>
        <w:rPr>
          <w:iCs/>
          <w:i/>
        </w:rPr>
        <w:t xml:space="preserve">J Endocrinol Invest</w:t>
      </w:r>
      <w:r>
        <w:t xml:space="preserve"> </w:t>
      </w:r>
      <w:r>
        <w:t xml:space="preserve">· Growth-hormone response to combined stimulation with GHRH plus GH-releasing peptide-6 in obese patients with polycystic ovary syndrome before and after short-term fasting. PMID 12841541</w:t>
      </w:r>
    </w:p>
    <w:p>
      <w:pPr>
        <w:numPr>
          <w:ilvl w:val="0"/>
          <w:numId w:val="1400"/>
        </w:numPr>
        <w:pStyle w:val="Compact"/>
      </w:pPr>
      <w:r>
        <w:t xml:space="preserve">2003 · Oliveira JH ·</w:t>
      </w:r>
      <w:r>
        <w:t xml:space="preserve"> </w:t>
      </w:r>
      <w:r>
        <w:rPr>
          <w:iCs/>
          <w:i/>
        </w:rPr>
        <w:t xml:space="preserve">J Endocrinol Invest</w:t>
      </w:r>
      <w:r>
        <w:t xml:space="preserve"> </w:t>
      </w:r>
      <w:r>
        <w:t xml:space="preserve">· GHRP-6 is able to stimulate cortisol and ACTH release in patients with Cushing’s disease: comparison with DDAVP. PMID 12809173</w:t>
      </w:r>
    </w:p>
    <w:p>
      <w:pPr>
        <w:numPr>
          <w:ilvl w:val="0"/>
          <w:numId w:val="1400"/>
        </w:numPr>
        <w:pStyle w:val="Compact"/>
      </w:pPr>
      <w:r>
        <w:t xml:space="preserve">2003 · Martins MR ·</w:t>
      </w:r>
      <w:r>
        <w:t xml:space="preserve"> </w:t>
      </w:r>
      <w:r>
        <w:rPr>
          <w:iCs/>
          <w:i/>
        </w:rPr>
        <w:t xml:space="preserve">J Endocrinol Invest</w:t>
      </w:r>
      <w:r>
        <w:t xml:space="preserve"> </w:t>
      </w:r>
      <w:r>
        <w:t xml:space="preserve">· GH-releasing peptide (GHRP-6)-induced ACTH release in patients with addison’s disease: effect of glucocorticoid withdrawal. PMID 12739742</w:t>
      </w:r>
    </w:p>
    <w:p>
      <w:pPr>
        <w:numPr>
          <w:ilvl w:val="0"/>
          <w:numId w:val="1400"/>
        </w:numPr>
        <w:pStyle w:val="Compact"/>
      </w:pPr>
      <w:r>
        <w:t xml:space="preserve">2002 · Bhatti SF ·</w:t>
      </w:r>
      <w:r>
        <w:t xml:space="preserve"> </w:t>
      </w:r>
      <w:r>
        <w:rPr>
          <w:iCs/>
          <w:i/>
        </w:rPr>
        <w:t xml:space="preserve">Mol Cell Endocrinol</w:t>
      </w:r>
      <w:r>
        <w:t xml:space="preserve"> </w:t>
      </w:r>
      <w:r>
        <w:t xml:space="preserve">· Effects of growth hormone-releasing peptides in healthy dogs and in dogs with pituitary-dependent hyperadrenocorticism. PMID 12431802</w:t>
      </w:r>
    </w:p>
    <w:p>
      <w:pPr>
        <w:numPr>
          <w:ilvl w:val="0"/>
          <w:numId w:val="1400"/>
        </w:numPr>
        <w:pStyle w:val="Compact"/>
      </w:pPr>
      <w:r>
        <w:t xml:space="preserve">2002 · Popovic V ·</w:t>
      </w:r>
      <w:r>
        <w:t xml:space="preserve"> </w:t>
      </w:r>
      <w:r>
        <w:rPr>
          <w:iCs/>
          <w:i/>
        </w:rPr>
        <w:t xml:space="preserve">Clin Endocrinol (Oxf)</w:t>
      </w:r>
      <w:r>
        <w:t xml:space="preserve"> </w:t>
      </w:r>
      <w:r>
        <w:t xml:space="preserve">· Physical activity or food intake prior to testing did not affect the reproducibility of GH secretion elicited by GH releasing hormone plus GH-releasing hexapeptide in normal adult subjects. PMID 11849251</w:t>
      </w:r>
    </w:p>
    <w:p>
      <w:pPr>
        <w:numPr>
          <w:ilvl w:val="0"/>
          <w:numId w:val="1400"/>
        </w:numPr>
        <w:pStyle w:val="Compact"/>
      </w:pPr>
      <w:r>
        <w:t xml:space="preserve">2001 · Muller AF ·</w:t>
      </w:r>
      <w:r>
        <w:t xml:space="preserve"> </w:t>
      </w:r>
      <w:r>
        <w:rPr>
          <w:iCs/>
          <w:i/>
        </w:rPr>
        <w:t xml:space="preserve">Clin Endocrinol (Oxf)</w:t>
      </w:r>
      <w:r>
        <w:t xml:space="preserve"> </w:t>
      </w:r>
      <w:r>
        <w:t xml:space="preserve">· Effects of fasting and pegvisomant on the GH-releasing hormone and GH-releasing peptide-6 stimulated growth hormone secretion. PMID 11678828</w:t>
      </w:r>
    </w:p>
    <w:p>
      <w:pPr>
        <w:numPr>
          <w:ilvl w:val="0"/>
          <w:numId w:val="1400"/>
        </w:numPr>
        <w:pStyle w:val="Compact"/>
      </w:pPr>
      <w:r>
        <w:t xml:space="preserve">2000 · Popovic V ·</w:t>
      </w:r>
      <w:r>
        <w:t xml:space="preserve"> </w:t>
      </w:r>
      <w:r>
        <w:rPr>
          <w:iCs/>
          <w:i/>
        </w:rPr>
        <w:t xml:space="preserve">Lancet</w:t>
      </w:r>
      <w:r>
        <w:t xml:space="preserve"> </w:t>
      </w:r>
      <w:r>
        <w:t xml:space="preserve">· GH-releasing hormone and GH-releasing peptide-6 for diagnostic testing in GH-deficient adults. PMID 11030292</w:t>
      </w:r>
    </w:p>
    <w:p>
      <w:pPr>
        <w:numPr>
          <w:ilvl w:val="0"/>
          <w:numId w:val="1400"/>
        </w:numPr>
        <w:pStyle w:val="Compact"/>
      </w:pPr>
      <w:r>
        <w:t xml:space="preserve">2000 · Pinto AC ·</w:t>
      </w:r>
      <w:r>
        <w:t xml:space="preserve"> </w:t>
      </w:r>
      <w:r>
        <w:rPr>
          <w:iCs/>
          <w:i/>
        </w:rPr>
        <w:t xml:space="preserve">J Clin Endocrinol Metab</w:t>
      </w:r>
      <w:r>
        <w:t xml:space="preserve"> </w:t>
      </w:r>
      <w:r>
        <w:t xml:space="preserve">· Effects of short-term glucocorticoid deprivation on growth hormone (GH) response to GH-releasing peptide-6: studies in normal men and in patients with adrenal insufficiency. PMID 10770194</w:t>
      </w:r>
    </w:p>
    <w:p>
      <w:pPr>
        <w:numPr>
          <w:ilvl w:val="0"/>
          <w:numId w:val="1400"/>
        </w:numPr>
        <w:pStyle w:val="Compact"/>
      </w:pPr>
      <w:r>
        <w:t xml:space="preserve">1999 · Pinto AC ·</w:t>
      </w:r>
      <w:r>
        <w:t xml:space="preserve"> </w:t>
      </w:r>
      <w:r>
        <w:rPr>
          <w:iCs/>
          <w:i/>
        </w:rPr>
        <w:t xml:space="preserve">Clin Endocrinol (Oxf)</w:t>
      </w:r>
      <w:r>
        <w:t xml:space="preserve"> </w:t>
      </w:r>
      <w:r>
        <w:t xml:space="preserve">· Acute dexamethasone administration enhances GH responsiveness to GH releasing peptide-6 (GHRP-6) in man. PMID 10583306</w:t>
      </w:r>
    </w:p>
    <w:p>
      <w:pPr>
        <w:numPr>
          <w:ilvl w:val="0"/>
          <w:numId w:val="1400"/>
        </w:numPr>
        <w:pStyle w:val="Compact"/>
      </w:pPr>
      <w:r>
        <w:t xml:space="preserve">1999 · Frieboes RM ·</w:t>
      </w:r>
      <w:r>
        <w:t xml:space="preserve"> </w:t>
      </w:r>
      <w:r>
        <w:rPr>
          <w:iCs/>
          <w:i/>
        </w:rPr>
        <w:t xml:space="preserve">J Neuroendocrinol</w:t>
      </w:r>
      <w:r>
        <w:t xml:space="preserve"> </w:t>
      </w:r>
      <w:r>
        <w:t xml:space="preserve">· Effects of growth hormone-releasing peptide-6 on the nocturnal secretion of GH, ACTH and cortisol and on the sleep EEG in man: role of routes of administration. PMID 10336729</w:t>
      </w:r>
    </w:p>
    <w:p>
      <w:pPr>
        <w:numPr>
          <w:ilvl w:val="0"/>
          <w:numId w:val="1400"/>
        </w:numPr>
        <w:pStyle w:val="Compact"/>
      </w:pPr>
      <w:r>
        <w:t xml:space="preserve">1999 · Micić D ·</w:t>
      </w:r>
      <w:r>
        <w:t xml:space="preserve"> </w:t>
      </w:r>
      <w:r>
        <w:rPr>
          <w:iCs/>
          <w:i/>
        </w:rPr>
        <w:t xml:space="preserve">Metabolism</w:t>
      </w:r>
      <w:r>
        <w:t xml:space="preserve"> </w:t>
      </w:r>
      <w:r>
        <w:t xml:space="preserve">· Growth hormone (GH) response to GH-releasing peptide-6 and GH-releasing hormone in normal-weight and overweight patients with non-insulin-dependent diabetes mellitus. PMID 10206449</w:t>
      </w:r>
    </w:p>
    <w:p>
      <w:pPr>
        <w:numPr>
          <w:ilvl w:val="0"/>
          <w:numId w:val="1400"/>
        </w:numPr>
        <w:pStyle w:val="Compact"/>
      </w:pPr>
      <w:r>
        <w:t xml:space="preserve">1999 · Arvat E ·</w:t>
      </w:r>
      <w:r>
        <w:t xml:space="preserve"> </w:t>
      </w:r>
      <w:r>
        <w:rPr>
          <w:iCs/>
          <w:i/>
        </w:rPr>
        <w:t xml:space="preserve">J Endocrinol Invest</w:t>
      </w:r>
      <w:r>
        <w:t xml:space="preserve"> </w:t>
      </w:r>
      <w:r>
        <w:t xml:space="preserve">· Tyr-Ala-Hexarelin, a synthetic octapeptide, possesses the same endocrine activities of Hexarelin and GHRP-2 in humans. PMID 10195374</w:t>
      </w:r>
    </w:p>
    <w:p>
      <w:pPr>
        <w:numPr>
          <w:ilvl w:val="0"/>
          <w:numId w:val="1400"/>
        </w:numPr>
        <w:pStyle w:val="Compact"/>
      </w:pPr>
      <w:r>
        <w:t xml:space="preserve">1998 · Micic D ·</w:t>
      </w:r>
      <w:r>
        <w:t xml:space="preserve"> </w:t>
      </w:r>
      <w:r>
        <w:rPr>
          <w:iCs/>
          <w:i/>
        </w:rPr>
        <w:t xml:space="preserve">J Clin Endocrinol Metab</w:t>
      </w:r>
      <w:r>
        <w:t xml:space="preserve"> </w:t>
      </w:r>
      <w:r>
        <w:t xml:space="preserve">· Preserved growth hormone (GH) secretion in aged and very old subjects after testing with the combined stimulus GH-releasing hormone plus GH-releasing hexapeptide-6. PMID 9661645</w:t>
      </w:r>
    </w:p>
    <w:p>
      <w:pPr>
        <w:numPr>
          <w:ilvl w:val="0"/>
          <w:numId w:val="1400"/>
        </w:numPr>
        <w:pStyle w:val="Compact"/>
      </w:pPr>
      <w:r>
        <w:t xml:space="preserve">1998 · Pandya N ·</w:t>
      </w:r>
      <w:r>
        <w:t xml:space="preserve"> </w:t>
      </w:r>
      <w:r>
        <w:rPr>
          <w:iCs/>
          <w:i/>
        </w:rPr>
        <w:t xml:space="preserve">J Clin Endocrinol Metab</w:t>
      </w:r>
      <w:r>
        <w:t xml:space="preserve"> </w:t>
      </w:r>
      <w:r>
        <w:t xml:space="preserve">· Growth hormone (GH)-releasing peptide-6 requires endogenous hypothalamic GH-releasing hormone for maximal GH stimulation. PMID 9543138</w:t>
      </w:r>
    </w:p>
    <w:p>
      <w:pPr>
        <w:numPr>
          <w:ilvl w:val="0"/>
          <w:numId w:val="1400"/>
        </w:numPr>
        <w:pStyle w:val="Compact"/>
      </w:pPr>
      <w:r>
        <w:t xml:space="preserve">1997 · Borges MH ·</w:t>
      </w:r>
      <w:r>
        <w:t xml:space="preserve"> </w:t>
      </w:r>
      <w:r>
        <w:rPr>
          <w:iCs/>
          <w:i/>
        </w:rPr>
        <w:t xml:space="preserve">Clin Endocrinol (Oxf)</w:t>
      </w:r>
      <w:r>
        <w:t xml:space="preserve"> </w:t>
      </w:r>
      <w:r>
        <w:t xml:space="preserve">· Different effects of growth hormone releasing peptide (GHRP-6) and GH-releasing hormone on GH release in endogenous and exogenous hypercortisolism. PMID 9274702</w:t>
      </w:r>
    </w:p>
    <w:p>
      <w:pPr>
        <w:numPr>
          <w:ilvl w:val="0"/>
          <w:numId w:val="1400"/>
        </w:numPr>
        <w:pStyle w:val="Compact"/>
      </w:pPr>
      <w:r>
        <w:t xml:space="preserve">1997 · Pimentel-Filho FR ·</w:t>
      </w:r>
      <w:r>
        <w:t xml:space="preserve"> </w:t>
      </w:r>
      <w:r>
        <w:rPr>
          <w:iCs/>
          <w:i/>
        </w:rPr>
        <w:t xml:space="preserve">Clin Endocrinol (Oxf)</w:t>
      </w:r>
      <w:r>
        <w:t xml:space="preserve"> </w:t>
      </w:r>
      <w:r>
        <w:t xml:space="preserve">· Growth hormone responses to GH-releasing peptide (GHRP-6) in hypothyroidism. PMID 9156038</w:t>
      </w:r>
    </w:p>
    <w:p>
      <w:pPr>
        <w:numPr>
          <w:ilvl w:val="0"/>
          <w:numId w:val="1400"/>
        </w:numPr>
        <w:pStyle w:val="Compact"/>
      </w:pPr>
      <w:r>
        <w:t xml:space="preserve">1997 · Nooitgedagt A ·</w:t>
      </w:r>
      <w:r>
        <w:t xml:space="preserve"> </w:t>
      </w:r>
      <w:r>
        <w:rPr>
          <w:iCs/>
          <w:i/>
        </w:rPr>
        <w:t xml:space="preserve">Clin Endocrinol (Oxf)</w:t>
      </w:r>
      <w:r>
        <w:t xml:space="preserve"> </w:t>
      </w:r>
      <w:r>
        <w:t xml:space="preserve">· Influence of endogenous cholinergic tone and growth hormone-releasing peptide-6 on exercise induced growth hormone release. PMID 9135702</w:t>
      </w:r>
    </w:p>
    <w:p>
      <w:pPr>
        <w:numPr>
          <w:ilvl w:val="0"/>
          <w:numId w:val="1400"/>
        </w:numPr>
        <w:pStyle w:val="Compact"/>
      </w:pPr>
      <w:r>
        <w:t xml:space="preserve">1996 · Cordido F ·</w:t>
      </w:r>
      <w:r>
        <w:t xml:space="preserve"> </w:t>
      </w:r>
      <w:r>
        <w:rPr>
          <w:iCs/>
          <w:i/>
        </w:rPr>
        <w:t xml:space="preserve">J Clin Endocrinol Metab</w:t>
      </w:r>
      <w:r>
        <w:t xml:space="preserve"> </w:t>
      </w:r>
      <w:r>
        <w:t xml:space="preserve">· Impaired growth hormone secretion in obese subjects is partially reversed by acipimox-mediated plasma free fatty acid depression. PMID 8772550</w:t>
      </w:r>
    </w:p>
    <w:p>
      <w:pPr>
        <w:numPr>
          <w:ilvl w:val="0"/>
          <w:numId w:val="1400"/>
        </w:numPr>
        <w:pStyle w:val="Compact"/>
      </w:pPr>
      <w:r>
        <w:t xml:space="preserve">1996 · Peino R ·</w:t>
      </w:r>
      <w:r>
        <w:t xml:space="preserve"> </w:t>
      </w:r>
      <w:r>
        <w:rPr>
          <w:iCs/>
          <w:i/>
        </w:rPr>
        <w:t xml:space="preserve">J Clin Endocrinol Metab</w:t>
      </w:r>
      <w:r>
        <w:t xml:space="preserve"> </w:t>
      </w:r>
      <w:r>
        <w:t xml:space="preserve">· Acipimox-mediated plasma free fatty acid depression per se stimulates growth hormone (GH) secretion in normal subjects and potentiates the response to other GH-releasing stimuli. PMID 8772549</w:t>
      </w:r>
    </w:p>
    <w:p>
      <w:pPr>
        <w:numPr>
          <w:ilvl w:val="0"/>
          <w:numId w:val="1400"/>
        </w:numPr>
        <w:pStyle w:val="Compact"/>
      </w:pPr>
      <w:r>
        <w:t xml:space="preserve">1996 · Ciccarelli E ·</w:t>
      </w:r>
      <w:r>
        <w:t xml:space="preserve"> </w:t>
      </w:r>
      <w:r>
        <w:rPr>
          <w:iCs/>
          <w:i/>
        </w:rPr>
        <w:t xml:space="preserve">Clin Endocrinol (Oxf)</w:t>
      </w:r>
      <w:r>
        <w:t xml:space="preserve"> </w:t>
      </w:r>
      <w:r>
        <w:t xml:space="preserve">· Hexarelin, a synthetic growth hormone releasing peptide, stimulates prolactin secretion in acromegalic but not in hyperprolactinaemic patients. PMID 8706295</w:t>
      </w:r>
    </w:p>
    <w:p>
      <w:pPr>
        <w:numPr>
          <w:ilvl w:val="0"/>
          <w:numId w:val="1400"/>
        </w:numPr>
        <w:pStyle w:val="Compact"/>
      </w:pPr>
      <w:r>
        <w:t xml:space="preserve">1995 · Leal-Cerro A ·</w:t>
      </w:r>
      <w:r>
        <w:t xml:space="preserve"> </w:t>
      </w:r>
      <w:r>
        <w:rPr>
          <w:iCs/>
          <w:i/>
        </w:rPr>
        <w:t xml:space="preserve">Eur J Endocrinol</w:t>
      </w:r>
      <w:r>
        <w:t xml:space="preserve"> </w:t>
      </w:r>
      <w:r>
        <w:t xml:space="preserve">· Growth hormone (GH) responses to the combined administration of GH-releasing hormone plus GH-releasing peptide 6 in adults with GH deficiency. PMID 7788011</w:t>
      </w:r>
    </w:p>
    <w:p>
      <w:pPr>
        <w:numPr>
          <w:ilvl w:val="0"/>
          <w:numId w:val="1400"/>
        </w:numPr>
        <w:pStyle w:val="Compact"/>
      </w:pPr>
      <w:r>
        <w:t xml:space="preserve">1995 · Micic D ·</w:t>
      </w:r>
      <w:r>
        <w:t xml:space="preserve"> </w:t>
      </w:r>
      <w:r>
        <w:rPr>
          <w:iCs/>
          <w:i/>
        </w:rPr>
        <w:t xml:space="preserve">Clin Endocrinol (Oxf)</w:t>
      </w:r>
      <w:r>
        <w:t xml:space="preserve"> </w:t>
      </w:r>
      <w:r>
        <w:t xml:space="preserve">· Growth hormone secretion after the administration of GHRP-6 or GHRH combined with GHRP-6 does not decline in late adulthood. PMID 7734029</w:t>
      </w:r>
    </w:p>
    <w:p>
      <w:pPr>
        <w:numPr>
          <w:ilvl w:val="0"/>
          <w:numId w:val="1400"/>
        </w:numPr>
        <w:pStyle w:val="Compact"/>
      </w:pPr>
      <w:r>
        <w:t xml:space="preserve">1995 · Frieboes RM ·</w:t>
      </w:r>
      <w:r>
        <w:t xml:space="preserve"> </w:t>
      </w:r>
      <w:r>
        <w:rPr>
          <w:iCs/>
          <w:i/>
        </w:rPr>
        <w:t xml:space="preserve">Neuroendocrinology</w:t>
      </w:r>
      <w:r>
        <w:t xml:space="preserve"> </w:t>
      </w:r>
      <w:r>
        <w:t xml:space="preserve">· Growth hormone-releasing peptide-6 stimulates sleep, growth hormone, ACTH and cortisol release in normal man. PMID 7617137</w:t>
      </w:r>
    </w:p>
    <w:p>
      <w:pPr>
        <w:numPr>
          <w:ilvl w:val="0"/>
          <w:numId w:val="1400"/>
        </w:numPr>
        <w:pStyle w:val="Compact"/>
      </w:pPr>
      <w:r>
        <w:t xml:space="preserve">1995 · Pombo M ·</w:t>
      </w:r>
      <w:r>
        <w:t xml:space="preserve"> </w:t>
      </w:r>
      <w:r>
        <w:rPr>
          <w:iCs/>
          <w:i/>
        </w:rPr>
        <w:t xml:space="preserve">J Clin Endocrinol Metab</w:t>
      </w:r>
      <w:r>
        <w:t xml:space="preserve"> </w:t>
      </w:r>
      <w:r>
        <w:t xml:space="preserve">· Absence of growth hormone (GH) secretion after the administration of either GH-releasing hormone (GHRH), GH-releasing peptide (GHRP-6), or GHRH plus GHRP-6 in children with neonatal pituitary stalk transection. PMID 7593423</w:t>
      </w:r>
    </w:p>
    <w:p>
      <w:pPr>
        <w:numPr>
          <w:ilvl w:val="0"/>
          <w:numId w:val="1400"/>
        </w:numPr>
        <w:pStyle w:val="Compact"/>
      </w:pPr>
      <w:r>
        <w:t xml:space="preserve">1995 · Korbonits M ·</w:t>
      </w:r>
      <w:r>
        <w:t xml:space="preserve"> </w:t>
      </w:r>
      <w:r>
        <w:rPr>
          <w:iCs/>
          <w:i/>
        </w:rPr>
        <w:t xml:space="preserve">Clin Endocrinol (Oxf)</w:t>
      </w:r>
      <w:r>
        <w:t xml:space="preserve"> </w:t>
      </w:r>
      <w:r>
        <w:t xml:space="preserve">· The effect of an opiate antagonist on the hormonal changes induced by hexarelin. PMID 7586608</w:t>
      </w:r>
    </w:p>
    <w:p>
      <w:pPr>
        <w:numPr>
          <w:ilvl w:val="0"/>
          <w:numId w:val="1400"/>
        </w:numPr>
        <w:pStyle w:val="Compact"/>
      </w:pPr>
      <w:r>
        <w:t xml:space="preserve">1995 · Bellone J ·</w:t>
      </w:r>
      <w:r>
        <w:t xml:space="preserve"> </w:t>
      </w:r>
      <w:r>
        <w:rPr>
          <w:iCs/>
          <w:i/>
        </w:rPr>
        <w:t xml:space="preserve">Eur J Endocrinol</w:t>
      </w:r>
      <w:r>
        <w:t xml:space="preserve"> </w:t>
      </w:r>
      <w:r>
        <w:t xml:space="preserve">· Growth hormone-releasing effect of oral growth hormone-releasing peptide 6 (GHRP-6) administration in children with short stature. PMID 7581965</w:t>
      </w:r>
    </w:p>
    <w:p>
      <w:pPr>
        <w:numPr>
          <w:ilvl w:val="0"/>
          <w:numId w:val="1400"/>
        </w:numPr>
        <w:pStyle w:val="Compact"/>
      </w:pPr>
      <w:r>
        <w:t xml:space="preserve">1994 · Ghigo E ·</w:t>
      </w:r>
      <w:r>
        <w:t xml:space="preserve"> </w:t>
      </w:r>
      <w:r>
        <w:rPr>
          <w:iCs/>
          <w:i/>
        </w:rPr>
        <w:t xml:space="preserve">J Endocrinol Invest</w:t>
      </w:r>
      <w:r>
        <w:t xml:space="preserve"> </w:t>
      </w:r>
      <w:r>
        <w:t xml:space="preserve">· Arginine enhances the growth hormone-releasing activity of a synthetic hexapeptide (GHRP-6) in elderly but not in young subjects after oral administration. PMID 8051337</w:t>
      </w:r>
    </w:p>
    <w:p>
      <w:pPr>
        <w:numPr>
          <w:ilvl w:val="0"/>
          <w:numId w:val="1400"/>
        </w:numPr>
        <w:pStyle w:val="Compact"/>
      </w:pPr>
      <w:r>
        <w:t xml:space="preserve">1994 · Ghigo E ·</w:t>
      </w:r>
      <w:r>
        <w:t xml:space="preserve"> </w:t>
      </w:r>
      <w:r>
        <w:rPr>
          <w:iCs/>
          <w:i/>
        </w:rPr>
        <w:t xml:space="preserve">Eur J Endocrinol</w:t>
      </w:r>
      <w:r>
        <w:t xml:space="preserve"> </w:t>
      </w:r>
      <w:r>
        <w:t xml:space="preserve">· Growth hormone-releasing activity of growth hormone-releasing peptide-6 is maintained after short-term oral pretreatment with the hexapeptide in normal aging. PMID 7952160</w:t>
      </w:r>
    </w:p>
    <w:bookmarkEnd w:id="3041"/>
    <w:bookmarkStart w:id="3042" w:name="hexaréline-58"/>
    <w:p>
      <w:pPr>
        <w:pStyle w:val="Heading2"/>
      </w:pPr>
      <w:r>
        <w:t xml:space="preserve">Hexaréline (58)</w:t>
      </w:r>
    </w:p>
    <w:p>
      <w:pPr>
        <w:numPr>
          <w:ilvl w:val="0"/>
          <w:numId w:val="1401"/>
        </w:numPr>
        <w:pStyle w:val="Compact"/>
      </w:pPr>
      <w:r>
        <w:t xml:space="preserve">2004 · Janssen JA ·</w:t>
      </w:r>
      <w:r>
        <w:t xml:space="preserve"> </w:t>
      </w:r>
      <w:r>
        <w:rPr>
          <w:iCs/>
          <w:i/>
        </w:rPr>
        <w:t xml:space="preserve">J Endocrinol Invest</w:t>
      </w:r>
      <w:r>
        <w:t xml:space="preserve"> </w:t>
      </w:r>
      <w:r>
        <w:t xml:space="preserve">· There are no acute cardiac effects of a single iv dose of human ghrelin in severe growth hormone deficient patients. PMID 15505990</w:t>
      </w:r>
    </w:p>
    <w:p>
      <w:pPr>
        <w:numPr>
          <w:ilvl w:val="0"/>
          <w:numId w:val="1401"/>
        </w:numPr>
        <w:pStyle w:val="Compact"/>
      </w:pPr>
      <w:r>
        <w:t xml:space="preserve">2004 · de Vries WR ·</w:t>
      </w:r>
      <w:r>
        <w:t xml:space="preserve"> </w:t>
      </w:r>
      <w:r>
        <w:rPr>
          <w:iCs/>
          <w:i/>
        </w:rPr>
        <w:t xml:space="preserve">Horm Metab Res</w:t>
      </w:r>
      <w:r>
        <w:t xml:space="preserve"> </w:t>
      </w:r>
      <w:r>
        <w:t xml:space="preserve">· Age-related differences in growth hormone (GH) regulation during strenuous exercise. PMID 15305235</w:t>
      </w:r>
    </w:p>
    <w:p>
      <w:pPr>
        <w:numPr>
          <w:ilvl w:val="0"/>
          <w:numId w:val="1401"/>
        </w:numPr>
        <w:pStyle w:val="Compact"/>
      </w:pPr>
      <w:r>
        <w:t xml:space="preserve">2004 · Frieboes RM ·</w:t>
      </w:r>
      <w:r>
        <w:t xml:space="preserve"> </w:t>
      </w:r>
      <w:r>
        <w:rPr>
          <w:iCs/>
          <w:i/>
        </w:rPr>
        <w:t xml:space="preserve">Psychoneuroendocrinology</w:t>
      </w:r>
      <w:r>
        <w:t xml:space="preserve"> </w:t>
      </w:r>
      <w:r>
        <w:t xml:space="preserve">· Hexarelin decreases slow-wave sleep and stimulates the secretion of GH, ACTH, cortisol and prolactin during sleep in healthy volunteers. PMID 15177700</w:t>
      </w:r>
    </w:p>
    <w:p>
      <w:pPr>
        <w:numPr>
          <w:ilvl w:val="0"/>
          <w:numId w:val="1401"/>
        </w:numPr>
        <w:pStyle w:val="Compact"/>
      </w:pPr>
      <w:r>
        <w:t xml:space="preserve">2003 · Benso A ·</w:t>
      </w:r>
      <w:r>
        <w:t xml:space="preserve"> </w:t>
      </w:r>
      <w:r>
        <w:rPr>
          <w:iCs/>
          <w:i/>
        </w:rPr>
        <w:t xml:space="preserve">J Endocrinol Invest</w:t>
      </w:r>
      <w:r>
        <w:t xml:space="preserve"> </w:t>
      </w:r>
      <w:r>
        <w:t xml:space="preserve">· Effects of cortistatin-14 and somatostatin-14 on the endocrine response to hexarelin in humans. PMID 14594107</w:t>
      </w:r>
    </w:p>
    <w:p>
      <w:pPr>
        <w:numPr>
          <w:ilvl w:val="0"/>
          <w:numId w:val="1401"/>
        </w:numPr>
        <w:pStyle w:val="Compact"/>
      </w:pPr>
      <w:r>
        <w:t xml:space="preserve">2003 · Oliveira JH ·</w:t>
      </w:r>
      <w:r>
        <w:t xml:space="preserve"> </w:t>
      </w:r>
      <w:r>
        <w:rPr>
          <w:iCs/>
          <w:i/>
        </w:rPr>
        <w:t xml:space="preserve">J Endocrinol Invest</w:t>
      </w:r>
      <w:r>
        <w:t xml:space="preserve"> </w:t>
      </w:r>
      <w:r>
        <w:t xml:space="preserve">· GHRP-6 is able to stimulate cortisol and ACTH release in patients with Cushing’s disease: comparison with DDAVP. PMID 12809173</w:t>
      </w:r>
    </w:p>
    <w:p>
      <w:pPr>
        <w:numPr>
          <w:ilvl w:val="0"/>
          <w:numId w:val="1401"/>
        </w:numPr>
        <w:pStyle w:val="Compact"/>
      </w:pPr>
      <w:r>
        <w:t xml:space="preserve">2002 · Broglio F ·</w:t>
      </w:r>
      <w:r>
        <w:t xml:space="preserve"> </w:t>
      </w:r>
      <w:r>
        <w:rPr>
          <w:iCs/>
          <w:i/>
        </w:rPr>
        <w:t xml:space="preserve">Clin Endocrinol (Oxf)</w:t>
      </w:r>
      <w:r>
        <w:t xml:space="preserve"> </w:t>
      </w:r>
      <w:r>
        <w:t xml:space="preserve">· Effects of glucose, free fatty acids or arginine load on the GH-releasing activity of ghrelin in humans. PMID 12153607</w:t>
      </w:r>
    </w:p>
    <w:p>
      <w:pPr>
        <w:numPr>
          <w:ilvl w:val="0"/>
          <w:numId w:val="1401"/>
        </w:numPr>
        <w:pStyle w:val="Compact"/>
      </w:pPr>
      <w:r>
        <w:t xml:space="preserve">2002 · Broglio F ·</w:t>
      </w:r>
      <w:r>
        <w:t xml:space="preserve"> </w:t>
      </w:r>
      <w:r>
        <w:rPr>
          <w:iCs/>
          <w:i/>
        </w:rPr>
        <w:t xml:space="preserve">Eur J Pharmacol</w:t>
      </w:r>
      <w:r>
        <w:t xml:space="preserve"> </w:t>
      </w:r>
      <w:r>
        <w:t xml:space="preserve">· Effects of acute hexarelin administration on cardiac performance in patients with coronary artery disease during by-pass surgery. PMID 12144941</w:t>
      </w:r>
    </w:p>
    <w:p>
      <w:pPr>
        <w:numPr>
          <w:ilvl w:val="0"/>
          <w:numId w:val="1401"/>
        </w:numPr>
        <w:pStyle w:val="Compact"/>
      </w:pPr>
      <w:r>
        <w:t xml:space="preserve">2002 · Maccario M ·</w:t>
      </w:r>
      <w:r>
        <w:t xml:space="preserve"> </w:t>
      </w:r>
      <w:r>
        <w:rPr>
          <w:iCs/>
          <w:i/>
        </w:rPr>
        <w:t xml:space="preserve">Eur J Endocrinol</w:t>
      </w:r>
      <w:r>
        <w:t xml:space="preserve"> </w:t>
      </w:r>
      <w:r>
        <w:t xml:space="preserve">· Impact of two or three daily subcutaneous injections of hexarelin, a synthetic growth hormone (GH) secretagogue, on 24-h GH, prolactin, adrenocorticotropin and cortisol secretion in humans. PMID 11888836</w:t>
      </w:r>
    </w:p>
    <w:p>
      <w:pPr>
        <w:numPr>
          <w:ilvl w:val="0"/>
          <w:numId w:val="1401"/>
        </w:numPr>
        <w:pStyle w:val="Compact"/>
      </w:pPr>
      <w:r>
        <w:t xml:space="preserve">2001 · Broglio F ·</w:t>
      </w:r>
      <w:r>
        <w:t xml:space="preserve"> </w:t>
      </w:r>
      <w:r>
        <w:rPr>
          <w:iCs/>
          <w:i/>
        </w:rPr>
        <w:t xml:space="preserve">J Clin Endocrinol Metab</w:t>
      </w:r>
      <w:r>
        <w:t xml:space="preserve"> </w:t>
      </w:r>
      <w:r>
        <w:t xml:space="preserve">· Ghrelin, a natural GH secretagogue produced by the stomach, induces hyperglycemia and reduces insulin secretion in humans. PMID 11600590</w:t>
      </w:r>
    </w:p>
    <w:p>
      <w:pPr>
        <w:numPr>
          <w:ilvl w:val="0"/>
          <w:numId w:val="1401"/>
        </w:numPr>
        <w:pStyle w:val="Compact"/>
      </w:pPr>
      <w:r>
        <w:t xml:space="preserve">2001 · Broglio F ·</w:t>
      </w:r>
      <w:r>
        <w:t xml:space="preserve"> </w:t>
      </w:r>
      <w:r>
        <w:rPr>
          <w:iCs/>
          <w:i/>
        </w:rPr>
        <w:t xml:space="preserve">Endocrine</w:t>
      </w:r>
      <w:r>
        <w:t xml:space="preserve"> </w:t>
      </w:r>
      <w:r>
        <w:t xml:space="preserve">· Growth hormone-independent cardiotropic activities of growth hormone-releasing peptides in normal subjects, in patients with growth hormone deficiency, and in patients with idiopathic or ischemic dilated cardiomyopathy. PMID 11322491</w:t>
      </w:r>
    </w:p>
    <w:p>
      <w:pPr>
        <w:numPr>
          <w:ilvl w:val="0"/>
          <w:numId w:val="1401"/>
        </w:numPr>
        <w:pStyle w:val="Compact"/>
      </w:pPr>
      <w:r>
        <w:t xml:space="preserve">2001 · Gianotti L ·</w:t>
      </w:r>
      <w:r>
        <w:t xml:space="preserve"> </w:t>
      </w:r>
      <w:r>
        <w:rPr>
          <w:iCs/>
          <w:i/>
        </w:rPr>
        <w:t xml:space="preserve">J Endocrinol Invest</w:t>
      </w:r>
      <w:r>
        <w:t xml:space="preserve"> </w:t>
      </w:r>
      <w:r>
        <w:t xml:space="preserve">· Recombinant human IGF-I does not modify the ACTH and cortisol responses to hCRH and hexarelin, a peptidyl GH secretagogue, in humans. PMID 11263473</w:t>
      </w:r>
    </w:p>
    <w:p>
      <w:pPr>
        <w:numPr>
          <w:ilvl w:val="0"/>
          <w:numId w:val="1401"/>
        </w:numPr>
        <w:pStyle w:val="Compact"/>
      </w:pPr>
      <w:r>
        <w:t xml:space="preserve">2001 · Arvat E ·</w:t>
      </w:r>
      <w:r>
        <w:t xml:space="preserve"> </w:t>
      </w:r>
      <w:r>
        <w:rPr>
          <w:iCs/>
          <w:i/>
        </w:rPr>
        <w:t xml:space="preserve">J Clin Endocrinol Metab</w:t>
      </w:r>
      <w:r>
        <w:t xml:space="preserve"> </w:t>
      </w:r>
      <w:r>
        <w:t xml:space="preserve">· Endocrine activities of ghrelin, a natural growth hormone secretagogue (GHS), in humans: comparison and interactions with hexarelin, a nonnatural peptidyl GHS, and GH-releasing hormone. PMID 11238504</w:t>
      </w:r>
    </w:p>
    <w:p>
      <w:pPr>
        <w:numPr>
          <w:ilvl w:val="0"/>
          <w:numId w:val="1401"/>
        </w:numPr>
        <w:pStyle w:val="Compact"/>
      </w:pPr>
      <w:r>
        <w:t xml:space="preserve">2000 · Arvat E ·</w:t>
      </w:r>
      <w:r>
        <w:t xml:space="preserve"> </w:t>
      </w:r>
      <w:r>
        <w:rPr>
          <w:iCs/>
          <w:i/>
        </w:rPr>
        <w:t xml:space="preserve">Eur J Endocrinol</w:t>
      </w:r>
      <w:r>
        <w:t xml:space="preserve"> </w:t>
      </w:r>
      <w:r>
        <w:t xml:space="preserve">· Interaction between glucagon and hexarelin, a peptidyl GH secretagogue, on somatotroph and corticotroph secretion in humans. PMID 11078983</w:t>
      </w:r>
    </w:p>
    <w:p>
      <w:pPr>
        <w:numPr>
          <w:ilvl w:val="0"/>
          <w:numId w:val="1401"/>
        </w:numPr>
        <w:pStyle w:val="Compact"/>
      </w:pPr>
      <w:r>
        <w:t xml:space="preserve">2000 · Broglio F ·</w:t>
      </w:r>
      <w:r>
        <w:t xml:space="preserve"> </w:t>
      </w:r>
      <w:r>
        <w:rPr>
          <w:iCs/>
          <w:i/>
        </w:rPr>
        <w:t xml:space="preserve">Eur J Endocrinol</w:t>
      </w:r>
      <w:r>
        <w:t xml:space="preserve"> </w:t>
      </w:r>
      <w:r>
        <w:t xml:space="preserve">· Endocrine activities of alexamorelin (Ala-His-d-2-methyl-Trp-Ala-Trp-d-Phe-Lys-NH2), a synthetic GH secretagogue, in humans. PMID 11022186</w:t>
      </w:r>
    </w:p>
    <w:p>
      <w:pPr>
        <w:numPr>
          <w:ilvl w:val="0"/>
          <w:numId w:val="1401"/>
        </w:numPr>
        <w:pStyle w:val="Compact"/>
      </w:pPr>
      <w:r>
        <w:t xml:space="preserve">2000 · Coiro V ·</w:t>
      </w:r>
      <w:r>
        <w:t xml:space="preserve"> </w:t>
      </w:r>
      <w:r>
        <w:rPr>
          <w:iCs/>
          <w:i/>
        </w:rPr>
        <w:t xml:space="preserve">J Intern Med</w:t>
      </w:r>
      <w:r>
        <w:t xml:space="preserve"> </w:t>
      </w:r>
      <w:r>
        <w:t xml:space="preserve">· Desmopressin and hexarelin tests in alcohol-induced pseudo-Cushing’s syndrome. PMID 10886488</w:t>
      </w:r>
    </w:p>
    <w:p>
      <w:pPr>
        <w:numPr>
          <w:ilvl w:val="0"/>
          <w:numId w:val="1401"/>
        </w:numPr>
        <w:pStyle w:val="Compact"/>
      </w:pPr>
      <w:r>
        <w:t xml:space="preserve">2000 · De Marinis L ·</w:t>
      </w:r>
      <w:r>
        <w:t xml:space="preserve"> </w:t>
      </w:r>
      <w:r>
        <w:rPr>
          <w:iCs/>
          <w:i/>
        </w:rPr>
        <w:t xml:space="preserve">Horm Metab Res</w:t>
      </w:r>
      <w:r>
        <w:t xml:space="preserve"> </w:t>
      </w:r>
      <w:r>
        <w:t xml:space="preserve">· Role of food intake in the modulation of hexarelin-induced growth hormone release in normal human subjects. PMID 10824712</w:t>
      </w:r>
    </w:p>
    <w:p>
      <w:pPr>
        <w:numPr>
          <w:ilvl w:val="0"/>
          <w:numId w:val="1401"/>
        </w:numPr>
        <w:pStyle w:val="Compact"/>
      </w:pPr>
      <w:r>
        <w:t xml:space="preserve">2000 · Bellone J ·</w:t>
      </w:r>
      <w:r>
        <w:t xml:space="preserve"> </w:t>
      </w:r>
      <w:r>
        <w:rPr>
          <w:iCs/>
          <w:i/>
        </w:rPr>
        <w:t xml:space="preserve">J Endocrinol Invest</w:t>
      </w:r>
      <w:r>
        <w:t xml:space="preserve"> </w:t>
      </w:r>
      <w:r>
        <w:t xml:space="preserve">· The negative GH auto-feedback in childhood: effects of rhGH and/or GHRH on the somatotroph response to GHRH or hexarelin, a peptidyl GH secretagogue, in children. PMID 10803472</w:t>
      </w:r>
    </w:p>
    <w:p>
      <w:pPr>
        <w:numPr>
          <w:ilvl w:val="0"/>
          <w:numId w:val="1401"/>
        </w:numPr>
        <w:pStyle w:val="Compact"/>
      </w:pPr>
      <w:r>
        <w:t xml:space="preserve">1999 · Ghigo E ·</w:t>
      </w:r>
      <w:r>
        <w:t xml:space="preserve"> </w:t>
      </w:r>
      <w:r>
        <w:rPr>
          <w:iCs/>
          <w:i/>
        </w:rPr>
        <w:t xml:space="preserve">J Clin Endocrinol Metab</w:t>
      </w:r>
      <w:r>
        <w:t xml:space="preserve"> </w:t>
      </w:r>
      <w:r>
        <w:t xml:space="preserve">· Effects of recombinant human insulin-like growth factor I administration on growth hormone (GH) secretion, both spontaneous and stimulated by GH-releasing hormone or hexarelin, a peptidyl GH secretagogue, in humans. PMID 9920097</w:t>
      </w:r>
    </w:p>
    <w:p>
      <w:pPr>
        <w:numPr>
          <w:ilvl w:val="0"/>
          <w:numId w:val="1401"/>
        </w:numPr>
        <w:pStyle w:val="Compact"/>
      </w:pPr>
      <w:r>
        <w:t xml:space="preserve">1999 · Grottoli S ·</w:t>
      </w:r>
      <w:r>
        <w:t xml:space="preserve"> </w:t>
      </w:r>
      <w:r>
        <w:rPr>
          <w:iCs/>
          <w:i/>
        </w:rPr>
        <w:t xml:space="preserve">Pituitary</w:t>
      </w:r>
      <w:r>
        <w:t xml:space="preserve"> </w:t>
      </w:r>
      <w:r>
        <w:t xml:space="preserve">· Effects of alprazolam, a benzodiazepine, on the ACTH-, GH- and PRL-releasing activity of hexarelin, a synthetic peptidyl GH secretagogue (GHS), in patients with simple obesity and in patients with Cushing’s disease. PMID 11081154</w:t>
      </w:r>
    </w:p>
    <w:p>
      <w:pPr>
        <w:numPr>
          <w:ilvl w:val="0"/>
          <w:numId w:val="1401"/>
        </w:numPr>
        <w:pStyle w:val="Compact"/>
      </w:pPr>
      <w:r>
        <w:t xml:space="preserve">1999 · Bisi G ·</w:t>
      </w:r>
      <w:r>
        <w:t xml:space="preserve"> </w:t>
      </w:r>
      <w:r>
        <w:rPr>
          <w:iCs/>
          <w:i/>
        </w:rPr>
        <w:t xml:space="preserve">Eur J Pharmacol</w:t>
      </w:r>
      <w:r>
        <w:t xml:space="preserve"> </w:t>
      </w:r>
      <w:r>
        <w:t xml:space="preserve">· Cardiac effects of hexarelin in hypopituitary adults. PMID 10528131</w:t>
      </w:r>
    </w:p>
    <w:p>
      <w:pPr>
        <w:numPr>
          <w:ilvl w:val="0"/>
          <w:numId w:val="1401"/>
        </w:numPr>
        <w:pStyle w:val="Compact"/>
      </w:pPr>
      <w:r>
        <w:t xml:space="preserve">1999 · Arvat E ·</w:t>
      </w:r>
      <w:r>
        <w:t xml:space="preserve"> </w:t>
      </w:r>
      <w:r>
        <w:rPr>
          <w:iCs/>
          <w:i/>
        </w:rPr>
        <w:t xml:space="preserve">Neuroendocrinology</w:t>
      </w:r>
      <w:r>
        <w:t xml:space="preserve"> </w:t>
      </w:r>
      <w:r>
        <w:t xml:space="preserve">· Corticotropin-releasing effect of hexarelin, a peptidyl GH secretagogue, in normal subjects pretreated with metyrapone or RU-486, a glucocorticoid receptor antagonist, and in patients with Addison’s disease. PMID 10516483</w:t>
      </w:r>
    </w:p>
    <w:p>
      <w:pPr>
        <w:numPr>
          <w:ilvl w:val="0"/>
          <w:numId w:val="1401"/>
        </w:numPr>
        <w:pStyle w:val="Compact"/>
      </w:pPr>
      <w:r>
        <w:t xml:space="preserve">1999 · Korbonits M ·</w:t>
      </w:r>
      <w:r>
        <w:t xml:space="preserve"> </w:t>
      </w:r>
      <w:r>
        <w:rPr>
          <w:iCs/>
          <w:i/>
        </w:rPr>
        <w:t xml:space="preserve">J Clin Endocrinol Metab</w:t>
      </w:r>
      <w:r>
        <w:t xml:space="preserve"> </w:t>
      </w:r>
      <w:r>
        <w:t xml:space="preserve">· The growth hormone secretagogue hexarelin stimulates the hypothalamo-pituitary-adrenal axis via arginine vasopressin. PMID 10404825</w:t>
      </w:r>
    </w:p>
    <w:p>
      <w:pPr>
        <w:numPr>
          <w:ilvl w:val="0"/>
          <w:numId w:val="1401"/>
        </w:numPr>
        <w:pStyle w:val="Compact"/>
      </w:pPr>
      <w:r>
        <w:t xml:space="preserve">1999 · Bisi G ·</w:t>
      </w:r>
      <w:r>
        <w:t xml:space="preserve"> </w:t>
      </w:r>
      <w:r>
        <w:rPr>
          <w:iCs/>
          <w:i/>
        </w:rPr>
        <w:t xml:space="preserve">J Endocrinol Invest</w:t>
      </w:r>
      <w:r>
        <w:t xml:space="preserve"> </w:t>
      </w:r>
      <w:r>
        <w:t xml:space="preserve">· Acute cardiovascular and hormonal effects of GH and hexarelin, a synthetic GH-releasing peptide, in humans. PMID 10342360</w:t>
      </w:r>
    </w:p>
    <w:p>
      <w:pPr>
        <w:numPr>
          <w:ilvl w:val="0"/>
          <w:numId w:val="1401"/>
        </w:numPr>
        <w:pStyle w:val="Compact"/>
      </w:pPr>
      <w:r>
        <w:t xml:space="preserve">1999 · Rahim A ·</w:t>
      </w:r>
      <w:r>
        <w:t xml:space="preserve"> </w:t>
      </w:r>
      <w:r>
        <w:rPr>
          <w:iCs/>
          <w:i/>
        </w:rPr>
        <w:t xml:space="preserve">Clin Endocrinol (Oxf)</w:t>
      </w:r>
      <w:r>
        <w:t xml:space="preserve"> </w:t>
      </w:r>
      <w:r>
        <w:t xml:space="preserve">· The effect of chronic hexarelin administration on the pituitary-adrenal axis and prolactin. PMID 10341859</w:t>
      </w:r>
    </w:p>
    <w:p>
      <w:pPr>
        <w:numPr>
          <w:ilvl w:val="0"/>
          <w:numId w:val="1401"/>
        </w:numPr>
        <w:pStyle w:val="Compact"/>
      </w:pPr>
      <w:r>
        <w:t xml:space="preserve">1999 · Jenkins RC ·</w:t>
      </w:r>
      <w:r>
        <w:t xml:space="preserve"> </w:t>
      </w:r>
      <w:r>
        <w:rPr>
          <w:iCs/>
          <w:i/>
        </w:rPr>
        <w:t xml:space="preserve">J Clin Endocrinol Metab</w:t>
      </w:r>
      <w:r>
        <w:t xml:space="preserve"> </w:t>
      </w:r>
      <w:r>
        <w:t xml:space="preserve">· The effects of dose, nutrition, and age on hexarelin-induced anterior pituitary hormone secretion in adult patients on maintenance hemodialysis. PMID 10199757</w:t>
      </w:r>
    </w:p>
    <w:p>
      <w:pPr>
        <w:numPr>
          <w:ilvl w:val="0"/>
          <w:numId w:val="1401"/>
        </w:numPr>
        <w:pStyle w:val="Compact"/>
      </w:pPr>
      <w:r>
        <w:t xml:space="preserve">1999 · Arvat E ·</w:t>
      </w:r>
      <w:r>
        <w:t xml:space="preserve"> </w:t>
      </w:r>
      <w:r>
        <w:rPr>
          <w:iCs/>
          <w:i/>
        </w:rPr>
        <w:t xml:space="preserve">J Endocrinol Invest</w:t>
      </w:r>
      <w:r>
        <w:t xml:space="preserve"> </w:t>
      </w:r>
      <w:r>
        <w:t xml:space="preserve">· Tyr-Ala-Hexarelin, a synthetic octapeptide, possesses the same endocrine activities of Hexarelin and GHRP-2 in humans. PMID 10195374</w:t>
      </w:r>
    </w:p>
    <w:p>
      <w:pPr>
        <w:numPr>
          <w:ilvl w:val="0"/>
          <w:numId w:val="1401"/>
        </w:numPr>
        <w:pStyle w:val="Compact"/>
      </w:pPr>
      <w:r>
        <w:t xml:space="preserve">1998 · Arvat E ·</w:t>
      </w:r>
      <w:r>
        <w:t xml:space="preserve"> </w:t>
      </w:r>
      <w:r>
        <w:rPr>
          <w:iCs/>
          <w:i/>
        </w:rPr>
        <w:t xml:space="preserve">J Clin Endocrinol Metab</w:t>
      </w:r>
      <w:r>
        <w:t xml:space="preserve"> </w:t>
      </w:r>
      <w:r>
        <w:t xml:space="preserve">· Adrenocorticotropin and cortisol hyperresponsiveness to hexarelin in patients with Cushing’s disease bearing a pituitary microadenoma, but not in those with macroadenoma. PMID 9851753</w:t>
      </w:r>
    </w:p>
    <w:p>
      <w:pPr>
        <w:numPr>
          <w:ilvl w:val="0"/>
          <w:numId w:val="1401"/>
        </w:numPr>
        <w:pStyle w:val="Compact"/>
      </w:pPr>
      <w:r>
        <w:t xml:space="preserve">1998 · Maghnie M ·</w:t>
      </w:r>
      <w:r>
        <w:t xml:space="preserve"> </w:t>
      </w:r>
      <w:r>
        <w:rPr>
          <w:iCs/>
          <w:i/>
        </w:rPr>
        <w:t xml:space="preserve">J Clin Endocrinol Metab</w:t>
      </w:r>
      <w:r>
        <w:t xml:space="preserve"> </w:t>
      </w:r>
      <w:r>
        <w:t xml:space="preserve">· The growth hormone response to hexarelin in patients with different hypothalamic-pituitary abnormalities. PMID 9814463</w:t>
      </w:r>
    </w:p>
    <w:p>
      <w:pPr>
        <w:numPr>
          <w:ilvl w:val="0"/>
          <w:numId w:val="1401"/>
        </w:numPr>
        <w:pStyle w:val="Compact"/>
      </w:pPr>
      <w:r>
        <w:t xml:space="preserve">1998 · Arvat E ·</w:t>
      </w:r>
      <w:r>
        <w:t xml:space="preserve"> </w:t>
      </w:r>
      <w:r>
        <w:rPr>
          <w:iCs/>
          <w:i/>
        </w:rPr>
        <w:t xml:space="preserve">Neuroendocrinology</w:t>
      </w:r>
      <w:r>
        <w:t xml:space="preserve"> </w:t>
      </w:r>
      <w:r>
        <w:t xml:space="preserve">· Effects of dexamethasone and alprazolam, a benzodiazepine, on the stimulatory effect of hexarelin, a synthetic GHRP, on ACTH, cortisol and GH secretion in humans. PMID 9641612</w:t>
      </w:r>
    </w:p>
    <w:p>
      <w:pPr>
        <w:numPr>
          <w:ilvl w:val="0"/>
          <w:numId w:val="1401"/>
        </w:numPr>
        <w:pStyle w:val="Compact"/>
      </w:pPr>
      <w:r>
        <w:t xml:space="preserve">1998 · Arosio M ·</w:t>
      </w:r>
      <w:r>
        <w:t xml:space="preserve"> </w:t>
      </w:r>
      <w:r>
        <w:rPr>
          <w:iCs/>
          <w:i/>
        </w:rPr>
        <w:t xml:space="preserve">J Endocrinol Invest</w:t>
      </w:r>
      <w:r>
        <w:t xml:space="preserve"> </w:t>
      </w:r>
      <w:r>
        <w:t xml:space="preserve">· Lack of effect of hexarelin on TRH-induced TSH response in normal adult man. PMID 9624598</w:t>
      </w:r>
    </w:p>
    <w:p>
      <w:pPr>
        <w:numPr>
          <w:ilvl w:val="0"/>
          <w:numId w:val="1401"/>
        </w:numPr>
        <w:pStyle w:val="Compact"/>
      </w:pPr>
      <w:r>
        <w:t xml:space="preserve">1998 · Rahim A ·</w:t>
      </w:r>
      <w:r>
        <w:t xml:space="preserve"> </w:t>
      </w:r>
      <w:r>
        <w:rPr>
          <w:iCs/>
          <w:i/>
        </w:rPr>
        <w:t xml:space="preserve">J Clin Endocrinol Metab</w:t>
      </w:r>
      <w:r>
        <w:t xml:space="preserve"> </w:t>
      </w:r>
      <w:r>
        <w:t xml:space="preserve">· Growth hormone status during long-term hexarelin therapy. PMID 9589671</w:t>
      </w:r>
    </w:p>
    <w:p>
      <w:pPr>
        <w:numPr>
          <w:ilvl w:val="0"/>
          <w:numId w:val="1401"/>
        </w:numPr>
        <w:pStyle w:val="Compact"/>
      </w:pPr>
      <w:r>
        <w:t xml:space="preserve">1998 · Rahim A ·</w:t>
      </w:r>
      <w:r>
        <w:t xml:space="preserve"> </w:t>
      </w:r>
      <w:r>
        <w:rPr>
          <w:iCs/>
          <w:i/>
        </w:rPr>
        <w:t xml:space="preserve">Growth Horm IGF Res</w:t>
      </w:r>
      <w:r>
        <w:t xml:space="preserve"> </w:t>
      </w:r>
      <w:r>
        <w:t xml:space="preserve">· Does desensitization to hexarelin occur?. PMID 10990150</w:t>
      </w:r>
    </w:p>
    <w:p>
      <w:pPr>
        <w:numPr>
          <w:ilvl w:val="0"/>
          <w:numId w:val="1401"/>
        </w:numPr>
        <w:pStyle w:val="Compact"/>
      </w:pPr>
      <w:r>
        <w:t xml:space="preserve">1998 · Guzzaloni G ·</w:t>
      </w:r>
      <w:r>
        <w:t xml:space="preserve"> </w:t>
      </w:r>
      <w:r>
        <w:rPr>
          <w:iCs/>
          <w:i/>
        </w:rPr>
        <w:t xml:space="preserve">Minerva Endocrinol</w:t>
      </w:r>
      <w:r>
        <w:t xml:space="preserve"> </w:t>
      </w:r>
      <w:r>
        <w:t xml:space="preserve">· Growth hormone response to hexarelin, growth hormone-releasing hormone plus pyridostigmine and arginine plus estrogen in prepubertal and early pubertal short children. PMID 10361807</w:t>
      </w:r>
    </w:p>
    <w:p>
      <w:pPr>
        <w:numPr>
          <w:ilvl w:val="0"/>
          <w:numId w:val="1401"/>
        </w:numPr>
        <w:pStyle w:val="Compact"/>
      </w:pPr>
      <w:r>
        <w:t xml:space="preserve">1997 · Arvat E ·</w:t>
      </w:r>
      <w:r>
        <w:t xml:space="preserve"> </w:t>
      </w:r>
      <w:r>
        <w:rPr>
          <w:iCs/>
          <w:i/>
        </w:rPr>
        <w:t xml:space="preserve">Neuroendocrinology</w:t>
      </w:r>
      <w:r>
        <w:t xml:space="preserve"> </w:t>
      </w:r>
      <w:r>
        <w:t xml:space="preserve">· Hexarelin, a synthetic growth-hormone releasing peptide, shows no interaction with corticotropin-releasing hormone and vasopressin on adrenocorticotropin and cortisol secretion in humans. PMID 9430449</w:t>
      </w:r>
    </w:p>
    <w:p>
      <w:pPr>
        <w:numPr>
          <w:ilvl w:val="0"/>
          <w:numId w:val="1401"/>
        </w:numPr>
        <w:pStyle w:val="Compact"/>
      </w:pPr>
      <w:r>
        <w:t xml:space="preserve">1997 · Massoud AF ·</w:t>
      </w:r>
      <w:r>
        <w:t xml:space="preserve"> </w:t>
      </w:r>
      <w:r>
        <w:rPr>
          <w:iCs/>
          <w:i/>
        </w:rPr>
        <w:t xml:space="preserve">Clin Endocrinol (Oxf)</w:t>
      </w:r>
      <w:r>
        <w:t xml:space="preserve"> </w:t>
      </w:r>
      <w:r>
        <w:t xml:space="preserve">· Interaction of the growth hormone releasing peptide hexarelin with somatostatin. PMID 9425393</w:t>
      </w:r>
    </w:p>
    <w:p>
      <w:pPr>
        <w:numPr>
          <w:ilvl w:val="0"/>
          <w:numId w:val="1401"/>
        </w:numPr>
        <w:pStyle w:val="Compact"/>
      </w:pPr>
      <w:r>
        <w:t xml:space="preserve">1997 · Arvat E ·</w:t>
      </w:r>
      <w:r>
        <w:t xml:space="preserve"> </w:t>
      </w:r>
      <w:r>
        <w:rPr>
          <w:iCs/>
          <w:i/>
        </w:rPr>
        <w:t xml:space="preserve">Clin Endocrinol (Oxf)</w:t>
      </w:r>
      <w:r>
        <w:t xml:space="preserve"> </w:t>
      </w:r>
      <w:r>
        <w:t xml:space="preserve">· Low hexarelin dose and pyridostigmine have additive effect and potentiate to the same extent the GHRH-induced GH response in man. PMID 9404449</w:t>
      </w:r>
    </w:p>
    <w:p>
      <w:pPr>
        <w:numPr>
          <w:ilvl w:val="0"/>
          <w:numId w:val="1401"/>
        </w:numPr>
        <w:pStyle w:val="Compact"/>
      </w:pPr>
      <w:r>
        <w:t xml:space="preserve">1997 · Tolis G ·</w:t>
      </w:r>
      <w:r>
        <w:t xml:space="preserve"> </w:t>
      </w:r>
      <w:r>
        <w:rPr>
          <w:iCs/>
          <w:i/>
        </w:rPr>
        <w:t xml:space="preserve">J Pediatr Endocrinol Metab</w:t>
      </w:r>
      <w:r>
        <w:t xml:space="preserve"> </w:t>
      </w:r>
      <w:r>
        <w:t xml:space="preserve">· Growth hormone release by the novel GH releasing peptide hexarelin in patients with homozygous beta-thalassemia. PMID 9364340</w:t>
      </w:r>
    </w:p>
    <w:p>
      <w:pPr>
        <w:numPr>
          <w:ilvl w:val="0"/>
          <w:numId w:val="1401"/>
        </w:numPr>
        <w:pStyle w:val="Compact"/>
      </w:pPr>
      <w:r>
        <w:t xml:space="preserve">1997 · Giusti M ·</w:t>
      </w:r>
      <w:r>
        <w:t xml:space="preserve"> </w:t>
      </w:r>
      <w:r>
        <w:rPr>
          <w:iCs/>
          <w:i/>
        </w:rPr>
        <w:t xml:space="preserve">J Endocrinol Invest</w:t>
      </w:r>
      <w:r>
        <w:t xml:space="preserve"> </w:t>
      </w:r>
      <w:r>
        <w:t xml:space="preserve">· Hexarelin is a stronger GH-releasing peptide than GHRH in normal cycling women but not in anorexia nervosa. PMID 9258804</w:t>
      </w:r>
    </w:p>
    <w:p>
      <w:pPr>
        <w:numPr>
          <w:ilvl w:val="0"/>
          <w:numId w:val="1401"/>
        </w:numPr>
        <w:pStyle w:val="Compact"/>
      </w:pPr>
      <w:r>
        <w:t xml:space="preserve">1997 · Sartorio A ·</w:t>
      </w:r>
      <w:r>
        <w:t xml:space="preserve"> </w:t>
      </w:r>
      <w:r>
        <w:rPr>
          <w:iCs/>
          <w:i/>
        </w:rPr>
        <w:t xml:space="preserve">Clin Endocrinol (Oxf)</w:t>
      </w:r>
      <w:r>
        <w:t xml:space="preserve"> </w:t>
      </w:r>
      <w:r>
        <w:t xml:space="preserve">· Non-parametric deconvolution provides an objective assessment of GH responsiveness to GH-releasing stimuli in normal subjects. PMID 9196598</w:t>
      </w:r>
    </w:p>
    <w:p>
      <w:pPr>
        <w:numPr>
          <w:ilvl w:val="0"/>
          <w:numId w:val="1401"/>
        </w:numPr>
        <w:pStyle w:val="Compact"/>
      </w:pPr>
      <w:r>
        <w:t xml:space="preserve">1997 · Arvat E ·</w:t>
      </w:r>
      <w:r>
        <w:t xml:space="preserve"> </w:t>
      </w:r>
      <w:r>
        <w:rPr>
          <w:iCs/>
          <w:i/>
        </w:rPr>
        <w:t xml:space="preserve">Eur J Endocrinol</w:t>
      </w:r>
      <w:r>
        <w:t xml:space="preserve"> </w:t>
      </w:r>
      <w:r>
        <w:t xml:space="preserve">· Oestrogen replacement does not restore the reduced GH-releasing activity of Hexarelin, a synthetic hexapeptide, in post-menopausal women. PMID 9186268</w:t>
      </w:r>
    </w:p>
    <w:p>
      <w:pPr>
        <w:numPr>
          <w:ilvl w:val="0"/>
          <w:numId w:val="1401"/>
        </w:numPr>
        <w:pStyle w:val="Compact"/>
      </w:pPr>
      <w:r>
        <w:t xml:space="preserve">1997 · Loche S ·</w:t>
      </w:r>
      <w:r>
        <w:t xml:space="preserve"> </w:t>
      </w:r>
      <w:r>
        <w:rPr>
          <w:iCs/>
          <w:i/>
        </w:rPr>
        <w:t xml:space="preserve">Clin Endocrinol (Oxf)</w:t>
      </w:r>
      <w:r>
        <w:t xml:space="preserve"> </w:t>
      </w:r>
      <w:r>
        <w:t xml:space="preserve">· Acute administration of hexarelin stimulates GH secretion during day and night in normal men. PMID 9156035</w:t>
      </w:r>
    </w:p>
    <w:p>
      <w:pPr>
        <w:numPr>
          <w:ilvl w:val="0"/>
          <w:numId w:val="1401"/>
        </w:numPr>
        <w:pStyle w:val="Compact"/>
      </w:pPr>
      <w:r>
        <w:t xml:space="preserve">1997 · Arvat E ·</w:t>
      </w:r>
      <w:r>
        <w:t xml:space="preserve"> </w:t>
      </w:r>
      <w:r>
        <w:rPr>
          <w:iCs/>
          <w:i/>
        </w:rPr>
        <w:t xml:space="preserve">Metabolism</w:t>
      </w:r>
      <w:r>
        <w:t xml:space="preserve"> </w:t>
      </w:r>
      <w:r>
        <w:t xml:space="preserve">· Mechanisms underlying the negative growth hormone (GH) autofeedback on the GH-releasing effect of hexarelin in man. PMID 9005975</w:t>
      </w:r>
    </w:p>
    <w:p>
      <w:pPr>
        <w:numPr>
          <w:ilvl w:val="0"/>
          <w:numId w:val="1401"/>
        </w:numPr>
        <w:pStyle w:val="Compact"/>
      </w:pPr>
      <w:r>
        <w:t xml:space="preserve">1996 · Micic D ·</w:t>
      </w:r>
      <w:r>
        <w:t xml:space="preserve"> </w:t>
      </w:r>
      <w:r>
        <w:rPr>
          <w:iCs/>
          <w:i/>
        </w:rPr>
        <w:t xml:space="preserve">Clin Endocrinol (Oxf)</w:t>
      </w:r>
      <w:r>
        <w:t xml:space="preserve"> </w:t>
      </w:r>
      <w:r>
        <w:t xml:space="preserve">· The sequential administration of growth hormone-releasing hormone followed 120 minutes later by hexarelin, as an effective test to assess the pituitary GH reserve in man. PMID 8977750</w:t>
      </w:r>
    </w:p>
    <w:p>
      <w:pPr>
        <w:numPr>
          <w:ilvl w:val="0"/>
          <w:numId w:val="1401"/>
        </w:numPr>
        <w:pStyle w:val="Compact"/>
      </w:pPr>
      <w:r>
        <w:t xml:space="preserve">1996 · Massoud AF ·</w:t>
      </w:r>
      <w:r>
        <w:t xml:space="preserve"> </w:t>
      </w:r>
      <w:r>
        <w:rPr>
          <w:iCs/>
          <w:i/>
        </w:rPr>
        <w:t xml:space="preserve">J Clin Endocrinol Metab</w:t>
      </w:r>
      <w:r>
        <w:t xml:space="preserve"> </w:t>
      </w:r>
      <w:r>
        <w:t xml:space="preserve">· Hexarelin-induced growth hormone, cortisol, and prolactin release: a dose-response study. PMID 8954038</w:t>
      </w:r>
    </w:p>
    <w:p>
      <w:pPr>
        <w:numPr>
          <w:ilvl w:val="0"/>
          <w:numId w:val="1401"/>
        </w:numPr>
        <w:pStyle w:val="Compact"/>
      </w:pPr>
      <w:r>
        <w:t xml:space="preserve">1996 · Ghigo E ·</w:t>
      </w:r>
      <w:r>
        <w:t xml:space="preserve"> </w:t>
      </w:r>
      <w:r>
        <w:rPr>
          <w:iCs/>
          <w:i/>
        </w:rPr>
        <w:t xml:space="preserve">Eur J Endocrinol</w:t>
      </w:r>
      <w:r>
        <w:t xml:space="preserve"> </w:t>
      </w:r>
      <w:r>
        <w:t xml:space="preserve">· Short-term administration of intranasal or oral Hexarelin, a synthetic hexapeptide, does not desensitize the growth hormone responsiveness in human aging. PMID 8921821</w:t>
      </w:r>
    </w:p>
    <w:p>
      <w:pPr>
        <w:numPr>
          <w:ilvl w:val="0"/>
          <w:numId w:val="1401"/>
        </w:numPr>
        <w:pStyle w:val="Compact"/>
      </w:pPr>
      <w:r>
        <w:t xml:space="preserve">1996 · Arvat E ·</w:t>
      </w:r>
      <w:r>
        <w:t xml:space="preserve"> </w:t>
      </w:r>
      <w:r>
        <w:rPr>
          <w:iCs/>
          <w:i/>
        </w:rPr>
        <w:t xml:space="preserve">J Endocrinol Invest</w:t>
      </w:r>
      <w:r>
        <w:t xml:space="preserve"> </w:t>
      </w:r>
      <w:r>
        <w:t xml:space="preserve">· Influence of beta-adrenergic agonists and antagonists on the GH-releasing effect of Hexarelin in man. PMID 8851688</w:t>
      </w:r>
    </w:p>
    <w:p>
      <w:pPr>
        <w:numPr>
          <w:ilvl w:val="0"/>
          <w:numId w:val="1401"/>
        </w:numPr>
        <w:pStyle w:val="Compact"/>
      </w:pPr>
      <w:r>
        <w:t xml:space="preserve">1996 · Klinger B ·</w:t>
      </w:r>
      <w:r>
        <w:t xml:space="preserve"> </w:t>
      </w:r>
      <w:r>
        <w:rPr>
          <w:iCs/>
          <w:i/>
        </w:rPr>
        <w:t xml:space="preserve">Eur J Endocrinol</w:t>
      </w:r>
      <w:r>
        <w:t xml:space="preserve"> </w:t>
      </w:r>
      <w:r>
        <w:t xml:space="preserve">· Desensitization from long-term intranasal treatment with hexarelin does not interfere with the biological effects of this growth hormone-releasing peptide in short children. PMID 8766941</w:t>
      </w:r>
    </w:p>
    <w:p>
      <w:pPr>
        <w:numPr>
          <w:ilvl w:val="0"/>
          <w:numId w:val="1401"/>
        </w:numPr>
        <w:pStyle w:val="Compact"/>
      </w:pPr>
      <w:r>
        <w:t xml:space="preserve">1996 · Massoud AF ·</w:t>
      </w:r>
      <w:r>
        <w:t xml:space="preserve"> </w:t>
      </w:r>
      <w:r>
        <w:rPr>
          <w:iCs/>
          <w:i/>
        </w:rPr>
        <w:t xml:space="preserve">Clin Endocrinol (Oxf)</w:t>
      </w:r>
      <w:r>
        <w:t xml:space="preserve"> </w:t>
      </w:r>
      <w:r>
        <w:t xml:space="preserve">· The effect of repeated administration of hexarelin, a growth hormone releasing peptide, and growth hormone releasing hormone on growth hormone responsivity. PMID 8762732</w:t>
      </w:r>
    </w:p>
    <w:p>
      <w:pPr>
        <w:numPr>
          <w:ilvl w:val="0"/>
          <w:numId w:val="1401"/>
        </w:numPr>
        <w:pStyle w:val="Compact"/>
      </w:pPr>
      <w:r>
        <w:t xml:space="preserve">1996 · Ciccarelli E ·</w:t>
      </w:r>
      <w:r>
        <w:t xml:space="preserve"> </w:t>
      </w:r>
      <w:r>
        <w:rPr>
          <w:iCs/>
          <w:i/>
        </w:rPr>
        <w:t xml:space="preserve">Clin Endocrinol (Oxf)</w:t>
      </w:r>
      <w:r>
        <w:t xml:space="preserve"> </w:t>
      </w:r>
      <w:r>
        <w:t xml:space="preserve">· Hexarelin, a synthetic growth hormone releasing peptide, stimulates prolactin secretion in acromegalic but not in hyperprolactinaemic patients. PMID 8706295</w:t>
      </w:r>
    </w:p>
    <w:p>
      <w:pPr>
        <w:numPr>
          <w:ilvl w:val="0"/>
          <w:numId w:val="1401"/>
        </w:numPr>
        <w:pStyle w:val="Compact"/>
      </w:pPr>
      <w:r>
        <w:t xml:space="preserve">1995 · Sartorio A ·</w:t>
      </w:r>
      <w:r>
        <w:t xml:space="preserve"> </w:t>
      </w:r>
      <w:r>
        <w:rPr>
          <w:iCs/>
          <w:i/>
        </w:rPr>
        <w:t xml:space="preserve">J Endocrinol Invest</w:t>
      </w:r>
      <w:r>
        <w:t xml:space="preserve"> </w:t>
      </w:r>
      <w:r>
        <w:t xml:space="preserve">· GH responsiveness to repeated GHRH or hexarelin administration in normal adults. PMID 8719303</w:t>
      </w:r>
    </w:p>
    <w:p>
      <w:pPr>
        <w:numPr>
          <w:ilvl w:val="0"/>
          <w:numId w:val="1401"/>
        </w:numPr>
        <w:pStyle w:val="Compact"/>
      </w:pPr>
      <w:r>
        <w:t xml:space="preserve">1995 · Laron Z ·</w:t>
      </w:r>
      <w:r>
        <w:t xml:space="preserve"> </w:t>
      </w:r>
      <w:r>
        <w:rPr>
          <w:iCs/>
          <w:i/>
        </w:rPr>
        <w:t xml:space="preserve">Clin Endocrinol (Oxf)</w:t>
      </w:r>
      <w:r>
        <w:t xml:space="preserve"> </w:t>
      </w:r>
      <w:r>
        <w:t xml:space="preserve">· Intranasal administration of the GHRP hexarelin accelerates growth in short children. PMID 8548949</w:t>
      </w:r>
    </w:p>
    <w:p>
      <w:pPr>
        <w:numPr>
          <w:ilvl w:val="0"/>
          <w:numId w:val="1401"/>
        </w:numPr>
        <w:pStyle w:val="Compact"/>
      </w:pPr>
      <w:r>
        <w:t xml:space="preserve">1995 · Massoud AF ·</w:t>
      </w:r>
      <w:r>
        <w:t xml:space="preserve"> </w:t>
      </w:r>
      <w:r>
        <w:rPr>
          <w:iCs/>
          <w:i/>
        </w:rPr>
        <w:t xml:space="preserve">Clin Endocrinol (Oxf)</w:t>
      </w:r>
      <w:r>
        <w:t xml:space="preserve"> </w:t>
      </w:r>
      <w:r>
        <w:t xml:space="preserve">· Hexarelin induced growth hormone release is influenced by exogenous growth hormone. PMID 8548947</w:t>
      </w:r>
    </w:p>
    <w:p>
      <w:pPr>
        <w:numPr>
          <w:ilvl w:val="0"/>
          <w:numId w:val="1401"/>
        </w:numPr>
        <w:pStyle w:val="Compact"/>
      </w:pPr>
      <w:r>
        <w:t xml:space="preserve">1995 · Loche S ·</w:t>
      </w:r>
      <w:r>
        <w:t xml:space="preserve"> </w:t>
      </w:r>
      <w:r>
        <w:rPr>
          <w:iCs/>
          <w:i/>
        </w:rPr>
        <w:t xml:space="preserve">J Clin Endocrinol Metab</w:t>
      </w:r>
      <w:r>
        <w:t xml:space="preserve"> </w:t>
      </w:r>
      <w:r>
        <w:t xml:space="preserve">· The effect of hexarelin on growth hormone (GH) secretion in patients with GH deficiency. PMID 7673411</w:t>
      </w:r>
    </w:p>
    <w:p>
      <w:pPr>
        <w:numPr>
          <w:ilvl w:val="0"/>
          <w:numId w:val="1401"/>
        </w:numPr>
        <w:pStyle w:val="Compact"/>
      </w:pPr>
      <w:r>
        <w:t xml:space="preserve">1995 · Korbonits M ·</w:t>
      </w:r>
      <w:r>
        <w:t xml:space="preserve"> </w:t>
      </w:r>
      <w:r>
        <w:rPr>
          <w:iCs/>
          <w:i/>
        </w:rPr>
        <w:t xml:space="preserve">Clin Endocrinol (Oxf)</w:t>
      </w:r>
      <w:r>
        <w:t xml:space="preserve"> </w:t>
      </w:r>
      <w:r>
        <w:t xml:space="preserve">· The effect of an opiate antagonist on the hormonal changes induced by hexarelin. PMID 7586608</w:t>
      </w:r>
    </w:p>
    <w:p>
      <w:pPr>
        <w:numPr>
          <w:ilvl w:val="0"/>
          <w:numId w:val="1401"/>
        </w:numPr>
        <w:pStyle w:val="Compact"/>
      </w:pPr>
      <w:r>
        <w:t xml:space="preserve">1995 · Frenkel J ·</w:t>
      </w:r>
      <w:r>
        <w:t xml:space="preserve"> </w:t>
      </w:r>
      <w:r>
        <w:rPr>
          <w:iCs/>
          <w:i/>
        </w:rPr>
        <w:t xml:space="preserve">J Pediatr Endocrinol Metab</w:t>
      </w:r>
      <w:r>
        <w:t xml:space="preserve"> </w:t>
      </w:r>
      <w:r>
        <w:t xml:space="preserve">· Short term effect of intranasal administration of hexarelin–a synthetic growth hormone-releasing peptide. Preliminary communication. PMID 7584696</w:t>
      </w:r>
    </w:p>
    <w:p>
      <w:pPr>
        <w:numPr>
          <w:ilvl w:val="0"/>
          <w:numId w:val="1401"/>
        </w:numPr>
        <w:pStyle w:val="Compact"/>
      </w:pPr>
      <w:r>
        <w:t xml:space="preserve">1995 · Giustina A ·</w:t>
      </w:r>
      <w:r>
        <w:t xml:space="preserve"> </w:t>
      </w:r>
      <w:r>
        <w:rPr>
          <w:iCs/>
          <w:i/>
        </w:rPr>
        <w:t xml:space="preserve">J Endocrinol</w:t>
      </w:r>
      <w:r>
        <w:t xml:space="preserve"> </w:t>
      </w:r>
      <w:r>
        <w:t xml:space="preserve">· Comparison of the effects of growth hormone-releasing hormone and hexarelin, a novel growth hormone-releasing peptide-6 analog, on growth hormone secretion in humans with or without glucocorticoid excess. PMID 7561633</w:t>
      </w:r>
    </w:p>
    <w:p>
      <w:pPr>
        <w:numPr>
          <w:ilvl w:val="0"/>
          <w:numId w:val="1401"/>
        </w:numPr>
        <w:pStyle w:val="Compact"/>
      </w:pPr>
      <w:r>
        <w:t xml:space="preserve">1994 · Arvat E ·</w:t>
      </w:r>
      <w:r>
        <w:t xml:space="preserve"> </w:t>
      </w:r>
      <w:r>
        <w:rPr>
          <w:iCs/>
          <w:i/>
        </w:rPr>
        <w:t xml:space="preserve">J Clin Endocrinol Metab</w:t>
      </w:r>
      <w:r>
        <w:t xml:space="preserve"> </w:t>
      </w:r>
      <w:r>
        <w:t xml:space="preserve">· Arginine and growth hormone-releasing hormone restore the blunted growth hormone-releasing activity of hexarelin in elderly subjects. PMID 7962341</w:t>
      </w:r>
    </w:p>
    <w:p>
      <w:pPr>
        <w:numPr>
          <w:ilvl w:val="0"/>
          <w:numId w:val="1401"/>
        </w:numPr>
        <w:pStyle w:val="Compact"/>
      </w:pPr>
      <w:r>
        <w:t xml:space="preserve">1994 · Imbimbo BP ·</w:t>
      </w:r>
      <w:r>
        <w:t xml:space="preserve"> </w:t>
      </w:r>
      <w:r>
        <w:rPr>
          <w:iCs/>
          <w:i/>
        </w:rPr>
        <w:t xml:space="preserve">Eur J Clin Pharmacol</w:t>
      </w:r>
      <w:r>
        <w:t xml:space="preserve"> </w:t>
      </w:r>
      <w:r>
        <w:t xml:space="preserve">· Growth hormone-releasing activity of hexarelin in humans. A dose-response study. PMID 7957536</w:t>
      </w:r>
    </w:p>
    <w:bookmarkEnd w:id="3042"/>
    <w:bookmarkStart w:id="3043" w:name="macimoréline-4"/>
    <w:p>
      <w:pPr>
        <w:pStyle w:val="Heading2"/>
      </w:pPr>
      <w:r>
        <w:t xml:space="preserve">Macimoréline (4)</w:t>
      </w:r>
    </w:p>
    <w:p>
      <w:pPr>
        <w:numPr>
          <w:ilvl w:val="0"/>
          <w:numId w:val="1402"/>
        </w:numPr>
        <w:pStyle w:val="Compact"/>
      </w:pPr>
      <w:r>
        <w:t xml:space="preserve">2023 · Herodes M ·</w:t>
      </w:r>
      <w:r>
        <w:t xml:space="preserve"> </w:t>
      </w:r>
      <w:r>
        <w:rPr>
          <w:iCs/>
          <w:i/>
        </w:rPr>
        <w:t xml:space="preserve">J Cachexia Sarcopenia Muscle</w:t>
      </w:r>
      <w:r>
        <w:t xml:space="preserve"> </w:t>
      </w:r>
      <w:r>
        <w:t xml:space="preserve">· Pilot clinical trial of macimorelin to assess safety and efficacy in patients with cancer cachexia. PMID 36860137</w:t>
      </w:r>
    </w:p>
    <w:p>
      <w:pPr>
        <w:numPr>
          <w:ilvl w:val="0"/>
          <w:numId w:val="1402"/>
        </w:numPr>
        <w:pStyle w:val="Compact"/>
      </w:pPr>
      <w:r>
        <w:t xml:space="preserve">2021 · Lissy M ·</w:t>
      </w:r>
      <w:r>
        <w:t xml:space="preserve"> </w:t>
      </w:r>
      <w:r>
        <w:rPr>
          <w:iCs/>
          <w:i/>
        </w:rPr>
        <w:t xml:space="preserve">Clin Pharmacol Drug Dev</w:t>
      </w:r>
      <w:r>
        <w:t xml:space="preserve"> </w:t>
      </w:r>
      <w:r>
        <w:t xml:space="preserve">· Thorough QT/QTc Study Evaluating the Effect of Macimorelin on Cardiac Safety Parameters in Healthy Participants. PMID 32961034</w:t>
      </w:r>
    </w:p>
    <w:p>
      <w:pPr>
        <w:numPr>
          <w:ilvl w:val="0"/>
          <w:numId w:val="1402"/>
        </w:numPr>
        <w:pStyle w:val="Compact"/>
      </w:pPr>
      <w:r>
        <w:t xml:space="preserve">2020 · Klaus B ·</w:t>
      </w:r>
      <w:r>
        <w:t xml:space="preserve"> </w:t>
      </w:r>
      <w:r>
        <w:rPr>
          <w:iCs/>
          <w:i/>
        </w:rPr>
        <w:t xml:space="preserve">Growth Horm IGF Res</w:t>
      </w:r>
      <w:r>
        <w:t xml:space="preserve"> </w:t>
      </w:r>
      <w:r>
        <w:t xml:space="preserve">· Safety, tolerability, pharmacokinetics, and pharmacodynamics of macimorelin in healthy adults: Results of a single-dose, randomized controlled study. PMID 32325373</w:t>
      </w:r>
    </w:p>
    <w:p>
      <w:pPr>
        <w:numPr>
          <w:ilvl w:val="0"/>
          <w:numId w:val="1402"/>
        </w:numPr>
        <w:pStyle w:val="Compact"/>
      </w:pPr>
      <w:r>
        <w:t xml:space="preserve">2018 · Garcia JM ·</w:t>
      </w:r>
      <w:r>
        <w:t xml:space="preserve"> </w:t>
      </w:r>
      <w:r>
        <w:rPr>
          <w:iCs/>
          <w:i/>
        </w:rPr>
        <w:t xml:space="preserve">J Clin Endocrinol Metab</w:t>
      </w:r>
      <w:r>
        <w:t xml:space="preserve"> </w:t>
      </w:r>
      <w:r>
        <w:t xml:space="preserve">· Macimorelin as a Diagnostic Test for Adult GH Deficiency. PMID 29860473</w:t>
      </w:r>
    </w:p>
    <w:bookmarkEnd w:id="3043"/>
    <w:bookmarkStart w:id="3044" w:name="mécasermine-igf-1-21"/>
    <w:p>
      <w:pPr>
        <w:pStyle w:val="Heading2"/>
      </w:pPr>
      <w:r>
        <w:t xml:space="preserve">Mécasermine (IGF-1) (21)</w:t>
      </w:r>
    </w:p>
    <w:p>
      <w:pPr>
        <w:numPr>
          <w:ilvl w:val="0"/>
          <w:numId w:val="1403"/>
        </w:numPr>
        <w:pStyle w:val="Compact"/>
      </w:pPr>
      <w:r>
        <w:t xml:space="preserve">2021 · Haines MS ·</w:t>
      </w:r>
      <w:r>
        <w:t xml:space="preserve"> </w:t>
      </w:r>
      <w:r>
        <w:rPr>
          <w:iCs/>
          <w:i/>
        </w:rPr>
        <w:t xml:space="preserve">J Bone Miner Res</w:t>
      </w:r>
      <w:r>
        <w:t xml:space="preserve"> </w:t>
      </w:r>
      <w:r>
        <w:t xml:space="preserve">· Sequential Therapy With Recombinant Human IGF-1 Followed by Risedronate Increases Spine Bone Mineral Density in Women With Anorexia Nervosa: A Randomized, Placebo-Controlled Trial. PMID 34355814</w:t>
      </w:r>
    </w:p>
    <w:p>
      <w:pPr>
        <w:numPr>
          <w:ilvl w:val="0"/>
          <w:numId w:val="1403"/>
        </w:numPr>
        <w:pStyle w:val="Compact"/>
      </w:pPr>
      <w:r>
        <w:t xml:space="preserve">2021 · Singhal V ·</w:t>
      </w:r>
      <w:r>
        <w:t xml:space="preserve"> </w:t>
      </w:r>
      <w:r>
        <w:rPr>
          <w:iCs/>
          <w:i/>
        </w:rPr>
        <w:t xml:space="preserve">J Clin Endocrinol Metab</w:t>
      </w:r>
      <w:r>
        <w:t xml:space="preserve"> </w:t>
      </w:r>
      <w:r>
        <w:t xml:space="preserve">· Effect of Transdermal Estradiol and Insulin-like Growth Factor-1 on Bone Endpoints of Young Women With Anorexia Nervosa. PMID 33693703</w:t>
      </w:r>
    </w:p>
    <w:p>
      <w:pPr>
        <w:numPr>
          <w:ilvl w:val="0"/>
          <w:numId w:val="1403"/>
        </w:numPr>
        <w:pStyle w:val="Compact"/>
      </w:pPr>
      <w:r>
        <w:t xml:space="preserve">2021 · Guha N ·</w:t>
      </w:r>
      <w:r>
        <w:t xml:space="preserve"> </w:t>
      </w:r>
      <w:r>
        <w:rPr>
          <w:iCs/>
          <w:i/>
        </w:rPr>
        <w:t xml:space="preserve">Clin Endocrinol (Oxf)</w:t>
      </w:r>
      <w:r>
        <w:t xml:space="preserve"> </w:t>
      </w:r>
      <w:r>
        <w:t xml:space="preserve">· The effects of recombinant human insulin-like growth factor-1/insulin-like growth factor binding protein-3 administration on lipid and carbohydrate metabolism in recreational athletes. PMID 33249593</w:t>
      </w:r>
    </w:p>
    <w:p>
      <w:pPr>
        <w:numPr>
          <w:ilvl w:val="0"/>
          <w:numId w:val="1403"/>
        </w:numPr>
        <w:pStyle w:val="Compact"/>
      </w:pPr>
      <w:r>
        <w:t xml:space="preserve">2020 · Rutter MM ·</w:t>
      </w:r>
      <w:r>
        <w:t xml:space="preserve"> </w:t>
      </w:r>
      <w:r>
        <w:rPr>
          <w:iCs/>
          <w:i/>
        </w:rPr>
        <w:t xml:space="preserve">Muscle Nerve</w:t>
      </w:r>
      <w:r>
        <w:t xml:space="preserve"> </w:t>
      </w:r>
      <w:r>
        <w:t xml:space="preserve">· Recombinant human insulin-like growth factor-1 therapy for 6 months improves growth but not motor function in boys with Duchenne muscular dystrophy. PMID 32108355</w:t>
      </w:r>
    </w:p>
    <w:p>
      <w:pPr>
        <w:numPr>
          <w:ilvl w:val="0"/>
          <w:numId w:val="1403"/>
        </w:numPr>
        <w:pStyle w:val="Compact"/>
      </w:pPr>
      <w:r>
        <w:t xml:space="preserve">2019 · Ley D ·</w:t>
      </w:r>
      <w:r>
        <w:t xml:space="preserve"> </w:t>
      </w:r>
      <w:r>
        <w:rPr>
          <w:iCs/>
          <w:i/>
        </w:rPr>
        <w:t xml:space="preserve">J Pediatr</w:t>
      </w:r>
      <w:r>
        <w:t xml:space="preserve"> </w:t>
      </w:r>
      <w:r>
        <w:t xml:space="preserve">· rhIGF-1/rhIGFBP-3 in Preterm Infants: A Phase 2 Randomized Controlled Trial. PMID 30471715</w:t>
      </w:r>
    </w:p>
    <w:p>
      <w:pPr>
        <w:numPr>
          <w:ilvl w:val="0"/>
          <w:numId w:val="1403"/>
        </w:numPr>
        <w:pStyle w:val="Compact"/>
      </w:pPr>
      <w:r>
        <w:t xml:space="preserve">2017 · Cabrera-Salcedo C ·</w:t>
      </w:r>
      <w:r>
        <w:t xml:space="preserve"> </w:t>
      </w:r>
      <w:r>
        <w:rPr>
          <w:iCs/>
          <w:i/>
        </w:rPr>
        <w:t xml:space="preserve">J Clin Endocrinol Metab</w:t>
      </w:r>
      <w:r>
        <w:t xml:space="preserve"> </w:t>
      </w:r>
      <w:r>
        <w:t xml:space="preserve">· Pharmacokinetics of IGF-1 in PAPP-A2-Deficient Patients, Growth Response, and Effects on Glucose and Bone Density. PMID 29029190</w:t>
      </w:r>
    </w:p>
    <w:p>
      <w:pPr>
        <w:numPr>
          <w:ilvl w:val="0"/>
          <w:numId w:val="1403"/>
        </w:numPr>
        <w:pStyle w:val="Compact"/>
      </w:pPr>
      <w:r>
        <w:t xml:space="preserve">2017 · Hansen-Pupp I ·</w:t>
      </w:r>
      <w:r>
        <w:t xml:space="preserve"> </w:t>
      </w:r>
      <w:r>
        <w:rPr>
          <w:iCs/>
          <w:i/>
        </w:rPr>
        <w:t xml:space="preserve">Growth Horm IGF Res</w:t>
      </w:r>
      <w:r>
        <w:t xml:space="preserve"> </w:t>
      </w:r>
      <w:r>
        <w:t xml:space="preserve">· Continuous longitudinal infusion of rhIGF-1/rhIGFBP-3 in extremely preterm infants: Evaluation of feasibility in a phase II study. PMID 28934640</w:t>
      </w:r>
    </w:p>
    <w:p>
      <w:pPr>
        <w:numPr>
          <w:ilvl w:val="0"/>
          <w:numId w:val="1403"/>
        </w:numPr>
        <w:pStyle w:val="Compact"/>
      </w:pPr>
      <w:r>
        <w:t xml:space="preserve">2017 · Dy ME ·</w:t>
      </w:r>
      <w:r>
        <w:t xml:space="preserve"> </w:t>
      </w:r>
      <w:r>
        <w:rPr>
          <w:iCs/>
          <w:i/>
        </w:rPr>
        <w:t xml:space="preserve">Pediatr Neurol</w:t>
      </w:r>
      <w:r>
        <w:t xml:space="preserve"> </w:t>
      </w:r>
      <w:r>
        <w:t xml:space="preserve">· Defining Hand Stereotypies in Rett Syndrome: A Movement Disorders Perspective. PMID 28838622</w:t>
      </w:r>
    </w:p>
    <w:p>
      <w:pPr>
        <w:numPr>
          <w:ilvl w:val="0"/>
          <w:numId w:val="1403"/>
        </w:numPr>
        <w:pStyle w:val="Compact"/>
      </w:pPr>
      <w:r>
        <w:t xml:space="preserve">2017 · Chung JK ·</w:t>
      </w:r>
      <w:r>
        <w:t xml:space="preserve"> </w:t>
      </w:r>
      <w:r>
        <w:rPr>
          <w:iCs/>
          <w:i/>
        </w:rPr>
        <w:t xml:space="preserve">Pediatr Res</w:t>
      </w:r>
      <w:r>
        <w:t xml:space="preserve"> </w:t>
      </w:r>
      <w:r>
        <w:t xml:space="preserve">· Development and verification of a pharmacokinetic model to optimize physiologic replacement of rhIGF-1/rhIGFBP-3 in preterm infants. PMID 27870826</w:t>
      </w:r>
    </w:p>
    <w:p>
      <w:pPr>
        <w:numPr>
          <w:ilvl w:val="0"/>
          <w:numId w:val="1403"/>
        </w:numPr>
        <w:pStyle w:val="Compact"/>
      </w:pPr>
      <w:r>
        <w:t xml:space="preserve">2015 · Backeljauw PF ·</w:t>
      </w:r>
      <w:r>
        <w:t xml:space="preserve"> </w:t>
      </w:r>
      <w:r>
        <w:rPr>
          <w:iCs/>
          <w:i/>
        </w:rPr>
        <w:t xml:space="preserve">Horm Res Paediatr</w:t>
      </w:r>
      <w:r>
        <w:t xml:space="preserve"> </w:t>
      </w:r>
      <w:r>
        <w:t xml:space="preserve">· Recombinant human growth hormone plus recombinant human insulin-like growth factor-1 coadministration therapy in short children with low insulin-like growth factor-1 and growth hormone sufficiency: results from a randomized, multicenter, open-label, parallel-group, active treatment-controlled trial. PMID 25765099</w:t>
      </w:r>
    </w:p>
    <w:p>
      <w:pPr>
        <w:numPr>
          <w:ilvl w:val="0"/>
          <w:numId w:val="1403"/>
        </w:numPr>
        <w:pStyle w:val="Compact"/>
      </w:pPr>
      <w:r>
        <w:t xml:space="preserve">2011 · Heatwole CR ·</w:t>
      </w:r>
      <w:r>
        <w:t xml:space="preserve"> </w:t>
      </w:r>
      <w:r>
        <w:rPr>
          <w:iCs/>
          <w:i/>
        </w:rPr>
        <w:t xml:space="preserve">Arch Neurol</w:t>
      </w:r>
      <w:r>
        <w:t xml:space="preserve"> </w:t>
      </w:r>
      <w:r>
        <w:t xml:space="preserve">· Open-label trial of recombinant human insulin-like growth factor 1/recombinant human insulin-like growth factor binding protein 3 in myotonic dystrophy type 1. PMID 20837825</w:t>
      </w:r>
    </w:p>
    <w:p>
      <w:pPr>
        <w:numPr>
          <w:ilvl w:val="0"/>
          <w:numId w:val="1403"/>
        </w:numPr>
        <w:pStyle w:val="Compact"/>
      </w:pPr>
      <w:r>
        <w:t xml:space="preserve">2003 · Hladunewich MA ·</w:t>
      </w:r>
      <w:r>
        <w:t xml:space="preserve"> </w:t>
      </w:r>
      <w:r>
        <w:rPr>
          <w:iCs/>
          <w:i/>
        </w:rPr>
        <w:t xml:space="preserve">Kidney Int</w:t>
      </w:r>
      <w:r>
        <w:t xml:space="preserve"> </w:t>
      </w:r>
      <w:r>
        <w:t xml:space="preserve">· A randomized, placebo-controlled trial of IGF-1 for delayed graft function: a human model to study postischemic ARF. PMID 12846755</w:t>
      </w:r>
    </w:p>
    <w:p>
      <w:pPr>
        <w:numPr>
          <w:ilvl w:val="0"/>
          <w:numId w:val="1403"/>
        </w:numPr>
        <w:pStyle w:val="Compact"/>
      </w:pPr>
      <w:r>
        <w:t xml:space="preserve">2002 · Frank JA ·</w:t>
      </w:r>
      <w:r>
        <w:t xml:space="preserve"> </w:t>
      </w:r>
      <w:r>
        <w:rPr>
          <w:iCs/>
          <w:i/>
        </w:rPr>
        <w:t xml:space="preserve">Mult Scler</w:t>
      </w:r>
      <w:r>
        <w:t xml:space="preserve"> </w:t>
      </w:r>
      <w:r>
        <w:t xml:space="preserve">· A pilot study of recombinant insulin-like growth factor-1 in seven multiple sderosis patients. PMID 11936485</w:t>
      </w:r>
    </w:p>
    <w:p>
      <w:pPr>
        <w:numPr>
          <w:ilvl w:val="0"/>
          <w:numId w:val="1403"/>
        </w:numPr>
        <w:pStyle w:val="Compact"/>
      </w:pPr>
      <w:r>
        <w:t xml:space="preserve">2000 · Fouque D ·</w:t>
      </w:r>
      <w:r>
        <w:t xml:space="preserve"> </w:t>
      </w:r>
      <w:r>
        <w:rPr>
          <w:iCs/>
          <w:i/>
        </w:rPr>
        <w:t xml:space="preserve">Kidney Int</w:t>
      </w:r>
      <w:r>
        <w:t xml:space="preserve"> </w:t>
      </w:r>
      <w:r>
        <w:t xml:space="preserve">· Recombinant human insulin-like growth factor-1 induces an anabolic response in malnourished CAPD patients. PMID 10652043</w:t>
      </w:r>
    </w:p>
    <w:p>
      <w:pPr>
        <w:numPr>
          <w:ilvl w:val="0"/>
          <w:numId w:val="1403"/>
        </w:numPr>
        <w:pStyle w:val="Compact"/>
      </w:pPr>
      <w:r>
        <w:t xml:space="preserve">1999 · Rockich KT ·</w:t>
      </w:r>
      <w:r>
        <w:t xml:space="preserve"> </w:t>
      </w:r>
      <w:r>
        <w:rPr>
          <w:iCs/>
          <w:i/>
        </w:rPr>
        <w:t xml:space="preserve">Pharmacotherapy</w:t>
      </w:r>
      <w:r>
        <w:t xml:space="preserve"> </w:t>
      </w:r>
      <w:r>
        <w:t xml:space="preserve">· Effect of recombinant human growth hormone and insulin-like growth factor-1 administration on IGF-1 and IGF-binding protein-3 levels in brain injury. PMID 10600092</w:t>
      </w:r>
    </w:p>
    <w:p>
      <w:pPr>
        <w:numPr>
          <w:ilvl w:val="0"/>
          <w:numId w:val="1403"/>
        </w:numPr>
        <w:pStyle w:val="Compact"/>
      </w:pPr>
      <w:r>
        <w:t xml:space="preserve">1998 · Fouque D ·</w:t>
      </w:r>
      <w:r>
        <w:t xml:space="preserve"> </w:t>
      </w:r>
      <w:r>
        <w:rPr>
          <w:iCs/>
          <w:i/>
        </w:rPr>
        <w:t xml:space="preserve">Kidney Int</w:t>
      </w:r>
      <w:r>
        <w:t xml:space="preserve"> </w:t>
      </w:r>
      <w:r>
        <w:t xml:space="preserve">· Acute leptin regulation in end-stage renal failure: the role of growth hormone and IGF-1. PMID 9734619</w:t>
      </w:r>
    </w:p>
    <w:p>
      <w:pPr>
        <w:numPr>
          <w:ilvl w:val="0"/>
          <w:numId w:val="1403"/>
        </w:numPr>
        <w:pStyle w:val="Compact"/>
      </w:pPr>
      <w:r>
        <w:t xml:space="preserve">1998 · Nguyen BY ·</w:t>
      </w:r>
      <w:r>
        <w:t xml:space="preserve"> </w:t>
      </w:r>
      <w:r>
        <w:rPr>
          <w:iCs/>
          <w:i/>
        </w:rPr>
        <w:t xml:space="preserve">AIDS</w:t>
      </w:r>
      <w:r>
        <w:t xml:space="preserve"> </w:t>
      </w:r>
      <w:r>
        <w:t xml:space="preserve">· Pilot study of the immunologic effects of recombinant human growth hormone and recombinant insulin-like growth factor in HIV-infected patients. PMID 9631143</w:t>
      </w:r>
    </w:p>
    <w:p>
      <w:pPr>
        <w:numPr>
          <w:ilvl w:val="0"/>
          <w:numId w:val="1403"/>
        </w:numPr>
        <w:pStyle w:val="Compact"/>
      </w:pPr>
      <w:r>
        <w:t xml:space="preserve">1998 · Tabakian A ·</w:t>
      </w:r>
      <w:r>
        <w:t xml:space="preserve"> </w:t>
      </w:r>
      <w:r>
        <w:rPr>
          <w:iCs/>
          <w:i/>
        </w:rPr>
        <w:t xml:space="preserve">Miner Electrolyte Metab</w:t>
      </w:r>
      <w:r>
        <w:t xml:space="preserve"> </w:t>
      </w:r>
      <w:r>
        <w:t xml:space="preserve">· Effects of recombinant growth factors on energy expenditure in maintenance hemodialysis patients. PMID 9554567</w:t>
      </w:r>
    </w:p>
    <w:p>
      <w:pPr>
        <w:numPr>
          <w:ilvl w:val="0"/>
          <w:numId w:val="1403"/>
        </w:numPr>
        <w:pStyle w:val="Compact"/>
      </w:pPr>
      <w:r>
        <w:t xml:space="preserve">1996 · Waters D ·</w:t>
      </w:r>
      <w:r>
        <w:t xml:space="preserve"> </w:t>
      </w:r>
      <w:r>
        <w:rPr>
          <w:iCs/>
          <w:i/>
        </w:rPr>
        <w:t xml:space="preserve">Ann Intern Med</w:t>
      </w:r>
      <w:r>
        <w:t xml:space="preserve"> </w:t>
      </w:r>
      <w:r>
        <w:t xml:space="preserve">· Recombinant human growth hormone, insulin-like growth factor 1, and combination therapy in AIDS-associated wasting. A randomized, double-blind, placebo-controlled trial. PMID 8967666</w:t>
      </w:r>
    </w:p>
    <w:p>
      <w:pPr>
        <w:numPr>
          <w:ilvl w:val="0"/>
          <w:numId w:val="1403"/>
        </w:numPr>
        <w:pStyle w:val="Compact"/>
      </w:pPr>
      <w:r>
        <w:t xml:space="preserve">1995 · Fouque D ·</w:t>
      </w:r>
      <w:r>
        <w:t xml:space="preserve"> </w:t>
      </w:r>
      <w:r>
        <w:rPr>
          <w:iCs/>
          <w:i/>
        </w:rPr>
        <w:t xml:space="preserve">Kidney Int</w:t>
      </w:r>
      <w:r>
        <w:t xml:space="preserve"> </w:t>
      </w:r>
      <w:r>
        <w:t xml:space="preserve">· Impaired metabolic response to recombinant insulin-like growth factor-1 in dialysis patients. PMID 7752587</w:t>
      </w:r>
    </w:p>
    <w:p>
      <w:pPr>
        <w:numPr>
          <w:ilvl w:val="0"/>
          <w:numId w:val="1403"/>
        </w:numPr>
        <w:pStyle w:val="Compact"/>
      </w:pPr>
      <w:r>
        <w:t xml:space="preserve">1995 · Fouque D ·</w:t>
      </w:r>
      <w:r>
        <w:t xml:space="preserve"> </w:t>
      </w:r>
      <w:r>
        <w:rPr>
          <w:iCs/>
          <w:i/>
        </w:rPr>
        <w:t xml:space="preserve">Kidney Int</w:t>
      </w:r>
      <w:r>
        <w:t xml:space="preserve"> </w:t>
      </w:r>
      <w:r>
        <w:t xml:space="preserve">· Pharmacokinetics of recombinant human insulin-like growth factor-1 in dialysis patients. PMID 7752586</w:t>
      </w:r>
    </w:p>
    <w:bookmarkEnd w:id="3044"/>
    <w:bookmarkStart w:id="3045" w:name="igf-1-lr3-0"/>
    <w:p>
      <w:pPr>
        <w:pStyle w:val="Heading2"/>
      </w:pPr>
      <w:r>
        <w:t xml:space="preserve">IGF-1 LR3 (0)</w:t>
      </w:r>
    </w:p>
    <w:p>
      <w:pPr>
        <w:pStyle w:val="FirstParagraph"/>
      </w:pPr>
      <w:r>
        <w:t xml:space="preserve">Aucune publication d’étude clinique chez l’humain trouvée.</w:t>
      </w:r>
    </w:p>
    <w:bookmarkEnd w:id="3045"/>
    <w:bookmarkStart w:id="3046" w:name="ibutamorène-mk-677-19"/>
    <w:p>
      <w:pPr>
        <w:pStyle w:val="Heading2"/>
      </w:pPr>
      <w:r>
        <w:t xml:space="preserve">Ibutamorène (MK-677) (19)</w:t>
      </w:r>
    </w:p>
    <w:p>
      <w:pPr>
        <w:numPr>
          <w:ilvl w:val="0"/>
          <w:numId w:val="1404"/>
        </w:numPr>
        <w:pStyle w:val="Compact"/>
      </w:pPr>
      <w:r>
        <w:t xml:space="preserve">2018 · Campbell GA ·</w:t>
      </w:r>
      <w:r>
        <w:t xml:space="preserve"> </w:t>
      </w:r>
      <w:r>
        <w:rPr>
          <w:iCs/>
          <w:i/>
        </w:rPr>
        <w:t xml:space="preserve">Nephrol Dial Transplant</w:t>
      </w:r>
      <w:r>
        <w:t xml:space="preserve"> </w:t>
      </w:r>
      <w:r>
        <w:t xml:space="preserve">· Oral ghrelin receptor agonist MK-0677 increases serum insulin-like growth factor 1 in hemodialysis patients: a randomized blinded study. PMID 28340044</w:t>
      </w:r>
    </w:p>
    <w:p>
      <w:pPr>
        <w:numPr>
          <w:ilvl w:val="0"/>
          <w:numId w:val="1404"/>
        </w:numPr>
        <w:pStyle w:val="Compact"/>
      </w:pPr>
      <w:r>
        <w:t xml:space="preserve">2011 · Adunsky A ·</w:t>
      </w:r>
      <w:r>
        <w:t xml:space="preserve"> </w:t>
      </w:r>
      <w:r>
        <w:rPr>
          <w:iCs/>
          <w:i/>
        </w:rPr>
        <w:t xml:space="preserve">Arch Gerontol Geriatr</w:t>
      </w:r>
      <w:r>
        <w:t xml:space="preserve"> </w:t>
      </w:r>
      <w:r>
        <w:t xml:space="preserve">· MK-0677 (ibutamoren mesylate) for the treatment of patients recovering from hip fracture: a multicenter, randomized, placebo-controlled phase IIb study. PMID 21067829</w:t>
      </w:r>
    </w:p>
    <w:p>
      <w:pPr>
        <w:numPr>
          <w:ilvl w:val="0"/>
          <w:numId w:val="1404"/>
        </w:numPr>
        <w:pStyle w:val="Compact"/>
      </w:pPr>
      <w:r>
        <w:t xml:space="preserve">2008 · Sevigny JJ ·</w:t>
      </w:r>
      <w:r>
        <w:t xml:space="preserve"> </w:t>
      </w:r>
      <w:r>
        <w:rPr>
          <w:iCs/>
          <w:i/>
        </w:rPr>
        <w:t xml:space="preserve">Neurology</w:t>
      </w:r>
      <w:r>
        <w:t xml:space="preserve"> </w:t>
      </w:r>
      <w:r>
        <w:t xml:space="preserve">· Growth hormone secretagogue MK-677: no clinical effect on AD progression in a randomized trial. PMID 19015485</w:t>
      </w:r>
    </w:p>
    <w:p>
      <w:pPr>
        <w:numPr>
          <w:ilvl w:val="0"/>
          <w:numId w:val="1404"/>
        </w:numPr>
        <w:pStyle w:val="Compact"/>
      </w:pPr>
      <w:r>
        <w:t xml:space="preserve">2008 · Nass R ·</w:t>
      </w:r>
      <w:r>
        <w:t xml:space="preserve"> </w:t>
      </w:r>
      <w:r>
        <w:rPr>
          <w:iCs/>
          <w:i/>
        </w:rPr>
        <w:t xml:space="preserve">Ann Intern Med</w:t>
      </w:r>
      <w:r>
        <w:t xml:space="preserve"> </w:t>
      </w:r>
      <w:r>
        <w:t xml:space="preserve">· Effects of an oral ghrelin mimetic on body composition and clinical outcomes in healthy older adults: a randomized trial. PMID 18981485</w:t>
      </w:r>
    </w:p>
    <w:p>
      <w:pPr>
        <w:numPr>
          <w:ilvl w:val="0"/>
          <w:numId w:val="1404"/>
        </w:numPr>
        <w:pStyle w:val="Compact"/>
      </w:pPr>
      <w:r>
        <w:t xml:space="preserve">2004 · Bach MA ·</w:t>
      </w:r>
      <w:r>
        <w:t xml:space="preserve"> </w:t>
      </w:r>
      <w:r>
        <w:rPr>
          <w:iCs/>
          <w:i/>
        </w:rPr>
        <w:t xml:space="preserve">J Am Geriatr Soc</w:t>
      </w:r>
      <w:r>
        <w:t xml:space="preserve"> </w:t>
      </w:r>
      <w:r>
        <w:t xml:space="preserve">· The effects of MK-0677, an oral growth hormone secretagogue, in patients with hip fracture. PMID 15066065</w:t>
      </w:r>
    </w:p>
    <w:p>
      <w:pPr>
        <w:numPr>
          <w:ilvl w:val="0"/>
          <w:numId w:val="1404"/>
        </w:numPr>
        <w:pStyle w:val="Compact"/>
      </w:pPr>
      <w:r>
        <w:t xml:space="preserve">2003 · Svensson J ·</w:t>
      </w:r>
      <w:r>
        <w:t xml:space="preserve"> </w:t>
      </w:r>
      <w:r>
        <w:rPr>
          <w:iCs/>
          <w:i/>
        </w:rPr>
        <w:t xml:space="preserve">Growth Horm IGF Res</w:t>
      </w:r>
      <w:r>
        <w:t xml:space="preserve"> </w:t>
      </w:r>
      <w:r>
        <w:t xml:space="preserve">· The effect of treatment with the oral growth hormone (GH) secretagogue MK-677 on GH isoforms. PMID 12550076</w:t>
      </w:r>
    </w:p>
    <w:p>
      <w:pPr>
        <w:numPr>
          <w:ilvl w:val="0"/>
          <w:numId w:val="1404"/>
        </w:numPr>
        <w:pStyle w:val="Compact"/>
      </w:pPr>
      <w:r>
        <w:t xml:space="preserve">2001 · Codner E ·</w:t>
      </w:r>
      <w:r>
        <w:t xml:space="preserve"> </w:t>
      </w:r>
      <w:r>
        <w:rPr>
          <w:iCs/>
          <w:i/>
        </w:rPr>
        <w:t xml:space="preserve">Clin Pharmacol Ther</w:t>
      </w:r>
      <w:r>
        <w:t xml:space="preserve"> </w:t>
      </w:r>
      <w:r>
        <w:t xml:space="preserve">· Effects of oral administration of ibutamoren mesylate, a nonpeptide growth hormone secretagogue, on the growth hormone-insulin-like growth factor I axis in growth hormone-deficient children. PMID 11452249</w:t>
      </w:r>
    </w:p>
    <w:p>
      <w:pPr>
        <w:numPr>
          <w:ilvl w:val="0"/>
          <w:numId w:val="1404"/>
        </w:numPr>
        <w:pStyle w:val="Compact"/>
      </w:pPr>
      <w:r>
        <w:t xml:space="preserve">2001 · Gianotti L ·</w:t>
      </w:r>
      <w:r>
        <w:t xml:space="preserve"> </w:t>
      </w:r>
      <w:r>
        <w:rPr>
          <w:iCs/>
          <w:i/>
        </w:rPr>
        <w:t xml:space="preserve">J Endocrinol Invest</w:t>
      </w:r>
      <w:r>
        <w:t xml:space="preserve"> </w:t>
      </w:r>
      <w:r>
        <w:t xml:space="preserve">· Recombinant human IGF-I does not modify the ACTH and cortisol responses to hCRH and hexarelin, a peptidyl GH secretagogue, in humans. PMID 11263473</w:t>
      </w:r>
    </w:p>
    <w:p>
      <w:pPr>
        <w:numPr>
          <w:ilvl w:val="0"/>
          <w:numId w:val="1404"/>
        </w:numPr>
        <w:pStyle w:val="Compact"/>
      </w:pPr>
      <w:r>
        <w:t xml:space="preserve">2001 · Murphy MG ·</w:t>
      </w:r>
      <w:r>
        <w:t xml:space="preserve"> </w:t>
      </w:r>
      <w:r>
        <w:rPr>
          <w:iCs/>
          <w:i/>
        </w:rPr>
        <w:t xml:space="preserve">J Clin Endocrinol Metab</w:t>
      </w:r>
      <w:r>
        <w:t xml:space="preserve"> </w:t>
      </w:r>
      <w:r>
        <w:t xml:space="preserve">· Effect of alendronate and MK-677 (a growth hormone secretagogue), individually and in combination, on markers of bone turnover and bone mineral density in postmenopausal osteoporotic women. PMID 11238495</w:t>
      </w:r>
    </w:p>
    <w:p>
      <w:pPr>
        <w:numPr>
          <w:ilvl w:val="0"/>
          <w:numId w:val="1404"/>
        </w:numPr>
        <w:pStyle w:val="Compact"/>
      </w:pPr>
      <w:r>
        <w:t xml:space="preserve">1999 · Svensson J ·</w:t>
      </w:r>
      <w:r>
        <w:t xml:space="preserve"> </w:t>
      </w:r>
      <w:r>
        <w:rPr>
          <w:iCs/>
          <w:i/>
        </w:rPr>
        <w:t xml:space="preserve">Clin Endocrinol (Oxf)</w:t>
      </w:r>
      <w:r>
        <w:t xml:space="preserve"> </w:t>
      </w:r>
      <w:r>
        <w:t xml:space="preserve">· Discrepancy between serum leptin values and total body fat in response to the oral growth hormone secretagogue MK-677. PMID 10468903</w:t>
      </w:r>
    </w:p>
    <w:p>
      <w:pPr>
        <w:numPr>
          <w:ilvl w:val="0"/>
          <w:numId w:val="1404"/>
        </w:numPr>
        <w:pStyle w:val="Compact"/>
      </w:pPr>
      <w:r>
        <w:t xml:space="preserve">1999 · Murphy MG ·</w:t>
      </w:r>
      <w:r>
        <w:t xml:space="preserve"> </w:t>
      </w:r>
      <w:r>
        <w:rPr>
          <w:iCs/>
          <w:i/>
        </w:rPr>
        <w:t xml:space="preserve">J Bone Miner Res</w:t>
      </w:r>
      <w:r>
        <w:t xml:space="preserve"> </w:t>
      </w:r>
      <w:r>
        <w:t xml:space="preserve">· Oral administration of the growth hormone secretagogue MK-677 increases markers of bone turnover in healthy and functionally impaired elderly adults. The MK-677 Study Group. PMID 10404019</w:t>
      </w:r>
    </w:p>
    <w:p>
      <w:pPr>
        <w:numPr>
          <w:ilvl w:val="0"/>
          <w:numId w:val="1404"/>
        </w:numPr>
        <w:pStyle w:val="Compact"/>
      </w:pPr>
      <w:r>
        <w:t xml:space="preserve">1999 · Svensson J ·</w:t>
      </w:r>
      <w:r>
        <w:t xml:space="preserve"> </w:t>
      </w:r>
      <w:r>
        <w:rPr>
          <w:iCs/>
          <w:i/>
        </w:rPr>
        <w:t xml:space="preserve">J Clin Endocrinol Metab</w:t>
      </w:r>
      <w:r>
        <w:t xml:space="preserve"> </w:t>
      </w:r>
      <w:r>
        <w:t xml:space="preserve">· Treatment of obese subjects with the oral growth hormone secretagogue MK-677 affects serum concentrations of several lipoproteins, but not lipoprotein(a). PMID 10372705</w:t>
      </w:r>
    </w:p>
    <w:p>
      <w:pPr>
        <w:numPr>
          <w:ilvl w:val="0"/>
          <w:numId w:val="1404"/>
        </w:numPr>
        <w:pStyle w:val="Compact"/>
      </w:pPr>
      <w:r>
        <w:t xml:space="preserve">1998 · Svensson J ·</w:t>
      </w:r>
      <w:r>
        <w:t xml:space="preserve"> </w:t>
      </w:r>
      <w:r>
        <w:rPr>
          <w:iCs/>
          <w:i/>
        </w:rPr>
        <w:t xml:space="preserve">J Bone Miner Res</w:t>
      </w:r>
      <w:r>
        <w:t xml:space="preserve"> </w:t>
      </w:r>
      <w:r>
        <w:t xml:space="preserve">· Treatment with the oral growth hormone secretagogue MK-677 increases markers of bone formation and bone resorption in obese young males. PMID 9661080</w:t>
      </w:r>
    </w:p>
    <w:p>
      <w:pPr>
        <w:numPr>
          <w:ilvl w:val="0"/>
          <w:numId w:val="1404"/>
        </w:numPr>
        <w:pStyle w:val="Compact"/>
      </w:pPr>
      <w:r>
        <w:t xml:space="preserve">1998 · Svensson J ·</w:t>
      </w:r>
      <w:r>
        <w:t xml:space="preserve"> </w:t>
      </w:r>
      <w:r>
        <w:rPr>
          <w:iCs/>
          <w:i/>
        </w:rPr>
        <w:t xml:space="preserve">J Clin Endocrinol Metab</w:t>
      </w:r>
      <w:r>
        <w:t xml:space="preserve"> </w:t>
      </w:r>
      <w:r>
        <w:t xml:space="preserve">· Two-month treatment of obese subjects with the oral growth hormone (GH) secretagogue MK-677 increases GH secretion, fat-free mass, and energy expenditure. PMID 9467542</w:t>
      </w:r>
    </w:p>
    <w:p>
      <w:pPr>
        <w:numPr>
          <w:ilvl w:val="0"/>
          <w:numId w:val="1404"/>
        </w:numPr>
        <w:pStyle w:val="Compact"/>
      </w:pPr>
      <w:r>
        <w:t xml:space="preserve">1998 · Murphy MG ·</w:t>
      </w:r>
      <w:r>
        <w:t xml:space="preserve"> </w:t>
      </w:r>
      <w:r>
        <w:rPr>
          <w:iCs/>
          <w:i/>
        </w:rPr>
        <w:t xml:space="preserve">J Clin Endocrinol Metab</w:t>
      </w:r>
      <w:r>
        <w:t xml:space="preserve"> </w:t>
      </w:r>
      <w:r>
        <w:t xml:space="preserve">· MK-677, an orally active growth hormone secretagogue, reverses diet-induced catabolism. PMID 9467534</w:t>
      </w:r>
    </w:p>
    <w:p>
      <w:pPr>
        <w:numPr>
          <w:ilvl w:val="0"/>
          <w:numId w:val="1404"/>
        </w:numPr>
        <w:pStyle w:val="Compact"/>
      </w:pPr>
      <w:r>
        <w:t xml:space="preserve">1997 · Copinschi G ·</w:t>
      </w:r>
      <w:r>
        <w:t xml:space="preserve"> </w:t>
      </w:r>
      <w:r>
        <w:rPr>
          <w:iCs/>
          <w:i/>
        </w:rPr>
        <w:t xml:space="preserve">Neuroendocrinology</w:t>
      </w:r>
      <w:r>
        <w:t xml:space="preserve"> </w:t>
      </w:r>
      <w:r>
        <w:t xml:space="preserve">· Prolonged oral treatment with MK-677, a novel growth hormone secretagogue, improves sleep quality in man. PMID 9349662</w:t>
      </w:r>
    </w:p>
    <w:p>
      <w:pPr>
        <w:numPr>
          <w:ilvl w:val="0"/>
          <w:numId w:val="1404"/>
        </w:numPr>
        <w:pStyle w:val="Compact"/>
      </w:pPr>
      <w:r>
        <w:t xml:space="preserve">1997 · Chapman IM ·</w:t>
      </w:r>
      <w:r>
        <w:t xml:space="preserve"> </w:t>
      </w:r>
      <w:r>
        <w:rPr>
          <w:iCs/>
          <w:i/>
        </w:rPr>
        <w:t xml:space="preserve">J Clin Endocrinol Metab</w:t>
      </w:r>
      <w:r>
        <w:t xml:space="preserve"> </w:t>
      </w:r>
      <w:r>
        <w:t xml:space="preserve">· Oral administration of growth hormone (GH) releasing peptide-mimetic MK-677 stimulates the GH/insulin-like growth factor-I axis in selected GH-deficient adults. PMID 9329386</w:t>
      </w:r>
    </w:p>
    <w:p>
      <w:pPr>
        <w:numPr>
          <w:ilvl w:val="0"/>
          <w:numId w:val="1404"/>
        </w:numPr>
        <w:pStyle w:val="Compact"/>
      </w:pPr>
      <w:r>
        <w:t xml:space="preserve">1996 · Chapman IM ·</w:t>
      </w:r>
      <w:r>
        <w:t xml:space="preserve"> </w:t>
      </w:r>
      <w:r>
        <w:rPr>
          <w:iCs/>
          <w:i/>
        </w:rPr>
        <w:t xml:space="preserve">J Clin Endocrinol Metab</w:t>
      </w:r>
      <w:r>
        <w:t xml:space="preserve"> </w:t>
      </w:r>
      <w:r>
        <w:t xml:space="preserve">· Stimulation of the growth hormone (GH)-insulin-like growth factor I axis by daily oral administration of a GH secretogogue (MK-677) in healthy elderly subjects. PMID 8954023</w:t>
      </w:r>
    </w:p>
    <w:p>
      <w:pPr>
        <w:numPr>
          <w:ilvl w:val="0"/>
          <w:numId w:val="1404"/>
        </w:numPr>
        <w:pStyle w:val="Compact"/>
      </w:pPr>
      <w:r>
        <w:t xml:space="preserve">1996 · Copinschi G ·</w:t>
      </w:r>
      <w:r>
        <w:t xml:space="preserve"> </w:t>
      </w:r>
      <w:r>
        <w:rPr>
          <w:iCs/>
          <w:i/>
        </w:rPr>
        <w:t xml:space="preserve">J Clin Endocrinol Metab</w:t>
      </w:r>
      <w:r>
        <w:t xml:space="preserve"> </w:t>
      </w:r>
      <w:r>
        <w:t xml:space="preserve">· Effects of a 7-day treatment with a novel, orally active, growth hormone (GH) secretagogue, MK-677, on 24-hour GH profiles, insulin-like growth factor I, and adrenocortical function in normal young men. PMID 8768828</w:t>
      </w:r>
    </w:p>
    <w:bookmarkEnd w:id="3046"/>
    <w:bookmarkStart w:id="3047" w:name="semax-4"/>
    <w:p>
      <w:pPr>
        <w:pStyle w:val="Heading2"/>
      </w:pPr>
      <w:r>
        <w:t xml:space="preserve">Semax (4)</w:t>
      </w:r>
    </w:p>
    <w:p>
      <w:pPr>
        <w:numPr>
          <w:ilvl w:val="0"/>
          <w:numId w:val="1405"/>
        </w:numPr>
        <w:pStyle w:val="Compact"/>
      </w:pPr>
      <w:r>
        <w:t xml:space="preserve">2018 · Gusev EI ·</w:t>
      </w:r>
      <w:r>
        <w:t xml:space="preserve"> </w:t>
      </w:r>
      <w:r>
        <w:rPr>
          <w:iCs/>
          <w:i/>
        </w:rPr>
        <w:t xml:space="preserve">Zh Nevrol Psikhiatr Im S S Korsakova</w:t>
      </w:r>
      <w:r>
        <w:t xml:space="preserve"> </w:t>
      </w:r>
      <w:r>
        <w:t xml:space="preserve">· [The efficacy of semax in the tretament of patients at different stages of ischemic stroke]. PMID 29798983</w:t>
      </w:r>
    </w:p>
    <w:p>
      <w:pPr>
        <w:numPr>
          <w:ilvl w:val="0"/>
          <w:numId w:val="1405"/>
        </w:numPr>
        <w:pStyle w:val="Compact"/>
      </w:pPr>
      <w:r>
        <w:t xml:space="preserve">2007 · Serdiuk AV ·</w:t>
      </w:r>
      <w:r>
        <w:t xml:space="preserve"> </w:t>
      </w:r>
      <w:r>
        <w:rPr>
          <w:iCs/>
          <w:i/>
        </w:rPr>
        <w:t xml:space="preserve">Zh Nevrol Psikhiatr Im S S Korsakova</w:t>
      </w:r>
      <w:r>
        <w:t xml:space="preserve"> </w:t>
      </w:r>
      <w:r>
        <w:t xml:space="preserve">· [The study of chronic partial denervation and quality of life in patients with motor neuron disease treated with semax]. PMID 18379501</w:t>
      </w:r>
    </w:p>
    <w:p>
      <w:pPr>
        <w:numPr>
          <w:ilvl w:val="0"/>
          <w:numId w:val="1405"/>
        </w:numPr>
        <w:pStyle w:val="Compact"/>
      </w:pPr>
      <w:r>
        <w:t xml:space="preserve">2000 · Polunin GS ·</w:t>
      </w:r>
      <w:r>
        <w:t xml:space="preserve"> </w:t>
      </w:r>
      <w:r>
        <w:rPr>
          <w:iCs/>
          <w:i/>
        </w:rPr>
        <w:t xml:space="preserve">Vestn Oftalmol</w:t>
      </w:r>
      <w:r>
        <w:t xml:space="preserve"> </w:t>
      </w:r>
      <w:r>
        <w:t xml:space="preserve">· [Evaluation of therapeutic effect of new Russian drug semax in optic nerve disease]. PMID 10741256</w:t>
      </w:r>
    </w:p>
    <w:p>
      <w:pPr>
        <w:numPr>
          <w:ilvl w:val="0"/>
          <w:numId w:val="1405"/>
        </w:numPr>
        <w:pStyle w:val="Compact"/>
      </w:pPr>
      <w:r>
        <w:t xml:space="preserve">1997 · Gusev EI ·</w:t>
      </w:r>
      <w:r>
        <w:t xml:space="preserve"> </w:t>
      </w:r>
      <w:r>
        <w:rPr>
          <w:iCs/>
          <w:i/>
        </w:rPr>
        <w:t xml:space="preserve">Zh Nevrol Psikhiatr Im S S Korsakova</w:t>
      </w:r>
      <w:r>
        <w:t xml:space="preserve"> </w:t>
      </w:r>
      <w:r>
        <w:t xml:space="preserve">· [Effectiveness of semax in acute period of hemispheric ischemic stroke (a clinical and electrophysiological study)]. PMID 11517472</w:t>
      </w:r>
    </w:p>
    <w:bookmarkEnd w:id="3047"/>
    <w:bookmarkStart w:id="3048" w:name="selank-3"/>
    <w:p>
      <w:pPr>
        <w:pStyle w:val="Heading2"/>
      </w:pPr>
      <w:r>
        <w:t xml:space="preserve">Selank (3)</w:t>
      </w:r>
    </w:p>
    <w:p>
      <w:pPr>
        <w:numPr>
          <w:ilvl w:val="0"/>
          <w:numId w:val="1406"/>
        </w:numPr>
        <w:pStyle w:val="Compact"/>
      </w:pPr>
      <w:r>
        <w:t xml:space="preserve">2015 · Medvedev VE ·</w:t>
      </w:r>
      <w:r>
        <w:t xml:space="preserve"> </w:t>
      </w:r>
      <w:r>
        <w:rPr>
          <w:iCs/>
          <w:i/>
        </w:rPr>
        <w:t xml:space="preserve">Zh Nevrol Psikhiatr Im S S Korsakova</w:t>
      </w:r>
      <w:r>
        <w:t xml:space="preserve"> </w:t>
      </w:r>
      <w:r>
        <w:t xml:space="preserve">· [Optimization of the treatment of anxiety disorders with selank]. PMID 26356395</w:t>
      </w:r>
    </w:p>
    <w:p>
      <w:pPr>
        <w:numPr>
          <w:ilvl w:val="0"/>
          <w:numId w:val="1406"/>
        </w:numPr>
        <w:pStyle w:val="Compact"/>
      </w:pPr>
      <w:r>
        <w:t xml:space="preserve">2014 · Medvedev VE ·</w:t>
      </w:r>
      <w:r>
        <w:t xml:space="preserve"> </w:t>
      </w:r>
      <w:r>
        <w:rPr>
          <w:iCs/>
          <w:i/>
        </w:rPr>
        <w:t xml:space="preserve">Zh Nevrol Psikhiatr Im S S Korsakova</w:t>
      </w:r>
      <w:r>
        <w:t xml:space="preserve"> </w:t>
      </w:r>
      <w:r>
        <w:t xml:space="preserve">· [A comparison of the anxiolytic effect and tolerability of selank and phenazepam in the treatment of anxiety disorders]. PMID 25176261</w:t>
      </w:r>
    </w:p>
    <w:p>
      <w:pPr>
        <w:numPr>
          <w:ilvl w:val="0"/>
          <w:numId w:val="1406"/>
        </w:numPr>
        <w:pStyle w:val="Compact"/>
      </w:pPr>
      <w:r>
        <w:t xml:space="preserve">2008 · Zozulia AA ·</w:t>
      </w:r>
      <w:r>
        <w:t xml:space="preserve"> </w:t>
      </w:r>
      <w:r>
        <w:rPr>
          <w:iCs/>
          <w:i/>
        </w:rPr>
        <w:t xml:space="preserve">Zh Nevrol Psikhiatr Im S S Korsakova</w:t>
      </w:r>
      <w:r>
        <w:t xml:space="preserve"> </w:t>
      </w:r>
      <w:r>
        <w:t xml:space="preserve">· [Efficacy and possible mechanisms of action of a new peptide anxiolytic selank in the therapy of generalized anxiety disorders and neurasthenia]. PMID 18454096</w:t>
      </w:r>
    </w:p>
    <w:bookmarkEnd w:id="3048"/>
    <w:bookmarkStart w:id="3049" w:name="cerebrolysin-88"/>
    <w:p>
      <w:pPr>
        <w:pStyle w:val="Heading2"/>
      </w:pPr>
      <w:r>
        <w:t xml:space="preserve">Cerebrolysin (88)</w:t>
      </w:r>
    </w:p>
    <w:p>
      <w:pPr>
        <w:numPr>
          <w:ilvl w:val="0"/>
          <w:numId w:val="1407"/>
        </w:numPr>
        <w:pStyle w:val="Compact"/>
      </w:pPr>
      <w:r>
        <w:t xml:space="preserve">2025 · Kalinin MN ·</w:t>
      </w:r>
      <w:r>
        <w:t xml:space="preserve"> </w:t>
      </w:r>
      <w:r>
        <w:rPr>
          <w:iCs/>
          <w:i/>
        </w:rPr>
        <w:t xml:space="preserve">Zh Nevrol Psikhiatr Im S S Korsakova</w:t>
      </w:r>
      <w:r>
        <w:t xml:space="preserve"> </w:t>
      </w:r>
      <w:r>
        <w:t xml:space="preserve">· [Cerebrolysin with reperfusion therapy in ischemic stroke: a prospective analysis of multimodal brain imaging data from the CEREHETIS trial]. PMID 40577185</w:t>
      </w:r>
    </w:p>
    <w:p>
      <w:pPr>
        <w:numPr>
          <w:ilvl w:val="0"/>
          <w:numId w:val="1407"/>
        </w:numPr>
        <w:pStyle w:val="Compact"/>
      </w:pPr>
      <w:r>
        <w:t xml:space="preserve">2025 · Staszewski J ·</w:t>
      </w:r>
      <w:r>
        <w:t xml:space="preserve"> </w:t>
      </w:r>
      <w:r>
        <w:rPr>
          <w:iCs/>
          <w:i/>
        </w:rPr>
        <w:t xml:space="preserve">Transl Stroke Res</w:t>
      </w:r>
      <w:r>
        <w:t xml:space="preserve"> </w:t>
      </w:r>
      <w:r>
        <w:t xml:space="preserve">· Efficacy of Cerebrolysin Treatment as an Add-On Therapy to Mechanical Thrombectomy in Patients with Acute Ischemic Stroke Due to Large Vessel Occlusion in Anterior Circulation: Results of a 3-Month Follow-up of a Prospective, Open Label, Single-Center Study. PMID 40325343</w:t>
      </w:r>
    </w:p>
    <w:p>
      <w:pPr>
        <w:numPr>
          <w:ilvl w:val="0"/>
          <w:numId w:val="1407"/>
        </w:numPr>
        <w:pStyle w:val="Compact"/>
      </w:pPr>
      <w:r>
        <w:t xml:space="preserve">2025 · Kalinin MN ·</w:t>
      </w:r>
      <w:r>
        <w:t xml:space="preserve"> </w:t>
      </w:r>
      <w:r>
        <w:rPr>
          <w:iCs/>
          <w:i/>
        </w:rPr>
        <w:t xml:space="preserve">Zh Nevrol Psikhiatr Im S S Korsakova</w:t>
      </w:r>
      <w:r>
        <w:t xml:space="preserve"> </w:t>
      </w:r>
      <w:r>
        <w:t xml:space="preserve">· [Cerebrolysin and the optimal timing of anticoagulation resumption in stroke: combined post hoc survival analysis of the CEREHETIS trial]. PMID 40123141</w:t>
      </w:r>
    </w:p>
    <w:p>
      <w:pPr>
        <w:numPr>
          <w:ilvl w:val="0"/>
          <w:numId w:val="1407"/>
        </w:numPr>
        <w:pStyle w:val="Compact"/>
      </w:pPr>
      <w:r>
        <w:t xml:space="preserve">2025 · Homberg V ·</w:t>
      </w:r>
      <w:r>
        <w:t xml:space="preserve"> </w:t>
      </w:r>
      <w:r>
        <w:rPr>
          <w:iCs/>
          <w:i/>
        </w:rPr>
        <w:t xml:space="preserve">Stroke</w:t>
      </w:r>
      <w:r>
        <w:t xml:space="preserve"> </w:t>
      </w:r>
      <w:r>
        <w:t xml:space="preserve">· Speech Therapy Combined With Cerebrolysin in Enhancing Nonfluent Aphasia Recovery After Acute Ischemic Stroke: ESCAS Randomized Pilot Study. PMID 39957612</w:t>
      </w:r>
    </w:p>
    <w:p>
      <w:pPr>
        <w:numPr>
          <w:ilvl w:val="0"/>
          <w:numId w:val="1407"/>
        </w:numPr>
        <w:pStyle w:val="Compact"/>
      </w:pPr>
      <w:r>
        <w:t xml:space="preserve">2024 · Ponomareva EV ·</w:t>
      </w:r>
      <w:r>
        <w:t xml:space="preserve"> </w:t>
      </w:r>
      <w:r>
        <w:rPr>
          <w:iCs/>
          <w:i/>
        </w:rPr>
        <w:t xml:space="preserve">Zh Nevrol Psikhiatr Im S S Korsakova</w:t>
      </w:r>
      <w:r>
        <w:t xml:space="preserve"> </w:t>
      </w:r>
      <w:r>
        <w:t xml:space="preserve">· [Cerebrolysin in the preventive therapy of dementia in elderly patients with mild cognitive impairment: a three-year prospective comparative study]. PMID 39435777</w:t>
      </w:r>
    </w:p>
    <w:p>
      <w:pPr>
        <w:numPr>
          <w:ilvl w:val="0"/>
          <w:numId w:val="1407"/>
        </w:numPr>
        <w:pStyle w:val="Compact"/>
      </w:pPr>
      <w:r>
        <w:t xml:space="preserve">2023 · Firstenfeld AJ ·</w:t>
      </w:r>
      <w:r>
        <w:t xml:space="preserve"> </w:t>
      </w:r>
      <w:r>
        <w:rPr>
          <w:iCs/>
          <w:i/>
        </w:rPr>
        <w:t xml:space="preserve">J Med Life</w:t>
      </w:r>
      <w:r>
        <w:t xml:space="preserve"> </w:t>
      </w:r>
      <w:r>
        <w:t xml:space="preserve">· Add-on treatment with Cerebrolysin improves clinical symptoms in patients with ALS: results from a prospective, single-center, placebo-controlled, randomized, double-blind, phase II study. PMID 38585517</w:t>
      </w:r>
    </w:p>
    <w:p>
      <w:pPr>
        <w:numPr>
          <w:ilvl w:val="0"/>
          <w:numId w:val="1407"/>
        </w:numPr>
        <w:pStyle w:val="Compact"/>
      </w:pPr>
      <w:r>
        <w:t xml:space="preserve">2023 · Hamed SA ·</w:t>
      </w:r>
      <w:r>
        <w:t xml:space="preserve"> </w:t>
      </w:r>
      <w:r>
        <w:rPr>
          <w:iCs/>
          <w:i/>
        </w:rPr>
        <w:t xml:space="preserve">Expert Rev Clin Pharmacol</w:t>
      </w:r>
      <w:r>
        <w:t xml:space="preserve"> </w:t>
      </w:r>
      <w:r>
        <w:t xml:space="preserve">· The effectiveness of cerebrolysin, a multi-modal neurotrophic factor, for treatment of post-covid-19 persistent olfactory, gustatory and trigeminal chemosensory dysfunctions: a randomized clinical trial. PMID 37950370</w:t>
      </w:r>
    </w:p>
    <w:p>
      <w:pPr>
        <w:numPr>
          <w:ilvl w:val="0"/>
          <w:numId w:val="1407"/>
        </w:numPr>
        <w:pStyle w:val="Compact"/>
      </w:pPr>
      <w:r>
        <w:t xml:space="preserve">2023 · Khasanova DR ·</w:t>
      </w:r>
      <w:r>
        <w:t xml:space="preserve"> </w:t>
      </w:r>
      <w:r>
        <w:rPr>
          <w:iCs/>
          <w:i/>
        </w:rPr>
        <w:t xml:space="preserve">Zh Nevrol Psikhiatr Im S S Korsakova</w:t>
      </w:r>
      <w:r>
        <w:t xml:space="preserve"> </w:t>
      </w:r>
      <w:r>
        <w:t xml:space="preserve">· [Effects of simultaneous use of Cerebrolysin and alteplase on hemorrhagic transformation of brain infarction and functional outcome in stroke patients: CEREHETIS, a randomized, multicenter pilot trial]. PMID 37682097</w:t>
      </w:r>
    </w:p>
    <w:p>
      <w:pPr>
        <w:numPr>
          <w:ilvl w:val="0"/>
          <w:numId w:val="1407"/>
        </w:numPr>
        <w:pStyle w:val="Compact"/>
      </w:pPr>
      <w:r>
        <w:t xml:space="preserve">2023 · Khasanova DR ·</w:t>
      </w:r>
      <w:r>
        <w:t xml:space="preserve"> </w:t>
      </w:r>
      <w:r>
        <w:rPr>
          <w:iCs/>
          <w:i/>
        </w:rPr>
        <w:t xml:space="preserve">BMC Neurol</w:t>
      </w:r>
      <w:r>
        <w:t xml:space="preserve"> </w:t>
      </w:r>
      <w:r>
        <w:t xml:space="preserve">· Cerebrolysin as an Early Add-on to Reperfusion Therapy: Risk of Hemorrhagic Transformation after Ischemic Stroke (CEREHETIS), a prospective, randomized, multicenter pilot study. PMID 36973684</w:t>
      </w:r>
    </w:p>
    <w:p>
      <w:pPr>
        <w:numPr>
          <w:ilvl w:val="0"/>
          <w:numId w:val="1407"/>
        </w:numPr>
        <w:pStyle w:val="Compact"/>
      </w:pPr>
      <w:r>
        <w:t xml:space="preserve">2023 · Mitrović SZ ·</w:t>
      </w:r>
      <w:r>
        <w:t xml:space="preserve"> </w:t>
      </w:r>
      <w:r>
        <w:rPr>
          <w:iCs/>
          <w:i/>
        </w:rPr>
        <w:t xml:space="preserve">Medicina (Kaunas)</w:t>
      </w:r>
      <w:r>
        <w:t xml:space="preserve"> </w:t>
      </w:r>
      <w:r>
        <w:t xml:space="preserve">· Extended Poststroke Rehabilitation Combined with Cerebrolysin Promotes Upper Limb Motor Recovery in Early Subacute Phase of Rehabilitation: A Randomized Clinical Study. PMID 36837492</w:t>
      </w:r>
    </w:p>
    <w:p>
      <w:pPr>
        <w:numPr>
          <w:ilvl w:val="0"/>
          <w:numId w:val="1407"/>
        </w:numPr>
        <w:pStyle w:val="Compact"/>
      </w:pPr>
      <w:r>
        <w:t xml:space="preserve">2023 · Sharma A ·</w:t>
      </w:r>
      <w:r>
        <w:t xml:space="preserve"> </w:t>
      </w:r>
      <w:r>
        <w:rPr>
          <w:iCs/>
          <w:i/>
        </w:rPr>
        <w:t xml:space="preserve">Spine (Phila Pa 1976)</w:t>
      </w:r>
      <w:r>
        <w:t xml:space="preserve"> </w:t>
      </w:r>
      <w:r>
        <w:t xml:space="preserve">· Prospective Randomized Control Trial to Compare the Role of Injection Cerebrolysin for 10 Days Duration Against Placebo in Operated Cases of Degenerative Cervical Myelopathy. PMID 36730671</w:t>
      </w:r>
    </w:p>
    <w:p>
      <w:pPr>
        <w:numPr>
          <w:ilvl w:val="0"/>
          <w:numId w:val="1407"/>
        </w:numPr>
        <w:pStyle w:val="Compact"/>
      </w:pPr>
      <w:r>
        <w:t xml:space="preserve">2022 · Alvarez XA ·</w:t>
      </w:r>
      <w:r>
        <w:t xml:space="preserve"> </w:t>
      </w:r>
      <w:r>
        <w:rPr>
          <w:iCs/>
          <w:i/>
        </w:rPr>
        <w:t xml:space="preserve">J Alzheimers Dis</w:t>
      </w:r>
      <w:r>
        <w:t xml:space="preserve"> </w:t>
      </w:r>
      <w:r>
        <w:t xml:space="preserve">· Modulation of Amyloid-β and Tau in Alzheimer’s Disease Plasma Neuronal-Derived Extracellular Vesicles by Cerebrolysin® and Donepezil. PMID 36155516</w:t>
      </w:r>
    </w:p>
    <w:p>
      <w:pPr>
        <w:numPr>
          <w:ilvl w:val="0"/>
          <w:numId w:val="1407"/>
        </w:numPr>
        <w:pStyle w:val="Compact"/>
      </w:pPr>
      <w:r>
        <w:t xml:space="preserve">2022 · Sharma A ·</w:t>
      </w:r>
      <w:r>
        <w:t xml:space="preserve"> </w:t>
      </w:r>
      <w:r>
        <w:rPr>
          <w:iCs/>
          <w:i/>
        </w:rPr>
        <w:t xml:space="preserve">Spine (Phila Pa 1976)</w:t>
      </w:r>
      <w:r>
        <w:t xml:space="preserve"> </w:t>
      </w:r>
      <w:r>
        <w:t xml:space="preserve">· Prospective Randomized Control Pilot Study to Compare the Role of Injection Cerebrolysin in Operated cases of Degenerative Cervical Myelopathy. PMID 34889883</w:t>
      </w:r>
    </w:p>
    <w:p>
      <w:pPr>
        <w:numPr>
          <w:ilvl w:val="0"/>
          <w:numId w:val="1407"/>
        </w:numPr>
        <w:pStyle w:val="Compact"/>
      </w:pPr>
      <w:r>
        <w:t xml:space="preserve">2022 · Samir A ·</w:t>
      </w:r>
      <w:r>
        <w:t xml:space="preserve"> </w:t>
      </w:r>
      <w:r>
        <w:rPr>
          <w:iCs/>
          <w:i/>
        </w:rPr>
        <w:t xml:space="preserve">J Neonatal Perinatal Med</w:t>
      </w:r>
      <w:r>
        <w:t xml:space="preserve"> </w:t>
      </w:r>
      <w:r>
        <w:t xml:space="preserve">· Effect of cerebrolysin on neurodevelopmental outcome of high risk preterm infants: A randomized controlled trial. PMID 33935111</w:t>
      </w:r>
    </w:p>
    <w:p>
      <w:pPr>
        <w:numPr>
          <w:ilvl w:val="0"/>
          <w:numId w:val="1407"/>
        </w:numPr>
        <w:pStyle w:val="Compact"/>
      </w:pPr>
      <w:r>
        <w:t xml:space="preserve">2021 · Poljakovic Z ·</w:t>
      </w:r>
      <w:r>
        <w:t xml:space="preserve"> </w:t>
      </w:r>
      <w:r>
        <w:rPr>
          <w:iCs/>
          <w:i/>
        </w:rPr>
        <w:t xml:space="preserve">Clin Neurol Neurosurg</w:t>
      </w:r>
      <w:r>
        <w:t xml:space="preserve"> </w:t>
      </w:r>
      <w:r>
        <w:t xml:space="preserve">· Efficacy and safety of Cerebrolysin after futile recanalisation therapy in patients with severe stroke. PMID 34214867</w:t>
      </w:r>
    </w:p>
    <w:p>
      <w:pPr>
        <w:numPr>
          <w:ilvl w:val="0"/>
          <w:numId w:val="1407"/>
        </w:numPr>
        <w:pStyle w:val="Compact"/>
      </w:pPr>
      <w:r>
        <w:t xml:space="preserve">2020 · Woo PYM ·</w:t>
      </w:r>
      <w:r>
        <w:t xml:space="preserve"> </w:t>
      </w:r>
      <w:r>
        <w:rPr>
          <w:iCs/>
          <w:i/>
        </w:rPr>
        <w:t xml:space="preserve">BMC Neurol</w:t>
      </w:r>
      <w:r>
        <w:t xml:space="preserve"> </w:t>
      </w:r>
      <w:r>
        <w:t xml:space="preserve">· Randomized, placebo-controlled, double-blind, pilot trial to investigate safety and efficacy of Cerebrolysin in patients with aneurysmal subarachnoid hemorrhage. PMID 33143640</w:t>
      </w:r>
    </w:p>
    <w:p>
      <w:pPr>
        <w:numPr>
          <w:ilvl w:val="0"/>
          <w:numId w:val="1407"/>
        </w:numPr>
        <w:pStyle w:val="Compact"/>
      </w:pPr>
      <w:r>
        <w:t xml:space="preserve">2020 · Birle C ·</w:t>
      </w:r>
      <w:r>
        <w:t xml:space="preserve"> </w:t>
      </w:r>
      <w:r>
        <w:rPr>
          <w:iCs/>
          <w:i/>
        </w:rPr>
        <w:t xml:space="preserve">J Med Life</w:t>
      </w:r>
      <w:r>
        <w:t xml:space="preserve"> </w:t>
      </w:r>
      <w:r>
        <w:t xml:space="preserve">· The Effect of Cerebrolysin on the Predictive Value of Baseline Prognostic Risk Score in Moderate and Severe Traumatic Brain Injury. PMID 33072197</w:t>
      </w:r>
    </w:p>
    <w:p>
      <w:pPr>
        <w:numPr>
          <w:ilvl w:val="0"/>
          <w:numId w:val="1407"/>
        </w:numPr>
        <w:pStyle w:val="Compact"/>
      </w:pPr>
      <w:r>
        <w:t xml:space="preserve">2020 · Muresanu DF ·</w:t>
      </w:r>
      <w:r>
        <w:t xml:space="preserve"> </w:t>
      </w:r>
      <w:r>
        <w:rPr>
          <w:iCs/>
          <w:i/>
        </w:rPr>
        <w:t xml:space="preserve">Neurol Sci</w:t>
      </w:r>
      <w:r>
        <w:t xml:space="preserve"> </w:t>
      </w:r>
      <w:r>
        <w:t xml:space="preserve">· Efficacy and safety of cerebrolysin in neurorecovery after moderate-severe traumatic brain injury: results from the CAPTAIN II trial. PMID 31897941</w:t>
      </w:r>
    </w:p>
    <w:p>
      <w:pPr>
        <w:numPr>
          <w:ilvl w:val="0"/>
          <w:numId w:val="1407"/>
        </w:numPr>
        <w:pStyle w:val="Compact"/>
      </w:pPr>
      <w:r>
        <w:t xml:space="preserve">2020 · Poon W ·</w:t>
      </w:r>
      <w:r>
        <w:t xml:space="preserve"> </w:t>
      </w:r>
      <w:r>
        <w:rPr>
          <w:iCs/>
          <w:i/>
        </w:rPr>
        <w:t xml:space="preserve">Neurol Sci</w:t>
      </w:r>
      <w:r>
        <w:t xml:space="preserve"> </w:t>
      </w:r>
      <w:r>
        <w:t xml:space="preserve">· Safety and efficacy of Cerebrolysin in acute brain injury and neurorecovery: CAPTAIN I-a randomized, placebo-controlled, double-blind, Asian-Pacific trial. PMID 31494820</w:t>
      </w:r>
    </w:p>
    <w:p>
      <w:pPr>
        <w:numPr>
          <w:ilvl w:val="0"/>
          <w:numId w:val="1407"/>
        </w:numPr>
        <w:pStyle w:val="Compact"/>
      </w:pPr>
      <w:r>
        <w:t xml:space="preserve">2018 · Allam AFA ·</w:t>
      </w:r>
      <w:r>
        <w:t xml:space="preserve"> </w:t>
      </w:r>
      <w:r>
        <w:rPr>
          <w:iCs/>
          <w:i/>
        </w:rPr>
        <w:t xml:space="preserve">Spine J</w:t>
      </w:r>
      <w:r>
        <w:t xml:space="preserve"> </w:t>
      </w:r>
      <w:r>
        <w:t xml:space="preserve">· Role of Cerebrolysin in cervical spondylotic myelopathy patients: a prospective randomized study. PMID 29155000</w:t>
      </w:r>
    </w:p>
    <w:p>
      <w:pPr>
        <w:numPr>
          <w:ilvl w:val="0"/>
          <w:numId w:val="1407"/>
        </w:numPr>
        <w:pStyle w:val="Compact"/>
      </w:pPr>
      <w:r>
        <w:t xml:space="preserve">2017 · Stan A ·</w:t>
      </w:r>
      <w:r>
        <w:t xml:space="preserve"> </w:t>
      </w:r>
      <w:r>
        <w:rPr>
          <w:iCs/>
          <w:i/>
        </w:rPr>
        <w:t xml:space="preserve">J Med Life</w:t>
      </w:r>
      <w:r>
        <w:t xml:space="preserve"> </w:t>
      </w:r>
      <w:r>
        <w:t xml:space="preserve">· Cerebrolysin and early neurorehabilitation in patients with acute ischemic stroke: a prospective, randomized, placebo-controlled clinical study. PMID 29362596</w:t>
      </w:r>
    </w:p>
    <w:p>
      <w:pPr>
        <w:numPr>
          <w:ilvl w:val="0"/>
          <w:numId w:val="1407"/>
        </w:numPr>
        <w:pStyle w:val="Compact"/>
      </w:pPr>
      <w:r>
        <w:t xml:space="preserve">2017 · Karakulova YV ·</w:t>
      </w:r>
      <w:r>
        <w:t xml:space="preserve"> </w:t>
      </w:r>
      <w:r>
        <w:rPr>
          <w:iCs/>
          <w:i/>
        </w:rPr>
        <w:t xml:space="preserve">Zh Nevrol Psikhiatr Im S S Korsakova</w:t>
      </w:r>
      <w:r>
        <w:t xml:space="preserve"> </w:t>
      </w:r>
      <w:r>
        <w:t xml:space="preserve">· [Monitoring of neurotrophic factors and cognitive function in patients with traumatic brain injury]. PMID 29171486</w:t>
      </w:r>
    </w:p>
    <w:p>
      <w:pPr>
        <w:numPr>
          <w:ilvl w:val="0"/>
          <w:numId w:val="1407"/>
        </w:numPr>
        <w:pStyle w:val="Compact"/>
      </w:pPr>
      <w:r>
        <w:t xml:space="preserve">2017 · Gharagozli K ·</w:t>
      </w:r>
      <w:r>
        <w:t xml:space="preserve"> </w:t>
      </w:r>
      <w:r>
        <w:rPr>
          <w:iCs/>
          <w:i/>
        </w:rPr>
        <w:t xml:space="preserve">J Med Life</w:t>
      </w:r>
      <w:r>
        <w:t xml:space="preserve"> </w:t>
      </w:r>
      <w:r>
        <w:t xml:space="preserve">· Efficacy and safety of Cerebrolysin treatment in early recovery after acute ischemic stroke: a randomized, placebo-controlled, double-blinded, multicenter clinical trial. PMID 29075343</w:t>
      </w:r>
    </w:p>
    <w:p>
      <w:pPr>
        <w:numPr>
          <w:ilvl w:val="0"/>
          <w:numId w:val="1407"/>
        </w:numPr>
        <w:pStyle w:val="Compact"/>
      </w:pPr>
      <w:r>
        <w:t xml:space="preserve">2017 · Nasiri J ·</w:t>
      </w:r>
      <w:r>
        <w:t xml:space="preserve"> </w:t>
      </w:r>
      <w:r>
        <w:rPr>
          <w:iCs/>
          <w:i/>
        </w:rPr>
        <w:t xml:space="preserve">Acta Neurol Belg</w:t>
      </w:r>
      <w:r>
        <w:t xml:space="preserve"> </w:t>
      </w:r>
      <w:r>
        <w:t xml:space="preserve">· Effect of cerebrolysin on gross motor function of children with cerebral palsy: a clinical trial. PMID 28074392</w:t>
      </w:r>
    </w:p>
    <w:p>
      <w:pPr>
        <w:numPr>
          <w:ilvl w:val="0"/>
          <w:numId w:val="1407"/>
        </w:numPr>
        <w:pStyle w:val="Compact"/>
      </w:pPr>
      <w:r>
        <w:t xml:space="preserve">2016 · Khabirov FA ·</w:t>
      </w:r>
      <w:r>
        <w:t xml:space="preserve"> </w:t>
      </w:r>
      <w:r>
        <w:rPr>
          <w:iCs/>
          <w:i/>
        </w:rPr>
        <w:t xml:space="preserve">Zh Nevrol Psikhiatr Im S S Korsakova</w:t>
      </w:r>
      <w:r>
        <w:t xml:space="preserve"> </w:t>
      </w:r>
      <w:r>
        <w:t xml:space="preserve">· [Effect of cerebrolysin on remyelination processes in multiple sclerosis patients in stage of relapse regression]. PMID 28139626</w:t>
      </w:r>
    </w:p>
    <w:p>
      <w:pPr>
        <w:numPr>
          <w:ilvl w:val="0"/>
          <w:numId w:val="1407"/>
        </w:numPr>
        <w:pStyle w:val="Compact"/>
      </w:pPr>
      <w:r>
        <w:t xml:space="preserve">2016 · Iznak AF ·</w:t>
      </w:r>
      <w:r>
        <w:t xml:space="preserve"> </w:t>
      </w:r>
      <w:r>
        <w:rPr>
          <w:iCs/>
          <w:i/>
        </w:rPr>
        <w:t xml:space="preserve">Zh Nevrol Psikhiatr Im S S Korsakova</w:t>
      </w:r>
      <w:r>
        <w:t xml:space="preserve"> </w:t>
      </w:r>
      <w:r>
        <w:t xml:space="preserve">· [Comparative dynamics of EEG parameters in elderly depressive patients during monotherapy and combined therapy]. PMID 26977625</w:t>
      </w:r>
    </w:p>
    <w:p>
      <w:pPr>
        <w:numPr>
          <w:ilvl w:val="0"/>
          <w:numId w:val="1407"/>
        </w:numPr>
        <w:pStyle w:val="Compact"/>
      </w:pPr>
      <w:r>
        <w:t xml:space="preserve">2016 · Chang WH ·</w:t>
      </w:r>
      <w:r>
        <w:t xml:space="preserve"> </w:t>
      </w:r>
      <w:r>
        <w:rPr>
          <w:iCs/>
          <w:i/>
        </w:rPr>
        <w:t xml:space="preserve">BMC Neurol</w:t>
      </w:r>
      <w:r>
        <w:t xml:space="preserve"> </w:t>
      </w:r>
      <w:r>
        <w:t xml:space="preserve">· Cerebrolysin combined with rehabilitation promotes motor recovery in patients with severe motor impairment after stroke. PMID 26934986</w:t>
      </w:r>
    </w:p>
    <w:p>
      <w:pPr>
        <w:numPr>
          <w:ilvl w:val="0"/>
          <w:numId w:val="1407"/>
        </w:numPr>
        <w:pStyle w:val="Compact"/>
      </w:pPr>
      <w:r>
        <w:t xml:space="preserve">2016 · Muresanu DF ·</w:t>
      </w:r>
      <w:r>
        <w:t xml:space="preserve"> </w:t>
      </w:r>
      <w:r>
        <w:rPr>
          <w:iCs/>
          <w:i/>
        </w:rPr>
        <w:t xml:space="preserve">Stroke</w:t>
      </w:r>
      <w:r>
        <w:t xml:space="preserve"> </w:t>
      </w:r>
      <w:r>
        <w:t xml:space="preserve">· Cerebrolysin and Recovery After Stroke (CARS): A Randomized, Placebo-Controlled, Double-Blind, Multicenter Trial. PMID 26564102</w:t>
      </w:r>
    </w:p>
    <w:p>
      <w:pPr>
        <w:numPr>
          <w:ilvl w:val="0"/>
          <w:numId w:val="1407"/>
        </w:numPr>
        <w:pStyle w:val="Compact"/>
      </w:pPr>
      <w:r>
        <w:t xml:space="preserve">2015 · Shishkova VN ·</w:t>
      </w:r>
      <w:r>
        <w:t xml:space="preserve"> </w:t>
      </w:r>
      <w:r>
        <w:rPr>
          <w:iCs/>
          <w:i/>
        </w:rPr>
        <w:t xml:space="preserve">Zh Nevrol Psikhiatr Im S S Korsakova</w:t>
      </w:r>
      <w:r>
        <w:t xml:space="preserve"> </w:t>
      </w:r>
      <w:r>
        <w:t xml:space="preserve">· [An assessment of cerebrolysin effect on BDNF level in patients with post stroke aphasia depending on carbohydrate metabolism disorders]. PMID 26356162</w:t>
      </w:r>
    </w:p>
    <w:p>
      <w:pPr>
        <w:numPr>
          <w:ilvl w:val="0"/>
          <w:numId w:val="1407"/>
        </w:numPr>
        <w:pStyle w:val="Compact"/>
      </w:pPr>
      <w:r>
        <w:t xml:space="preserve">2014 · Talypov AE ·</w:t>
      </w:r>
      <w:r>
        <w:t xml:space="preserve"> </w:t>
      </w:r>
      <w:r>
        <w:rPr>
          <w:iCs/>
          <w:i/>
        </w:rPr>
        <w:t xml:space="preserve">Zh Nevrol Psikhiatr Im S S Korsakova</w:t>
      </w:r>
      <w:r>
        <w:t xml:space="preserve"> </w:t>
      </w:r>
      <w:r>
        <w:t xml:space="preserve">· [Cerebrolysin in the treatment of brain injuries of moderate severity]. PMID 25591645</w:t>
      </w:r>
    </w:p>
    <w:p>
      <w:pPr>
        <w:numPr>
          <w:ilvl w:val="0"/>
          <w:numId w:val="1407"/>
        </w:numPr>
        <w:pStyle w:val="Compact"/>
      </w:pPr>
      <w:r>
        <w:t xml:space="preserve">2014 · Anisimova AV ·</w:t>
      </w:r>
      <w:r>
        <w:t xml:space="preserve"> </w:t>
      </w:r>
      <w:r>
        <w:rPr>
          <w:iCs/>
          <w:i/>
        </w:rPr>
        <w:t xml:space="preserve">Zh Nevrol Psikhiatr Im S S Korsakova</w:t>
      </w:r>
      <w:r>
        <w:t xml:space="preserve"> </w:t>
      </w:r>
      <w:r>
        <w:t xml:space="preserve">· [An impact of neuroprotective therapy on blood rheological and morphodensitometric parameters in patients with chronic cerebral ischemia]. PMID 25591521</w:t>
      </w:r>
    </w:p>
    <w:p>
      <w:pPr>
        <w:numPr>
          <w:ilvl w:val="0"/>
          <w:numId w:val="1407"/>
        </w:numPr>
        <w:pStyle w:val="Compact"/>
      </w:pPr>
      <w:r>
        <w:t xml:space="preserve">2014 · Anisimova AV ·</w:t>
      </w:r>
      <w:r>
        <w:t xml:space="preserve"> </w:t>
      </w:r>
      <w:r>
        <w:rPr>
          <w:iCs/>
          <w:i/>
        </w:rPr>
        <w:t xml:space="preserve">Zh Nevrol Psikhiatr Im S S Korsakova</w:t>
      </w:r>
      <w:r>
        <w:t xml:space="preserve"> </w:t>
      </w:r>
      <w:r>
        <w:t xml:space="preserve">· [Neuroprotective treatment of chronic cerebrovascular insufficiency]. PMID 25176263</w:t>
      </w:r>
    </w:p>
    <w:p>
      <w:pPr>
        <w:numPr>
          <w:ilvl w:val="0"/>
          <w:numId w:val="1407"/>
        </w:numPr>
        <w:pStyle w:val="Compact"/>
      </w:pPr>
      <w:r>
        <w:t xml:space="preserve">2013 · Zavadenko NN ·</w:t>
      </w:r>
      <w:r>
        <w:t xml:space="preserve"> </w:t>
      </w:r>
      <w:r>
        <w:rPr>
          <w:iCs/>
          <w:i/>
        </w:rPr>
        <w:t xml:space="preserve">Zh Nevrol Psikhiatr Im S S Korsakova</w:t>
      </w:r>
      <w:r>
        <w:t xml:space="preserve"> </w:t>
      </w:r>
      <w:r>
        <w:t xml:space="preserve">· [Developmental dysphasia in children: perspectives of neurotrophic therapy]. PMID 23739513</w:t>
      </w:r>
    </w:p>
    <w:p>
      <w:pPr>
        <w:numPr>
          <w:ilvl w:val="0"/>
          <w:numId w:val="1407"/>
        </w:numPr>
        <w:pStyle w:val="Compact"/>
      </w:pPr>
      <w:r>
        <w:t xml:space="preserve">2013 · Chen CC ·</w:t>
      </w:r>
      <w:r>
        <w:t xml:space="preserve"> </w:t>
      </w:r>
      <w:r>
        <w:rPr>
          <w:iCs/>
          <w:i/>
        </w:rPr>
        <w:t xml:space="preserve">Br J Neurosurg</w:t>
      </w:r>
      <w:r>
        <w:t xml:space="preserve"> </w:t>
      </w:r>
      <w:r>
        <w:t xml:space="preserve">· Cerebrolysin enhances cognitive recovery of mild traumatic brain injury patients: double-blind, placebo-controlled, randomized study. PMID 23656173</w:t>
      </w:r>
    </w:p>
    <w:p>
      <w:pPr>
        <w:numPr>
          <w:ilvl w:val="0"/>
          <w:numId w:val="1407"/>
        </w:numPr>
        <w:pStyle w:val="Compact"/>
      </w:pPr>
      <w:r>
        <w:t xml:space="preserve">2013 · Lang W ·</w:t>
      </w:r>
      <w:r>
        <w:t xml:space="preserve"> </w:t>
      </w:r>
      <w:r>
        <w:rPr>
          <w:iCs/>
          <w:i/>
        </w:rPr>
        <w:t xml:space="preserve">Int J Stroke</w:t>
      </w:r>
      <w:r>
        <w:t xml:space="preserve"> </w:t>
      </w:r>
      <w:r>
        <w:t xml:space="preserve">· A prospective, randomized, placebo-controlled, double-blind trial about safety and efficacy of combined treatment with alteplase (rt-PA) and Cerebrolysin in acute ischaemic hemispheric stroke. PMID 23009193</w:t>
      </w:r>
    </w:p>
    <w:p>
      <w:pPr>
        <w:numPr>
          <w:ilvl w:val="0"/>
          <w:numId w:val="1407"/>
        </w:numPr>
        <w:pStyle w:val="Compact"/>
      </w:pPr>
      <w:r>
        <w:t xml:space="preserve">2012 · Xiao S ·</w:t>
      </w:r>
      <w:r>
        <w:t xml:space="preserve"> </w:t>
      </w:r>
      <w:r>
        <w:rPr>
          <w:iCs/>
          <w:i/>
        </w:rPr>
        <w:t xml:space="preserve">Aust N Z J Psychiatry</w:t>
      </w:r>
      <w:r>
        <w:t xml:space="preserve"> </w:t>
      </w:r>
      <w:r>
        <w:t xml:space="preserve">· Therapeutic effects of cerebrolysin added to risperidone in patients with schizophrenia dominated by negative symptoms. PMID 22311531</w:t>
      </w:r>
    </w:p>
    <w:p>
      <w:pPr>
        <w:numPr>
          <w:ilvl w:val="0"/>
          <w:numId w:val="1407"/>
        </w:numPr>
        <w:pStyle w:val="Compact"/>
      </w:pPr>
      <w:r>
        <w:t xml:space="preserve">2012 · Heiss WD ·</w:t>
      </w:r>
      <w:r>
        <w:t xml:space="preserve"> </w:t>
      </w:r>
      <w:r>
        <w:rPr>
          <w:iCs/>
          <w:i/>
        </w:rPr>
        <w:t xml:space="preserve">Stroke</w:t>
      </w:r>
      <w:r>
        <w:t xml:space="preserve"> </w:t>
      </w:r>
      <w:r>
        <w:t xml:space="preserve">· Cerebrolysin in patients with acute ischemic stroke in Asia: results of a double-blind, placebo-controlled randomized trial. PMID 22282884</w:t>
      </w:r>
    </w:p>
    <w:p>
      <w:pPr>
        <w:numPr>
          <w:ilvl w:val="0"/>
          <w:numId w:val="1407"/>
        </w:numPr>
        <w:pStyle w:val="Compact"/>
      </w:pPr>
      <w:r>
        <w:t xml:space="preserve">2011 · Ershov VI ·</w:t>
      </w:r>
      <w:r>
        <w:t xml:space="preserve"> </w:t>
      </w:r>
      <w:r>
        <w:rPr>
          <w:iCs/>
          <w:i/>
        </w:rPr>
        <w:t xml:space="preserve">Zh Nevrol Psikhiatr Im S S Korsakova</w:t>
      </w:r>
      <w:r>
        <w:t xml:space="preserve"> </w:t>
      </w:r>
      <w:r>
        <w:t xml:space="preserve">· [Comparative aspects of using neuroprotectors in the management of patients with ischemic stroke]. PMID 22224244</w:t>
      </w:r>
    </w:p>
    <w:p>
      <w:pPr>
        <w:numPr>
          <w:ilvl w:val="0"/>
          <w:numId w:val="1407"/>
        </w:numPr>
        <w:pStyle w:val="Compact"/>
      </w:pPr>
      <w:r>
        <w:t xml:space="preserve">2011 · Alvarez XA ·</w:t>
      </w:r>
      <w:r>
        <w:t xml:space="preserve"> </w:t>
      </w:r>
      <w:r>
        <w:rPr>
          <w:iCs/>
          <w:i/>
        </w:rPr>
        <w:t xml:space="preserve">Curr Alzheimer Res</w:t>
      </w:r>
      <w:r>
        <w:t xml:space="preserve"> </w:t>
      </w:r>
      <w:r>
        <w:t xml:space="preserve">· Combination treatment in Alzheimer’s disease: results of a randomized, controlled trial with cerebrolysin and donepezil. PMID 21679156</w:t>
      </w:r>
    </w:p>
    <w:p>
      <w:pPr>
        <w:numPr>
          <w:ilvl w:val="0"/>
          <w:numId w:val="1407"/>
        </w:numPr>
        <w:pStyle w:val="Compact"/>
      </w:pPr>
      <w:r>
        <w:t xml:space="preserve">2011 · Zhivolupov SA ·</w:t>
      </w:r>
      <w:r>
        <w:t xml:space="preserve"> </w:t>
      </w:r>
      <w:r>
        <w:rPr>
          <w:iCs/>
          <w:i/>
        </w:rPr>
        <w:t xml:space="preserve">Zh Nevrol Psikhiatr Im S S Korsakova</w:t>
      </w:r>
      <w:r>
        <w:t xml:space="preserve"> </w:t>
      </w:r>
      <w:r>
        <w:t xml:space="preserve">· [The сomparative analysis of neyromidin and cerebrolysin effects on neurodynamic processes during craniocerebral injury]. PMID 21512498</w:t>
      </w:r>
    </w:p>
    <w:p>
      <w:pPr>
        <w:numPr>
          <w:ilvl w:val="0"/>
          <w:numId w:val="1407"/>
        </w:numPr>
        <w:pStyle w:val="Compact"/>
      </w:pPr>
      <w:r>
        <w:t xml:space="preserve">2011 · Bogdanov EI ·</w:t>
      </w:r>
      <w:r>
        <w:t xml:space="preserve"> </w:t>
      </w:r>
      <w:r>
        <w:rPr>
          <w:iCs/>
          <w:i/>
        </w:rPr>
        <w:t xml:space="preserve">Zh Nevrol Psikhiatr Im S S Korsakova</w:t>
      </w:r>
      <w:r>
        <w:t xml:space="preserve"> </w:t>
      </w:r>
      <w:r>
        <w:t xml:space="preserve">· [Efficiency of cerebrolysin in the diabetic polyneuropathy in patients with insulin-dependency diabetes mellitus]. PMID 21350421</w:t>
      </w:r>
    </w:p>
    <w:p>
      <w:pPr>
        <w:numPr>
          <w:ilvl w:val="0"/>
          <w:numId w:val="1407"/>
        </w:numPr>
        <w:pStyle w:val="Compact"/>
      </w:pPr>
      <w:r>
        <w:t xml:space="preserve">2011 · Guekht AB ·</w:t>
      </w:r>
      <w:r>
        <w:t xml:space="preserve"> </w:t>
      </w:r>
      <w:r>
        <w:rPr>
          <w:iCs/>
          <w:i/>
        </w:rPr>
        <w:t xml:space="preserve">J Stroke Cerebrovasc Dis</w:t>
      </w:r>
      <w:r>
        <w:t xml:space="preserve"> </w:t>
      </w:r>
      <w:r>
        <w:t xml:space="preserve">· Cerebrolysin in vascular dementia: improvement of clinical outcome in a randomized, double-blind, placebo-controlled multicenter trial. PMID 20656516</w:t>
      </w:r>
    </w:p>
    <w:p>
      <w:pPr>
        <w:numPr>
          <w:ilvl w:val="0"/>
          <w:numId w:val="1407"/>
        </w:numPr>
        <w:pStyle w:val="Compact"/>
      </w:pPr>
      <w:r>
        <w:t xml:space="preserve">2011 · Alvarez XA ·</w:t>
      </w:r>
      <w:r>
        <w:t xml:space="preserve"> </w:t>
      </w:r>
      <w:r>
        <w:rPr>
          <w:iCs/>
          <w:i/>
        </w:rPr>
        <w:t xml:space="preserve">Eur J Neurol</w:t>
      </w:r>
      <w:r>
        <w:t xml:space="preserve"> </w:t>
      </w:r>
      <w:r>
        <w:t xml:space="preserve">· Efficacy and safety of Cerebrolysin in moderate to moderately severe Alzheimer’s disease: results of a randomized, double-blind, controlled trial investigating three dosages of Cerebrolysin. PMID 20500802</w:t>
      </w:r>
    </w:p>
    <w:p>
      <w:pPr>
        <w:numPr>
          <w:ilvl w:val="0"/>
          <w:numId w:val="1407"/>
        </w:numPr>
        <w:pStyle w:val="Compact"/>
      </w:pPr>
      <w:r>
        <w:t xml:space="preserve">2010 · Shamalov NA ·</w:t>
      </w:r>
      <w:r>
        <w:t xml:space="preserve"> </w:t>
      </w:r>
      <w:r>
        <w:rPr>
          <w:iCs/>
          <w:i/>
        </w:rPr>
        <w:t xml:space="preserve">Zh Nevrol Psikhiatr Im S S Korsakova</w:t>
      </w:r>
      <w:r>
        <w:t xml:space="preserve"> </w:t>
      </w:r>
      <w:r>
        <w:t xml:space="preserve">· [The effect of cerebrolysin in dosage 50 ml on the volume of lesion in ischemic stroke]. PMID 21626816</w:t>
      </w:r>
    </w:p>
    <w:p>
      <w:pPr>
        <w:numPr>
          <w:ilvl w:val="0"/>
          <w:numId w:val="1407"/>
        </w:numPr>
        <w:pStyle w:val="Compact"/>
      </w:pPr>
      <w:r>
        <w:t xml:space="preserve">2010 · Iznak EV ·</w:t>
      </w:r>
      <w:r>
        <w:t xml:space="preserve"> </w:t>
      </w:r>
      <w:r>
        <w:rPr>
          <w:iCs/>
          <w:i/>
        </w:rPr>
        <w:t xml:space="preserve">Zh Nevrol Psikhiatr Im S S Korsakova</w:t>
      </w:r>
      <w:r>
        <w:t xml:space="preserve"> </w:t>
      </w:r>
      <w:r>
        <w:t xml:space="preserve">· [Electrophysiological correlates of efficacy of nootropic drugs in the treatment of consequences of traumatic brain injury in adolescents]. PMID 21322822</w:t>
      </w:r>
    </w:p>
    <w:p>
      <w:pPr>
        <w:numPr>
          <w:ilvl w:val="0"/>
          <w:numId w:val="1407"/>
        </w:numPr>
        <w:pStyle w:val="Compact"/>
      </w:pPr>
      <w:r>
        <w:t xml:space="preserve">2010 · Bajenaru O ·</w:t>
      </w:r>
      <w:r>
        <w:t xml:space="preserve"> </w:t>
      </w:r>
      <w:r>
        <w:rPr>
          <w:iCs/>
          <w:i/>
        </w:rPr>
        <w:t xml:space="preserve">J Med Life</w:t>
      </w:r>
      <w:r>
        <w:t xml:space="preserve"> </w:t>
      </w:r>
      <w:r>
        <w:t xml:space="preserve">· Efficacy and safety of Cerebrolysin in patients with hemorrhagic stroke. PMID 20968198</w:t>
      </w:r>
    </w:p>
    <w:p>
      <w:pPr>
        <w:numPr>
          <w:ilvl w:val="0"/>
          <w:numId w:val="1407"/>
        </w:numPr>
        <w:pStyle w:val="Compact"/>
      </w:pPr>
      <w:r>
        <w:t xml:space="preserve">2010 · Jianu DC ·</w:t>
      </w:r>
      <w:r>
        <w:t xml:space="preserve"> </w:t>
      </w:r>
      <w:r>
        <w:rPr>
          <w:iCs/>
          <w:i/>
        </w:rPr>
        <w:t xml:space="preserve">J Med Life</w:t>
      </w:r>
      <w:r>
        <w:t xml:space="preserve"> </w:t>
      </w:r>
      <w:r>
        <w:t xml:space="preserve">· Cerebrolysin adjuvant treatment in Broca’s aphasics following first acute ischemic stroke of the left middle cerebral artery. PMID 20945821</w:t>
      </w:r>
    </w:p>
    <w:p>
      <w:pPr>
        <w:numPr>
          <w:ilvl w:val="0"/>
          <w:numId w:val="1407"/>
        </w:numPr>
        <w:pStyle w:val="Compact"/>
      </w:pPr>
      <w:r>
        <w:t xml:space="preserve">2010 · Muresanu DF ·</w:t>
      </w:r>
      <w:r>
        <w:t xml:space="preserve"> </w:t>
      </w:r>
      <w:r>
        <w:rPr>
          <w:iCs/>
          <w:i/>
        </w:rPr>
        <w:t xml:space="preserve">J Neurol Sci</w:t>
      </w:r>
      <w:r>
        <w:t xml:space="preserve"> </w:t>
      </w:r>
      <w:r>
        <w:t xml:space="preserve">· Persistence of the effects of Cerebrolysin on cognition and qEEG slowing in vascular dementia patients: results of a 3-month extension study. PMID 20923712</w:t>
      </w:r>
    </w:p>
    <w:p>
      <w:pPr>
        <w:numPr>
          <w:ilvl w:val="0"/>
          <w:numId w:val="1407"/>
        </w:numPr>
        <w:pStyle w:val="Compact"/>
      </w:pPr>
      <w:r>
        <w:t xml:space="preserve">2010 · ·</w:t>
      </w:r>
      <w:r>
        <w:t xml:space="preserve"> </w:t>
      </w:r>
      <w:r>
        <w:rPr>
          <w:iCs/>
          <w:i/>
        </w:rPr>
        <w:t xml:space="preserve">Zh Nevrol Psikhiatr Im S S Korsakova</w:t>
      </w:r>
      <w:r>
        <w:t xml:space="preserve"> </w:t>
      </w:r>
      <w:r>
        <w:t xml:space="preserve">· [Electrophysiological correlates of efficacy of nootropic drugs in the treatment of consequences of traumatic brain injury in adolescents]. PMID 20559264</w:t>
      </w:r>
    </w:p>
    <w:p>
      <w:pPr>
        <w:numPr>
          <w:ilvl w:val="0"/>
          <w:numId w:val="1407"/>
        </w:numPr>
        <w:pStyle w:val="Compact"/>
      </w:pPr>
      <w:r>
        <w:t xml:space="preserve">2010 · Gavrilova SI ·</w:t>
      </w:r>
      <w:r>
        <w:t xml:space="preserve"> </w:t>
      </w:r>
      <w:r>
        <w:rPr>
          <w:iCs/>
          <w:i/>
        </w:rPr>
        <w:t xml:space="preserve">Zh Nevrol Psikhiatr Im S S Korsakova</w:t>
      </w:r>
      <w:r>
        <w:t xml:space="preserve"> </w:t>
      </w:r>
      <w:r>
        <w:t xml:space="preserve">· [Possibilities of preventive treatment of Alzheimer’s disease: results of the 3-year open prospective comparative study on efficacy and safety of the course therapy with cerebrolysin and cavinton in elderly patients with the syndrome of mild cognitive impairment]. PMID 20436440</w:t>
      </w:r>
    </w:p>
    <w:p>
      <w:pPr>
        <w:numPr>
          <w:ilvl w:val="0"/>
          <w:numId w:val="1407"/>
        </w:numPr>
        <w:pStyle w:val="Compact"/>
      </w:pPr>
      <w:r>
        <w:t xml:space="preserve">2009 · Hong Z ·</w:t>
      </w:r>
      <w:r>
        <w:t xml:space="preserve"> </w:t>
      </w:r>
      <w:r>
        <w:rPr>
          <w:iCs/>
          <w:i/>
        </w:rPr>
        <w:t xml:space="preserve">Int J Stroke</w:t>
      </w:r>
      <w:r>
        <w:t xml:space="preserve"> </w:t>
      </w:r>
      <w:r>
        <w:t xml:space="preserve">· A double-blind, placebo-controlled, randomized trial to evaluate the safety and efficacy of Cerebrolysin in patients with acute ischaemic stroke in Asia–CASTA. PMID 19765131</w:t>
      </w:r>
    </w:p>
    <w:p>
      <w:pPr>
        <w:numPr>
          <w:ilvl w:val="0"/>
          <w:numId w:val="1407"/>
        </w:numPr>
        <w:pStyle w:val="Compact"/>
      </w:pPr>
      <w:r>
        <w:t xml:space="preserve">2009 · Alvarez XA ·</w:t>
      </w:r>
      <w:r>
        <w:t xml:space="preserve"> </w:t>
      </w:r>
      <w:r>
        <w:rPr>
          <w:iCs/>
          <w:i/>
        </w:rPr>
        <w:t xml:space="preserve">Int J Neuropsychopharmacol</w:t>
      </w:r>
      <w:r>
        <w:t xml:space="preserve"> </w:t>
      </w:r>
      <w:r>
        <w:t xml:space="preserve">· Reduced TNF-α and increased IGF-I levels in the serum of Alzheimer’s disease patients treated with the neurotrophic agent cerebrolysin. PMID 19531281</w:t>
      </w:r>
    </w:p>
    <w:p>
      <w:pPr>
        <w:numPr>
          <w:ilvl w:val="0"/>
          <w:numId w:val="1407"/>
        </w:numPr>
        <w:pStyle w:val="Compact"/>
      </w:pPr>
      <w:r>
        <w:t xml:space="preserve">2009 · Maksimova MIu ·</w:t>
      </w:r>
      <w:r>
        <w:t xml:space="preserve"> </w:t>
      </w:r>
      <w:r>
        <w:rPr>
          <w:iCs/>
          <w:i/>
        </w:rPr>
        <w:t xml:space="preserve">Zh Nevrol Psikhiatr Im S S Korsakova</w:t>
      </w:r>
      <w:r>
        <w:t xml:space="preserve"> </w:t>
      </w:r>
      <w:r>
        <w:t xml:space="preserve">· [Effectiveness of cerebrolysin in hypertensive supratentorial intracranial hemorrhages: results of a randomized triple blind placebo-controled study]. PMID 19156082</w:t>
      </w:r>
    </w:p>
    <w:p>
      <w:pPr>
        <w:numPr>
          <w:ilvl w:val="0"/>
          <w:numId w:val="1407"/>
        </w:numPr>
        <w:pStyle w:val="Compact"/>
      </w:pPr>
      <w:r>
        <w:t xml:space="preserve">2008 · Kul’chikov AE ·</w:t>
      </w:r>
      <w:r>
        <w:t xml:space="preserve"> </w:t>
      </w:r>
      <w:r>
        <w:rPr>
          <w:iCs/>
          <w:i/>
        </w:rPr>
        <w:t xml:space="preserve">Eksp Klin Farmakol</w:t>
      </w:r>
      <w:r>
        <w:t xml:space="preserve"> </w:t>
      </w:r>
      <w:r>
        <w:t xml:space="preserve">· [Neuroimmunocorrection therapy for the prophylaxis of infectious complications in acute stroke patients]. PMID 19140514</w:t>
      </w:r>
    </w:p>
    <w:p>
      <w:pPr>
        <w:numPr>
          <w:ilvl w:val="0"/>
          <w:numId w:val="1407"/>
        </w:numPr>
        <w:pStyle w:val="Compact"/>
      </w:pPr>
      <w:r>
        <w:t xml:space="preserve">2008 · Serkina EV ·</w:t>
      </w:r>
      <w:r>
        <w:t xml:space="preserve"> </w:t>
      </w:r>
      <w:r>
        <w:rPr>
          <w:iCs/>
          <w:i/>
        </w:rPr>
        <w:t xml:space="preserve">Zh Nevrol Psikhiatr Im S S Korsakova</w:t>
      </w:r>
      <w:r>
        <w:t xml:space="preserve"> </w:t>
      </w:r>
      <w:r>
        <w:t xml:space="preserve">· [Cerebrolysin alleviates perinatal CNS disorders through the autoimmune modulation and antioxidant protection]. PMID 19008804</w:t>
      </w:r>
    </w:p>
    <w:p>
      <w:pPr>
        <w:numPr>
          <w:ilvl w:val="0"/>
          <w:numId w:val="1407"/>
        </w:numPr>
        <w:pStyle w:val="Compact"/>
      </w:pPr>
      <w:r>
        <w:t xml:space="preserve">2008 · Damulin IV ·</w:t>
      </w:r>
      <w:r>
        <w:t xml:space="preserve"> </w:t>
      </w:r>
      <w:r>
        <w:rPr>
          <w:iCs/>
          <w:i/>
        </w:rPr>
        <w:t xml:space="preserve">Neurosci Behav Physiol</w:t>
      </w:r>
      <w:r>
        <w:t xml:space="preserve"> </w:t>
      </w:r>
      <w:r>
        <w:t xml:space="preserve">· Effects of cerebrolysin on moderate cognitive impairments in cerebral vascular insufficiency (a clinical-electrophysiological study). PMID 18607744</w:t>
      </w:r>
    </w:p>
    <w:p>
      <w:pPr>
        <w:numPr>
          <w:ilvl w:val="0"/>
          <w:numId w:val="1407"/>
        </w:numPr>
        <w:pStyle w:val="Compact"/>
      </w:pPr>
      <w:r>
        <w:t xml:space="preserve">2008 · Alvarez XA ·</w:t>
      </w:r>
      <w:r>
        <w:t xml:space="preserve"> </w:t>
      </w:r>
      <w:r>
        <w:rPr>
          <w:iCs/>
          <w:i/>
        </w:rPr>
        <w:t xml:space="preserve">J Neural Transm (Vienna)</w:t>
      </w:r>
      <w:r>
        <w:t xml:space="preserve"> </w:t>
      </w:r>
      <w:r>
        <w:t xml:space="preserve">· Reductions in qEEG slowing over 1 year and after treatment with Cerebrolysin in patients with moderate-severe traumatic brain injury. PMID 18273537</w:t>
      </w:r>
    </w:p>
    <w:p>
      <w:pPr>
        <w:numPr>
          <w:ilvl w:val="0"/>
          <w:numId w:val="1407"/>
        </w:numPr>
        <w:pStyle w:val="Compact"/>
      </w:pPr>
      <w:r>
        <w:t xml:space="preserve">2008 · Muresanu DF ·</w:t>
      </w:r>
      <w:r>
        <w:t xml:space="preserve"> </w:t>
      </w:r>
      <w:r>
        <w:rPr>
          <w:iCs/>
          <w:i/>
        </w:rPr>
        <w:t xml:space="preserve">J Neurol Sci</w:t>
      </w:r>
      <w:r>
        <w:t xml:space="preserve"> </w:t>
      </w:r>
      <w:r>
        <w:t xml:space="preserve">· A pilot study to evaluate the effects of Cerebrolysin on cognition and qEEG in vascular dementia: cognitive improvement correlates with qEEG acceleration. PMID 18048059</w:t>
      </w:r>
    </w:p>
    <w:p>
      <w:pPr>
        <w:numPr>
          <w:ilvl w:val="0"/>
          <w:numId w:val="1407"/>
        </w:numPr>
        <w:pStyle w:val="Compact"/>
      </w:pPr>
      <w:r>
        <w:t xml:space="preserve">2007 · Damulin IV ·</w:t>
      </w:r>
      <w:r>
        <w:t xml:space="preserve"> </w:t>
      </w:r>
      <w:r>
        <w:rPr>
          <w:iCs/>
          <w:i/>
        </w:rPr>
        <w:t xml:space="preserve">Zh Nevrol Psikhiatr Im S S Korsakova</w:t>
      </w:r>
      <w:r>
        <w:t xml:space="preserve"> </w:t>
      </w:r>
      <w:r>
        <w:t xml:space="preserve">· [The effect of cerebrolysin on moderate cognitive impairment in cerebral vascular insufficiency (a clinical and electrophysiological study)]. PMID 18379494</w:t>
      </w:r>
    </w:p>
    <w:p>
      <w:pPr>
        <w:numPr>
          <w:ilvl w:val="0"/>
          <w:numId w:val="1407"/>
        </w:numPr>
        <w:pStyle w:val="Compact"/>
      </w:pPr>
      <w:r>
        <w:t xml:space="preserve">2006 · Skwortsova VI ·</w:t>
      </w:r>
      <w:r>
        <w:t xml:space="preserve"> </w:t>
      </w:r>
      <w:r>
        <w:rPr>
          <w:iCs/>
          <w:i/>
        </w:rPr>
        <w:t xml:space="preserve">Zh Nevrol Psikhiatr Im S S Korsakova</w:t>
      </w:r>
      <w:r>
        <w:t xml:space="preserve"> </w:t>
      </w:r>
      <w:r>
        <w:t xml:space="preserve">· [Results of the multicenter prospective study of cerebrolysin safety and efficacy in acute stroke]. PMID 18196634</w:t>
      </w:r>
    </w:p>
    <w:p>
      <w:pPr>
        <w:numPr>
          <w:ilvl w:val="0"/>
          <w:numId w:val="1407"/>
        </w:numPr>
        <w:pStyle w:val="Compact"/>
      </w:pPr>
      <w:r>
        <w:t xml:space="preserve">2006 · Skorokhodov AP ·</w:t>
      </w:r>
      <w:r>
        <w:t xml:space="preserve"> </w:t>
      </w:r>
      <w:r>
        <w:rPr>
          <w:iCs/>
          <w:i/>
        </w:rPr>
        <w:t xml:space="preserve">Zh Nevrol Psikhiatr Im S S Korsakova</w:t>
      </w:r>
      <w:r>
        <w:t xml:space="preserve"> </w:t>
      </w:r>
      <w:r>
        <w:t xml:space="preserve">· [Comparative analysis of efficacy of certain neuroprotectors in ischemic stroke]. PMID 18193579</w:t>
      </w:r>
    </w:p>
    <w:p>
      <w:pPr>
        <w:numPr>
          <w:ilvl w:val="0"/>
          <w:numId w:val="1407"/>
        </w:numPr>
        <w:pStyle w:val="Compact"/>
      </w:pPr>
      <w:r>
        <w:t xml:space="preserve">2006 · Gaĭtetdinova DD ·</w:t>
      </w:r>
      <w:r>
        <w:t xml:space="preserve"> </w:t>
      </w:r>
      <w:r>
        <w:rPr>
          <w:iCs/>
          <w:i/>
        </w:rPr>
        <w:t xml:space="preserve">Eksp Klin Farmakol</w:t>
      </w:r>
      <w:r>
        <w:t xml:space="preserve"> </w:t>
      </w:r>
      <w:r>
        <w:t xml:space="preserve">· [Clastogenic, aneugenic, pro- and antioxidant properties of some neurotropic preparations]. PMID 16878503</w:t>
      </w:r>
    </w:p>
    <w:p>
      <w:pPr>
        <w:numPr>
          <w:ilvl w:val="0"/>
          <w:numId w:val="1407"/>
        </w:numPr>
        <w:pStyle w:val="Compact"/>
      </w:pPr>
      <w:r>
        <w:t xml:space="preserve">2006 · Radzivil MG ·</w:t>
      </w:r>
      <w:r>
        <w:t xml:space="preserve"> </w:t>
      </w:r>
      <w:r>
        <w:rPr>
          <w:iCs/>
          <w:i/>
        </w:rPr>
        <w:t xml:space="preserve">Zh Nevrol Psikhiatr Im S S Korsakova</w:t>
      </w:r>
      <w:r>
        <w:t xml:space="preserve"> </w:t>
      </w:r>
      <w:r>
        <w:t xml:space="preserve">· [An effect of long-term cerebrolysin therapy in combination with neuroleptics on behavioral and cognitive disturbances in endogenous childhood autism]. PMID 16548370</w:t>
      </w:r>
    </w:p>
    <w:p>
      <w:pPr>
        <w:numPr>
          <w:ilvl w:val="0"/>
          <w:numId w:val="1407"/>
        </w:numPr>
        <w:pStyle w:val="Compact"/>
      </w:pPr>
      <w:r>
        <w:t xml:space="preserve">2006 · Alvarez XA ·</w:t>
      </w:r>
      <w:r>
        <w:t xml:space="preserve"> </w:t>
      </w:r>
      <w:r>
        <w:rPr>
          <w:iCs/>
          <w:i/>
        </w:rPr>
        <w:t xml:space="preserve">Eur J Neurol</w:t>
      </w:r>
      <w:r>
        <w:t xml:space="preserve"> </w:t>
      </w:r>
      <w:r>
        <w:t xml:space="preserve">· A 24-week, double-blind, placebo-controlled study of three dosages of Cerebrolysin in patients with mild to moderate Alzheimer’s disease. PMID 16420392</w:t>
      </w:r>
    </w:p>
    <w:p>
      <w:pPr>
        <w:numPr>
          <w:ilvl w:val="0"/>
          <w:numId w:val="1407"/>
        </w:numPr>
        <w:pStyle w:val="Compact"/>
      </w:pPr>
      <w:r>
        <w:t xml:space="preserve">2005 · Wong GK ·</w:t>
      </w:r>
      <w:r>
        <w:t xml:space="preserve"> </w:t>
      </w:r>
      <w:r>
        <w:rPr>
          <w:iCs/>
          <w:i/>
        </w:rPr>
        <w:t xml:space="preserve">Acta Neurochir Suppl</w:t>
      </w:r>
      <w:r>
        <w:t xml:space="preserve"> </w:t>
      </w:r>
      <w:r>
        <w:t xml:space="preserve">· Beneficial effect of cerebrolysin on moderate and severe head injury patients: result of a cohort study. PMID 16463821</w:t>
      </w:r>
    </w:p>
    <w:p>
      <w:pPr>
        <w:numPr>
          <w:ilvl w:val="0"/>
          <w:numId w:val="1407"/>
        </w:numPr>
        <w:pStyle w:val="Compact"/>
      </w:pPr>
      <w:r>
        <w:t xml:space="preserve">2005 · Gavrilova SI ·</w:t>
      </w:r>
      <w:r>
        <w:t xml:space="preserve"> </w:t>
      </w:r>
      <w:r>
        <w:rPr>
          <w:iCs/>
          <w:i/>
        </w:rPr>
        <w:t xml:space="preserve">Zh Nevrol Psikhiatr Im S S Korsakova</w:t>
      </w:r>
      <w:r>
        <w:t xml:space="preserve"> </w:t>
      </w:r>
      <w:r>
        <w:t xml:space="preserve">· [ApoE genotype and efficacy of neurotrophic and cholinergic therapy in Alzheimer’s disease]. PMID 15880838</w:t>
      </w:r>
    </w:p>
    <w:p>
      <w:pPr>
        <w:numPr>
          <w:ilvl w:val="0"/>
          <w:numId w:val="1407"/>
        </w:numPr>
        <w:pStyle w:val="Compact"/>
      </w:pPr>
      <w:r>
        <w:t xml:space="preserve">2005 · Crook TH ·</w:t>
      </w:r>
      <w:r>
        <w:t xml:space="preserve"> </w:t>
      </w:r>
      <w:r>
        <w:rPr>
          <w:iCs/>
          <w:i/>
        </w:rPr>
        <w:t xml:space="preserve">Int Clin Psychopharmacol</w:t>
      </w:r>
      <w:r>
        <w:t xml:space="preserve"> </w:t>
      </w:r>
      <w:r>
        <w:t xml:space="preserve">· Effects of N-PEP-12 on memory among older adults. PMID 15729085</w:t>
      </w:r>
    </w:p>
    <w:p>
      <w:pPr>
        <w:numPr>
          <w:ilvl w:val="0"/>
          <w:numId w:val="1407"/>
        </w:numPr>
        <w:pStyle w:val="Compact"/>
      </w:pPr>
      <w:r>
        <w:t xml:space="preserve">2005 · Roshchina IF ·</w:t>
      </w:r>
      <w:r>
        <w:t xml:space="preserve"> </w:t>
      </w:r>
      <w:r>
        <w:rPr>
          <w:iCs/>
          <w:i/>
        </w:rPr>
        <w:t xml:space="preserve">Zh Nevrol Psikhiatr Im S S Korsakova</w:t>
      </w:r>
      <w:r>
        <w:t xml:space="preserve"> </w:t>
      </w:r>
      <w:r>
        <w:t xml:space="preserve">· [Neuropsychological evaluation of long-term therapy of Alzheimer’s disease using different cerebrolysin dosages]. PMID 15704485</w:t>
      </w:r>
    </w:p>
    <w:p>
      <w:pPr>
        <w:numPr>
          <w:ilvl w:val="0"/>
          <w:numId w:val="1407"/>
        </w:numPr>
        <w:pStyle w:val="Compact"/>
      </w:pPr>
      <w:r>
        <w:t xml:space="preserve">2005 · Chukanova EI ·</w:t>
      </w:r>
      <w:r>
        <w:t xml:space="preserve"> </w:t>
      </w:r>
      <w:r>
        <w:rPr>
          <w:iCs/>
          <w:i/>
        </w:rPr>
        <w:t xml:space="preserve">Zh Nevrol Psikhiatr Im S S Korsakova</w:t>
      </w:r>
      <w:r>
        <w:t xml:space="preserve"> </w:t>
      </w:r>
      <w:r>
        <w:t xml:space="preserve">· [The effect of cerebrolysin on the clinical symptoms and the course of ischemic encephalopathy]. PMID 15704482</w:t>
      </w:r>
    </w:p>
    <w:p>
      <w:pPr>
        <w:numPr>
          <w:ilvl w:val="0"/>
          <w:numId w:val="1407"/>
        </w:numPr>
        <w:pStyle w:val="Compact"/>
      </w:pPr>
      <w:r>
        <w:t xml:space="preserve">2005 · Ladurner G ·</w:t>
      </w:r>
      <w:r>
        <w:t xml:space="preserve"> </w:t>
      </w:r>
      <w:r>
        <w:rPr>
          <w:iCs/>
          <w:i/>
        </w:rPr>
        <w:t xml:space="preserve">J Neural Transm (Vienna)</w:t>
      </w:r>
      <w:r>
        <w:t xml:space="preserve"> </w:t>
      </w:r>
      <w:r>
        <w:t xml:space="preserve">· Neuroprotective treatment with cerebrolysin in patients with acute stroke: a randomised controlled trial. PMID 15583955</w:t>
      </w:r>
    </w:p>
    <w:p>
      <w:pPr>
        <w:numPr>
          <w:ilvl w:val="0"/>
          <w:numId w:val="1407"/>
        </w:numPr>
        <w:pStyle w:val="Compact"/>
      </w:pPr>
      <w:r>
        <w:t xml:space="preserve">2004 · Skvortsova VI ·</w:t>
      </w:r>
      <w:r>
        <w:t xml:space="preserve"> </w:t>
      </w:r>
      <w:r>
        <w:rPr>
          <w:iCs/>
          <w:i/>
        </w:rPr>
        <w:t xml:space="preserve">Zh Nevrol Psikhiatr Im S S Korsakova</w:t>
      </w:r>
      <w:r>
        <w:t xml:space="preserve"> </w:t>
      </w:r>
      <w:r>
        <w:t xml:space="preserve">· [A randomized, double-blind, placebo-controlled study of Cerebrolysin safety and efficacy in the treatment of acute ischemic stroke]. PMID 15559222</w:t>
      </w:r>
    </w:p>
    <w:p>
      <w:pPr>
        <w:numPr>
          <w:ilvl w:val="0"/>
          <w:numId w:val="1407"/>
        </w:numPr>
        <w:pStyle w:val="Compact"/>
      </w:pPr>
      <w:r>
        <w:t xml:space="preserve">2003 · Alvarez XA ·</w:t>
      </w:r>
      <w:r>
        <w:t xml:space="preserve"> </w:t>
      </w:r>
      <w:r>
        <w:rPr>
          <w:iCs/>
          <w:i/>
        </w:rPr>
        <w:t xml:space="preserve">Int Clin Psychopharmacol</w:t>
      </w:r>
      <w:r>
        <w:t xml:space="preserve"> </w:t>
      </w:r>
      <w:r>
        <w:t xml:space="preserve">· Positive effects of cerebrolysin on electroencephalogram slowing, cognition and clinical outcome in patients with postacute traumatic brain injury: an exploratory study. PMID 12920387</w:t>
      </w:r>
    </w:p>
    <w:p>
      <w:pPr>
        <w:numPr>
          <w:ilvl w:val="0"/>
          <w:numId w:val="1407"/>
        </w:numPr>
        <w:pStyle w:val="Compact"/>
      </w:pPr>
      <w:r>
        <w:t xml:space="preserve">2002 · Muresanu DF ·</w:t>
      </w:r>
      <w:r>
        <w:t xml:space="preserve"> </w:t>
      </w:r>
      <w:r>
        <w:rPr>
          <w:iCs/>
          <w:i/>
        </w:rPr>
        <w:t xml:space="preserve">J Neural Transm Suppl</w:t>
      </w:r>
      <w:r>
        <w:t xml:space="preserve"> </w:t>
      </w:r>
      <w:r>
        <w:t xml:space="preserve">· Improved global function and activities of daily living in patients with AD: a placebo-controlled clinical study with the neurotrophic agent Cerebrolysin. PMID 12456070</w:t>
      </w:r>
    </w:p>
    <w:p>
      <w:pPr>
        <w:numPr>
          <w:ilvl w:val="0"/>
          <w:numId w:val="1407"/>
        </w:numPr>
        <w:pStyle w:val="Compact"/>
      </w:pPr>
      <w:r>
        <w:t xml:space="preserve">2002 · Ruether E ·</w:t>
      </w:r>
      <w:r>
        <w:t xml:space="preserve"> </w:t>
      </w:r>
      <w:r>
        <w:rPr>
          <w:iCs/>
          <w:i/>
        </w:rPr>
        <w:t xml:space="preserve">J Neural Transm Suppl</w:t>
      </w:r>
      <w:r>
        <w:t xml:space="preserve"> </w:t>
      </w:r>
      <w:r>
        <w:t xml:space="preserve">· Sustained improvement of cognition and global function in patients with moderately severe Alzheimer’s disease: a double-blind, placebo-controlled study with the neurotrophic agent Cerebrolysin. PMID 12456069</w:t>
      </w:r>
    </w:p>
    <w:p>
      <w:pPr>
        <w:numPr>
          <w:ilvl w:val="0"/>
          <w:numId w:val="1407"/>
        </w:numPr>
        <w:pStyle w:val="Compact"/>
      </w:pPr>
      <w:r>
        <w:t xml:space="preserve">2002 · Odinak MM ·</w:t>
      </w:r>
      <w:r>
        <w:t xml:space="preserve"> </w:t>
      </w:r>
      <w:r>
        <w:rPr>
          <w:iCs/>
          <w:i/>
        </w:rPr>
        <w:t xml:space="preserve">Zh Nevrol Psikhiatr Im S S Korsakova</w:t>
      </w:r>
      <w:r>
        <w:t xml:space="preserve"> </w:t>
      </w:r>
      <w:r>
        <w:t xml:space="preserve">· [New approaches to antioxidant therapy in multiple sclerosis]. PMID 12418396</w:t>
      </w:r>
    </w:p>
    <w:p>
      <w:pPr>
        <w:numPr>
          <w:ilvl w:val="0"/>
          <w:numId w:val="1407"/>
        </w:numPr>
        <w:pStyle w:val="Compact"/>
      </w:pPr>
      <w:r>
        <w:t xml:space="preserve">2002 · Panisset M ·</w:t>
      </w:r>
      <w:r>
        <w:t xml:space="preserve"> </w:t>
      </w:r>
      <w:r>
        <w:rPr>
          <w:iCs/>
          <w:i/>
        </w:rPr>
        <w:t xml:space="preserve">J Neural Transm (Vienna)</w:t>
      </w:r>
      <w:r>
        <w:t xml:space="preserve"> </w:t>
      </w:r>
      <w:r>
        <w:t xml:space="preserve">· Cerebrolysin in Alzheimer’s disease: a randomized, double-blind, placebo-controlled trial with a neurotrophic agent. PMID 12111446</w:t>
      </w:r>
    </w:p>
    <w:p>
      <w:pPr>
        <w:numPr>
          <w:ilvl w:val="0"/>
          <w:numId w:val="1407"/>
        </w:numPr>
        <w:pStyle w:val="Compact"/>
      </w:pPr>
      <w:r>
        <w:t xml:space="preserve">2001 · Gorbachevskaya N ·</w:t>
      </w:r>
      <w:r>
        <w:t xml:space="preserve"> </w:t>
      </w:r>
      <w:r>
        <w:rPr>
          <w:iCs/>
          <w:i/>
        </w:rPr>
        <w:t xml:space="preserve">Brain Dev</w:t>
      </w:r>
      <w:r>
        <w:t xml:space="preserve"> </w:t>
      </w:r>
      <w:r>
        <w:t xml:space="preserve">· Cerebrolysin therapy in Rett syndrome: clinical and EEG mapping study. PMID 11738849</w:t>
      </w:r>
    </w:p>
    <w:p>
      <w:pPr>
        <w:numPr>
          <w:ilvl w:val="0"/>
          <w:numId w:val="1407"/>
        </w:numPr>
        <w:pStyle w:val="Compact"/>
      </w:pPr>
      <w:r>
        <w:t xml:space="preserve">2001 · Ruether E ·</w:t>
      </w:r>
      <w:r>
        <w:t xml:space="preserve"> </w:t>
      </w:r>
      <w:r>
        <w:rPr>
          <w:iCs/>
          <w:i/>
        </w:rPr>
        <w:t xml:space="preserve">Int Clin Psychopharmacol</w:t>
      </w:r>
      <w:r>
        <w:t xml:space="preserve"> </w:t>
      </w:r>
      <w:r>
        <w:t xml:space="preserve">· A 28-week, double-blind, placebo-controlled study with Cerebrolysin in patients with mild to moderate Alzheimer’s disease. PMID 11552768</w:t>
      </w:r>
    </w:p>
    <w:p>
      <w:pPr>
        <w:numPr>
          <w:ilvl w:val="0"/>
          <w:numId w:val="1407"/>
        </w:numPr>
        <w:pStyle w:val="Compact"/>
      </w:pPr>
      <w:r>
        <w:t xml:space="preserve">2001 · Vereshchagin NV ·</w:t>
      </w:r>
      <w:r>
        <w:t xml:space="preserve"> </w:t>
      </w:r>
      <w:r>
        <w:rPr>
          <w:iCs/>
          <w:i/>
        </w:rPr>
        <w:t xml:space="preserve">Ter Arkh</w:t>
      </w:r>
      <w:r>
        <w:t xml:space="preserve"> </w:t>
      </w:r>
      <w:r>
        <w:t xml:space="preserve">· [Treatment and prevention of cognitive dysfunction in patients with arterial hypertension and atherosclerosis: results of a randomized double-blind placebo-controlled trial of cerebrolysin]. PMID 11494441</w:t>
      </w:r>
    </w:p>
    <w:p>
      <w:pPr>
        <w:numPr>
          <w:ilvl w:val="0"/>
          <w:numId w:val="1407"/>
        </w:numPr>
        <w:pStyle w:val="Compact"/>
      </w:pPr>
      <w:r>
        <w:t xml:space="preserve">2000 · Bae CY ·</w:t>
      </w:r>
      <w:r>
        <w:t xml:space="preserve"> </w:t>
      </w:r>
      <w:r>
        <w:rPr>
          <w:iCs/>
          <w:i/>
        </w:rPr>
        <w:t xml:space="preserve">J Am Geriatr Soc</w:t>
      </w:r>
      <w:r>
        <w:t xml:space="preserve"> </w:t>
      </w:r>
      <w:r>
        <w:t xml:space="preserve">· A double-blind, placebo-controlled, multicenter study of Cerebrolysin for Alzheimer’s disease. PMID 11129744</w:t>
      </w:r>
    </w:p>
    <w:p>
      <w:pPr>
        <w:numPr>
          <w:ilvl w:val="0"/>
          <w:numId w:val="1407"/>
        </w:numPr>
        <w:pStyle w:val="Compact"/>
      </w:pPr>
      <w:r>
        <w:t xml:space="preserve">1999 · Roshchina IF ·</w:t>
      </w:r>
      <w:r>
        <w:t xml:space="preserve"> </w:t>
      </w:r>
      <w:r>
        <w:rPr>
          <w:iCs/>
          <w:i/>
        </w:rPr>
        <w:t xml:space="preserve">Zh Nevrol Psikhiatr Im S S Korsakova</w:t>
      </w:r>
      <w:r>
        <w:t xml:space="preserve"> </w:t>
      </w:r>
      <w:r>
        <w:t xml:space="preserve">· [The influence of cerebrolysin on the efficiency of subsequent therapy with amiridine++ in Alzheimer’s disease patients (neuropsychological investigation)]. PMID 10629930</w:t>
      </w:r>
    </w:p>
    <w:p>
      <w:pPr>
        <w:numPr>
          <w:ilvl w:val="0"/>
          <w:numId w:val="1407"/>
        </w:numPr>
        <w:pStyle w:val="Compact"/>
      </w:pPr>
      <w:r>
        <w:t xml:space="preserve">1998 · Gruzman AV ·</w:t>
      </w:r>
      <w:r>
        <w:t xml:space="preserve"> </w:t>
      </w:r>
      <w:r>
        <w:rPr>
          <w:iCs/>
          <w:i/>
        </w:rPr>
        <w:t xml:space="preserve">Zh Nevrol Psikhiatr Im S S Korsakova</w:t>
      </w:r>
      <w:r>
        <w:t xml:space="preserve"> </w:t>
      </w:r>
      <w:r>
        <w:t xml:space="preserve">· [The effect of cerebrolysin intravenous injections in resistant forms of night enuresis in children]. PMID 9845942</w:t>
      </w:r>
    </w:p>
    <w:p>
      <w:pPr>
        <w:numPr>
          <w:ilvl w:val="0"/>
          <w:numId w:val="1407"/>
        </w:numPr>
        <w:pStyle w:val="Compact"/>
      </w:pPr>
      <w:r>
        <w:t xml:space="preserve">1998 · Funke M ·</w:t>
      </w:r>
      <w:r>
        <w:t xml:space="preserve"> </w:t>
      </w:r>
      <w:r>
        <w:rPr>
          <w:iCs/>
          <w:i/>
        </w:rPr>
        <w:t xml:space="preserve">J Neural Transm Suppl</w:t>
      </w:r>
      <w:r>
        <w:t xml:space="preserve"> </w:t>
      </w:r>
      <w:r>
        <w:t xml:space="preserve">· Dose-dependent effects of Cerebrolysin on EEG and short-term memory of healthy volunteers during control and hyperventilation induced cerebral ischemia. PMID 9700674</w:t>
      </w:r>
    </w:p>
    <w:p>
      <w:pPr>
        <w:numPr>
          <w:ilvl w:val="0"/>
          <w:numId w:val="1407"/>
        </w:numPr>
        <w:pStyle w:val="Compact"/>
      </w:pPr>
      <w:r>
        <w:t xml:space="preserve">1997 · Biesenbach G ·</w:t>
      </w:r>
      <w:r>
        <w:t xml:space="preserve"> </w:t>
      </w:r>
      <w:r>
        <w:rPr>
          <w:iCs/>
          <w:i/>
        </w:rPr>
        <w:t xml:space="preserve">Wien Med Wochenschr</w:t>
      </w:r>
      <w:r>
        <w:t xml:space="preserve"> </w:t>
      </w:r>
      <w:r>
        <w:t xml:space="preserve">· [Cerebrolysin in treatment of painful diabetic neuropathy]. PMID 9173675</w:t>
      </w:r>
    </w:p>
    <w:p>
      <w:pPr>
        <w:numPr>
          <w:ilvl w:val="0"/>
          <w:numId w:val="1407"/>
        </w:numPr>
        <w:pStyle w:val="Compact"/>
      </w:pPr>
      <w:r>
        <w:t xml:space="preserve">1995 · Sidorenko EI ·</w:t>
      </w:r>
      <w:r>
        <w:t xml:space="preserve"> </w:t>
      </w:r>
      <w:r>
        <w:rPr>
          <w:iCs/>
          <w:i/>
        </w:rPr>
        <w:t xml:space="preserve">Zh Nevrol Psikhiatr Im S S Korsakova</w:t>
      </w:r>
      <w:r>
        <w:t xml:space="preserve"> </w:t>
      </w:r>
      <w:r>
        <w:t xml:space="preserve">· [Cerebrolysin in the treatment of partial optic atrophy in children]. PMID 7571926</w:t>
      </w:r>
    </w:p>
    <w:p>
      <w:pPr>
        <w:numPr>
          <w:ilvl w:val="0"/>
          <w:numId w:val="1407"/>
        </w:numPr>
        <w:pStyle w:val="Compact"/>
      </w:pPr>
      <w:r>
        <w:t xml:space="preserve">1994 · Rüther E ·</w:t>
      </w:r>
      <w:r>
        <w:t xml:space="preserve"> </w:t>
      </w:r>
      <w:r>
        <w:rPr>
          <w:iCs/>
          <w:i/>
        </w:rPr>
        <w:t xml:space="preserve">Pharmacopsychiatry</w:t>
      </w:r>
      <w:r>
        <w:t xml:space="preserve"> </w:t>
      </w:r>
      <w:r>
        <w:t xml:space="preserve">· Efficacy of the peptidergic nootropic drug cerebrolysin in patients with senile dementia of the Alzheimer type (SDAT). PMID 8159781</w:t>
      </w:r>
    </w:p>
    <w:p>
      <w:pPr>
        <w:numPr>
          <w:ilvl w:val="0"/>
          <w:numId w:val="1407"/>
        </w:numPr>
        <w:pStyle w:val="Compact"/>
      </w:pPr>
      <w:r>
        <w:t xml:space="preserve">1991 · Vereshchagin NV ·</w:t>
      </w:r>
      <w:r>
        <w:t xml:space="preserve"> </w:t>
      </w:r>
      <w:r>
        <w:rPr>
          <w:iCs/>
          <w:i/>
        </w:rPr>
        <w:t xml:space="preserve">Sov Med</w:t>
      </w:r>
      <w:r>
        <w:t xml:space="preserve"> </w:t>
      </w:r>
      <w:r>
        <w:t xml:space="preserve">· [Mild forms of multi-infarct dementia: effectiveness of cerebrolysin]. PMID 1767322</w:t>
      </w:r>
    </w:p>
    <w:p>
      <w:pPr>
        <w:numPr>
          <w:ilvl w:val="0"/>
          <w:numId w:val="1407"/>
        </w:numPr>
        <w:pStyle w:val="Compact"/>
      </w:pPr>
      <w:r>
        <w:t xml:space="preserve">1990 · Kofler B ·</w:t>
      </w:r>
      <w:r>
        <w:t xml:space="preserve"> </w:t>
      </w:r>
      <w:r>
        <w:rPr>
          <w:iCs/>
          <w:i/>
        </w:rPr>
        <w:t xml:space="preserve">EEG EMG Z Elektroenzephalogr Elektromyogr Verwandte Geb</w:t>
      </w:r>
      <w:r>
        <w:t xml:space="preserve"> </w:t>
      </w:r>
      <w:r>
        <w:t xml:space="preserve">· [The usefulness of event-related negativity in demonstrating the therapeutic effects of nootropic drugs using cerebrolysin as an example]. PMID 2123433</w:t>
      </w:r>
    </w:p>
    <w:bookmarkEnd w:id="3049"/>
    <w:bookmarkStart w:id="3050" w:name="dihexa-0"/>
    <w:p>
      <w:pPr>
        <w:pStyle w:val="Heading2"/>
      </w:pPr>
      <w:r>
        <w:t xml:space="preserve">Dihexa (0)</w:t>
      </w:r>
    </w:p>
    <w:p>
      <w:pPr>
        <w:pStyle w:val="FirstParagraph"/>
      </w:pPr>
      <w:r>
        <w:t xml:space="preserve">Aucune publication d’étude clinique chez l’humain trouvée.</w:t>
      </w:r>
    </w:p>
    <w:bookmarkEnd w:id="3050"/>
    <w:bookmarkStart w:id="3051" w:name="Xcc5c2d88e91665dfb10c8cfda9032634a8dcff7"/>
    <w:p>
      <w:pPr>
        <w:pStyle w:val="Heading2"/>
      </w:pPr>
      <w:r>
        <w:t xml:space="preserve">DSIP (peptide inducteur du sommeil delta) (18)</w:t>
      </w:r>
    </w:p>
    <w:p>
      <w:pPr>
        <w:numPr>
          <w:ilvl w:val="0"/>
          <w:numId w:val="1408"/>
        </w:numPr>
        <w:pStyle w:val="Compact"/>
      </w:pPr>
      <w:r>
        <w:t xml:space="preserve">2016 · Zhao L ·</w:t>
      </w:r>
      <w:r>
        <w:t xml:space="preserve"> </w:t>
      </w:r>
      <w:r>
        <w:rPr>
          <w:iCs/>
          <w:i/>
        </w:rPr>
        <w:t xml:space="preserve">Eur Spine J</w:t>
      </w:r>
      <w:r>
        <w:t xml:space="preserve"> </w:t>
      </w:r>
      <w:r>
        <w:t xml:space="preserve">· An RCT study on the feasibility of anterior transpedicular screw fixation in the cervicothoracic junction. PMID 26931331</w:t>
      </w:r>
    </w:p>
    <w:p>
      <w:pPr>
        <w:numPr>
          <w:ilvl w:val="0"/>
          <w:numId w:val="1408"/>
        </w:numPr>
        <w:pStyle w:val="Compact"/>
      </w:pPr>
      <w:r>
        <w:t xml:space="preserve">2014 · Kresiun NV ·</w:t>
      </w:r>
      <w:r>
        <w:t xml:space="preserve"> </w:t>
      </w:r>
      <w:r>
        <w:rPr>
          <w:iCs/>
          <w:i/>
        </w:rPr>
        <w:t xml:space="preserve">Eksp Klin Farmakol</w:t>
      </w:r>
      <w:r>
        <w:t xml:space="preserve"> </w:t>
      </w:r>
      <w:r>
        <w:t xml:space="preserve">· [Using deltalicin for the treatment of patients with diabetic retinopathy]. PMID 25739189</w:t>
      </w:r>
    </w:p>
    <w:p>
      <w:pPr>
        <w:numPr>
          <w:ilvl w:val="0"/>
          <w:numId w:val="1408"/>
        </w:numPr>
        <w:pStyle w:val="Compact"/>
      </w:pPr>
      <w:r>
        <w:t xml:space="preserve">2009 · Pomfrett CJ ·</w:t>
      </w:r>
      <w:r>
        <w:t xml:space="preserve"> </w:t>
      </w:r>
      <w:r>
        <w:rPr>
          <w:iCs/>
          <w:i/>
        </w:rPr>
        <w:t xml:space="preserve">Eur J Anaesthesiol</w:t>
      </w:r>
      <w:r>
        <w:t xml:space="preserve"> </w:t>
      </w:r>
      <w:r>
        <w:t xml:space="preserve">· Delta sleep-inducing peptide alters bispectral index, the electroencephalogram and heart rate variability when used as an adjunct to isoflurane anaesthesia. PMID 19142086</w:t>
      </w:r>
    </w:p>
    <w:p>
      <w:pPr>
        <w:numPr>
          <w:ilvl w:val="0"/>
          <w:numId w:val="1408"/>
        </w:numPr>
        <w:pStyle w:val="Compact"/>
      </w:pPr>
      <w:r>
        <w:t xml:space="preserve">1998 · Backmund M ·</w:t>
      </w:r>
      <w:r>
        <w:t xml:space="preserve"> </w:t>
      </w:r>
      <w:r>
        <w:rPr>
          <w:iCs/>
          <w:i/>
        </w:rPr>
        <w:t xml:space="preserve">J Clin Psychopharmacol</w:t>
      </w:r>
      <w:r>
        <w:t xml:space="preserve"> </w:t>
      </w:r>
      <w:r>
        <w:t xml:space="preserve">· Opioid detoxification with delta sleep-inducing peptide: results of an open clinical trial. PMID 9617990</w:t>
      </w:r>
    </w:p>
    <w:p>
      <w:pPr>
        <w:numPr>
          <w:ilvl w:val="0"/>
          <w:numId w:val="1408"/>
        </w:numPr>
        <w:pStyle w:val="Compact"/>
      </w:pPr>
      <w:r>
        <w:t xml:space="preserve">1995 · Späth-Schwalbe E ·</w:t>
      </w:r>
      <w:r>
        <w:t xml:space="preserve"> </w:t>
      </w:r>
      <w:r>
        <w:rPr>
          <w:iCs/>
          <w:i/>
        </w:rPr>
        <w:t xml:space="preserve">Psychoneuroendocrinology</w:t>
      </w:r>
      <w:r>
        <w:t xml:space="preserve"> </w:t>
      </w:r>
      <w:r>
        <w:t xml:space="preserve">· Delta-sleep-inducing peptide does not affect CRH and meal-induced ACTH and cortisol secretion. PMID 7777652</w:t>
      </w:r>
    </w:p>
    <w:p>
      <w:pPr>
        <w:numPr>
          <w:ilvl w:val="0"/>
          <w:numId w:val="1408"/>
        </w:numPr>
        <w:pStyle w:val="Compact"/>
      </w:pPr>
      <w:r>
        <w:t xml:space="preserve">1994 · Schulz P ·</w:t>
      </w:r>
      <w:r>
        <w:t xml:space="preserve"> </w:t>
      </w:r>
      <w:r>
        <w:rPr>
          <w:iCs/>
          <w:i/>
        </w:rPr>
        <w:t xml:space="preserve">Chronobiol Int</w:t>
      </w:r>
      <w:r>
        <w:t xml:space="preserve"> </w:t>
      </w:r>
      <w:r>
        <w:t xml:space="preserve">· Plasma concentration of nine hormones and neurotransmitters during usual activities or constant bed rest for 34 H. PMID 7895296</w:t>
      </w:r>
    </w:p>
    <w:p>
      <w:pPr>
        <w:numPr>
          <w:ilvl w:val="0"/>
          <w:numId w:val="1408"/>
        </w:numPr>
        <w:pStyle w:val="Compact"/>
      </w:pPr>
      <w:r>
        <w:t xml:space="preserve">1994 · Chiodera P ·</w:t>
      </w:r>
      <w:r>
        <w:t xml:space="preserve"> </w:t>
      </w:r>
      <w:r>
        <w:rPr>
          <w:iCs/>
          <w:i/>
        </w:rPr>
        <w:t xml:space="preserve">Horm Res</w:t>
      </w:r>
      <w:r>
        <w:t xml:space="preserve"> </w:t>
      </w:r>
      <w:r>
        <w:t xml:space="preserve">· Different effects of delta-sleep-inducing peptide on arginine-vasopressin and ACTH secretion in normal men. PMID 7698722</w:t>
      </w:r>
    </w:p>
    <w:p>
      <w:pPr>
        <w:numPr>
          <w:ilvl w:val="0"/>
          <w:numId w:val="1408"/>
        </w:numPr>
        <w:pStyle w:val="Compact"/>
      </w:pPr>
      <w:r>
        <w:t xml:space="preserve">1993 · Giusti M ·</w:t>
      </w:r>
      <w:r>
        <w:t xml:space="preserve"> </w:t>
      </w:r>
      <w:r>
        <w:rPr>
          <w:iCs/>
          <w:i/>
        </w:rPr>
        <w:t xml:space="preserve">Psychoneuroendocrinology</w:t>
      </w:r>
      <w:r>
        <w:t xml:space="preserve"> </w:t>
      </w:r>
      <w:r>
        <w:t xml:space="preserve">· Delta sleep-inducing peptide administration does not influence growth hormone and prolactin secretion in normal women. PMID 8475226</w:t>
      </w:r>
    </w:p>
    <w:p>
      <w:pPr>
        <w:numPr>
          <w:ilvl w:val="0"/>
          <w:numId w:val="1408"/>
        </w:numPr>
        <w:pStyle w:val="Compact"/>
      </w:pPr>
      <w:r>
        <w:t xml:space="preserve">1992 · Bes F ·</w:t>
      </w:r>
      <w:r>
        <w:t xml:space="preserve"> </w:t>
      </w:r>
      <w:r>
        <w:rPr>
          <w:iCs/>
          <w:i/>
        </w:rPr>
        <w:t xml:space="preserve">Neuropsychobiology</w:t>
      </w:r>
      <w:r>
        <w:t xml:space="preserve"> </w:t>
      </w:r>
      <w:r>
        <w:t xml:space="preserve">· Effects of delta sleep-inducing peptide on sleep of chronic insomniac patients. A double-blind study. PMID 1299794</w:t>
      </w:r>
    </w:p>
    <w:p>
      <w:pPr>
        <w:numPr>
          <w:ilvl w:val="0"/>
          <w:numId w:val="1408"/>
        </w:numPr>
        <w:pStyle w:val="Compact"/>
      </w:pPr>
      <w:r>
        <w:t xml:space="preserve">1989 · Bjartell A ·</w:t>
      </w:r>
      <w:r>
        <w:t xml:space="preserve"> </w:t>
      </w:r>
      <w:r>
        <w:rPr>
          <w:iCs/>
          <w:i/>
        </w:rPr>
        <w:t xml:space="preserve">Psychoneuroendocrinology</w:t>
      </w:r>
      <w:r>
        <w:t xml:space="preserve"> </w:t>
      </w:r>
      <w:r>
        <w:t xml:space="preserve">· Reduction of immunoreactive ACTH in plasma following intravenous injection of delta sleep-inducing peptide in man. PMID 2554357</w:t>
      </w:r>
    </w:p>
    <w:p>
      <w:pPr>
        <w:numPr>
          <w:ilvl w:val="0"/>
          <w:numId w:val="1408"/>
        </w:numPr>
        <w:pStyle w:val="Compact"/>
      </w:pPr>
      <w:r>
        <w:t xml:space="preserve">1987 · Schneider-Helmert D ·</w:t>
      </w:r>
      <w:r>
        <w:t xml:space="preserve"> </w:t>
      </w:r>
      <w:r>
        <w:rPr>
          <w:iCs/>
          <w:i/>
        </w:rPr>
        <w:t xml:space="preserve">Eur Neurol</w:t>
      </w:r>
      <w:r>
        <w:t xml:space="preserve"> </w:t>
      </w:r>
      <w:r>
        <w:t xml:space="preserve">· Effects of delta-sleep-inducing peptide on 24-hour sleep-wake behaviour in severe chronic insomnia. PMID 3622582</w:t>
      </w:r>
    </w:p>
    <w:p>
      <w:pPr>
        <w:numPr>
          <w:ilvl w:val="0"/>
          <w:numId w:val="1408"/>
        </w:numPr>
        <w:pStyle w:val="Compact"/>
      </w:pPr>
      <w:r>
        <w:t xml:space="preserve">1987 · Monti JM ·</w:t>
      </w:r>
      <w:r>
        <w:t xml:space="preserve"> </w:t>
      </w:r>
      <w:r>
        <w:rPr>
          <w:iCs/>
          <w:i/>
        </w:rPr>
        <w:t xml:space="preserve">Int J Clin Pharmacol Res</w:t>
      </w:r>
      <w:r>
        <w:t xml:space="preserve"> </w:t>
      </w:r>
      <w:r>
        <w:t xml:space="preserve">· Study of delta sleep-inducing peptide efficacy in improving sleep on short-term administration to chronic insomniacs. PMID 3583493</w:t>
      </w:r>
    </w:p>
    <w:p>
      <w:pPr>
        <w:numPr>
          <w:ilvl w:val="0"/>
          <w:numId w:val="1408"/>
        </w:numPr>
        <w:pStyle w:val="Compact"/>
      </w:pPr>
      <w:r>
        <w:t xml:space="preserve">1984 · Kaeser HE ·</w:t>
      </w:r>
      <w:r>
        <w:t xml:space="preserve"> </w:t>
      </w:r>
      <w:r>
        <w:rPr>
          <w:iCs/>
          <w:i/>
        </w:rPr>
        <w:t xml:space="preserve">Eur Neurol</w:t>
      </w:r>
      <w:r>
        <w:t xml:space="preserve"> </w:t>
      </w:r>
      <w:r>
        <w:t xml:space="preserve">· A clinical trial with DSIP. PMID 6391926</w:t>
      </w:r>
    </w:p>
    <w:p>
      <w:pPr>
        <w:numPr>
          <w:ilvl w:val="0"/>
          <w:numId w:val="1408"/>
        </w:numPr>
        <w:pStyle w:val="Compact"/>
      </w:pPr>
      <w:r>
        <w:t xml:space="preserve">1984 · Schneider-Helmert D ·</w:t>
      </w:r>
      <w:r>
        <w:t xml:space="preserve"> </w:t>
      </w:r>
      <w:r>
        <w:rPr>
          <w:iCs/>
          <w:i/>
        </w:rPr>
        <w:t xml:space="preserve">Eur Neurol</w:t>
      </w:r>
      <w:r>
        <w:t xml:space="preserve"> </w:t>
      </w:r>
      <w:r>
        <w:t xml:space="preserve">· DSIP in insomnia. PMID 6391925</w:t>
      </w:r>
    </w:p>
    <w:p>
      <w:pPr>
        <w:numPr>
          <w:ilvl w:val="0"/>
          <w:numId w:val="1408"/>
        </w:numPr>
        <w:pStyle w:val="Compact"/>
      </w:pPr>
      <w:r>
        <w:t xml:space="preserve">1983 · Schneider-Helmert D ·</w:t>
      </w:r>
      <w:r>
        <w:t xml:space="preserve"> </w:t>
      </w:r>
      <w:r>
        <w:rPr>
          <w:iCs/>
          <w:i/>
        </w:rPr>
        <w:t xml:space="preserve">Neuropsychobiology</w:t>
      </w:r>
      <w:r>
        <w:t xml:space="preserve"> </w:t>
      </w:r>
      <w:r>
        <w:t xml:space="preserve">· Effects of DSIP in man. Multifunctional psychophysiological properties besides induction of natural sleep. PMID 6689058</w:t>
      </w:r>
    </w:p>
    <w:p>
      <w:pPr>
        <w:numPr>
          <w:ilvl w:val="0"/>
          <w:numId w:val="1408"/>
        </w:numPr>
        <w:pStyle w:val="Compact"/>
      </w:pPr>
      <w:r>
        <w:t xml:space="preserve">1981 · Schneider-Helmert D ·</w:t>
      </w:r>
      <w:r>
        <w:t xml:space="preserve"> </w:t>
      </w:r>
      <w:r>
        <w:rPr>
          <w:iCs/>
          <w:i/>
        </w:rPr>
        <w:t xml:space="preserve">Experientia</w:t>
      </w:r>
      <w:r>
        <w:t xml:space="preserve"> </w:t>
      </w:r>
      <w:r>
        <w:t xml:space="preserve">· The influence of synthetic DSIP (delta-sleep-inducing-peptide) on disturbed human sleep. PMID 7028502</w:t>
      </w:r>
    </w:p>
    <w:p>
      <w:pPr>
        <w:numPr>
          <w:ilvl w:val="0"/>
          <w:numId w:val="1408"/>
        </w:numPr>
        <w:pStyle w:val="Compact"/>
      </w:pPr>
      <w:r>
        <w:t xml:space="preserve">1981 · Schneider-Helmert D ·</w:t>
      </w:r>
      <w:r>
        <w:t xml:space="preserve"> </w:t>
      </w:r>
      <w:r>
        <w:rPr>
          <w:iCs/>
          <w:i/>
        </w:rPr>
        <w:t xml:space="preserve">Int J Clin Pharmacol Ther Toxicol</w:t>
      </w:r>
      <w:r>
        <w:t xml:space="preserve"> </w:t>
      </w:r>
      <w:r>
        <w:t xml:space="preserve">· Acute and delayed effects of DSIP (delta sleep-inducing peptide) on human sleep behavior. PMID 6895513</w:t>
      </w:r>
    </w:p>
    <w:p>
      <w:pPr>
        <w:numPr>
          <w:ilvl w:val="0"/>
          <w:numId w:val="1408"/>
        </w:numPr>
        <w:pStyle w:val="Compact"/>
      </w:pPr>
      <w:r>
        <w:t xml:space="preserve">1981 · Schneider-Helmert D ·</w:t>
      </w:r>
      <w:r>
        <w:t xml:space="preserve"> </w:t>
      </w:r>
      <w:r>
        <w:rPr>
          <w:iCs/>
          <w:i/>
        </w:rPr>
        <w:t xml:space="preserve">Lancet</w:t>
      </w:r>
      <w:r>
        <w:t xml:space="preserve"> </w:t>
      </w:r>
      <w:r>
        <w:t xml:space="preserve">· Synthetic delta-sleep-inducing peptide improves sleep in insomniacs. PMID 6112579</w:t>
      </w:r>
    </w:p>
    <w:bookmarkEnd w:id="3051"/>
    <w:bookmarkStart w:id="3052" w:name="epitalon-epithalon-1"/>
    <w:p>
      <w:pPr>
        <w:pStyle w:val="Heading2"/>
      </w:pPr>
      <w:r>
        <w:t xml:space="preserve">Epitalon (Epithalon) (1)</w:t>
      </w:r>
    </w:p>
    <w:p>
      <w:pPr>
        <w:numPr>
          <w:ilvl w:val="0"/>
          <w:numId w:val="1409"/>
        </w:numPr>
        <w:pStyle w:val="Compact"/>
      </w:pPr>
      <w:r>
        <w:t xml:space="preserve">2002 · Khavinson V ·</w:t>
      </w:r>
      <w:r>
        <w:t xml:space="preserve"> </w:t>
      </w:r>
      <w:r>
        <w:rPr>
          <w:iCs/>
          <w:i/>
        </w:rPr>
        <w:t xml:space="preserve">Neuro Endocrinol Lett</w:t>
      </w:r>
      <w:r>
        <w:t xml:space="preserve"> </w:t>
      </w:r>
      <w:r>
        <w:t xml:space="preserve">· Pineal-regulating tetrapeptide epitalon improves eye retina condition in retinitis pigmentosa. PMID 12195242</w:t>
      </w:r>
    </w:p>
    <w:bookmarkEnd w:id="3052"/>
    <w:bookmarkStart w:id="3053" w:name="pinealon-1"/>
    <w:p>
      <w:pPr>
        <w:pStyle w:val="Heading2"/>
      </w:pPr>
      <w:r>
        <w:t xml:space="preserve">Pinealon (1)</w:t>
      </w:r>
    </w:p>
    <w:p>
      <w:pPr>
        <w:numPr>
          <w:ilvl w:val="0"/>
          <w:numId w:val="1410"/>
        </w:numPr>
        <w:pStyle w:val="Compact"/>
      </w:pPr>
      <w:r>
        <w:t xml:space="preserve">2012 · Bashkireva AS ·</w:t>
      </w:r>
      <w:r>
        <w:t xml:space="preserve"> </w:t>
      </w:r>
      <w:r>
        <w:rPr>
          <w:iCs/>
          <w:i/>
        </w:rPr>
        <w:t xml:space="preserve">Adv Gerontol</w:t>
      </w:r>
      <w:r>
        <w:t xml:space="preserve"> </w:t>
      </w:r>
      <w:r>
        <w:t xml:space="preserve">· [The peptide correction of neurotic disorders among professional truck-drivers]. PMID 23734521</w:t>
      </w:r>
    </w:p>
    <w:bookmarkEnd w:id="3053"/>
    <w:bookmarkStart w:id="3054" w:name="mots-c-5"/>
    <w:p>
      <w:pPr>
        <w:pStyle w:val="Heading2"/>
      </w:pPr>
      <w:r>
        <w:t xml:space="preserve">MOTS-c (5)</w:t>
      </w:r>
    </w:p>
    <w:p>
      <w:pPr>
        <w:numPr>
          <w:ilvl w:val="0"/>
          <w:numId w:val="1411"/>
        </w:numPr>
        <w:pStyle w:val="Compact"/>
      </w:pPr>
      <w:r>
        <w:t xml:space="preserve">2025 · Elhusseiny R ·</w:t>
      </w:r>
      <w:r>
        <w:t xml:space="preserve"> </w:t>
      </w:r>
      <w:r>
        <w:rPr>
          <w:iCs/>
          <w:i/>
        </w:rPr>
        <w:t xml:space="preserve">Med Sci Sports Exerc</w:t>
      </w:r>
      <w:r>
        <w:t xml:space="preserve"> </w:t>
      </w:r>
      <w:r>
        <w:t xml:space="preserve">· Repeated Heat Stress Modulates the Levels of the Mitokines MOTS-C and FGF21 in Active Men during Calf Muscle Immobilization. PMID 40674654</w:t>
      </w:r>
    </w:p>
    <w:p>
      <w:pPr>
        <w:numPr>
          <w:ilvl w:val="0"/>
          <w:numId w:val="1411"/>
        </w:numPr>
        <w:pStyle w:val="Compact"/>
      </w:pPr>
      <w:r>
        <w:t xml:space="preserve">2022 · Cuyàs E ·</w:t>
      </w:r>
      <w:r>
        <w:t xml:space="preserve"> </w:t>
      </w:r>
      <w:r>
        <w:rPr>
          <w:iCs/>
          <w:i/>
        </w:rPr>
        <w:t xml:space="preserve">Aging (Albany NY)</w:t>
      </w:r>
      <w:r>
        <w:t xml:space="preserve"> </w:t>
      </w:r>
      <w:r>
        <w:t xml:space="preserve">· Circulating levels of MOTS-c in patients with breast cancer treated with metformin. PMID 36490309</w:t>
      </w:r>
    </w:p>
    <w:p>
      <w:pPr>
        <w:numPr>
          <w:ilvl w:val="0"/>
          <w:numId w:val="1411"/>
        </w:numPr>
        <w:pStyle w:val="Compact"/>
      </w:pPr>
      <w:r>
        <w:t xml:space="preserve">2021 · Dieli-Conwright CM ·</w:t>
      </w:r>
      <w:r>
        <w:t xml:space="preserve"> </w:t>
      </w:r>
      <w:r>
        <w:rPr>
          <w:iCs/>
          <w:i/>
        </w:rPr>
        <w:t xml:space="preserve">Sci Rep</w:t>
      </w:r>
      <w:r>
        <w:t xml:space="preserve"> </w:t>
      </w:r>
      <w:r>
        <w:t xml:space="preserve">· Effect of aerobic and resistance exercise on the mitochondrial peptide MOTS-c in Hispanic and Non-Hispanic White breast cancer survivors. PMID 34413391</w:t>
      </w:r>
    </w:p>
    <w:p>
      <w:pPr>
        <w:numPr>
          <w:ilvl w:val="0"/>
          <w:numId w:val="1411"/>
        </w:numPr>
        <w:pStyle w:val="Compact"/>
      </w:pPr>
      <w:r>
        <w:t xml:space="preserve">2021 · von Walden F ·</w:t>
      </w:r>
      <w:r>
        <w:t xml:space="preserve"> </w:t>
      </w:r>
      <w:r>
        <w:rPr>
          <w:iCs/>
          <w:i/>
        </w:rPr>
        <w:t xml:space="preserve">J Appl Physiol (1985)</w:t>
      </w:r>
      <w:r>
        <w:t xml:space="preserve"> </w:t>
      </w:r>
      <w:r>
        <w:t xml:space="preserve">· Acute endurance exercise stimulates circulating levels of mitochondrial-derived peptides in humans. PMID 34351816</w:t>
      </w:r>
    </w:p>
    <w:p>
      <w:pPr>
        <w:numPr>
          <w:ilvl w:val="0"/>
          <w:numId w:val="1411"/>
        </w:numPr>
        <w:pStyle w:val="Compact"/>
      </w:pPr>
      <w:r>
        <w:t xml:space="preserve">2020 · Ikonomidis I ·</w:t>
      </w:r>
      <w:r>
        <w:t xml:space="preserve"> </w:t>
      </w:r>
      <w:r>
        <w:rPr>
          <w:iCs/>
          <w:i/>
        </w:rPr>
        <w:t xml:space="preserve">J Thromb Thrombolysis</w:t>
      </w:r>
      <w:r>
        <w:t xml:space="preserve"> </w:t>
      </w:r>
      <w:r>
        <w:t xml:space="preserve">· β-Amyloid and mitochondrial-derived peptide-c are additive predictors of adverse outcome to high-on-treatment platelet reactivity in type 2 diabetics with revascularized coronary artery disease. PMID 32052315</w:t>
      </w:r>
    </w:p>
    <w:bookmarkEnd w:id="3054"/>
    <w:bookmarkStart w:id="3055" w:name="humanine-8"/>
    <w:p>
      <w:pPr>
        <w:pStyle w:val="Heading2"/>
      </w:pPr>
      <w:r>
        <w:t xml:space="preserve">Humanine (8)</w:t>
      </w:r>
    </w:p>
    <w:p>
      <w:pPr>
        <w:numPr>
          <w:ilvl w:val="0"/>
          <w:numId w:val="1412"/>
        </w:numPr>
        <w:pStyle w:val="Compact"/>
      </w:pPr>
      <w:r>
        <w:t xml:space="preserve">2026 · Hosseini MH ·</w:t>
      </w:r>
      <w:r>
        <w:t xml:space="preserve"> </w:t>
      </w:r>
      <w:r>
        <w:rPr>
          <w:iCs/>
          <w:i/>
        </w:rPr>
        <w:t xml:space="preserve">BMC Geriatr</w:t>
      </w:r>
      <w:r>
        <w:t xml:space="preserve"> </w:t>
      </w:r>
      <w:r>
        <w:t xml:space="preserve">· Preserving brain health in aging: structural and biochemical benefits of water based resistance training, a randomized controlled trial. PMID 41975304</w:t>
      </w:r>
    </w:p>
    <w:p>
      <w:pPr>
        <w:numPr>
          <w:ilvl w:val="0"/>
          <w:numId w:val="1412"/>
        </w:numPr>
        <w:pStyle w:val="Compact"/>
      </w:pPr>
      <w:r>
        <w:t xml:space="preserve">2025 · Basereh A ·</w:t>
      </w:r>
      <w:r>
        <w:t xml:space="preserve"> </w:t>
      </w:r>
      <w:r>
        <w:rPr>
          <w:iCs/>
          <w:i/>
        </w:rPr>
        <w:t xml:space="preserve">Sci Rep</w:t>
      </w:r>
      <w:r>
        <w:t xml:space="preserve"> </w:t>
      </w:r>
      <w:r>
        <w:t xml:space="preserve">· Redox-sensitive miRNAs and Humanin could mediate effects of exercise and astaxanthin on oxidative stress and inflammation in type 2 diabetes. PMID 41249265</w:t>
      </w:r>
    </w:p>
    <w:p>
      <w:pPr>
        <w:numPr>
          <w:ilvl w:val="0"/>
          <w:numId w:val="1412"/>
        </w:numPr>
        <w:pStyle w:val="Compact"/>
      </w:pPr>
      <w:r>
        <w:t xml:space="preserve">2023 · Delgado-Peraza F ·</w:t>
      </w:r>
      <w:r>
        <w:t xml:space="preserve"> </w:t>
      </w:r>
      <w:r>
        <w:rPr>
          <w:iCs/>
          <w:i/>
        </w:rPr>
        <w:t xml:space="preserve">Alzheimers Res Ther</w:t>
      </w:r>
      <w:r>
        <w:t xml:space="preserve"> </w:t>
      </w:r>
      <w:r>
        <w:t xml:space="preserve">· Neuron-derived extracellular vesicles in blood reveal effects of exercise in Alzheimer’s disease. PMID 37730689</w:t>
      </w:r>
    </w:p>
    <w:p>
      <w:pPr>
        <w:numPr>
          <w:ilvl w:val="0"/>
          <w:numId w:val="1412"/>
        </w:numPr>
        <w:pStyle w:val="Compact"/>
      </w:pPr>
      <w:r>
        <w:t xml:space="preserve">2021 · von Walden F ·</w:t>
      </w:r>
      <w:r>
        <w:t xml:space="preserve"> </w:t>
      </w:r>
      <w:r>
        <w:rPr>
          <w:iCs/>
          <w:i/>
        </w:rPr>
        <w:t xml:space="preserve">J Appl Physiol (1985)</w:t>
      </w:r>
      <w:r>
        <w:t xml:space="preserve"> </w:t>
      </w:r>
      <w:r>
        <w:t xml:space="preserve">· Acute endurance exercise stimulates circulating levels of mitochondrial-derived peptides in humans. PMID 34351816</w:t>
      </w:r>
    </w:p>
    <w:p>
      <w:pPr>
        <w:numPr>
          <w:ilvl w:val="0"/>
          <w:numId w:val="1412"/>
        </w:numPr>
        <w:pStyle w:val="Compact"/>
      </w:pPr>
      <w:r>
        <w:t xml:space="preserve">2019 · Xu Y ·</w:t>
      </w:r>
      <w:r>
        <w:t xml:space="preserve"> </w:t>
      </w:r>
      <w:r>
        <w:rPr>
          <w:iCs/>
          <w:i/>
        </w:rPr>
        <w:t xml:space="preserve">Cell Transplant</w:t>
      </w:r>
      <w:r>
        <w:t xml:space="preserve"> </w:t>
      </w:r>
      <w:r>
        <w:t xml:space="preserve">· Protective Effect of Hyperbaric Oxygen Therapy on Cognitive Function in Patients with Vascular Dementia. PMID 31134827</w:t>
      </w:r>
    </w:p>
    <w:p>
      <w:pPr>
        <w:numPr>
          <w:ilvl w:val="0"/>
          <w:numId w:val="1412"/>
        </w:numPr>
        <w:pStyle w:val="Compact"/>
      </w:pPr>
      <w:r>
        <w:t xml:space="preserve">2019 · Shen Y ·</w:t>
      </w:r>
      <w:r>
        <w:t xml:space="preserve"> </w:t>
      </w:r>
      <w:r>
        <w:rPr>
          <w:iCs/>
          <w:i/>
        </w:rPr>
        <w:t xml:space="preserve">Stroke</w:t>
      </w:r>
      <w:r>
        <w:t xml:space="preserve"> </w:t>
      </w:r>
      <w:r>
        <w:t xml:space="preserve">· Epigenome-Wide Association Study Indicates Hypomethylation of MTRNR2L8 in Large-Artery Atherosclerosis Stroke. PMID 31084332</w:t>
      </w:r>
    </w:p>
    <w:p>
      <w:pPr>
        <w:numPr>
          <w:ilvl w:val="0"/>
          <w:numId w:val="1412"/>
        </w:numPr>
        <w:pStyle w:val="Compact"/>
      </w:pPr>
      <w:r>
        <w:t xml:space="preserve">2017 · Nashine S ·</w:t>
      </w:r>
      <w:r>
        <w:t xml:space="preserve"> </w:t>
      </w:r>
      <w:r>
        <w:rPr>
          <w:iCs/>
          <w:i/>
        </w:rPr>
        <w:t xml:space="preserve">Cell Death Dis</w:t>
      </w:r>
      <w:r>
        <w:t xml:space="preserve"> </w:t>
      </w:r>
      <w:r>
        <w:t xml:space="preserve">· Humanin G (HNG) protects age-related macular degeneration (AMD) transmitochondrial ARPE-19 cybrids from mitochondrial and cellular damage. PMID 28726777</w:t>
      </w:r>
    </w:p>
    <w:p>
      <w:pPr>
        <w:numPr>
          <w:ilvl w:val="0"/>
          <w:numId w:val="1412"/>
        </w:numPr>
        <w:pStyle w:val="Compact"/>
      </w:pPr>
      <w:r>
        <w:t xml:space="preserve">2016 · Gidlund EK ·</w:t>
      </w:r>
      <w:r>
        <w:t xml:space="preserve"> </w:t>
      </w:r>
      <w:r>
        <w:rPr>
          <w:iCs/>
          <w:i/>
        </w:rPr>
        <w:t xml:space="preserve">Physiol Rep</w:t>
      </w:r>
      <w:r>
        <w:t xml:space="preserve"> </w:t>
      </w:r>
      <w:r>
        <w:t xml:space="preserve">· Humanin skeletal muscle protein levels increase after resistance training in men with impaired glucose metabolism. PMID 27923980</w:t>
      </w:r>
    </w:p>
    <w:bookmarkEnd w:id="3055"/>
    <w:bookmarkStart w:id="3056" w:name="ss-31-élamipretide-19"/>
    <w:p>
      <w:pPr>
        <w:pStyle w:val="Heading2"/>
      </w:pPr>
      <w:r>
        <w:t xml:space="preserve">SS-31 (élamipretide) (19)</w:t>
      </w:r>
    </w:p>
    <w:p>
      <w:pPr>
        <w:numPr>
          <w:ilvl w:val="0"/>
          <w:numId w:val="1413"/>
        </w:numPr>
        <w:pStyle w:val="Compact"/>
      </w:pPr>
      <w:r>
        <w:t xml:space="preserve">2025 · Gwaltney C ·</w:t>
      </w:r>
      <w:r>
        <w:t xml:space="preserve"> </w:t>
      </w:r>
      <w:r>
        <w:rPr>
          <w:iCs/>
          <w:i/>
        </w:rPr>
        <w:t xml:space="preserve">Orphanet J Rare Dis</w:t>
      </w:r>
      <w:r>
        <w:t xml:space="preserve"> </w:t>
      </w:r>
      <w:r>
        <w:t xml:space="preserve">· Initial Psychometric Evaluation of the Barth Syndrome Symptom Assessment (BTHS-SA) for Adolescents and Adults in a Phase 2 Clinical Study. PMID 40281531</w:t>
      </w:r>
    </w:p>
    <w:p>
      <w:pPr>
        <w:numPr>
          <w:ilvl w:val="0"/>
          <w:numId w:val="1413"/>
        </w:numPr>
        <w:pStyle w:val="Compact"/>
      </w:pPr>
      <w:r>
        <w:t xml:space="preserve">2024 · Karaa A ·</w:t>
      </w:r>
      <w:r>
        <w:t xml:space="preserve"> </w:t>
      </w:r>
      <w:r>
        <w:rPr>
          <w:iCs/>
          <w:i/>
        </w:rPr>
        <w:t xml:space="preserve">Orphanet J Rare Dis</w:t>
      </w:r>
      <w:r>
        <w:t xml:space="preserve"> </w:t>
      </w:r>
      <w:r>
        <w:t xml:space="preserve">· Genotype-specific effects of elamipretide in patients with primary mitochondrial myopathy: a post hoc analysis of the MMPOWER-3 trial. PMID 39574155</w:t>
      </w:r>
    </w:p>
    <w:p>
      <w:pPr>
        <w:numPr>
          <w:ilvl w:val="0"/>
          <w:numId w:val="1413"/>
        </w:numPr>
        <w:pStyle w:val="Compact"/>
      </w:pPr>
      <w:r>
        <w:t xml:space="preserve">2024 · Sherrod CF 4th ·</w:t>
      </w:r>
      <w:r>
        <w:t xml:space="preserve"> </w:t>
      </w:r>
      <w:r>
        <w:rPr>
          <w:iCs/>
          <w:i/>
        </w:rPr>
        <w:t xml:space="preserve">J Am Coll Cardiol</w:t>
      </w:r>
      <w:r>
        <w:t xml:space="preserve"> </w:t>
      </w:r>
      <w:r>
        <w:t xml:space="preserve">· Effect of Aficamten on Health Status Outcomes in Obstructive Hypertrophic Cardiomyopathy: Results From SEQUOIA-HCM. PMID 39217569</w:t>
      </w:r>
    </w:p>
    <w:p>
      <w:pPr>
        <w:numPr>
          <w:ilvl w:val="0"/>
          <w:numId w:val="1413"/>
        </w:numPr>
        <w:pStyle w:val="Compact"/>
      </w:pPr>
      <w:r>
        <w:t xml:space="preserve">2024 · Thompson WR ·</w:t>
      </w:r>
      <w:r>
        <w:t xml:space="preserve"> </w:t>
      </w:r>
      <w:r>
        <w:rPr>
          <w:iCs/>
          <w:i/>
        </w:rPr>
        <w:t xml:space="preserve">Genet Med</w:t>
      </w:r>
      <w:r>
        <w:t xml:space="preserve"> </w:t>
      </w:r>
      <w:r>
        <w:t xml:space="preserve">· Long-term efficacy and safety of elamipretide in patients with Barth syndrome: 168-week open-label extension results of TAZPOWER. PMID 38602181</w:t>
      </w:r>
    </w:p>
    <w:p>
      <w:pPr>
        <w:numPr>
          <w:ilvl w:val="0"/>
          <w:numId w:val="1413"/>
        </w:numPr>
        <w:pStyle w:val="Compact"/>
      </w:pPr>
      <w:r>
        <w:t xml:space="preserve">2024 · Karanjia R ·</w:t>
      </w:r>
      <w:r>
        <w:t xml:space="preserve"> </w:t>
      </w:r>
      <w:r>
        <w:rPr>
          <w:iCs/>
          <w:i/>
        </w:rPr>
        <w:t xml:space="preserve">Ophthalmology</w:t>
      </w:r>
      <w:r>
        <w:t xml:space="preserve"> </w:t>
      </w:r>
      <w:r>
        <w:t xml:space="preserve">· Elamipretide Topical Ophthalmic Solution for the Treatment of Subjects with Leber Hereditary Optic Neuropathy: A Randomized Trial. PMID 37923251</w:t>
      </w:r>
    </w:p>
    <w:p>
      <w:pPr>
        <w:numPr>
          <w:ilvl w:val="0"/>
          <w:numId w:val="1413"/>
        </w:numPr>
        <w:pStyle w:val="Compact"/>
      </w:pPr>
      <w:r>
        <w:t xml:space="preserve">2023 · Karaa A ·</w:t>
      </w:r>
      <w:r>
        <w:t xml:space="preserve"> </w:t>
      </w:r>
      <w:r>
        <w:rPr>
          <w:iCs/>
          <w:i/>
        </w:rPr>
        <w:t xml:space="preserve">Neurology</w:t>
      </w:r>
      <w:r>
        <w:t xml:space="preserve"> </w:t>
      </w:r>
      <w:r>
        <w:t xml:space="preserve">· Efficacy and Safety of Elamipretide in Individuals With Primary Mitochondrial Myopathy: The MMPOWER-3 Randomized Clinical Trial. PMID 37268435</w:t>
      </w:r>
    </w:p>
    <w:p>
      <w:pPr>
        <w:numPr>
          <w:ilvl w:val="0"/>
          <w:numId w:val="1413"/>
        </w:numPr>
        <w:pStyle w:val="Compact"/>
      </w:pPr>
      <w:r>
        <w:t xml:space="preserve">2023 · Van den Eynde J ·</w:t>
      </w:r>
      <w:r>
        <w:t xml:space="preserve"> </w:t>
      </w:r>
      <w:r>
        <w:rPr>
          <w:iCs/>
          <w:i/>
        </w:rPr>
        <w:t xml:space="preserve">Orphanet J Rare Dis</w:t>
      </w:r>
      <w:r>
        <w:t xml:space="preserve"> </w:t>
      </w:r>
      <w:r>
        <w:t xml:space="preserve">· Identifying responders to elamipretide in Barth syndrome: Hierarchical clustering for time series data. PMID 37041653</w:t>
      </w:r>
    </w:p>
    <w:p>
      <w:pPr>
        <w:numPr>
          <w:ilvl w:val="0"/>
          <w:numId w:val="1413"/>
        </w:numPr>
        <w:pStyle w:val="Compact"/>
      </w:pPr>
      <w:r>
        <w:t xml:space="preserve">2022 · Hornby B ·</w:t>
      </w:r>
      <w:r>
        <w:t xml:space="preserve"> </w:t>
      </w:r>
      <w:r>
        <w:rPr>
          <w:iCs/>
          <w:i/>
        </w:rPr>
        <w:t xml:space="preserve">Orphanet J Rare Dis</w:t>
      </w:r>
      <w:r>
        <w:t xml:space="preserve"> </w:t>
      </w:r>
      <w:r>
        <w:t xml:space="preserve">· Natural history comparison study to assess the efficacy of elamipretide in patients with Barth syndrome. PMID 36056411</w:t>
      </w:r>
    </w:p>
    <w:p>
      <w:pPr>
        <w:numPr>
          <w:ilvl w:val="0"/>
          <w:numId w:val="1413"/>
        </w:numPr>
        <w:pStyle w:val="Compact"/>
      </w:pPr>
      <w:r>
        <w:t xml:space="preserve">2021 · Roshanravan B ·</w:t>
      </w:r>
      <w:r>
        <w:t xml:space="preserve"> </w:t>
      </w:r>
      <w:r>
        <w:rPr>
          <w:iCs/>
          <w:i/>
        </w:rPr>
        <w:t xml:space="preserve">PLoS One</w:t>
      </w:r>
      <w:r>
        <w:t xml:space="preserve"> </w:t>
      </w:r>
      <w:r>
        <w:t xml:space="preserve">· In vivo mitochondrial ATP production is improved in older adult skeletal muscle after a single dose of elamipretide in a randomized trial. PMID 34264994</w:t>
      </w:r>
    </w:p>
    <w:p>
      <w:pPr>
        <w:numPr>
          <w:ilvl w:val="0"/>
          <w:numId w:val="1413"/>
        </w:numPr>
        <w:pStyle w:val="Compact"/>
      </w:pPr>
      <w:r>
        <w:t xml:space="preserve">2021 · Reid Thompson W ·</w:t>
      </w:r>
      <w:r>
        <w:t xml:space="preserve"> </w:t>
      </w:r>
      <w:r>
        <w:rPr>
          <w:iCs/>
          <w:i/>
        </w:rPr>
        <w:t xml:space="preserve">Genet Med</w:t>
      </w:r>
      <w:r>
        <w:t xml:space="preserve"> </w:t>
      </w:r>
      <w:r>
        <w:t xml:space="preserve">· A phase 2/3 randomized clinical trial followed by an open-label extension to evaluate the effectiveness of elamipretide in Barth syndrome, a genetic disorder of mitochondrial cardiolipin metabolism. PMID 33077895</w:t>
      </w:r>
    </w:p>
    <w:p>
      <w:pPr>
        <w:numPr>
          <w:ilvl w:val="0"/>
          <w:numId w:val="1413"/>
        </w:numPr>
        <w:pStyle w:val="Compact"/>
      </w:pPr>
      <w:r>
        <w:t xml:space="preserve">2020 · Karaa A ·</w:t>
      </w:r>
      <w:r>
        <w:t xml:space="preserve"> </w:t>
      </w:r>
      <w:r>
        <w:rPr>
          <w:iCs/>
          <w:i/>
        </w:rPr>
        <w:t xml:space="preserve">J Cachexia Sarcopenia Muscle</w:t>
      </w:r>
      <w:r>
        <w:t xml:space="preserve"> </w:t>
      </w:r>
      <w:r>
        <w:t xml:space="preserve">· A randomized crossover trial of elamipretide in adults with primary mitochondrial myopathy. PMID 32096613</w:t>
      </w:r>
    </w:p>
    <w:p>
      <w:pPr>
        <w:numPr>
          <w:ilvl w:val="0"/>
          <w:numId w:val="1413"/>
        </w:numPr>
        <w:pStyle w:val="Compact"/>
      </w:pPr>
      <w:r>
        <w:t xml:space="preserve">2020 · Butler J ·</w:t>
      </w:r>
      <w:r>
        <w:t xml:space="preserve"> </w:t>
      </w:r>
      <w:r>
        <w:rPr>
          <w:iCs/>
          <w:i/>
        </w:rPr>
        <w:t xml:space="preserve">J Card Fail</w:t>
      </w:r>
      <w:r>
        <w:t xml:space="preserve"> </w:t>
      </w:r>
      <w:r>
        <w:t xml:space="preserve">· Effects of Elamipretide on Left Ventricular Function in Patients With Heart Failure With Reduced Ejection Fraction: The PROGRESS-HF Phase 2 Trial. PMID 32068002</w:t>
      </w:r>
    </w:p>
    <w:p>
      <w:pPr>
        <w:numPr>
          <w:ilvl w:val="0"/>
          <w:numId w:val="1413"/>
        </w:numPr>
        <w:pStyle w:val="Compact"/>
      </w:pPr>
      <w:r>
        <w:t xml:space="preserve">2019 · Hortmann M ·</w:t>
      </w:r>
      <w:r>
        <w:t xml:space="preserve"> </w:t>
      </w:r>
      <w:r>
        <w:rPr>
          <w:iCs/>
          <w:i/>
        </w:rPr>
        <w:t xml:space="preserve">Eur Heart J Acute Cardiovasc Care</w:t>
      </w:r>
      <w:r>
        <w:t xml:space="preserve"> </w:t>
      </w:r>
      <w:r>
        <w:t xml:space="preserve">· The mitochondria-targeting peptide elamipretide diminishes circulating HtrA2 in ST-segment elevation myocardial infarction. PMID 28534645</w:t>
      </w:r>
    </w:p>
    <w:p>
      <w:pPr>
        <w:numPr>
          <w:ilvl w:val="0"/>
          <w:numId w:val="1413"/>
        </w:numPr>
        <w:pStyle w:val="Compact"/>
      </w:pPr>
      <w:r>
        <w:t xml:space="preserve">2018 · Karaa A ·</w:t>
      </w:r>
      <w:r>
        <w:t xml:space="preserve"> </w:t>
      </w:r>
      <w:r>
        <w:rPr>
          <w:iCs/>
          <w:i/>
        </w:rPr>
        <w:t xml:space="preserve">Neurology</w:t>
      </w:r>
      <w:r>
        <w:t xml:space="preserve"> </w:t>
      </w:r>
      <w:r>
        <w:t xml:space="preserve">· Randomized dose-escalation trial of elamipretide in adults with primary mitochondrial myopathy. PMID 29500292</w:t>
      </w:r>
    </w:p>
    <w:p>
      <w:pPr>
        <w:numPr>
          <w:ilvl w:val="0"/>
          <w:numId w:val="1413"/>
        </w:numPr>
        <w:pStyle w:val="Compact"/>
      </w:pPr>
      <w:r>
        <w:t xml:space="preserve">2017 · Daubert MA ·</w:t>
      </w:r>
      <w:r>
        <w:t xml:space="preserve"> </w:t>
      </w:r>
      <w:r>
        <w:rPr>
          <w:iCs/>
          <w:i/>
        </w:rPr>
        <w:t xml:space="preserve">Circ Heart Fail</w:t>
      </w:r>
      <w:r>
        <w:t xml:space="preserve"> </w:t>
      </w:r>
      <w:r>
        <w:t xml:space="preserve">· Novel Mitochondria-Targeting Peptide in Heart Failure Treatment: A Randomized, Placebo-Controlled Trial of Elamipretide. PMID 29217757</w:t>
      </w:r>
    </w:p>
    <w:p>
      <w:pPr>
        <w:numPr>
          <w:ilvl w:val="0"/>
          <w:numId w:val="1413"/>
        </w:numPr>
        <w:pStyle w:val="Compact"/>
      </w:pPr>
      <w:r>
        <w:t xml:space="preserve">2017 · Saad A ·</w:t>
      </w:r>
      <w:r>
        <w:t xml:space="preserve"> </w:t>
      </w:r>
      <w:r>
        <w:rPr>
          <w:iCs/>
          <w:i/>
        </w:rPr>
        <w:t xml:space="preserve">Circ Cardiovasc Interv</w:t>
      </w:r>
      <w:r>
        <w:t xml:space="preserve"> </w:t>
      </w:r>
      <w:r>
        <w:t xml:space="preserve">· Phase 2a Clinical Trial of Mitochondrial Protection (Elamipretide) During Stent Revascularization in Patients With Atherosclerotic Renal Artery Stenosis. PMID 28916603</w:t>
      </w:r>
    </w:p>
    <w:p>
      <w:pPr>
        <w:numPr>
          <w:ilvl w:val="0"/>
          <w:numId w:val="1413"/>
        </w:numPr>
        <w:pStyle w:val="Compact"/>
      </w:pPr>
      <w:r>
        <w:t xml:space="preserve">2016 · Schoenell MC ·</w:t>
      </w:r>
      <w:r>
        <w:t xml:space="preserve"> </w:t>
      </w:r>
      <w:r>
        <w:rPr>
          <w:iCs/>
          <w:i/>
        </w:rPr>
        <w:t xml:space="preserve">Int J Sports Med</w:t>
      </w:r>
      <w:r>
        <w:t xml:space="preserve"> </w:t>
      </w:r>
      <w:r>
        <w:t xml:space="preserve">· Effects of Single Vs. Multiple Sets during 10 Weeks of Water-based Resistance Training on Neuromuscular Adaptations in Young Women. PMID 27286183</w:t>
      </w:r>
    </w:p>
    <w:p>
      <w:pPr>
        <w:numPr>
          <w:ilvl w:val="0"/>
          <w:numId w:val="1413"/>
        </w:numPr>
        <w:pStyle w:val="Compact"/>
      </w:pPr>
      <w:r>
        <w:t xml:space="preserve">2012 · Bernardo-Escudero R ·</w:t>
      </w:r>
      <w:r>
        <w:t xml:space="preserve"> </w:t>
      </w:r>
      <w:r>
        <w:rPr>
          <w:iCs/>
          <w:i/>
        </w:rPr>
        <w:t xml:space="preserve">Eur J Drug Metab Pharmacokinet</w:t>
      </w:r>
      <w:r>
        <w:t xml:space="preserve"> </w:t>
      </w:r>
      <w:r>
        <w:t xml:space="preserve">· Comparison of the pharmacokinetics of a new 30 mg modified-release tablet formulation of metoclopramide for once-a-day administration versus 10 mg immediate-release tablets: a single and multiple-dose, randomized, open-label, parallel study in healthy male subjects. PMID 22328192</w:t>
      </w:r>
    </w:p>
    <w:p>
      <w:pPr>
        <w:numPr>
          <w:ilvl w:val="0"/>
          <w:numId w:val="1413"/>
        </w:numPr>
        <w:pStyle w:val="Compact"/>
      </w:pPr>
      <w:r>
        <w:t xml:space="preserve">1977 · Ludwig H ·</w:t>
      </w:r>
      <w:r>
        <w:t xml:space="preserve"> </w:t>
      </w:r>
      <w:r>
        <w:rPr>
          <w:iCs/>
          <w:i/>
        </w:rPr>
        <w:t xml:space="preserve">Gut</w:t>
      </w:r>
      <w:r>
        <w:t xml:space="preserve"> </w:t>
      </w:r>
      <w:r>
        <w:t xml:space="preserve">· Antibodies to pancreatic duct cells in Sjögren’s syndrome and rheumatoid arthritis. PMID 405283</w:t>
      </w:r>
    </w:p>
    <w:bookmarkEnd w:id="3056"/>
    <w:bookmarkStart w:id="3057" w:name="foxo4-dri-0"/>
    <w:p>
      <w:pPr>
        <w:pStyle w:val="Heading2"/>
      </w:pPr>
      <w:r>
        <w:t xml:space="preserve">FOXO4-DRI (0)</w:t>
      </w:r>
    </w:p>
    <w:p>
      <w:pPr>
        <w:pStyle w:val="FirstParagraph"/>
      </w:pPr>
      <w:r>
        <w:t xml:space="preserve">Aucune publication d’étude clinique chez l’humain trouvée.</w:t>
      </w:r>
    </w:p>
    <w:bookmarkEnd w:id="3057"/>
    <w:bookmarkStart w:id="3058" w:name="glutathion-161"/>
    <w:p>
      <w:pPr>
        <w:pStyle w:val="Heading2"/>
      </w:pPr>
      <w:r>
        <w:t xml:space="preserve">Glutathion (161)</w:t>
      </w:r>
    </w:p>
    <w:p>
      <w:pPr>
        <w:numPr>
          <w:ilvl w:val="0"/>
          <w:numId w:val="1414"/>
        </w:numPr>
        <w:pStyle w:val="Compact"/>
      </w:pPr>
      <w:r>
        <w:t xml:space="preserve">2026 · Bai JL ·</w:t>
      </w:r>
      <w:r>
        <w:t xml:space="preserve"> </w:t>
      </w:r>
      <w:r>
        <w:rPr>
          <w:iCs/>
          <w:i/>
        </w:rPr>
        <w:t xml:space="preserve">Medicine (Baltimore)</w:t>
      </w:r>
      <w:r>
        <w:t xml:space="preserve"> </w:t>
      </w:r>
      <w:r>
        <w:t xml:space="preserve">· Hyaluronic acid-based skin booster with glutathione combined with 1064-nm Nd:YAG laser and oral tranexamic acid for melasma: A prospective comparative study. PMID 42888572</w:t>
      </w:r>
    </w:p>
    <w:p>
      <w:pPr>
        <w:numPr>
          <w:ilvl w:val="0"/>
          <w:numId w:val="1414"/>
        </w:numPr>
        <w:pStyle w:val="Compact"/>
      </w:pPr>
      <w:r>
        <w:t xml:space="preserve">2026 · Jung ES ·</w:t>
      </w:r>
      <w:r>
        <w:t xml:space="preserve"> </w:t>
      </w:r>
      <w:r>
        <w:rPr>
          <w:iCs/>
          <w:i/>
        </w:rPr>
        <w:t xml:space="preserve">Eur J Pharm Biopharm</w:t>
      </w:r>
      <w:r>
        <w:t xml:space="preserve"> </w:t>
      </w:r>
      <w:r>
        <w:t xml:space="preserve">· Formulation-dependent differences in systemic glutathione availability: Comparative pharmacokinetics of orally dissolving film and tablet formulations in healthy adults. PMID 42392376</w:t>
      </w:r>
    </w:p>
    <w:p>
      <w:pPr>
        <w:numPr>
          <w:ilvl w:val="0"/>
          <w:numId w:val="1414"/>
        </w:numPr>
        <w:pStyle w:val="Compact"/>
      </w:pPr>
      <w:r>
        <w:t xml:space="preserve">2026 · Ramos-Hernández R ·</w:t>
      </w:r>
      <w:r>
        <w:t xml:space="preserve"> </w:t>
      </w:r>
      <w:r>
        <w:rPr>
          <w:iCs/>
          <w:i/>
        </w:rPr>
        <w:t xml:space="preserve">Biogerontology</w:t>
      </w:r>
      <w:r>
        <w:t xml:space="preserve"> </w:t>
      </w:r>
      <w:r>
        <w:t xml:space="preserve">· Creatine plus β-Hydroxy-β-Methylbutyrate supplementation is associated with preserved glutathione redox-balance and redox-function associations in older adults: a secondary analysis of a randomized crossover trial. PMID 41712056</w:t>
      </w:r>
    </w:p>
    <w:p>
      <w:pPr>
        <w:numPr>
          <w:ilvl w:val="0"/>
          <w:numId w:val="1414"/>
        </w:numPr>
        <w:pStyle w:val="Compact"/>
      </w:pPr>
      <w:r>
        <w:t xml:space="preserve">2025 · Mawu FO ·</w:t>
      </w:r>
      <w:r>
        <w:t xml:space="preserve"> </w:t>
      </w:r>
      <w:r>
        <w:rPr>
          <w:iCs/>
          <w:i/>
        </w:rPr>
        <w:t xml:space="preserve">Acta Dermatovenerol Alp Pannonica Adriat</w:t>
      </w:r>
      <w:r>
        <w:t xml:space="preserve"> </w:t>
      </w:r>
      <w:r>
        <w:t xml:space="preserve">· Effectiveness of oral glutathione in reducing nitric oxide and IL-1α concentrations for clinical improvement in mild to moderate acne vulgaris: a randomized controlled trial. PMID 41014073</w:t>
      </w:r>
    </w:p>
    <w:p>
      <w:pPr>
        <w:numPr>
          <w:ilvl w:val="0"/>
          <w:numId w:val="1414"/>
        </w:numPr>
        <w:pStyle w:val="Compact"/>
      </w:pPr>
      <w:r>
        <w:t xml:space="preserve">2025 · Williams PG ·</w:t>
      </w:r>
      <w:r>
        <w:t xml:space="preserve"> </w:t>
      </w:r>
      <w:r>
        <w:rPr>
          <w:iCs/>
          <w:i/>
        </w:rPr>
        <w:t xml:space="preserve">J Dev Behav Pediatr</w:t>
      </w:r>
      <w:r>
        <w:t xml:space="preserve"> </w:t>
      </w:r>
      <w:r>
        <w:t xml:space="preserve">· Glutathione, Vitamin C, and Cysteine Use in Autistic Children With Disruptive Behavior: A Double-Blind, Placebo-Controlled Crossover Pilot Study. PMID 39960783</w:t>
      </w:r>
    </w:p>
    <w:p>
      <w:pPr>
        <w:numPr>
          <w:ilvl w:val="0"/>
          <w:numId w:val="1414"/>
        </w:numPr>
        <w:pStyle w:val="Compact"/>
      </w:pPr>
      <w:r>
        <w:t xml:space="preserve">2024 · Copetti CLK ·</w:t>
      </w:r>
      <w:r>
        <w:t xml:space="preserve"> </w:t>
      </w:r>
      <w:r>
        <w:rPr>
          <w:iCs/>
          <w:i/>
        </w:rPr>
        <w:t xml:space="preserve">Appl Physiol Nutr Metab</w:t>
      </w:r>
      <w:r>
        <w:t xml:space="preserve"> </w:t>
      </w:r>
      <w:r>
        <w:t xml:space="preserve">· Juçara (Euterpe edulis Martius) improves time-to-exhaustion cycling performance and increased reduced glutathione: a randomized, placebo-controlled, crossover, and triple-blind study. PMID 38502949</w:t>
      </w:r>
    </w:p>
    <w:p>
      <w:pPr>
        <w:numPr>
          <w:ilvl w:val="0"/>
          <w:numId w:val="1414"/>
        </w:numPr>
        <w:pStyle w:val="Compact"/>
      </w:pPr>
      <w:r>
        <w:t xml:space="preserve">2023 · Radwan K ·</w:t>
      </w:r>
      <w:r>
        <w:t xml:space="preserve"> </w:t>
      </w:r>
      <w:r>
        <w:rPr>
          <w:iCs/>
          <w:i/>
        </w:rPr>
        <w:t xml:space="preserve">Med Sci (Basel)</w:t>
      </w:r>
      <w:r>
        <w:t xml:space="preserve"> </w:t>
      </w:r>
      <w:r>
        <w:t xml:space="preserve">· An Open-Label Case Series of Glutathione Use for Symptomatic Management in Children with Autism Spectrum Disorder. PMID 37987328</w:t>
      </w:r>
    </w:p>
    <w:p>
      <w:pPr>
        <w:numPr>
          <w:ilvl w:val="0"/>
          <w:numId w:val="1414"/>
        </w:numPr>
        <w:pStyle w:val="Compact"/>
      </w:pPr>
      <w:r>
        <w:t xml:space="preserve">2023 · Gaike AH ·</w:t>
      </w:r>
      <w:r>
        <w:t xml:space="preserve"> </w:t>
      </w:r>
      <w:r>
        <w:rPr>
          <w:iCs/>
          <w:i/>
        </w:rPr>
        <w:t xml:space="preserve">FEMS Microbiol Lett</w:t>
      </w:r>
      <w:r>
        <w:t xml:space="preserve"> </w:t>
      </w:r>
      <w:r>
        <w:t xml:space="preserve">· Effect of long-term oral glutathione supplementation on gut microbiome of type 2 diabetic individuals. PMID 37935462</w:t>
      </w:r>
    </w:p>
    <w:p>
      <w:pPr>
        <w:numPr>
          <w:ilvl w:val="0"/>
          <w:numId w:val="1414"/>
        </w:numPr>
        <w:pStyle w:val="Compact"/>
      </w:pPr>
      <w:r>
        <w:t xml:space="preserve">2023 · Juchem C ·</w:t>
      </w:r>
      <w:r>
        <w:t xml:space="preserve"> </w:t>
      </w:r>
      <w:r>
        <w:rPr>
          <w:iCs/>
          <w:i/>
        </w:rPr>
        <w:t xml:space="preserve">Neuroimage Clin</w:t>
      </w:r>
      <w:r>
        <w:t xml:space="preserve"> </w:t>
      </w:r>
      <w:r>
        <w:t xml:space="preserve">· In vivo cortical glutathione response to oral fumarate therapy in relapsing-remitting multiple sclerosis: A single-arm open-label phase IV trial using 7-Tesla (1)H MRS. PMID 37651844</w:t>
      </w:r>
    </w:p>
    <w:p>
      <w:pPr>
        <w:numPr>
          <w:ilvl w:val="0"/>
          <w:numId w:val="1414"/>
        </w:numPr>
        <w:pStyle w:val="Compact"/>
      </w:pPr>
      <w:r>
        <w:t xml:space="preserve">2023 · Benson M ·</w:t>
      </w:r>
      <w:r>
        <w:t xml:space="preserve"> </w:t>
      </w:r>
      <w:r>
        <w:rPr>
          <w:iCs/>
          <w:i/>
        </w:rPr>
        <w:t xml:space="preserve">Nutr Res</w:t>
      </w:r>
      <w:r>
        <w:t xml:space="preserve"> </w:t>
      </w:r>
      <w:r>
        <w:t xml:space="preserve">· Improved glycemic control either alone, or combined with antioxidant supplementation, fails to restore blood glutathione or markers of oxidative stress in adolescents with poorly controlled type 1 diabetes. PMID 37515943</w:t>
      </w:r>
    </w:p>
    <w:p>
      <w:pPr>
        <w:numPr>
          <w:ilvl w:val="0"/>
          <w:numId w:val="1414"/>
        </w:numPr>
        <w:pStyle w:val="Compact"/>
      </w:pPr>
      <w:r>
        <w:t xml:space="preserve">2023 · Figueroa A ·</w:t>
      </w:r>
      <w:r>
        <w:t xml:space="preserve"> </w:t>
      </w:r>
      <w:r>
        <w:rPr>
          <w:iCs/>
          <w:i/>
        </w:rPr>
        <w:t xml:space="preserve">Nutrients</w:t>
      </w:r>
      <w:r>
        <w:t xml:space="preserve"> </w:t>
      </w:r>
      <w:r>
        <w:t xml:space="preserve">· Combined Citrulline and Glutathione Supplementation Improves Endothelial Function and Blood Pressure Reactivity in Postmenopausal Women. PMID 37049398</w:t>
      </w:r>
    </w:p>
    <w:p>
      <w:pPr>
        <w:numPr>
          <w:ilvl w:val="0"/>
          <w:numId w:val="1414"/>
        </w:numPr>
        <w:pStyle w:val="Compact"/>
      </w:pPr>
      <w:r>
        <w:t xml:space="preserve">2023 · Chung JW ·</w:t>
      </w:r>
      <w:r>
        <w:t xml:space="preserve"> </w:t>
      </w:r>
      <w:r>
        <w:rPr>
          <w:iCs/>
          <w:i/>
        </w:rPr>
        <w:t xml:space="preserve">J Hum Nutr Diet</w:t>
      </w:r>
      <w:r>
        <w:t xml:space="preserve"> </w:t>
      </w:r>
      <w:r>
        <w:t xml:space="preserve">· Eight-week supplementation of Aronia berry extract promoted the glutathione defence system against acute aerobic exercise-induced oxidative load immediately and 30 min post-exercise in healthy adults: a double-blind, randomised controlled trial. PMID 36727618</w:t>
      </w:r>
    </w:p>
    <w:p>
      <w:pPr>
        <w:numPr>
          <w:ilvl w:val="0"/>
          <w:numId w:val="1414"/>
        </w:numPr>
        <w:pStyle w:val="Compact"/>
      </w:pPr>
      <w:r>
        <w:t xml:space="preserve">2023 · Arrivi A ·</w:t>
      </w:r>
      <w:r>
        <w:t xml:space="preserve"> </w:t>
      </w:r>
      <w:r>
        <w:rPr>
          <w:iCs/>
          <w:i/>
        </w:rPr>
        <w:t xml:space="preserve">Minerva Cardiol Angiol</w:t>
      </w:r>
      <w:r>
        <w:t xml:space="preserve"> </w:t>
      </w:r>
      <w:r>
        <w:t xml:space="preserve">· Early and prolonged glutathione infusion favorably impacts length of hospital stay in ST-elevation myocardial infarction patients: a subanalysis of the GSH2014 Trial. PMID 36083043</w:t>
      </w:r>
    </w:p>
    <w:p>
      <w:pPr>
        <w:numPr>
          <w:ilvl w:val="0"/>
          <w:numId w:val="1414"/>
        </w:numPr>
        <w:pStyle w:val="Compact"/>
      </w:pPr>
      <w:r>
        <w:t xml:space="preserve">2023 · Kumar P ·</w:t>
      </w:r>
      <w:r>
        <w:t xml:space="preserve"> </w:t>
      </w:r>
      <w:r>
        <w:rPr>
          <w:iCs/>
          <w:i/>
        </w:rPr>
        <w:t xml:space="preserve">J Gerontol A Biol Sci Med Sci</w:t>
      </w:r>
      <w:r>
        <w:t xml:space="preserve"> </w:t>
      </w:r>
      <w:r>
        <w:t xml:space="preserve">· Supplementing Glycine and N-Acetylcysteine (GlyNAC) in Older Adults Improves Glutathione Deficiency, Oxidative Stress, Mitochondrial Dysfunction, Inflammation, Physical Function, and Aging Hallmarks: A Randomized Clinical Trial. PMID 35975308</w:t>
      </w:r>
    </w:p>
    <w:p>
      <w:pPr>
        <w:numPr>
          <w:ilvl w:val="0"/>
          <w:numId w:val="1414"/>
        </w:numPr>
        <w:pStyle w:val="Compact"/>
      </w:pPr>
      <w:r>
        <w:t xml:space="preserve">2022 · Khosravi Z ·</w:t>
      </w:r>
      <w:r>
        <w:t xml:space="preserve"> </w:t>
      </w:r>
      <w:r>
        <w:rPr>
          <w:iCs/>
          <w:i/>
        </w:rPr>
        <w:t xml:space="preserve">Clin Nutr ESPEN</w:t>
      </w:r>
      <w:r>
        <w:t xml:space="preserve"> </w:t>
      </w:r>
      <w:r>
        <w:t xml:space="preserve">· The effects of butyrate supplementation on glycemic control, lipid profile, blood pressure, nitric oxide level and glutathione peroxidase activity in type 2 diabetic patients: A randomized triple -blind, placebo-controlled trial. PMID 35623879</w:t>
      </w:r>
    </w:p>
    <w:p>
      <w:pPr>
        <w:numPr>
          <w:ilvl w:val="0"/>
          <w:numId w:val="1414"/>
        </w:numPr>
        <w:pStyle w:val="Compact"/>
      </w:pPr>
      <w:r>
        <w:t xml:space="preserve">2022 · Wangdi JT ·</w:t>
      </w:r>
      <w:r>
        <w:t xml:space="preserve"> </w:t>
      </w:r>
      <w:r>
        <w:rPr>
          <w:iCs/>
          <w:i/>
        </w:rPr>
        <w:t xml:space="preserve">Med Sci Sports Exerc</w:t>
      </w:r>
      <w:r>
        <w:t xml:space="preserve"> </w:t>
      </w:r>
      <w:r>
        <w:t xml:space="preserve">· Tart Cherry Supplement Enhances Skeletal Muscle Glutathione Peroxidase Expression and Functional Recovery after Muscle Damage. PMID 34772901</w:t>
      </w:r>
    </w:p>
    <w:p>
      <w:pPr>
        <w:numPr>
          <w:ilvl w:val="0"/>
          <w:numId w:val="1414"/>
        </w:numPr>
        <w:pStyle w:val="Compact"/>
      </w:pPr>
      <w:r>
        <w:t xml:space="preserve">2022 · McAllister MJ ·</w:t>
      </w:r>
      <w:r>
        <w:t xml:space="preserve"> </w:t>
      </w:r>
      <w:r>
        <w:rPr>
          <w:iCs/>
          <w:i/>
        </w:rPr>
        <w:t xml:space="preserve">Int J Sport Nutr Exerc Metab</w:t>
      </w:r>
      <w:r>
        <w:t xml:space="preserve"> </w:t>
      </w:r>
      <w:r>
        <w:t xml:space="preserve">· Astaxanthin Supplementation Increases Glutathione Concentrations but Does Not Impact Fat Oxidation During Exercise in Active Young Men. PMID 34611051</w:t>
      </w:r>
    </w:p>
    <w:p>
      <w:pPr>
        <w:numPr>
          <w:ilvl w:val="0"/>
          <w:numId w:val="1414"/>
        </w:numPr>
        <w:pStyle w:val="Compact"/>
      </w:pPr>
      <w:r>
        <w:t xml:space="preserve">2022 · Duperray J ·</w:t>
      </w:r>
      <w:r>
        <w:t xml:space="preserve"> </w:t>
      </w:r>
      <w:r>
        <w:rPr>
          <w:iCs/>
          <w:i/>
        </w:rPr>
        <w:t xml:space="preserve">J Cosmet Dermatol</w:t>
      </w:r>
      <w:r>
        <w:t xml:space="preserve"> </w:t>
      </w:r>
      <w:r>
        <w:t xml:space="preserve">· The effects of the oral supplementation of L-Cystine associated with reduced L-Glutathione-GSH on human skin pigmentation: a randomized, double-blinded, benchmark- and placebo-controlled clinical trial. PMID 33834608</w:t>
      </w:r>
    </w:p>
    <w:p>
      <w:pPr>
        <w:numPr>
          <w:ilvl w:val="0"/>
          <w:numId w:val="1414"/>
        </w:numPr>
        <w:pStyle w:val="Compact"/>
      </w:pPr>
      <w:r>
        <w:t xml:space="preserve">2021 · To K ·</w:t>
      </w:r>
      <w:r>
        <w:t xml:space="preserve"> </w:t>
      </w:r>
      <w:r>
        <w:rPr>
          <w:iCs/>
          <w:i/>
        </w:rPr>
        <w:t xml:space="preserve">Front Cell Infect Microbiol</w:t>
      </w:r>
      <w:r>
        <w:t xml:space="preserve"> </w:t>
      </w:r>
      <w:r>
        <w:t xml:space="preserve">· Effects of Oral Liposomal Glutathione in Altering the Immune Responses Against Mycobacterium tuberculosis and the Mycobacterium bovis BCG Strain in Individuals With Type 2 Diabetes. PMID 34150674</w:t>
      </w:r>
    </w:p>
    <w:p>
      <w:pPr>
        <w:numPr>
          <w:ilvl w:val="0"/>
          <w:numId w:val="1414"/>
        </w:numPr>
        <w:pStyle w:val="Compact"/>
      </w:pPr>
      <w:r>
        <w:t xml:space="preserve">2021 · To K ·</w:t>
      </w:r>
      <w:r>
        <w:t xml:space="preserve"> </w:t>
      </w:r>
      <w:r>
        <w:rPr>
          <w:iCs/>
          <w:i/>
        </w:rPr>
        <w:t xml:space="preserve">Biomol Concepts</w:t>
      </w:r>
      <w:r>
        <w:t xml:space="preserve"> </w:t>
      </w:r>
      <w:r>
        <w:t xml:space="preserve">· The Effects of Oral Liposomal Glutathione and In Vitro Everolimus in Altering the Immune Responses against Mycobacterium bovis BCG Strain in Individuals with Type 2 Diabetes. PMID 33966361</w:t>
      </w:r>
    </w:p>
    <w:p>
      <w:pPr>
        <w:numPr>
          <w:ilvl w:val="0"/>
          <w:numId w:val="1414"/>
        </w:numPr>
        <w:pStyle w:val="Compact"/>
      </w:pPr>
      <w:r>
        <w:t xml:space="preserve">2021 · Martins ML ·</w:t>
      </w:r>
      <w:r>
        <w:t xml:space="preserve"> </w:t>
      </w:r>
      <w:r>
        <w:rPr>
          <w:iCs/>
          <w:i/>
        </w:rPr>
        <w:t xml:space="preserve">Int Urol Nephrol</w:t>
      </w:r>
      <w:r>
        <w:t xml:space="preserve"> </w:t>
      </w:r>
      <w:r>
        <w:t xml:space="preserve">· Vitamin C decreases reduced glutathione in chronic haemodialysis patients: a pilot, randomised, double-blind trial. PMID 33905041</w:t>
      </w:r>
    </w:p>
    <w:p>
      <w:pPr>
        <w:numPr>
          <w:ilvl w:val="0"/>
          <w:numId w:val="1414"/>
        </w:numPr>
        <w:pStyle w:val="Compact"/>
      </w:pPr>
      <w:r>
        <w:t xml:space="preserve">2021 · Wahab S ·</w:t>
      </w:r>
      <w:r>
        <w:t xml:space="preserve"> </w:t>
      </w:r>
      <w:r>
        <w:rPr>
          <w:iCs/>
          <w:i/>
        </w:rPr>
        <w:t xml:space="preserve">Int J Dermatol</w:t>
      </w:r>
      <w:r>
        <w:t xml:space="preserve"> </w:t>
      </w:r>
      <w:r>
        <w:t xml:space="preserve">· Combination of topical and oral glutathione as a skin-whitening agent: a double-blind randomized controlled clinical trial. PMID 33871071</w:t>
      </w:r>
    </w:p>
    <w:p>
      <w:pPr>
        <w:numPr>
          <w:ilvl w:val="0"/>
          <w:numId w:val="1414"/>
        </w:numPr>
        <w:pStyle w:val="Compact"/>
      </w:pPr>
      <w:r>
        <w:t xml:space="preserve">2021 · Søndergård SD ·</w:t>
      </w:r>
      <w:r>
        <w:t xml:space="preserve"> </w:t>
      </w:r>
      <w:r>
        <w:rPr>
          <w:iCs/>
          <w:i/>
        </w:rPr>
        <w:t xml:space="preserve">Appl Physiol Nutr Metab</w:t>
      </w:r>
      <w:r>
        <w:t xml:space="preserve"> </w:t>
      </w:r>
      <w:r>
        <w:t xml:space="preserve">· The effects of 3 weeks of oral glutathione supplementation on whole body insulin sensitivity in obese males with and without type 2 diabetes: a randomized trial. PMID 33740389</w:t>
      </w:r>
    </w:p>
    <w:p>
      <w:pPr>
        <w:numPr>
          <w:ilvl w:val="0"/>
          <w:numId w:val="1414"/>
        </w:numPr>
        <w:pStyle w:val="Compact"/>
      </w:pPr>
      <w:r>
        <w:t xml:space="preserve">2021 · Haidari F ·</w:t>
      </w:r>
      <w:r>
        <w:t xml:space="preserve"> </w:t>
      </w:r>
      <w:r>
        <w:rPr>
          <w:iCs/>
          <w:i/>
        </w:rPr>
        <w:t xml:space="preserve">Hum Fertil (Camb)</w:t>
      </w:r>
      <w:r>
        <w:t xml:space="preserve"> </w:t>
      </w:r>
      <w:r>
        <w:t xml:space="preserve">· Effect of lipoic acid supplementation on gene expression and activity of glutathione S-transferase enzyme in infertile men. PMID 31291793</w:t>
      </w:r>
    </w:p>
    <w:p>
      <w:pPr>
        <w:numPr>
          <w:ilvl w:val="0"/>
          <w:numId w:val="1414"/>
        </w:numPr>
        <w:pStyle w:val="Compact"/>
      </w:pPr>
      <w:r>
        <w:t xml:space="preserve">2020 · Biswas P ·</w:t>
      </w:r>
      <w:r>
        <w:t xml:space="preserve"> </w:t>
      </w:r>
      <w:r>
        <w:rPr>
          <w:iCs/>
          <w:i/>
        </w:rPr>
        <w:t xml:space="preserve">Nutrients</w:t>
      </w:r>
      <w:r>
        <w:t xml:space="preserve"> </w:t>
      </w:r>
      <w:r>
        <w:t xml:space="preserve">· Antioxidant Activity with Increased Endogenous Levels of Vitamin C, E and A Following Dietary Supplementation with a Combination of Glutathione and Resveratrol Precursors. PMID 33105552</w:t>
      </w:r>
    </w:p>
    <w:p>
      <w:pPr>
        <w:numPr>
          <w:ilvl w:val="0"/>
          <w:numId w:val="1414"/>
        </w:numPr>
        <w:pStyle w:val="Compact"/>
      </w:pPr>
      <w:r>
        <w:t xml:space="preserve">2020 · Bozic M ·</w:t>
      </w:r>
      <w:r>
        <w:t xml:space="preserve"> </w:t>
      </w:r>
      <w:r>
        <w:rPr>
          <w:iCs/>
          <w:i/>
        </w:rPr>
        <w:t xml:space="preserve">J Pediatr Gastroenterol Nutr</w:t>
      </w:r>
      <w:r>
        <w:t xml:space="preserve"> </w:t>
      </w:r>
      <w:r>
        <w:t xml:space="preserve">· Oral Glutathione and Growth in Cystic Fibrosis: A Multicenter, Randomized, Placebo-controlled, Double-blind Trial. PMID 32960827</w:t>
      </w:r>
    </w:p>
    <w:p>
      <w:pPr>
        <w:numPr>
          <w:ilvl w:val="0"/>
          <w:numId w:val="1414"/>
        </w:numPr>
        <w:pStyle w:val="Compact"/>
      </w:pPr>
      <w:r>
        <w:t xml:space="preserve">2020 · Lai CY ·</w:t>
      </w:r>
      <w:r>
        <w:t xml:space="preserve"> </w:t>
      </w:r>
      <w:r>
        <w:rPr>
          <w:iCs/>
          <w:i/>
        </w:rPr>
        <w:t xml:space="preserve">Nutrients</w:t>
      </w:r>
      <w:r>
        <w:t xml:space="preserve"> </w:t>
      </w:r>
      <w:r>
        <w:t xml:space="preserve">· Impact of Glutathione and Vitamin B-6 in Cirrhosis Patients: A Randomized Controlled Trial and Follow-Up Study. PMID 32635181</w:t>
      </w:r>
    </w:p>
    <w:p>
      <w:pPr>
        <w:numPr>
          <w:ilvl w:val="0"/>
          <w:numId w:val="1414"/>
        </w:numPr>
        <w:pStyle w:val="Compact"/>
      </w:pPr>
      <w:r>
        <w:t xml:space="preserve">2020 · Mastaloudis A ·</w:t>
      </w:r>
      <w:r>
        <w:t xml:space="preserve"> </w:t>
      </w:r>
      <w:r>
        <w:rPr>
          <w:iCs/>
          <w:i/>
        </w:rPr>
        <w:t xml:space="preserve">Free Radic Biol Med</w:t>
      </w:r>
      <w:r>
        <w:t xml:space="preserve"> </w:t>
      </w:r>
      <w:r>
        <w:t xml:space="preserve">· Supplementation with a putative calorie restriction mimetic micronutrient blend increases glutathione concentrations and improves neuroenergetics in brain of healthy middle-aged men and women. PMID 32335159</w:t>
      </w:r>
    </w:p>
    <w:p>
      <w:pPr>
        <w:numPr>
          <w:ilvl w:val="0"/>
          <w:numId w:val="1414"/>
        </w:numPr>
        <w:pStyle w:val="Compact"/>
      </w:pPr>
      <w:r>
        <w:t xml:space="preserve">2019 · de Souza RGM ·</w:t>
      </w:r>
      <w:r>
        <w:t xml:space="preserve"> </w:t>
      </w:r>
      <w:r>
        <w:rPr>
          <w:iCs/>
          <w:i/>
        </w:rPr>
        <w:t xml:space="preserve">Nutrients</w:t>
      </w:r>
      <w:r>
        <w:t xml:space="preserve"> </w:t>
      </w:r>
      <w:r>
        <w:t xml:space="preserve">· Baru Almonds Increase the Activity of Glutathione Peroxidase in Overweight and Obese Women: A Randomized, Placebo-Controlled Trial. PMID 31366053</w:t>
      </w:r>
    </w:p>
    <w:p>
      <w:pPr>
        <w:numPr>
          <w:ilvl w:val="0"/>
          <w:numId w:val="1414"/>
        </w:numPr>
        <w:pStyle w:val="Compact"/>
      </w:pPr>
      <w:r>
        <w:t xml:space="preserve">2019 · Girgis RR ·</w:t>
      </w:r>
      <w:r>
        <w:t xml:space="preserve"> </w:t>
      </w:r>
      <w:r>
        <w:rPr>
          <w:iCs/>
          <w:i/>
        </w:rPr>
        <w:t xml:space="preserve">Psychiatry Res</w:t>
      </w:r>
      <w:r>
        <w:t xml:space="preserve"> </w:t>
      </w:r>
      <w:r>
        <w:t xml:space="preserve">· Effects of acute N-acetylcysteine challenge on cortical glutathione and glutamate in schizophrenia: A pilot in vivo proton magnetic resonance spectroscopy study. PMID 30884334</w:t>
      </w:r>
    </w:p>
    <w:p>
      <w:pPr>
        <w:numPr>
          <w:ilvl w:val="0"/>
          <w:numId w:val="1414"/>
        </w:numPr>
        <w:pStyle w:val="Compact"/>
      </w:pPr>
      <w:r>
        <w:t xml:space="preserve">2019 · Pickering G ·</w:t>
      </w:r>
      <w:r>
        <w:t xml:space="preserve"> </w:t>
      </w:r>
      <w:r>
        <w:rPr>
          <w:iCs/>
          <w:i/>
        </w:rPr>
        <w:t xml:space="preserve">Fundam Clin Pharmacol</w:t>
      </w:r>
      <w:r>
        <w:t xml:space="preserve"> </w:t>
      </w:r>
      <w:r>
        <w:t xml:space="preserve">· N-acetylcysteine prevents glutathione decrease and does not interfere with paracetamol antinociceptive effect at therapeutic dosage: a randomized double-blind controlled trial in healthy subjects. PMID 30471141</w:t>
      </w:r>
    </w:p>
    <w:p>
      <w:pPr>
        <w:numPr>
          <w:ilvl w:val="0"/>
          <w:numId w:val="1414"/>
        </w:numPr>
        <w:pStyle w:val="Compact"/>
      </w:pPr>
      <w:r>
        <w:t xml:space="preserve">2019 · Grandi V ·</w:t>
      </w:r>
      <w:r>
        <w:t xml:space="preserve"> </w:t>
      </w:r>
      <w:r>
        <w:rPr>
          <w:iCs/>
          <w:i/>
        </w:rPr>
        <w:t xml:space="preserve">G Ital Dermatol Venereol</w:t>
      </w:r>
      <w:r>
        <w:t xml:space="preserve"> </w:t>
      </w:r>
      <w:r>
        <w:t xml:space="preserve">· Efficacy and safety of S-acyl glutathione 2% cream vs. placebo against UVB-induced erythema: a randomized, double-blinded clinical trial. PMID 28399620</w:t>
      </w:r>
    </w:p>
    <w:p>
      <w:pPr>
        <w:numPr>
          <w:ilvl w:val="0"/>
          <w:numId w:val="1414"/>
        </w:numPr>
        <w:pStyle w:val="Compact"/>
      </w:pPr>
      <w:r>
        <w:t xml:space="preserve">2018 · Parida S ·</w:t>
      </w:r>
      <w:r>
        <w:t xml:space="preserve"> </w:t>
      </w:r>
      <w:r>
        <w:rPr>
          <w:iCs/>
          <w:i/>
        </w:rPr>
        <w:t xml:space="preserve">Indian J Gastroenterol</w:t>
      </w:r>
      <w:r>
        <w:t xml:space="preserve"> </w:t>
      </w:r>
      <w:r>
        <w:t xml:space="preserve">· Study of glutathione S-transferase levels in patients receiving intravenous paracetamol perioperatively: A randomized controlled trial. PMID 30421393</w:t>
      </w:r>
    </w:p>
    <w:p>
      <w:pPr>
        <w:numPr>
          <w:ilvl w:val="0"/>
          <w:numId w:val="1414"/>
        </w:numPr>
        <w:pStyle w:val="Compact"/>
      </w:pPr>
      <w:r>
        <w:t xml:space="preserve">2018 · Hwang P ·</w:t>
      </w:r>
      <w:r>
        <w:t xml:space="preserve"> </w:t>
      </w:r>
      <w:r>
        <w:rPr>
          <w:iCs/>
          <w:i/>
        </w:rPr>
        <w:t xml:space="preserve">J Int Soc Sports Nutr</w:t>
      </w:r>
      <w:r>
        <w:t xml:space="preserve"> </w:t>
      </w:r>
      <w:r>
        <w:t xml:space="preserve">· Eight weeks of resistance training in conjunction with glutathione and L-Citrulline supplementation increases lean mass and has no adverse effects on blood clinical safety markers in resistance-trained males. PMID 29945625</w:t>
      </w:r>
    </w:p>
    <w:p>
      <w:pPr>
        <w:numPr>
          <w:ilvl w:val="0"/>
          <w:numId w:val="1414"/>
        </w:numPr>
        <w:pStyle w:val="Compact"/>
      </w:pPr>
      <w:r>
        <w:t xml:space="preserve">2018 · Kleniewska P ·</w:t>
      </w:r>
      <w:r>
        <w:t xml:space="preserve"> </w:t>
      </w:r>
      <w:r>
        <w:rPr>
          <w:iCs/>
          <w:i/>
        </w:rPr>
        <w:t xml:space="preserve">Adv Med Sci</w:t>
      </w:r>
      <w:r>
        <w:t xml:space="preserve"> </w:t>
      </w:r>
      <w:r>
        <w:t xml:space="preserve">· Assessment of human 4-hydroxynonenal, 8-isoprostane concentrations and glutathione reductase activity after synbiotics administration. PMID 29859494</w:t>
      </w:r>
    </w:p>
    <w:p>
      <w:pPr>
        <w:numPr>
          <w:ilvl w:val="0"/>
          <w:numId w:val="1414"/>
        </w:numPr>
        <w:pStyle w:val="Compact"/>
      </w:pPr>
      <w:r>
        <w:t xml:space="preserve">2018 · Bumrungpert A ·</w:t>
      </w:r>
      <w:r>
        <w:t xml:space="preserve"> </w:t>
      </w:r>
      <w:r>
        <w:rPr>
          <w:iCs/>
          <w:i/>
        </w:rPr>
        <w:t xml:space="preserve">J Med Food</w:t>
      </w:r>
      <w:r>
        <w:t xml:space="preserve"> </w:t>
      </w:r>
      <w:r>
        <w:t xml:space="preserve">· Whey Protein Supplementation Improves Nutritional Status, Glutathione Levels, and Immune Function in Cancer Patients: A Randomized, Double-Blind Controlled Trial. PMID 29565716</w:t>
      </w:r>
    </w:p>
    <w:p>
      <w:pPr>
        <w:numPr>
          <w:ilvl w:val="0"/>
          <w:numId w:val="1414"/>
        </w:numPr>
        <w:pStyle w:val="Compact"/>
      </w:pPr>
      <w:r>
        <w:t xml:space="preserve">2018 · Moss HG ·</w:t>
      </w:r>
      <w:r>
        <w:t xml:space="preserve"> </w:t>
      </w:r>
      <w:r>
        <w:rPr>
          <w:iCs/>
          <w:i/>
        </w:rPr>
        <w:t xml:space="preserve">J Cereb Blood Flow Metab</w:t>
      </w:r>
      <w:r>
        <w:t xml:space="preserve"> </w:t>
      </w:r>
      <w:r>
        <w:t xml:space="preserve">· N-Acetylcysteine rapidly replenishes central nervous system glutathione measured via magnetic resonance spectroscopy in human neonates with hypoxic-ischemic encephalopathy. PMID 29561203</w:t>
      </w:r>
    </w:p>
    <w:p>
      <w:pPr>
        <w:numPr>
          <w:ilvl w:val="0"/>
          <w:numId w:val="1414"/>
        </w:numPr>
        <w:pStyle w:val="Compact"/>
      </w:pPr>
      <w:r>
        <w:t xml:space="preserve">2018 · Kanhai KMS ·</w:t>
      </w:r>
      <w:r>
        <w:t xml:space="preserve"> </w:t>
      </w:r>
      <w:r>
        <w:rPr>
          <w:iCs/>
          <w:i/>
        </w:rPr>
        <w:t xml:space="preserve">Br J Clin Pharmacol</w:t>
      </w:r>
      <w:r>
        <w:t xml:space="preserve"> </w:t>
      </w:r>
      <w:r>
        <w:t xml:space="preserve">· Glutathione-PEGylated liposomal methylprednisolone in comparison to free methylprednisolone: slow release characteristics and prolonged lymphocyte depression in a first-in-human study. PMID 29385232</w:t>
      </w:r>
    </w:p>
    <w:p>
      <w:pPr>
        <w:numPr>
          <w:ilvl w:val="0"/>
          <w:numId w:val="1414"/>
        </w:numPr>
        <w:pStyle w:val="Compact"/>
      </w:pPr>
      <w:r>
        <w:t xml:space="preserve">2018 · Coles LD ·</w:t>
      </w:r>
      <w:r>
        <w:t xml:space="preserve"> </w:t>
      </w:r>
      <w:r>
        <w:rPr>
          <w:iCs/>
          <w:i/>
        </w:rPr>
        <w:t xml:space="preserve">J Clin Pharmacol</w:t>
      </w:r>
      <w:r>
        <w:t xml:space="preserve"> </w:t>
      </w:r>
      <w:r>
        <w:t xml:space="preserve">· Repeated-Dose Oral N-Acetylcysteine in Parkinson’s Disease: Pharmacokinetics and Effect on Brain Glutathione and Oxidative Stress. PMID 28940353</w:t>
      </w:r>
    </w:p>
    <w:p>
      <w:pPr>
        <w:numPr>
          <w:ilvl w:val="0"/>
          <w:numId w:val="1414"/>
        </w:numPr>
        <w:pStyle w:val="Compact"/>
      </w:pPr>
      <w:r>
        <w:t xml:space="preserve">2017 · Honda Y ·</w:t>
      </w:r>
      <w:r>
        <w:t xml:space="preserve"> </w:t>
      </w:r>
      <w:r>
        <w:rPr>
          <w:iCs/>
          <w:i/>
        </w:rPr>
        <w:t xml:space="preserve">BMC Gastroenterol</w:t>
      </w:r>
      <w:r>
        <w:t xml:space="preserve"> </w:t>
      </w:r>
      <w:r>
        <w:t xml:space="preserve">· Efficacy of glutathione for the treatment of nonalcoholic fatty liver disease: an open-label, single-arm, multicenter, pilot study. PMID 28789631</w:t>
      </w:r>
    </w:p>
    <w:p>
      <w:pPr>
        <w:numPr>
          <w:ilvl w:val="0"/>
          <w:numId w:val="1414"/>
        </w:numPr>
        <w:pStyle w:val="Compact"/>
      </w:pPr>
      <w:r>
        <w:t xml:space="preserve">2017 · Campolo J ·</w:t>
      </w:r>
      <w:r>
        <w:t xml:space="preserve"> </w:t>
      </w:r>
      <w:r>
        <w:rPr>
          <w:iCs/>
          <w:i/>
        </w:rPr>
        <w:t xml:space="preserve">Nutrition</w:t>
      </w:r>
      <w:r>
        <w:t xml:space="preserve"> </w:t>
      </w:r>
      <w:r>
        <w:t xml:space="preserve">· Medium-term effect of sublingual l-glutathione supplementation on flow-mediated dilation in subjects with cardiovascular risk factors. PMID 28526381</w:t>
      </w:r>
    </w:p>
    <w:p>
      <w:pPr>
        <w:numPr>
          <w:ilvl w:val="0"/>
          <w:numId w:val="1414"/>
        </w:numPr>
        <w:pStyle w:val="Compact"/>
      </w:pPr>
      <w:r>
        <w:t xml:space="preserve">2017 · Zarka MH ·</w:t>
      </w:r>
      <w:r>
        <w:t xml:space="preserve"> </w:t>
      </w:r>
      <w:r>
        <w:rPr>
          <w:iCs/>
          <w:i/>
        </w:rPr>
        <w:t xml:space="preserve">Redox Biol</w:t>
      </w:r>
      <w:r>
        <w:t xml:space="preserve"> </w:t>
      </w:r>
      <w:r>
        <w:t xml:space="preserve">· Oral administration of γ-glutamylcysteine increases intracellular glutathione levels above homeostasis in a randomised human trial pilot study. PMID 28131081</w:t>
      </w:r>
    </w:p>
    <w:p>
      <w:pPr>
        <w:numPr>
          <w:ilvl w:val="0"/>
          <w:numId w:val="1414"/>
        </w:numPr>
        <w:pStyle w:val="Compact"/>
      </w:pPr>
      <w:r>
        <w:t xml:space="preserve">2016 · Yuan JM ·</w:t>
      </w:r>
      <w:r>
        <w:t xml:space="preserve"> </w:t>
      </w:r>
      <w:r>
        <w:rPr>
          <w:iCs/>
          <w:i/>
        </w:rPr>
        <w:t xml:space="preserve">Cancer Prev Res (Phila)</w:t>
      </w:r>
      <w:r>
        <w:t xml:space="preserve"> </w:t>
      </w:r>
      <w:r>
        <w:t xml:space="preserve">· 2-Phenethyl Isothiocyanate, Glutathione S-transferase M1 and T1 Polymorphisms, and Detoxification of Volatile Organic Carcinogens and Toxicants in Tobacco Smoke. PMID 27099270</w:t>
      </w:r>
    </w:p>
    <w:p>
      <w:pPr>
        <w:numPr>
          <w:ilvl w:val="0"/>
          <w:numId w:val="1414"/>
        </w:numPr>
        <w:pStyle w:val="Compact"/>
      </w:pPr>
      <w:r>
        <w:t xml:space="preserve">2016 · Handog EB ·</w:t>
      </w:r>
      <w:r>
        <w:t xml:space="preserve"> </w:t>
      </w:r>
      <w:r>
        <w:rPr>
          <w:iCs/>
          <w:i/>
        </w:rPr>
        <w:t xml:space="preserve">Int J Dermatol</w:t>
      </w:r>
      <w:r>
        <w:t xml:space="preserve"> </w:t>
      </w:r>
      <w:r>
        <w:t xml:space="preserve">· An open-label, single-arm trial of the safety and efficacy of a novel preparation of glutathione as a skin-lightening agent in Filipino women. PMID 26148180</w:t>
      </w:r>
    </w:p>
    <w:p>
      <w:pPr>
        <w:numPr>
          <w:ilvl w:val="0"/>
          <w:numId w:val="1414"/>
        </w:numPr>
        <w:pStyle w:val="Compact"/>
      </w:pPr>
      <w:r>
        <w:t xml:space="preserve">2016 · Calkins KL ·</w:t>
      </w:r>
      <w:r>
        <w:t xml:space="preserve"> </w:t>
      </w:r>
      <w:r>
        <w:rPr>
          <w:iCs/>
          <w:i/>
        </w:rPr>
        <w:t xml:space="preserve">JPEN J Parenter Enteral Nutr</w:t>
      </w:r>
      <w:r>
        <w:t xml:space="preserve"> </w:t>
      </w:r>
      <w:r>
        <w:t xml:space="preserve">· Effect of High-Dose Cysteine Supplementation on Erythrocyte Glutathione: A Double-Blinded, Randomized Placebo-Controlled Pilot Study in Critically Ill Neonates. PMID 25139979</w:t>
      </w:r>
    </w:p>
    <w:p>
      <w:pPr>
        <w:numPr>
          <w:ilvl w:val="0"/>
          <w:numId w:val="1414"/>
        </w:numPr>
        <w:pStyle w:val="Compact"/>
      </w:pPr>
      <w:r>
        <w:t xml:space="preserve">2015 · Duffy SL ·</w:t>
      </w:r>
      <w:r>
        <w:t xml:space="preserve"> </w:t>
      </w:r>
      <w:r>
        <w:rPr>
          <w:iCs/>
          <w:i/>
        </w:rPr>
        <w:t xml:space="preserve">Nutrition</w:t>
      </w:r>
      <w:r>
        <w:t xml:space="preserve"> </w:t>
      </w:r>
      <w:r>
        <w:t xml:space="preserve">· The effect of 12-wk ω-3 fatty acid supplementation on in vivo thalamus glutathione concentration in patients</w:t>
      </w:r>
      <w:r>
        <w:t xml:space="preserve"> </w:t>
      </w:r>
      <w:r>
        <w:t xml:space="preserve">“</w:t>
      </w:r>
      <w:r>
        <w:t xml:space="preserve">at risk</w:t>
      </w:r>
      <w:r>
        <w:t xml:space="preserve">”</w:t>
      </w:r>
      <w:r>
        <w:t xml:space="preserve"> </w:t>
      </w:r>
      <w:r>
        <w:t xml:space="preserve">for major depression. PMID 26333890</w:t>
      </w:r>
    </w:p>
    <w:p>
      <w:pPr>
        <w:numPr>
          <w:ilvl w:val="0"/>
          <w:numId w:val="1414"/>
        </w:numPr>
        <w:pStyle w:val="Compact"/>
      </w:pPr>
      <w:r>
        <w:t xml:space="preserve">2015 · Schmitt B ·</w:t>
      </w:r>
      <w:r>
        <w:t xml:space="preserve"> </w:t>
      </w:r>
      <w:r>
        <w:rPr>
          <w:iCs/>
          <w:i/>
        </w:rPr>
        <w:t xml:space="preserve">Redox Biol</w:t>
      </w:r>
      <w:r>
        <w:t xml:space="preserve"> </w:t>
      </w:r>
      <w:r>
        <w:t xml:space="preserve">· Effects of N-acetylcysteine, oral glutathione (GSH) and a novel sublingual form of GSH on oxidative stress markers: A comparative crossover study. PMID 26262996</w:t>
      </w:r>
    </w:p>
    <w:p>
      <w:pPr>
        <w:numPr>
          <w:ilvl w:val="0"/>
          <w:numId w:val="1414"/>
        </w:numPr>
        <w:pStyle w:val="Compact"/>
      </w:pPr>
      <w:r>
        <w:t xml:space="preserve">2015 · McKinley-Barnard S ·</w:t>
      </w:r>
      <w:r>
        <w:t xml:space="preserve"> </w:t>
      </w:r>
      <w:r>
        <w:rPr>
          <w:iCs/>
          <w:i/>
        </w:rPr>
        <w:t xml:space="preserve">J Int Soc Sports Nutr</w:t>
      </w:r>
      <w:r>
        <w:t xml:space="preserve"> </w:t>
      </w:r>
      <w:r>
        <w:t xml:space="preserve">· Combined L-citrulline and glutathione supplementation increases the concentration of markers indicative of nitric oxide synthesis. PMID 26097441</w:t>
      </w:r>
    </w:p>
    <w:p>
      <w:pPr>
        <w:numPr>
          <w:ilvl w:val="0"/>
          <w:numId w:val="1414"/>
        </w:numPr>
        <w:pStyle w:val="Compact"/>
      </w:pPr>
      <w:r>
        <w:t xml:space="preserve">2015 · Visca A ·</w:t>
      </w:r>
      <w:r>
        <w:t xml:space="preserve"> </w:t>
      </w:r>
      <w:r>
        <w:rPr>
          <w:iCs/>
          <w:i/>
        </w:rPr>
        <w:t xml:space="preserve">J Pediatr Gastroenterol Nutr</w:t>
      </w:r>
      <w:r>
        <w:t xml:space="preserve"> </w:t>
      </w:r>
      <w:r>
        <w:t xml:space="preserve">· Oral reduced L-glutathione improves growth in pediatric cystic fibrosis patients. PMID 25633497</w:t>
      </w:r>
    </w:p>
    <w:p>
      <w:pPr>
        <w:numPr>
          <w:ilvl w:val="0"/>
          <w:numId w:val="1414"/>
        </w:numPr>
        <w:pStyle w:val="Compact"/>
      </w:pPr>
      <w:r>
        <w:t xml:space="preserve">2015 · Richie JP Jr ·</w:t>
      </w:r>
      <w:r>
        <w:t xml:space="preserve"> </w:t>
      </w:r>
      <w:r>
        <w:rPr>
          <w:iCs/>
          <w:i/>
        </w:rPr>
        <w:t xml:space="preserve">Eur J Nutr</w:t>
      </w:r>
      <w:r>
        <w:t xml:space="preserve"> </w:t>
      </w:r>
      <w:r>
        <w:t xml:space="preserve">· Randomized controlled trial of oral glutathione supplementation on body stores of glutathione. PMID 24791752</w:t>
      </w:r>
    </w:p>
    <w:p>
      <w:pPr>
        <w:numPr>
          <w:ilvl w:val="0"/>
          <w:numId w:val="1414"/>
        </w:numPr>
        <w:pStyle w:val="Compact"/>
      </w:pPr>
      <w:r>
        <w:t xml:space="preserve">2014 · Kasperczyk S ·</w:t>
      </w:r>
      <w:r>
        <w:t xml:space="preserve"> </w:t>
      </w:r>
      <w:r>
        <w:rPr>
          <w:iCs/>
          <w:i/>
        </w:rPr>
        <w:t xml:space="preserve">Toxicol Appl Pharmacol</w:t>
      </w:r>
      <w:r>
        <w:t xml:space="preserve"> </w:t>
      </w:r>
      <w:r>
        <w:t xml:space="preserve">· Beta-carotene reduces oxidative stress, improves glutathione metabolism and modifies antioxidant defense systems in lead-exposed workers. PMID 25038314</w:t>
      </w:r>
    </w:p>
    <w:p>
      <w:pPr>
        <w:numPr>
          <w:ilvl w:val="0"/>
          <w:numId w:val="1414"/>
        </w:numPr>
        <w:pStyle w:val="Compact"/>
      </w:pPr>
      <w:r>
        <w:t xml:space="preserve">2014 · Park EY ·</w:t>
      </w:r>
      <w:r>
        <w:t xml:space="preserve"> </w:t>
      </w:r>
      <w:r>
        <w:rPr>
          <w:iCs/>
          <w:i/>
        </w:rPr>
        <w:t xml:space="preserve">J Agric Food Chem</w:t>
      </w:r>
      <w:r>
        <w:t xml:space="preserve"> </w:t>
      </w:r>
      <w:r>
        <w:t xml:space="preserve">· Increase in the protein-bound form of glutathione in human blood after the oral administration of glutathione. PMID 24877771</w:t>
      </w:r>
    </w:p>
    <w:p>
      <w:pPr>
        <w:numPr>
          <w:ilvl w:val="0"/>
          <w:numId w:val="1414"/>
        </w:numPr>
        <w:pStyle w:val="Compact"/>
      </w:pPr>
      <w:r>
        <w:t xml:space="preserve">2014 · Giacosa A ·</w:t>
      </w:r>
      <w:r>
        <w:t xml:space="preserve"> </w:t>
      </w:r>
      <w:r>
        <w:rPr>
          <w:iCs/>
          <w:i/>
        </w:rPr>
        <w:t xml:space="preserve">Nutrients</w:t>
      </w:r>
      <w:r>
        <w:t xml:space="preserve"> </w:t>
      </w:r>
      <w:r>
        <w:t xml:space="preserve">· Selenium fortification of an Italian rice cultivar via foliar fertilization with sodium selenate and its effects on human serum selenium levels and on erythrocyte glutathione peroxidase activity. PMID 24667132</w:t>
      </w:r>
    </w:p>
    <w:p>
      <w:pPr>
        <w:numPr>
          <w:ilvl w:val="0"/>
          <w:numId w:val="1414"/>
        </w:numPr>
        <w:pStyle w:val="Compact"/>
      </w:pPr>
      <w:r>
        <w:t xml:space="preserve">2014 · Green CO ·</w:t>
      </w:r>
      <w:r>
        <w:t xml:space="preserve"> </w:t>
      </w:r>
      <w:r>
        <w:rPr>
          <w:iCs/>
          <w:i/>
        </w:rPr>
        <w:t xml:space="preserve">Am J Clin Nutr</w:t>
      </w:r>
      <w:r>
        <w:t xml:space="preserve"> </w:t>
      </w:r>
      <w:r>
        <w:t xml:space="preserve">· Effects of randomized supplementation of methionine or alanine on cysteine and glutathione production during the early phase of treatment of children with edematous malnutrition. PMID 24598154</w:t>
      </w:r>
    </w:p>
    <w:p>
      <w:pPr>
        <w:numPr>
          <w:ilvl w:val="0"/>
          <w:numId w:val="1414"/>
        </w:numPr>
        <w:pStyle w:val="Compact"/>
      </w:pPr>
      <w:r>
        <w:t xml:space="preserve">2014 · Nguyen D ·</w:t>
      </w:r>
      <w:r>
        <w:t xml:space="preserve"> </w:t>
      </w:r>
      <w:r>
        <w:rPr>
          <w:iCs/>
          <w:i/>
        </w:rPr>
        <w:t xml:space="preserve">J Clin Endocrinol Metab</w:t>
      </w:r>
      <w:r>
        <w:t xml:space="preserve"> </w:t>
      </w:r>
      <w:r>
        <w:t xml:space="preserve">· Effect of increasing glutathione with cysteine and glycine supplementation on mitochondrial fuel oxidation, insulin sensitivity, and body composition in older HIV-infected patients. PMID 24081740</w:t>
      </w:r>
    </w:p>
    <w:p>
      <w:pPr>
        <w:numPr>
          <w:ilvl w:val="0"/>
          <w:numId w:val="1414"/>
        </w:numPr>
        <w:pStyle w:val="Compact"/>
      </w:pPr>
      <w:r>
        <w:t xml:space="preserve">2013 · Holmay MJ ·</w:t>
      </w:r>
      <w:r>
        <w:t xml:space="preserve"> </w:t>
      </w:r>
      <w:r>
        <w:rPr>
          <w:iCs/>
          <w:i/>
        </w:rPr>
        <w:t xml:space="preserve">Clin Neuropharmacol</w:t>
      </w:r>
      <w:r>
        <w:t xml:space="preserve"> </w:t>
      </w:r>
      <w:r>
        <w:t xml:space="preserve">· N-Acetylcysteine boosts brain and blood glutathione in Gaucher and Parkinson diseases. PMID 23860343</w:t>
      </w:r>
    </w:p>
    <w:p>
      <w:pPr>
        <w:numPr>
          <w:ilvl w:val="0"/>
          <w:numId w:val="1414"/>
        </w:numPr>
        <w:pStyle w:val="Compact"/>
      </w:pPr>
      <w:r>
        <w:t xml:space="preserve">2013 · Basu A ·</w:t>
      </w:r>
      <w:r>
        <w:t xml:space="preserve"> </w:t>
      </w:r>
      <w:r>
        <w:rPr>
          <w:iCs/>
          <w:i/>
        </w:rPr>
        <w:t xml:space="preserve">Nutr Res</w:t>
      </w:r>
      <w:r>
        <w:t xml:space="preserve"> </w:t>
      </w:r>
      <w:r>
        <w:t xml:space="preserve">· Green tea supplementation increases glutathione and plasma antioxidant capacity in adults with the metabolic syndrome. PMID 23507223</w:t>
      </w:r>
    </w:p>
    <w:p>
      <w:pPr>
        <w:numPr>
          <w:ilvl w:val="0"/>
          <w:numId w:val="1414"/>
        </w:numPr>
        <w:pStyle w:val="Compact"/>
      </w:pPr>
      <w:r>
        <w:t xml:space="preserve">2013 · Morris D ·</w:t>
      </w:r>
      <w:r>
        <w:t xml:space="preserve"> </w:t>
      </w:r>
      <w:r>
        <w:rPr>
          <w:iCs/>
          <w:i/>
        </w:rPr>
        <w:t xml:space="preserve">J Interferon Cytokine Res</w:t>
      </w:r>
      <w:r>
        <w:t xml:space="preserve"> </w:t>
      </w:r>
      <w:r>
        <w:t xml:space="preserve">· Glutathione supplementation improves macrophage functions in HIV. PMID 23409922</w:t>
      </w:r>
    </w:p>
    <w:p>
      <w:pPr>
        <w:numPr>
          <w:ilvl w:val="0"/>
          <w:numId w:val="1414"/>
        </w:numPr>
        <w:pStyle w:val="Compact"/>
      </w:pPr>
      <w:r>
        <w:t xml:space="preserve">2012 · Miller JC ·</w:t>
      </w:r>
      <w:r>
        <w:t xml:space="preserve"> </w:t>
      </w:r>
      <w:r>
        <w:rPr>
          <w:iCs/>
          <w:i/>
        </w:rPr>
        <w:t xml:space="preserve">Am J Clin Nutr</w:t>
      </w:r>
      <w:r>
        <w:t xml:space="preserve"> </w:t>
      </w:r>
      <w:r>
        <w:t xml:space="preserve">· Influence of the glutathione peroxidase 1 Pro200Leu polymorphism on the response of glutathione peroxidase activity to selenium supplementation: a randomized controlled trial. PMID 22952184</w:t>
      </w:r>
    </w:p>
    <w:p>
      <w:pPr>
        <w:numPr>
          <w:ilvl w:val="0"/>
          <w:numId w:val="1414"/>
        </w:numPr>
        <w:pStyle w:val="Compact"/>
      </w:pPr>
      <w:r>
        <w:t xml:space="preserve">2012 · Treweeke AT ·</w:t>
      </w:r>
      <w:r>
        <w:t xml:space="preserve"> </w:t>
      </w:r>
      <w:r>
        <w:rPr>
          <w:iCs/>
          <w:i/>
        </w:rPr>
        <w:t xml:space="preserve">Diabetologia</w:t>
      </w:r>
      <w:r>
        <w:t xml:space="preserve"> </w:t>
      </w:r>
      <w:r>
        <w:t xml:space="preserve">· N-Acetylcysteine inhibits platelet-monocyte conjugation in patients with type 2 diabetes with depleted intraplatelet glutathione: a randomised controlled trial. PMID 22935960</w:t>
      </w:r>
    </w:p>
    <w:p>
      <w:pPr>
        <w:numPr>
          <w:ilvl w:val="0"/>
          <w:numId w:val="1414"/>
        </w:numPr>
        <w:pStyle w:val="Compact"/>
      </w:pPr>
      <w:r>
        <w:t xml:space="preserve">2012 · Fu P ·</w:t>
      </w:r>
      <w:r>
        <w:t xml:space="preserve"> </w:t>
      </w:r>
      <w:r>
        <w:rPr>
          <w:iCs/>
          <w:i/>
        </w:rPr>
        <w:t xml:space="preserve">Zhong Xi Yi Jie He Xue Bao</w:t>
      </w:r>
      <w:r>
        <w:t xml:space="preserve"> </w:t>
      </w:r>
      <w:r>
        <w:t xml:space="preserve">· [Effects of salvianolate combined with alprostadil and reduced glutathione on progression of chronic renal failure in patients with chronic kidney diseases: a long-term randomized controlled trial]. PMID 22704412</w:t>
      </w:r>
    </w:p>
    <w:p>
      <w:pPr>
        <w:numPr>
          <w:ilvl w:val="0"/>
          <w:numId w:val="1414"/>
        </w:numPr>
        <w:pStyle w:val="Compact"/>
      </w:pPr>
      <w:r>
        <w:t xml:space="preserve">2012 · Chazov EI ·</w:t>
      </w:r>
      <w:r>
        <w:t xml:space="preserve"> </w:t>
      </w:r>
      <w:r>
        <w:rPr>
          <w:iCs/>
          <w:i/>
        </w:rPr>
        <w:t xml:space="preserve">Nitric Oxide</w:t>
      </w:r>
      <w:r>
        <w:t xml:space="preserve"> </w:t>
      </w:r>
      <w:r>
        <w:t xml:space="preserve">· Hypotensive effect of Oxacom® containing a dinitrosyl iron complex with glutathione: animal studies and clinical trials on healthy volunteers. PMID 22326933</w:t>
      </w:r>
    </w:p>
    <w:p>
      <w:pPr>
        <w:numPr>
          <w:ilvl w:val="0"/>
          <w:numId w:val="1414"/>
        </w:numPr>
        <w:pStyle w:val="Compact"/>
      </w:pPr>
      <w:r>
        <w:t xml:space="preserve">2012 · Borges-Santos MD ·</w:t>
      </w:r>
      <w:r>
        <w:t xml:space="preserve"> </w:t>
      </w:r>
      <w:r>
        <w:rPr>
          <w:iCs/>
          <w:i/>
        </w:rPr>
        <w:t xml:space="preserve">Nutrition</w:t>
      </w:r>
      <w:r>
        <w:t xml:space="preserve"> </w:t>
      </w:r>
      <w:r>
        <w:t xml:space="preserve">· Plasma glutathione of HIV⁺ patients responded positively and differently to dietary supplementation with cysteine or glutamine. PMID 22261571</w:t>
      </w:r>
    </w:p>
    <w:p>
      <w:pPr>
        <w:numPr>
          <w:ilvl w:val="0"/>
          <w:numId w:val="1414"/>
        </w:numPr>
        <w:pStyle w:val="Compact"/>
      </w:pPr>
      <w:r>
        <w:t xml:space="preserve">2012 · DiFrancisco-Donoghue J ·</w:t>
      </w:r>
      <w:r>
        <w:t xml:space="preserve"> </w:t>
      </w:r>
      <w:r>
        <w:rPr>
          <w:iCs/>
          <w:i/>
        </w:rPr>
        <w:t xml:space="preserve">Neurodegener Dis</w:t>
      </w:r>
      <w:r>
        <w:t xml:space="preserve"> </w:t>
      </w:r>
      <w:r>
        <w:t xml:space="preserve">· Effects of exercise and B vitamins on homocysteine and glutathione in Parkinson’s disease: a randomized trial. PMID 22261439</w:t>
      </w:r>
    </w:p>
    <w:p>
      <w:pPr>
        <w:numPr>
          <w:ilvl w:val="0"/>
          <w:numId w:val="1414"/>
        </w:numPr>
        <w:pStyle w:val="Compact"/>
      </w:pPr>
      <w:r>
        <w:t xml:space="preserve">2012 · Arjinpathana N ·</w:t>
      </w:r>
      <w:r>
        <w:t xml:space="preserve"> </w:t>
      </w:r>
      <w:r>
        <w:rPr>
          <w:iCs/>
          <w:i/>
        </w:rPr>
        <w:t xml:space="preserve">J Dermatolog Treat</w:t>
      </w:r>
      <w:r>
        <w:t xml:space="preserve"> </w:t>
      </w:r>
      <w:r>
        <w:t xml:space="preserve">· Glutathione as an oral whitening agent: a randomized, double-blind, placebo-controlled study. PMID 20524875</w:t>
      </w:r>
    </w:p>
    <w:p>
      <w:pPr>
        <w:numPr>
          <w:ilvl w:val="0"/>
          <w:numId w:val="1414"/>
        </w:numPr>
        <w:pStyle w:val="Compact"/>
      </w:pPr>
      <w:r>
        <w:t xml:space="preserve">2011 · Kern JK ·</w:t>
      </w:r>
      <w:r>
        <w:t xml:space="preserve"> </w:t>
      </w:r>
      <w:r>
        <w:rPr>
          <w:iCs/>
          <w:i/>
        </w:rPr>
        <w:t xml:space="preserve">Med Sci Monit</w:t>
      </w:r>
      <w:r>
        <w:t xml:space="preserve"> </w:t>
      </w:r>
      <w:r>
        <w:t xml:space="preserve">· A clinical trial of glutathione supplementation in autism spectrum disorders. PMID 22129897</w:t>
      </w:r>
    </w:p>
    <w:p>
      <w:pPr>
        <w:numPr>
          <w:ilvl w:val="0"/>
          <w:numId w:val="1414"/>
        </w:numPr>
        <w:pStyle w:val="Compact"/>
      </w:pPr>
      <w:r>
        <w:t xml:space="preserve">2011 · Chazov EI ·</w:t>
      </w:r>
      <w:r>
        <w:t xml:space="preserve"> </w:t>
      </w:r>
      <w:r>
        <w:rPr>
          <w:iCs/>
          <w:i/>
        </w:rPr>
        <w:t xml:space="preserve">Kardiologiia</w:t>
      </w:r>
      <w:r>
        <w:t xml:space="preserve"> </w:t>
      </w:r>
      <w:r>
        <w:t xml:space="preserve">· [The study of hypotensive action of dinitrosyl-iron complex with glutathione containing drug oxacom in healthy volunteers]. PMID 22117768</w:t>
      </w:r>
    </w:p>
    <w:p>
      <w:pPr>
        <w:numPr>
          <w:ilvl w:val="0"/>
          <w:numId w:val="1414"/>
        </w:numPr>
        <w:pStyle w:val="Compact"/>
      </w:pPr>
      <w:r>
        <w:t xml:space="preserve">2011 · Allen J ·</w:t>
      </w:r>
      <w:r>
        <w:t xml:space="preserve"> </w:t>
      </w:r>
      <w:r>
        <w:rPr>
          <w:iCs/>
          <w:i/>
        </w:rPr>
        <w:t xml:space="preserve">J Altern Complement Med</w:t>
      </w:r>
      <w:r>
        <w:t xml:space="preserve"> </w:t>
      </w:r>
      <w:r>
        <w:t xml:space="preserve">· Effects of oral glutathione supplementation on systemic oxidative stress biomarkers in human volunteers. PMID 21875351</w:t>
      </w:r>
    </w:p>
    <w:p>
      <w:pPr>
        <w:numPr>
          <w:ilvl w:val="0"/>
          <w:numId w:val="1414"/>
        </w:numPr>
        <w:pStyle w:val="Compact"/>
      </w:pPr>
      <w:r>
        <w:t xml:space="preserve">2011 · Sekhar RV ·</w:t>
      </w:r>
      <w:r>
        <w:t xml:space="preserve"> </w:t>
      </w:r>
      <w:r>
        <w:rPr>
          <w:iCs/>
          <w:i/>
        </w:rPr>
        <w:t xml:space="preserve">Am J Clin Nutr</w:t>
      </w:r>
      <w:r>
        <w:t xml:space="preserve"> </w:t>
      </w:r>
      <w:r>
        <w:t xml:space="preserve">· Deficient synthesis of glutathione underlies oxidative stress in aging and can be corrected by dietary cysteine and glycine supplementation. PMID 21795440</w:t>
      </w:r>
    </w:p>
    <w:p>
      <w:pPr>
        <w:numPr>
          <w:ilvl w:val="0"/>
          <w:numId w:val="1414"/>
        </w:numPr>
        <w:pStyle w:val="Compact"/>
      </w:pPr>
      <w:r>
        <w:t xml:space="preserve">2011 · Richie JP Jr ·</w:t>
      </w:r>
      <w:r>
        <w:t xml:space="preserve"> </w:t>
      </w:r>
      <w:r>
        <w:rPr>
          <w:iCs/>
          <w:i/>
        </w:rPr>
        <w:t xml:space="preserve">Nutr Cancer</w:t>
      </w:r>
      <w:r>
        <w:t xml:space="preserve"> </w:t>
      </w:r>
      <w:r>
        <w:t xml:space="preserve">· Association of selenium status and blood glutathione concentrations in blacks and whites. PMID 21462082</w:t>
      </w:r>
    </w:p>
    <w:p>
      <w:pPr>
        <w:numPr>
          <w:ilvl w:val="0"/>
          <w:numId w:val="1414"/>
        </w:numPr>
        <w:pStyle w:val="Compact"/>
      </w:pPr>
      <w:r>
        <w:t xml:space="preserve">2011 · Zhang W ·</w:t>
      </w:r>
      <w:r>
        <w:t xml:space="preserve"> </w:t>
      </w:r>
      <w:r>
        <w:rPr>
          <w:iCs/>
          <w:i/>
        </w:rPr>
        <w:t xml:space="preserve">Nutr Res</w:t>
      </w:r>
      <w:r>
        <w:t xml:space="preserve"> </w:t>
      </w:r>
      <w:r>
        <w:t xml:space="preserve">· Selenium glycinate supplementation increases blood glutathione peroxidase activities and decreases prostate-specific antigen readings in middle-aged US men. PMID 21419321</w:t>
      </w:r>
    </w:p>
    <w:p>
      <w:pPr>
        <w:numPr>
          <w:ilvl w:val="0"/>
          <w:numId w:val="1414"/>
        </w:numPr>
        <w:pStyle w:val="Compact"/>
      </w:pPr>
      <w:r>
        <w:t xml:space="preserve">2011 · Cominetti C ·</w:t>
      </w:r>
      <w:r>
        <w:t xml:space="preserve"> </w:t>
      </w:r>
      <w:r>
        <w:rPr>
          <w:iCs/>
          <w:i/>
        </w:rPr>
        <w:t xml:space="preserve">Nutrition</w:t>
      </w:r>
      <w:r>
        <w:t xml:space="preserve"> </w:t>
      </w:r>
      <w:r>
        <w:t xml:space="preserve">· Associations between glutathione peroxidase-1 Pro198Leu polymorphism, selenium status, and DNA damage levels in obese women after consumption of Brazil nuts. PMID 21208780</w:t>
      </w:r>
    </w:p>
    <w:p>
      <w:pPr>
        <w:numPr>
          <w:ilvl w:val="0"/>
          <w:numId w:val="1414"/>
        </w:numPr>
        <w:pStyle w:val="Compact"/>
      </w:pPr>
      <w:r>
        <w:t xml:space="preserve">2011 · Saitoh T ·</w:t>
      </w:r>
      <w:r>
        <w:t xml:space="preserve"> </w:t>
      </w:r>
      <w:r>
        <w:rPr>
          <w:iCs/>
          <w:i/>
        </w:rPr>
        <w:t xml:space="preserve">Heart Vessels</w:t>
      </w:r>
      <w:r>
        <w:t xml:space="preserve"> </w:t>
      </w:r>
      <w:r>
        <w:t xml:space="preserve">· Intravenous glutathione prevents renal oxidative stress after coronary angiography more effectively than oral N-acetylcysteine. PMID 21127883</w:t>
      </w:r>
    </w:p>
    <w:p>
      <w:pPr>
        <w:numPr>
          <w:ilvl w:val="0"/>
          <w:numId w:val="1414"/>
        </w:numPr>
        <w:pStyle w:val="Compact"/>
      </w:pPr>
      <w:r>
        <w:t xml:space="preserve">2011 · Almog S ·</w:t>
      </w:r>
      <w:r>
        <w:t xml:space="preserve"> </w:t>
      </w:r>
      <w:r>
        <w:rPr>
          <w:iCs/>
          <w:i/>
        </w:rPr>
        <w:t xml:space="preserve">Biol Blood Marrow Transplant</w:t>
      </w:r>
      <w:r>
        <w:t xml:space="preserve"> </w:t>
      </w:r>
      <w:r>
        <w:t xml:space="preserve">· Linearity and stability of intravenous busulfan pharmacokinetics and the role of glutathione in busulfan elimination. PMID 20601034</w:t>
      </w:r>
    </w:p>
    <w:p>
      <w:pPr>
        <w:numPr>
          <w:ilvl w:val="0"/>
          <w:numId w:val="1414"/>
        </w:numPr>
        <w:pStyle w:val="Compact"/>
      </w:pPr>
      <w:r>
        <w:t xml:space="preserve">2010 · Stockler-Pinto MB ·</w:t>
      </w:r>
      <w:r>
        <w:t xml:space="preserve"> </w:t>
      </w:r>
      <w:r>
        <w:rPr>
          <w:iCs/>
          <w:i/>
        </w:rPr>
        <w:t xml:space="preserve">Nutrition</w:t>
      </w:r>
      <w:r>
        <w:t xml:space="preserve"> </w:t>
      </w:r>
      <w:r>
        <w:t xml:space="preserve">· Effect of Brazil nut supplementation on the blood levels of selenium and glutathione peroxidase in hemodialysis patients. PMID 20018488</w:t>
      </w:r>
    </w:p>
    <w:p>
      <w:pPr>
        <w:numPr>
          <w:ilvl w:val="0"/>
          <w:numId w:val="1414"/>
        </w:numPr>
        <w:pStyle w:val="Compact"/>
      </w:pPr>
      <w:r>
        <w:t xml:space="preserve">2010 · Courtney-Martin G ·</w:t>
      </w:r>
      <w:r>
        <w:t xml:space="preserve"> </w:t>
      </w:r>
      <w:r>
        <w:rPr>
          <w:iCs/>
          <w:i/>
        </w:rPr>
        <w:t xml:space="preserve">Pediatr Res</w:t>
      </w:r>
      <w:r>
        <w:t xml:space="preserve"> </w:t>
      </w:r>
      <w:r>
        <w:t xml:space="preserve">· The addition of cysteine to the total sulphur amino acid requirement as methionine does not increase erythrocytes glutathione synthesis in the parenterally fed human neonate. PMID 19915518</w:t>
      </w:r>
    </w:p>
    <w:p>
      <w:pPr>
        <w:numPr>
          <w:ilvl w:val="0"/>
          <w:numId w:val="1414"/>
        </w:numPr>
        <w:pStyle w:val="Compact"/>
      </w:pPr>
      <w:r>
        <w:t xml:space="preserve">2009 · Greenblatt DJ ·</w:t>
      </w:r>
      <w:r>
        <w:t xml:space="preserve"> </w:t>
      </w:r>
      <w:r>
        <w:rPr>
          <w:iCs/>
          <w:i/>
        </w:rPr>
        <w:t xml:space="preserve">Br J Clin Pharmacol</w:t>
      </w:r>
      <w:r>
        <w:t xml:space="preserve"> </w:t>
      </w:r>
      <w:r>
        <w:t xml:space="preserve">· Inhibition of oral midazolam clearance by boosting doses of ritonavir, and by 4,4-dimethyl-benziso-(2H)-selenazine (ALT-2074), an experimental catalytic mimic of glutathione oxidase. PMID 20002087</w:t>
      </w:r>
    </w:p>
    <w:p>
      <w:pPr>
        <w:numPr>
          <w:ilvl w:val="0"/>
          <w:numId w:val="1414"/>
        </w:numPr>
        <w:pStyle w:val="Compact"/>
      </w:pPr>
      <w:r>
        <w:t xml:space="preserve">2009 · Navarro SL ·</w:t>
      </w:r>
      <w:r>
        <w:t xml:space="preserve"> </w:t>
      </w:r>
      <w:r>
        <w:rPr>
          <w:iCs/>
          <w:i/>
        </w:rPr>
        <w:t xml:space="preserve">Cancer Epidemiol Biomarkers Prev</w:t>
      </w:r>
      <w:r>
        <w:t xml:space="preserve"> </w:t>
      </w:r>
      <w:r>
        <w:t xml:space="preserve">· Modulation of human serum glutathione S-transferase A1/2 concentration by cruciferous vegetables in a controlled feeding study is influenced by GSTM1 and GSTT1 genotypes. PMID 19900941</w:t>
      </w:r>
    </w:p>
    <w:p>
      <w:pPr>
        <w:numPr>
          <w:ilvl w:val="0"/>
          <w:numId w:val="1414"/>
        </w:numPr>
        <w:pStyle w:val="Compact"/>
      </w:pPr>
      <w:r>
        <w:t xml:space="preserve">2009 · te Braake FW ·</w:t>
      </w:r>
      <w:r>
        <w:t xml:space="preserve"> </w:t>
      </w:r>
      <w:r>
        <w:rPr>
          <w:iCs/>
          <w:i/>
        </w:rPr>
        <w:t xml:space="preserve">Pediatrics</w:t>
      </w:r>
      <w:r>
        <w:t xml:space="preserve"> </w:t>
      </w:r>
      <w:r>
        <w:t xml:space="preserve">· High-dose cysteine administration does not increase synthesis of the antioxidant glutathione preterm infants. PMID 19822595</w:t>
      </w:r>
    </w:p>
    <w:p>
      <w:pPr>
        <w:numPr>
          <w:ilvl w:val="0"/>
          <w:numId w:val="1414"/>
        </w:numPr>
        <w:pStyle w:val="Compact"/>
      </w:pPr>
      <w:r>
        <w:t xml:space="preserve">2009 · Engel JM ·</w:t>
      </w:r>
      <w:r>
        <w:t xml:space="preserve"> </w:t>
      </w:r>
      <w:r>
        <w:rPr>
          <w:iCs/>
          <w:i/>
        </w:rPr>
        <w:t xml:space="preserve">Acta Anaesthesiol Scand</w:t>
      </w:r>
      <w:r>
        <w:t xml:space="preserve"> </w:t>
      </w:r>
      <w:r>
        <w:t xml:space="preserve">· Glutamine administration in patients undergoing cardiac surgery and the influence on blood glutathione levels. PMID 19681775</w:t>
      </w:r>
    </w:p>
    <w:p>
      <w:pPr>
        <w:numPr>
          <w:ilvl w:val="0"/>
          <w:numId w:val="1414"/>
        </w:numPr>
        <w:pStyle w:val="Compact"/>
      </w:pPr>
      <w:r>
        <w:t xml:space="preserve">2009 · Eroglu A ·</w:t>
      </w:r>
      <w:r>
        <w:t xml:space="preserve"> </w:t>
      </w:r>
      <w:r>
        <w:rPr>
          <w:iCs/>
          <w:i/>
        </w:rPr>
        <w:t xml:space="preserve">Anesth Analg</w:t>
      </w:r>
      <w:r>
        <w:t xml:space="preserve"> </w:t>
      </w:r>
      <w:r>
        <w:t xml:space="preserve">· The effect of intravenous alanyl-glutamine supplementation on plasma glutathione levels in intensive care unit trauma patients receiving enteral nutrition: the results of a randomized controlled trial. PMID 19608826</w:t>
      </w:r>
    </w:p>
    <w:p>
      <w:pPr>
        <w:numPr>
          <w:ilvl w:val="0"/>
          <w:numId w:val="1414"/>
        </w:numPr>
        <w:pStyle w:val="Compact"/>
      </w:pPr>
      <w:r>
        <w:t xml:space="preserve">2009 · Raza A ·</w:t>
      </w:r>
      <w:r>
        <w:t xml:space="preserve"> </w:t>
      </w:r>
      <w:r>
        <w:rPr>
          <w:iCs/>
          <w:i/>
        </w:rPr>
        <w:t xml:space="preserve">J Hematol Oncol</w:t>
      </w:r>
      <w:r>
        <w:t xml:space="preserve"> </w:t>
      </w:r>
      <w:r>
        <w:t xml:space="preserve">· Phase 1-2a multicenter dose-escalation study of ezatiostat hydrochloride liposomes for injection (Telintra, TLK199), a novel glutathione analog prodrug in patients with myelodysplastic syndrome. PMID 19439093</w:t>
      </w:r>
    </w:p>
    <w:p>
      <w:pPr>
        <w:numPr>
          <w:ilvl w:val="0"/>
          <w:numId w:val="1414"/>
        </w:numPr>
        <w:pStyle w:val="Compact"/>
      </w:pPr>
      <w:r>
        <w:t xml:space="preserve">2009 · Yang P ·</w:t>
      </w:r>
      <w:r>
        <w:t xml:space="preserve"> </w:t>
      </w:r>
      <w:r>
        <w:rPr>
          <w:iCs/>
          <w:i/>
        </w:rPr>
        <w:t xml:space="preserve">J Thorac Oncol</w:t>
      </w:r>
      <w:r>
        <w:t xml:space="preserve"> </w:t>
      </w:r>
      <w:r>
        <w:t xml:space="preserve">· Evaluation of glutathione metabolic genes on outcomes in advanced non-small cell lung cancer patients after initial treatment with platinum-based chemotherapy: an NCCTG-97-24-51 based study. PMID 19347979</w:t>
      </w:r>
    </w:p>
    <w:p>
      <w:pPr>
        <w:numPr>
          <w:ilvl w:val="0"/>
          <w:numId w:val="1414"/>
        </w:numPr>
        <w:pStyle w:val="Compact"/>
      </w:pPr>
      <w:r>
        <w:t xml:space="preserve">2009 · Zachara BA ·</w:t>
      </w:r>
      <w:r>
        <w:t xml:space="preserve"> </w:t>
      </w:r>
      <w:r>
        <w:rPr>
          <w:iCs/>
          <w:i/>
        </w:rPr>
        <w:t xml:space="preserve">Acta Biochim Pol</w:t>
      </w:r>
      <w:r>
        <w:t xml:space="preserve"> </w:t>
      </w:r>
      <w:r>
        <w:t xml:space="preserve">· Selenium supplementation to chronic kidney disease patients on hemodialysis does not induce the synthesis of plasma glutathione peroxidase. PMID 19238255</w:t>
      </w:r>
    </w:p>
    <w:p>
      <w:pPr>
        <w:numPr>
          <w:ilvl w:val="0"/>
          <w:numId w:val="1414"/>
        </w:numPr>
        <w:pStyle w:val="Compact"/>
      </w:pPr>
      <w:r>
        <w:t xml:space="preserve">2009 · Hauser RA ·</w:t>
      </w:r>
      <w:r>
        <w:t xml:space="preserve"> </w:t>
      </w:r>
      <w:r>
        <w:rPr>
          <w:iCs/>
          <w:i/>
        </w:rPr>
        <w:t xml:space="preserve">Mov Disord</w:t>
      </w:r>
      <w:r>
        <w:t xml:space="preserve"> </w:t>
      </w:r>
      <w:r>
        <w:t xml:space="preserve">· Randomized, double-blind, pilot evaluation of intravenous glutathione in Parkinson’s disease. PMID 19230029</w:t>
      </w:r>
    </w:p>
    <w:p>
      <w:pPr>
        <w:numPr>
          <w:ilvl w:val="0"/>
          <w:numId w:val="1414"/>
        </w:numPr>
        <w:pStyle w:val="Compact"/>
      </w:pPr>
      <w:r>
        <w:t xml:space="preserve">2009 · Wang Y ·</w:t>
      </w:r>
      <w:r>
        <w:t xml:space="preserve"> </w:t>
      </w:r>
      <w:r>
        <w:rPr>
          <w:iCs/>
          <w:i/>
        </w:rPr>
        <w:t xml:space="preserve">J Nutr</w:t>
      </w:r>
      <w:r>
        <w:t xml:space="preserve"> </w:t>
      </w:r>
      <w:r>
        <w:t xml:space="preserve">· Long-term garlic or micronutrient supplementation, but not anti-Helicobacter pylori therapy, increases serum folate or glutathione without affecting serum vitamin B-12 or homocysteine in a rural Chinese population. PMID 19056661</w:t>
      </w:r>
    </w:p>
    <w:p>
      <w:pPr>
        <w:numPr>
          <w:ilvl w:val="0"/>
          <w:numId w:val="1414"/>
        </w:numPr>
        <w:pStyle w:val="Compact"/>
      </w:pPr>
      <w:r>
        <w:t xml:space="preserve">2008 · Darmaun D ·</w:t>
      </w:r>
      <w:r>
        <w:t xml:space="preserve"> </w:t>
      </w:r>
      <w:r>
        <w:rPr>
          <w:iCs/>
          <w:i/>
        </w:rPr>
        <w:t xml:space="preserve">Pediatr Diabetes</w:t>
      </w:r>
      <w:r>
        <w:t xml:space="preserve"> </w:t>
      </w:r>
      <w:r>
        <w:t xml:space="preserve">· Poorly controlled type 1 diabetes is associated with altered glutathione homeostasis in adolescents: apparent resistance to N-acetylcysteine supplementation. PMID 19067892</w:t>
      </w:r>
    </w:p>
    <w:p>
      <w:pPr>
        <w:numPr>
          <w:ilvl w:val="0"/>
          <w:numId w:val="1414"/>
        </w:numPr>
        <w:pStyle w:val="Compact"/>
      </w:pPr>
      <w:r>
        <w:t xml:space="preserve">2008 · Courtney-Martin G ·</w:t>
      </w:r>
      <w:r>
        <w:t xml:space="preserve"> </w:t>
      </w:r>
      <w:r>
        <w:rPr>
          <w:iCs/>
          <w:i/>
        </w:rPr>
        <w:t xml:space="preserve">J Nutr</w:t>
      </w:r>
      <w:r>
        <w:t xml:space="preserve"> </w:t>
      </w:r>
      <w:r>
        <w:t xml:space="preserve">· Methionine-adequate cysteine-free diet does not limit erythrocyte glutathione synthesis in young healthy adult men. PMID 18936215</w:t>
      </w:r>
    </w:p>
    <w:p>
      <w:pPr>
        <w:numPr>
          <w:ilvl w:val="0"/>
          <w:numId w:val="1414"/>
        </w:numPr>
        <w:pStyle w:val="Compact"/>
      </w:pPr>
      <w:r>
        <w:t xml:space="preserve">2008 · Bede O ·</w:t>
      </w:r>
      <w:r>
        <w:t xml:space="preserve"> </w:t>
      </w:r>
      <w:r>
        <w:rPr>
          <w:iCs/>
          <w:i/>
        </w:rPr>
        <w:t xml:space="preserve">Inflamm Res</w:t>
      </w:r>
      <w:r>
        <w:t xml:space="preserve"> </w:t>
      </w:r>
      <w:r>
        <w:t xml:space="preserve">· Effects of magnesium supplementation on the glutathione redox system in atopic asthmatic children. PMID 18516713</w:t>
      </w:r>
    </w:p>
    <w:p>
      <w:pPr>
        <w:numPr>
          <w:ilvl w:val="0"/>
          <w:numId w:val="1414"/>
        </w:numPr>
        <w:pStyle w:val="Compact"/>
      </w:pPr>
      <w:r>
        <w:t xml:space="preserve">2008 · Berk M ·</w:t>
      </w:r>
      <w:r>
        <w:t xml:space="preserve"> </w:t>
      </w:r>
      <w:r>
        <w:rPr>
          <w:iCs/>
          <w:i/>
        </w:rPr>
        <w:t xml:space="preserve">Biol Psychiatry</w:t>
      </w:r>
      <w:r>
        <w:t xml:space="preserve"> </w:t>
      </w:r>
      <w:r>
        <w:t xml:space="preserve">· N-acetyl cysteine as a glutathione precursor for schizophrenia–a double-blind, randomized, placebo-controlled trial. PMID 18436195</w:t>
      </w:r>
    </w:p>
    <w:p>
      <w:pPr>
        <w:numPr>
          <w:ilvl w:val="0"/>
          <w:numId w:val="1414"/>
        </w:numPr>
        <w:pStyle w:val="Compact"/>
      </w:pPr>
      <w:r>
        <w:t xml:space="preserve">2008 · Méplan C ·</w:t>
      </w:r>
      <w:r>
        <w:t xml:space="preserve"> </w:t>
      </w:r>
      <w:r>
        <w:rPr>
          <w:iCs/>
          <w:i/>
        </w:rPr>
        <w:t xml:space="preserve">Am J Clin Nutr</w:t>
      </w:r>
      <w:r>
        <w:t xml:space="preserve"> </w:t>
      </w:r>
      <w:r>
        <w:t xml:space="preserve">· Functional effects of a common single-nucleotide polymorphism (GPX4c718t) in the glutathione peroxidase 4 gene: interaction with sex. PMID 18400727</w:t>
      </w:r>
    </w:p>
    <w:p>
      <w:pPr>
        <w:numPr>
          <w:ilvl w:val="0"/>
          <w:numId w:val="1414"/>
        </w:numPr>
        <w:pStyle w:val="Compact"/>
      </w:pPr>
      <w:r>
        <w:t xml:space="preserve">2008 · Jariwalla RJ ·</w:t>
      </w:r>
      <w:r>
        <w:t xml:space="preserve"> </w:t>
      </w:r>
      <w:r>
        <w:rPr>
          <w:iCs/>
          <w:i/>
        </w:rPr>
        <w:t xml:space="preserve">J Altern Complement Med</w:t>
      </w:r>
      <w:r>
        <w:t xml:space="preserve"> </w:t>
      </w:r>
      <w:r>
        <w:t xml:space="preserve">· Restoration of blood total glutathione status and lymphocyte function following alpha-lipoic acid supplementation in patients with HIV infection. PMID 18315507</w:t>
      </w:r>
    </w:p>
    <w:p>
      <w:pPr>
        <w:numPr>
          <w:ilvl w:val="0"/>
          <w:numId w:val="1414"/>
        </w:numPr>
        <w:pStyle w:val="Compact"/>
      </w:pPr>
      <w:r>
        <w:t xml:space="preserve">2007 · Zavorsky GS ·</w:t>
      </w:r>
      <w:r>
        <w:t xml:space="preserve"> </w:t>
      </w:r>
      <w:r>
        <w:rPr>
          <w:iCs/>
          <w:i/>
        </w:rPr>
        <w:t xml:space="preserve">Int J Food Sci Nutr</w:t>
      </w:r>
      <w:r>
        <w:t xml:space="preserve"> </w:t>
      </w:r>
      <w:r>
        <w:t xml:space="preserve">· An open-label dose-response study of lymphocyte glutathione levels in healthy men and women receiving pressurized whey protein isolate supplements. PMID 17710587</w:t>
      </w:r>
    </w:p>
    <w:p>
      <w:pPr>
        <w:numPr>
          <w:ilvl w:val="0"/>
          <w:numId w:val="1414"/>
        </w:numPr>
        <w:pStyle w:val="Compact"/>
      </w:pPr>
      <w:r>
        <w:t xml:space="preserve">2006 · Karunasinghe N ·</w:t>
      </w:r>
      <w:r>
        <w:t xml:space="preserve"> </w:t>
      </w:r>
      <w:r>
        <w:rPr>
          <w:iCs/>
          <w:i/>
        </w:rPr>
        <w:t xml:space="preserve">J Nutr</w:t>
      </w:r>
      <w:r>
        <w:t xml:space="preserve"> </w:t>
      </w:r>
      <w:r>
        <w:t xml:space="preserve">· Hemolysate thioredoxin reductase and glutathione peroxidase activities correlate with serum selenium in a group of New Zealand men at high prostate cancer risk. PMID 16857846</w:t>
      </w:r>
    </w:p>
    <w:p>
      <w:pPr>
        <w:numPr>
          <w:ilvl w:val="0"/>
          <w:numId w:val="1414"/>
        </w:numPr>
        <w:pStyle w:val="Compact"/>
      </w:pPr>
      <w:r>
        <w:t xml:space="preserve">2006 · Muran PJ ·</w:t>
      </w:r>
      <w:r>
        <w:t xml:space="preserve"> </w:t>
      </w:r>
      <w:r>
        <w:rPr>
          <w:iCs/>
          <w:i/>
        </w:rPr>
        <w:t xml:space="preserve">Altern Ther Health Med</w:t>
      </w:r>
      <w:r>
        <w:t xml:space="preserve"> </w:t>
      </w:r>
      <w:r>
        <w:t xml:space="preserve">· Mercury elimination with oral DMPS, DMSA, vitamin C, and glutathione: an observational clinical review. PMID 16708769</w:t>
      </w:r>
    </w:p>
    <w:p>
      <w:pPr>
        <w:numPr>
          <w:ilvl w:val="0"/>
          <w:numId w:val="1414"/>
        </w:numPr>
        <w:pStyle w:val="Compact"/>
      </w:pPr>
      <w:r>
        <w:t xml:space="preserve">2006 · Tirouvanziam R ·</w:t>
      </w:r>
      <w:r>
        <w:t xml:space="preserve"> </w:t>
      </w:r>
      <w:r>
        <w:rPr>
          <w:iCs/>
          <w:i/>
        </w:rPr>
        <w:t xml:space="preserve">Proc Natl Acad Sci U S A</w:t>
      </w:r>
      <w:r>
        <w:t xml:space="preserve"> </w:t>
      </w:r>
      <w:r>
        <w:t xml:space="preserve">· High-dose oral N-acetylcysteine, a glutathione prodrug, modulates inflammation in cystic fibrosis. PMID 16537378</w:t>
      </w:r>
    </w:p>
    <w:p>
      <w:pPr>
        <w:numPr>
          <w:ilvl w:val="0"/>
          <w:numId w:val="1414"/>
        </w:numPr>
        <w:pStyle w:val="Compact"/>
      </w:pPr>
      <w:r>
        <w:t xml:space="preserve">2006 · Lavergne SN ·</w:t>
      </w:r>
      <w:r>
        <w:t xml:space="preserve"> </w:t>
      </w:r>
      <w:r>
        <w:rPr>
          <w:iCs/>
          <w:i/>
        </w:rPr>
        <w:t xml:space="preserve">Toxicology</w:t>
      </w:r>
      <w:r>
        <w:t xml:space="preserve"> </w:t>
      </w:r>
      <w:r>
        <w:t xml:space="preserve">· Roles of endogenous ascorbate and glutathione in the cellular reduction and cytotoxicity of sulfamethoxazole-nitroso. PMID 16473451</w:t>
      </w:r>
    </w:p>
    <w:p>
      <w:pPr>
        <w:numPr>
          <w:ilvl w:val="0"/>
          <w:numId w:val="1414"/>
        </w:numPr>
        <w:pStyle w:val="Compact"/>
      </w:pPr>
      <w:r>
        <w:t xml:space="preserve">2006 · Kusama M ·</w:t>
      </w:r>
      <w:r>
        <w:t xml:space="preserve"> </w:t>
      </w:r>
      <w:r>
        <w:rPr>
          <w:iCs/>
          <w:i/>
        </w:rPr>
        <w:t xml:space="preserve">Clin Chim Acta</w:t>
      </w:r>
      <w:r>
        <w:t xml:space="preserve"> </w:t>
      </w:r>
      <w:r>
        <w:t xml:space="preserve">· Influence of glutathione S-transferase A1 polymorphism on the pharmacokinetics of busulfan. PMID 16448639</w:t>
      </w:r>
    </w:p>
    <w:p>
      <w:pPr>
        <w:numPr>
          <w:ilvl w:val="0"/>
          <w:numId w:val="1414"/>
        </w:numPr>
        <w:pStyle w:val="Compact"/>
      </w:pPr>
      <w:r>
        <w:t xml:space="preserve">2005 · Huang ZW ·</w:t>
      </w:r>
      <w:r>
        <w:t xml:space="preserve"> </w:t>
      </w:r>
      <w:r>
        <w:rPr>
          <w:iCs/>
          <w:i/>
        </w:rPr>
        <w:t xml:space="preserve">Zhongguo Wei Zhong Bing Ji Jiu Yi Xue</w:t>
      </w:r>
      <w:r>
        <w:t xml:space="preserve"> </w:t>
      </w:r>
      <w:r>
        <w:t xml:space="preserve">· [Protective effect of reduced glutathione on multiple organ function in patient with acute pancreatitis]. PMID 16297323</w:t>
      </w:r>
    </w:p>
    <w:p>
      <w:pPr>
        <w:numPr>
          <w:ilvl w:val="0"/>
          <w:numId w:val="1414"/>
        </w:numPr>
        <w:pStyle w:val="Compact"/>
      </w:pPr>
      <w:r>
        <w:t xml:space="preserve">2005 · Becker K ·</w:t>
      </w:r>
      <w:r>
        <w:t xml:space="preserve"> </w:t>
      </w:r>
      <w:r>
        <w:rPr>
          <w:iCs/>
          <w:i/>
        </w:rPr>
        <w:t xml:space="preserve">Redox Rep</w:t>
      </w:r>
      <w:r>
        <w:t xml:space="preserve"> </w:t>
      </w:r>
      <w:r>
        <w:t xml:space="preserve">· Effects of antioxidants on glutathione levels and clinical recovery from the malnutrition syndrome kwashiorkor–a pilot study. PMID 16259789</w:t>
      </w:r>
    </w:p>
    <w:p>
      <w:pPr>
        <w:numPr>
          <w:ilvl w:val="0"/>
          <w:numId w:val="1414"/>
        </w:numPr>
        <w:pStyle w:val="Compact"/>
      </w:pPr>
      <w:r>
        <w:t xml:space="preserve">2005 · Rundle AG ·</w:t>
      </w:r>
      <w:r>
        <w:t xml:space="preserve"> </w:t>
      </w:r>
      <w:r>
        <w:rPr>
          <w:iCs/>
          <w:i/>
        </w:rPr>
        <w:t xml:space="preserve">Biomarkers</w:t>
      </w:r>
      <w:r>
        <w:t xml:space="preserve"> </w:t>
      </w:r>
      <w:r>
        <w:t xml:space="preserve">· Preliminary studies on the effect of moderate physical activity on blood levels of glutathione. PMID 16243723</w:t>
      </w:r>
    </w:p>
    <w:p>
      <w:pPr>
        <w:numPr>
          <w:ilvl w:val="0"/>
          <w:numId w:val="1414"/>
        </w:numPr>
        <w:pStyle w:val="Compact"/>
      </w:pPr>
      <w:r>
        <w:t xml:space="preserve">2005 · Janse van Rensburg C ·</w:t>
      </w:r>
      <w:r>
        <w:t xml:space="preserve"> </w:t>
      </w:r>
      <w:r>
        <w:rPr>
          <w:iCs/>
          <w:i/>
        </w:rPr>
        <w:t xml:space="preserve">Eur J Nutr</w:t>
      </w:r>
      <w:r>
        <w:t xml:space="preserve"> </w:t>
      </w:r>
      <w:r>
        <w:t xml:space="preserve">· Rosa roxburghii supplementation in a controlled feeding study increases plasma antioxidant capacity and glutathione redox state. PMID 15782288</w:t>
      </w:r>
    </w:p>
    <w:p>
      <w:pPr>
        <w:numPr>
          <w:ilvl w:val="0"/>
          <w:numId w:val="1414"/>
        </w:numPr>
        <w:pStyle w:val="Compact"/>
      </w:pPr>
      <w:r>
        <w:t xml:space="preserve">2005 · Garolla A ·</w:t>
      </w:r>
      <w:r>
        <w:t xml:space="preserve"> </w:t>
      </w:r>
      <w:r>
        <w:rPr>
          <w:iCs/>
          <w:i/>
        </w:rPr>
        <w:t xml:space="preserve">Fertil Steril</w:t>
      </w:r>
      <w:r>
        <w:t xml:space="preserve"> </w:t>
      </w:r>
      <w:r>
        <w:t xml:space="preserve">· Oral carnitine supplementation increases sperm motility in asthenozoospermic men with normal sperm phospholipid hydroperoxide glutathione peroxidase levels. PMID 15705374</w:t>
      </w:r>
    </w:p>
    <w:p>
      <w:pPr>
        <w:numPr>
          <w:ilvl w:val="0"/>
          <w:numId w:val="1414"/>
        </w:numPr>
        <w:pStyle w:val="Compact"/>
      </w:pPr>
      <w:r>
        <w:t xml:space="preserve">2004 · Chełchowska M ·</w:t>
      </w:r>
      <w:r>
        <w:t xml:space="preserve"> </w:t>
      </w:r>
      <w:r>
        <w:rPr>
          <w:iCs/>
          <w:i/>
        </w:rPr>
        <w:t xml:space="preserve">Przegl Lek</w:t>
      </w:r>
      <w:r>
        <w:t xml:space="preserve"> </w:t>
      </w:r>
      <w:r>
        <w:t xml:space="preserve">· [The effect of vitamin-mineral supplementation on the level of MDA and activity of glutathione peroxidase and superoxide dismutase in blood of matched maternal-cord pairs]. PMID 15792016</w:t>
      </w:r>
    </w:p>
    <w:p>
      <w:pPr>
        <w:numPr>
          <w:ilvl w:val="0"/>
          <w:numId w:val="1414"/>
        </w:numPr>
        <w:pStyle w:val="Compact"/>
      </w:pPr>
      <w:r>
        <w:t xml:space="preserve">2004 · Child DF ·</w:t>
      </w:r>
      <w:r>
        <w:t xml:space="preserve"> </w:t>
      </w:r>
      <w:r>
        <w:rPr>
          <w:iCs/>
          <w:i/>
        </w:rPr>
        <w:t xml:space="preserve">Diabetes Nutr Metab</w:t>
      </w:r>
      <w:r>
        <w:t xml:space="preserve"> </w:t>
      </w:r>
      <w:r>
        <w:t xml:space="preserve">· The effect of oral folic acid on glutathione, glycaemia and lipids in Type 2 diabetes. PMID 15244101</w:t>
      </w:r>
    </w:p>
    <w:p>
      <w:pPr>
        <w:numPr>
          <w:ilvl w:val="0"/>
          <w:numId w:val="1414"/>
        </w:numPr>
        <w:pStyle w:val="Compact"/>
      </w:pPr>
      <w:r>
        <w:t xml:space="preserve">2004 · Zhu BD ·</w:t>
      </w:r>
      <w:r>
        <w:t xml:space="preserve"> </w:t>
      </w:r>
      <w:r>
        <w:rPr>
          <w:iCs/>
          <w:i/>
        </w:rPr>
        <w:t xml:space="preserve">Ai Zheng</w:t>
      </w:r>
      <w:r>
        <w:t xml:space="preserve"> </w:t>
      </w:r>
      <w:r>
        <w:t xml:space="preserve">· [Enhancement of antioxidant capability of cancer patients during chemotherapy by reduced glutathione]. PMID 15087038</w:t>
      </w:r>
    </w:p>
    <w:p>
      <w:pPr>
        <w:numPr>
          <w:ilvl w:val="0"/>
          <w:numId w:val="1414"/>
        </w:numPr>
        <w:pStyle w:val="Compact"/>
      </w:pPr>
      <w:r>
        <w:t xml:space="preserve">2004 · Middleton N ·</w:t>
      </w:r>
      <w:r>
        <w:t xml:space="preserve"> </w:t>
      </w:r>
      <w:r>
        <w:rPr>
          <w:iCs/>
          <w:i/>
        </w:rPr>
        <w:t xml:space="preserve">Int J Food Sci Nutr</w:t>
      </w:r>
      <w:r>
        <w:t xml:space="preserve"> </w:t>
      </w:r>
      <w:r>
        <w:t xml:space="preserve">· Whole blood and mononuclear cell glutathione response to dietary whey protein supplementation in sedentary and trained male human subjects. PMID 14985185</w:t>
      </w:r>
    </w:p>
    <w:p>
      <w:pPr>
        <w:numPr>
          <w:ilvl w:val="0"/>
          <w:numId w:val="1414"/>
        </w:numPr>
        <w:pStyle w:val="Compact"/>
      </w:pPr>
      <w:r>
        <w:t xml:space="preserve">2004 · Vrca VB ·</w:t>
      </w:r>
      <w:r>
        <w:t xml:space="preserve"> </w:t>
      </w:r>
      <w:r>
        <w:rPr>
          <w:iCs/>
          <w:i/>
        </w:rPr>
        <w:t xml:space="preserve">Clin Chim Acta</w:t>
      </w:r>
      <w:r>
        <w:t xml:space="preserve"> </w:t>
      </w:r>
      <w:r>
        <w:t xml:space="preserve">· Supplementation with antioxidants in the treatment of Graves’ disease; the effect on glutathione peroxidase activity and concentration of selenium. PMID 14967159</w:t>
      </w:r>
    </w:p>
    <w:p>
      <w:pPr>
        <w:numPr>
          <w:ilvl w:val="0"/>
          <w:numId w:val="1414"/>
        </w:numPr>
        <w:pStyle w:val="Compact"/>
      </w:pPr>
      <w:r>
        <w:t xml:space="preserve">2003 · Grey V ·</w:t>
      </w:r>
      <w:r>
        <w:t xml:space="preserve"> </w:t>
      </w:r>
      <w:r>
        <w:rPr>
          <w:iCs/>
          <w:i/>
        </w:rPr>
        <w:t xml:space="preserve">J Cyst Fibros</w:t>
      </w:r>
      <w:r>
        <w:t xml:space="preserve"> </w:t>
      </w:r>
      <w:r>
        <w:t xml:space="preserve">· Improved glutathione status in young adult patients with cystic fibrosis supplemented with whey protein. PMID 15463873</w:t>
      </w:r>
    </w:p>
    <w:p>
      <w:pPr>
        <w:numPr>
          <w:ilvl w:val="0"/>
          <w:numId w:val="1414"/>
        </w:numPr>
        <w:pStyle w:val="Compact"/>
      </w:pPr>
      <w:r>
        <w:t xml:space="preserve">2003 · Al-Taie OH ·</w:t>
      </w:r>
      <w:r>
        <w:t xml:space="preserve"> </w:t>
      </w:r>
      <w:r>
        <w:rPr>
          <w:iCs/>
          <w:i/>
        </w:rPr>
        <w:t xml:space="preserve">Nutr Cancer</w:t>
      </w:r>
      <w:r>
        <w:t xml:space="preserve"> </w:t>
      </w:r>
      <w:r>
        <w:t xml:space="preserve">· Selenium supplementation enhances low selenium levels and stimulates glutathione peroxidase activity in peripheral blood and distal colon mucosa in past and present carriers of colon adenomas. PMID 14690787</w:t>
      </w:r>
    </w:p>
    <w:p>
      <w:pPr>
        <w:numPr>
          <w:ilvl w:val="0"/>
          <w:numId w:val="1414"/>
        </w:numPr>
        <w:pStyle w:val="Compact"/>
      </w:pPr>
      <w:r>
        <w:t xml:space="preserve">2003 · Aukrust P ·</w:t>
      </w:r>
      <w:r>
        <w:t xml:space="preserve"> </w:t>
      </w:r>
      <w:r>
        <w:rPr>
          <w:iCs/>
          <w:i/>
        </w:rPr>
        <w:t xml:space="preserve">J Infect Dis</w:t>
      </w:r>
      <w:r>
        <w:t xml:space="preserve"> </w:t>
      </w:r>
      <w:r>
        <w:t xml:space="preserve">· Disturbed glutathione metabolism and decreased antioxidant levels in human immunodeficiency virus-infected patients during highly active antiretroviral therapy–potential immunomodulatory effects of antioxidants. PMID 12854078</w:t>
      </w:r>
    </w:p>
    <w:p>
      <w:pPr>
        <w:numPr>
          <w:ilvl w:val="0"/>
          <w:numId w:val="1414"/>
        </w:numPr>
        <w:pStyle w:val="Compact"/>
      </w:pPr>
      <w:r>
        <w:t xml:space="preserve">2003 · Fläring UB ·</w:t>
      </w:r>
      <w:r>
        <w:t xml:space="preserve"> </w:t>
      </w:r>
      <w:r>
        <w:rPr>
          <w:iCs/>
          <w:i/>
        </w:rPr>
        <w:t xml:space="preserve">Clin Sci (Lond)</w:t>
      </w:r>
      <w:r>
        <w:t xml:space="preserve"> </w:t>
      </w:r>
      <w:r>
        <w:t xml:space="preserve">· Glutamine attenuates post-traumatic glutathione depletion in human muscle. PMID 12605586</w:t>
      </w:r>
    </w:p>
    <w:p>
      <w:pPr>
        <w:numPr>
          <w:ilvl w:val="0"/>
          <w:numId w:val="1414"/>
        </w:numPr>
        <w:pStyle w:val="Compact"/>
      </w:pPr>
      <w:r>
        <w:t xml:space="preserve">2003 · Lenton KJ ·</w:t>
      </w:r>
      <w:r>
        <w:t xml:space="preserve"> </w:t>
      </w:r>
      <w:r>
        <w:rPr>
          <w:iCs/>
          <w:i/>
        </w:rPr>
        <w:t xml:space="preserve">Am J Clin Nutr</w:t>
      </w:r>
      <w:r>
        <w:t xml:space="preserve"> </w:t>
      </w:r>
      <w:r>
        <w:t xml:space="preserve">· Vitamin C augments lymphocyte glutathione in subjects with ascorbate deficiency. PMID 12499341</w:t>
      </w:r>
    </w:p>
    <w:p>
      <w:pPr>
        <w:numPr>
          <w:ilvl w:val="0"/>
          <w:numId w:val="1414"/>
        </w:numPr>
        <w:pStyle w:val="Compact"/>
      </w:pPr>
      <w:r>
        <w:t xml:space="preserve">2002 · Patel BP ·</w:t>
      </w:r>
      <w:r>
        <w:t xml:space="preserve"> </w:t>
      </w:r>
      <w:r>
        <w:rPr>
          <w:iCs/>
          <w:i/>
        </w:rPr>
        <w:t xml:space="preserve">Neoplasma</w:t>
      </w:r>
      <w:r>
        <w:t xml:space="preserve"> </w:t>
      </w:r>
      <w:r>
        <w:t xml:space="preserve">· Serum glutathione-S-transferase and glutathione reductase activity in head and neck cancer patients. PMID 12382026</w:t>
      </w:r>
    </w:p>
    <w:p>
      <w:pPr>
        <w:numPr>
          <w:ilvl w:val="0"/>
          <w:numId w:val="1414"/>
        </w:numPr>
        <w:pStyle w:val="Compact"/>
      </w:pPr>
      <w:r>
        <w:t xml:space="preserve">2002 · Kasperczyk S ·</w:t>
      </w:r>
      <w:r>
        <w:t xml:space="preserve"> </w:t>
      </w:r>
      <w:r>
        <w:rPr>
          <w:iCs/>
          <w:i/>
        </w:rPr>
        <w:t xml:space="preserve">Wiad Lek</w:t>
      </w:r>
      <w:r>
        <w:t xml:space="preserve"> </w:t>
      </w:r>
      <w:r>
        <w:t xml:space="preserve">· [Effect of hyperglycemia on glutathione peroxidase and superoxide dismutase activity in patients with newly diagnosed carbohydrate metabolism disturbances]. PMID 12235692</w:t>
      </w:r>
    </w:p>
    <w:p>
      <w:pPr>
        <w:numPr>
          <w:ilvl w:val="0"/>
          <w:numId w:val="1414"/>
        </w:numPr>
        <w:pStyle w:val="Compact"/>
      </w:pPr>
      <w:r>
        <w:t xml:space="preserve">2002 · Badaloo A ·</w:t>
      </w:r>
      <w:r>
        <w:t xml:space="preserve"> </w:t>
      </w:r>
      <w:r>
        <w:rPr>
          <w:iCs/>
          <w:i/>
        </w:rPr>
        <w:t xml:space="preserve">Am J Clin Nutr</w:t>
      </w:r>
      <w:r>
        <w:t xml:space="preserve"> </w:t>
      </w:r>
      <w:r>
        <w:t xml:space="preserve">· Cysteine supplementation improves the erythrocyte glutathione synthesis rate in children with severe edematous malnutrition. PMID 12198013</w:t>
      </w:r>
    </w:p>
    <w:p>
      <w:pPr>
        <w:numPr>
          <w:ilvl w:val="0"/>
          <w:numId w:val="1414"/>
        </w:numPr>
        <w:pStyle w:val="Compact"/>
      </w:pPr>
      <w:r>
        <w:t xml:space="preserve">2002 · Arosio E ·</w:t>
      </w:r>
      <w:r>
        <w:t xml:space="preserve"> </w:t>
      </w:r>
      <w:r>
        <w:rPr>
          <w:iCs/>
          <w:i/>
        </w:rPr>
        <w:t xml:space="preserve">Mayo Clin Proc</w:t>
      </w:r>
      <w:r>
        <w:t xml:space="preserve"> </w:t>
      </w:r>
      <w:r>
        <w:t xml:space="preserve">· Effect of glutathione infusion on leg arterial circulation, cutaneous microcirculation, and pain-free walking distance in patients with peripheral obstructive arterial disease: a randomized, double-blind, placebo-controlled trial. PMID 12173710</w:t>
      </w:r>
    </w:p>
    <w:p>
      <w:pPr>
        <w:numPr>
          <w:ilvl w:val="0"/>
          <w:numId w:val="1414"/>
        </w:numPr>
        <w:pStyle w:val="Compact"/>
      </w:pPr>
      <w:r>
        <w:t xml:space="preserve">2002 · Roes EM ·</w:t>
      </w:r>
      <w:r>
        <w:t xml:space="preserve"> </w:t>
      </w:r>
      <w:r>
        <w:rPr>
          <w:iCs/>
          <w:i/>
        </w:rPr>
        <w:t xml:space="preserve">Clin Chem Lab Med</w:t>
      </w:r>
      <w:r>
        <w:t xml:space="preserve"> </w:t>
      </w:r>
      <w:r>
        <w:t xml:space="preserve">· Effects of oral N-acetylcysteine on plasma homocysteine and whole blood glutathione levels in healthy, non-pregnant women. PMID 12113295</w:t>
      </w:r>
    </w:p>
    <w:p>
      <w:pPr>
        <w:numPr>
          <w:ilvl w:val="0"/>
          <w:numId w:val="1414"/>
        </w:numPr>
        <w:pStyle w:val="Compact"/>
      </w:pPr>
      <w:r>
        <w:t xml:space="preserve">2002 · Behr J ·</w:t>
      </w:r>
      <w:r>
        <w:t xml:space="preserve"> </w:t>
      </w:r>
      <w:r>
        <w:rPr>
          <w:iCs/>
          <w:i/>
        </w:rPr>
        <w:t xml:space="preserve">Eur Respir J</w:t>
      </w:r>
      <w:r>
        <w:t xml:space="preserve"> </w:t>
      </w:r>
      <w:r>
        <w:t xml:space="preserve">· Intracellular glutathione and bronchoalveolar cells in fibrosing alveolitis: effects of N-acetylcysteine. PMID 12030732</w:t>
      </w:r>
    </w:p>
    <w:p>
      <w:pPr>
        <w:numPr>
          <w:ilvl w:val="0"/>
          <w:numId w:val="1414"/>
        </w:numPr>
        <w:pStyle w:val="Compact"/>
      </w:pPr>
      <w:r>
        <w:t xml:space="preserve">2002 · Micke P ·</w:t>
      </w:r>
      <w:r>
        <w:t xml:space="preserve"> </w:t>
      </w:r>
      <w:r>
        <w:rPr>
          <w:iCs/>
          <w:i/>
        </w:rPr>
        <w:t xml:space="preserve">Eur J Nutr</w:t>
      </w:r>
      <w:r>
        <w:t xml:space="preserve"> </w:t>
      </w:r>
      <w:r>
        <w:t xml:space="preserve">· Effects of long-term supplementation with whey proteins on plasma glutathione levels of HIV-infected patients. PMID 11990003</w:t>
      </w:r>
    </w:p>
    <w:p>
      <w:pPr>
        <w:numPr>
          <w:ilvl w:val="0"/>
          <w:numId w:val="1414"/>
        </w:numPr>
        <w:pStyle w:val="Compact"/>
      </w:pPr>
      <w:r>
        <w:t xml:space="preserve">2001 · Micke P ·</w:t>
      </w:r>
      <w:r>
        <w:t xml:space="preserve"> </w:t>
      </w:r>
      <w:r>
        <w:rPr>
          <w:iCs/>
          <w:i/>
        </w:rPr>
        <w:t xml:space="preserve">Eur J Clin Invest</w:t>
      </w:r>
      <w:r>
        <w:t xml:space="preserve"> </w:t>
      </w:r>
      <w:r>
        <w:t xml:space="preserve">· Oral supplementation with whey proteins increases plasma glutathione levels of HIV-infected patients. PMID 11168457</w:t>
      </w:r>
    </w:p>
    <w:p>
      <w:pPr>
        <w:numPr>
          <w:ilvl w:val="0"/>
          <w:numId w:val="1414"/>
        </w:numPr>
        <w:pStyle w:val="Compact"/>
      </w:pPr>
      <w:r>
        <w:t xml:space="preserve">2000 · Alfthan G ·</w:t>
      </w:r>
      <w:r>
        <w:t xml:space="preserve"> </w:t>
      </w:r>
      <w:r>
        <w:rPr>
          <w:iCs/>
          <w:i/>
        </w:rPr>
        <w:t xml:space="preserve">Biol Trace Elem Res</w:t>
      </w:r>
      <w:r>
        <w:t xml:space="preserve"> </w:t>
      </w:r>
      <w:r>
        <w:t xml:space="preserve">· Selenium supplementation of children in a selenium-deficient area in China: blood selenium levels and glutathione peroxidase activities. PMID 11049204</w:t>
      </w:r>
    </w:p>
    <w:p>
      <w:pPr>
        <w:numPr>
          <w:ilvl w:val="0"/>
          <w:numId w:val="1414"/>
        </w:numPr>
        <w:pStyle w:val="Compact"/>
      </w:pPr>
      <w:r>
        <w:t xml:space="preserve">2000 · De Rosa SC ·</w:t>
      </w:r>
      <w:r>
        <w:t xml:space="preserve"> </w:t>
      </w:r>
      <w:r>
        <w:rPr>
          <w:iCs/>
          <w:i/>
        </w:rPr>
        <w:t xml:space="preserve">Eur J Clin Invest</w:t>
      </w:r>
      <w:r>
        <w:t xml:space="preserve"> </w:t>
      </w:r>
      <w:r>
        <w:t xml:space="preserve">· N-acetylcysteine replenishes glutathione in HIV infection. PMID 11029607</w:t>
      </w:r>
    </w:p>
    <w:p>
      <w:pPr>
        <w:numPr>
          <w:ilvl w:val="0"/>
          <w:numId w:val="1414"/>
        </w:numPr>
        <w:pStyle w:val="Compact"/>
      </w:pPr>
      <w:r>
        <w:t xml:space="preserve">2000 · Jain SK ·</w:t>
      </w:r>
      <w:r>
        <w:t xml:space="preserve"> </w:t>
      </w:r>
      <w:r>
        <w:rPr>
          <w:iCs/>
          <w:i/>
        </w:rPr>
        <w:t xml:space="preserve">Diabetes Care</w:t>
      </w:r>
      <w:r>
        <w:t xml:space="preserve"> </w:t>
      </w:r>
      <w:r>
        <w:t xml:space="preserve">· Vitamin E supplementation restores glutathione and malondialdehyde to normal concentrations in erythrocytes of type 1 diabetic children. PMID 10977039</w:t>
      </w:r>
    </w:p>
    <w:p>
      <w:pPr>
        <w:numPr>
          <w:ilvl w:val="0"/>
          <w:numId w:val="1414"/>
        </w:numPr>
        <w:pStyle w:val="Compact"/>
      </w:pPr>
      <w:r>
        <w:t xml:space="preserve">2000 · Lampe JW ·</w:t>
      </w:r>
      <w:r>
        <w:t xml:space="preserve"> </w:t>
      </w:r>
      <w:r>
        <w:rPr>
          <w:iCs/>
          <w:i/>
        </w:rPr>
        <w:t xml:space="preserve">Cancer Epidemiol Biomarkers Prev</w:t>
      </w:r>
      <w:r>
        <w:t xml:space="preserve"> </w:t>
      </w:r>
      <w:r>
        <w:t xml:space="preserve">· Modulation of human glutathione S-transferases by botanically defined vegetable diets. PMID 10952095</w:t>
      </w:r>
    </w:p>
    <w:p>
      <w:pPr>
        <w:numPr>
          <w:ilvl w:val="0"/>
          <w:numId w:val="1414"/>
        </w:numPr>
        <w:pStyle w:val="Compact"/>
      </w:pPr>
      <w:r>
        <w:t xml:space="preserve">2000 · Polyak MM ·</w:t>
      </w:r>
      <w:r>
        <w:t xml:space="preserve"> </w:t>
      </w:r>
      <w:r>
        <w:rPr>
          <w:iCs/>
          <w:i/>
        </w:rPr>
        <w:t xml:space="preserve">Transplantation</w:t>
      </w:r>
      <w:r>
        <w:t xml:space="preserve"> </w:t>
      </w:r>
      <w:r>
        <w:t xml:space="preserve">· Glutathione supplementation during cold ischemia does not confer early functional advantage in renal transplantation. PMID 10919601</w:t>
      </w:r>
    </w:p>
    <w:p>
      <w:pPr>
        <w:numPr>
          <w:ilvl w:val="0"/>
          <w:numId w:val="1414"/>
        </w:numPr>
        <w:pStyle w:val="Compact"/>
      </w:pPr>
      <w:r>
        <w:t xml:space="preserve">2000 · Ortolani O ·</w:t>
      </w:r>
      <w:r>
        <w:t xml:space="preserve"> </w:t>
      </w:r>
      <w:r>
        <w:rPr>
          <w:iCs/>
          <w:i/>
        </w:rPr>
        <w:t xml:space="preserve">Am J Respir Crit Care Med</w:t>
      </w:r>
      <w:r>
        <w:t xml:space="preserve"> </w:t>
      </w:r>
      <w:r>
        <w:t xml:space="preserve">· The effect of glutathione and N-acetylcysteine on lipoperoxidative damage in patients with early septic shock. PMID 10852765</w:t>
      </w:r>
    </w:p>
    <w:p>
      <w:pPr>
        <w:numPr>
          <w:ilvl w:val="0"/>
          <w:numId w:val="1414"/>
        </w:numPr>
        <w:pStyle w:val="Compact"/>
      </w:pPr>
      <w:r>
        <w:t xml:space="preserve">2000 · Pendyala L ·</w:t>
      </w:r>
      <w:r>
        <w:t xml:space="preserve"> </w:t>
      </w:r>
      <w:r>
        <w:rPr>
          <w:iCs/>
          <w:i/>
        </w:rPr>
        <w:t xml:space="preserve">Clin Cancer Res</w:t>
      </w:r>
      <w:r>
        <w:t xml:space="preserve"> </w:t>
      </w:r>
      <w:r>
        <w:t xml:space="preserve">· Intravenous ifosfamide/mesna is associated with depletion of plasma thiols without depletion of leukocyte glutathione. PMID 10778956</w:t>
      </w:r>
    </w:p>
    <w:p>
      <w:pPr>
        <w:numPr>
          <w:ilvl w:val="0"/>
          <w:numId w:val="1414"/>
        </w:numPr>
        <w:pStyle w:val="Compact"/>
      </w:pPr>
      <w:r>
        <w:t xml:space="preserve">2000 · Jeevanandam M ·</w:t>
      </w:r>
      <w:r>
        <w:t xml:space="preserve"> </w:t>
      </w:r>
      <w:r>
        <w:rPr>
          <w:iCs/>
          <w:i/>
        </w:rPr>
        <w:t xml:space="preserve">Crit Care Med</w:t>
      </w:r>
      <w:r>
        <w:t xml:space="preserve"> </w:t>
      </w:r>
      <w:r>
        <w:t xml:space="preserve">· Altered plasma cytokines and total glutathione levels in parenterally fed critically ill trauma patients with adjuvant recombinant human growth hormone (rhGH) therapy. PMID 10708161</w:t>
      </w:r>
    </w:p>
    <w:p>
      <w:pPr>
        <w:numPr>
          <w:ilvl w:val="0"/>
          <w:numId w:val="1414"/>
        </w:numPr>
        <w:pStyle w:val="Compact"/>
      </w:pPr>
      <w:r>
        <w:t xml:space="preserve">1999 · Barbagallo M ·</w:t>
      </w:r>
      <w:r>
        <w:t xml:space="preserve"> </w:t>
      </w:r>
      <w:r>
        <w:rPr>
          <w:iCs/>
          <w:i/>
        </w:rPr>
        <w:t xml:space="preserve">Hypertension</w:t>
      </w:r>
      <w:r>
        <w:t xml:space="preserve"> </w:t>
      </w:r>
      <w:r>
        <w:t xml:space="preserve">· Effects of vitamin E and glutathione on glucose metabolism: role of magnesium. PMID 10523398</w:t>
      </w:r>
    </w:p>
    <w:p>
      <w:pPr>
        <w:numPr>
          <w:ilvl w:val="0"/>
          <w:numId w:val="1414"/>
        </w:numPr>
        <w:pStyle w:val="Compact"/>
      </w:pPr>
      <w:r>
        <w:t xml:space="preserve">1999 · Galli F ·</w:t>
      </w:r>
      <w:r>
        <w:t xml:space="preserve"> </w:t>
      </w:r>
      <w:r>
        <w:rPr>
          <w:iCs/>
          <w:i/>
        </w:rPr>
        <w:t xml:space="preserve">Clin Chem</w:t>
      </w:r>
      <w:r>
        <w:t xml:space="preserve"> </w:t>
      </w:r>
      <w:r>
        <w:t xml:space="preserve">· Overexpression of erythrocyte glutathione S-transferase in uremia and dialysis. PMID 10508125</w:t>
      </w:r>
    </w:p>
    <w:p>
      <w:pPr>
        <w:numPr>
          <w:ilvl w:val="0"/>
          <w:numId w:val="1414"/>
        </w:numPr>
        <w:pStyle w:val="Compact"/>
      </w:pPr>
      <w:r>
        <w:t xml:space="preserve">1998 · Apostolski S ·</w:t>
      </w:r>
      <w:r>
        <w:t xml:space="preserve"> </w:t>
      </w:r>
      <w:r>
        <w:rPr>
          <w:iCs/>
          <w:i/>
        </w:rPr>
        <w:t xml:space="preserve">J Environ Pathol Toxicol Oncol</w:t>
      </w:r>
      <w:r>
        <w:t xml:space="preserve"> </w:t>
      </w:r>
      <w:r>
        <w:t xml:space="preserve">· Glutathione peroxidase in amyotrophic lateral sclerosis: the effects of selenium supplementation. PMID 9726810</w:t>
      </w:r>
    </w:p>
    <w:p>
      <w:pPr>
        <w:numPr>
          <w:ilvl w:val="0"/>
          <w:numId w:val="1414"/>
        </w:numPr>
        <w:pStyle w:val="Compact"/>
      </w:pPr>
      <w:r>
        <w:t xml:space="preserve">1998 · De Mattia G ·</w:t>
      </w:r>
      <w:r>
        <w:t xml:space="preserve"> </w:t>
      </w:r>
      <w:r>
        <w:rPr>
          <w:iCs/>
          <w:i/>
        </w:rPr>
        <w:t xml:space="preserve">Metabolism</w:t>
      </w:r>
      <w:r>
        <w:t xml:space="preserve"> </w:t>
      </w:r>
      <w:r>
        <w:t xml:space="preserve">· Influence of reduced glutathione infusion on glucose metabolism in patients with non-insulin-dependent diabetes mellitus. PMID 9711998</w:t>
      </w:r>
    </w:p>
    <w:p>
      <w:pPr>
        <w:numPr>
          <w:ilvl w:val="0"/>
          <w:numId w:val="1414"/>
        </w:numPr>
        <w:pStyle w:val="Compact"/>
      </w:pPr>
      <w:r>
        <w:t xml:space="preserve">1998 · Cimino L ·</w:t>
      </w:r>
      <w:r>
        <w:t xml:space="preserve"> </w:t>
      </w:r>
      <w:r>
        <w:rPr>
          <w:iCs/>
          <w:i/>
        </w:rPr>
        <w:t xml:space="preserve">Ital J Gastroenterol Hepatol</w:t>
      </w:r>
      <w:r>
        <w:t xml:space="preserve"> </w:t>
      </w:r>
      <w:r>
        <w:t xml:space="preserve">· Effect of N-acetyl-cysteine on lymphomonocyte glutathione and response to interferon treatment in C-virus chronic hepatitis. PMID 9675657</w:t>
      </w:r>
    </w:p>
    <w:p>
      <w:pPr>
        <w:numPr>
          <w:ilvl w:val="0"/>
          <w:numId w:val="1414"/>
        </w:numPr>
        <w:pStyle w:val="Compact"/>
      </w:pPr>
      <w:r>
        <w:t xml:space="preserve">1998 · Bernhard MC ·</w:t>
      </w:r>
      <w:r>
        <w:t xml:space="preserve"> </w:t>
      </w:r>
      <w:r>
        <w:rPr>
          <w:iCs/>
          <w:i/>
        </w:rPr>
        <w:t xml:space="preserve">J Hepatol</w:t>
      </w:r>
      <w:r>
        <w:t xml:space="preserve"> </w:t>
      </w:r>
      <w:r>
        <w:t xml:space="preserve">· Time course of total cysteine, glutathione and homocysteine in plasma of patients with chronic hepatitis C treated with interferon-alpha with and without supplementation with N-acetylcysteine. PMID 9625308</w:t>
      </w:r>
    </w:p>
    <w:p>
      <w:pPr>
        <w:numPr>
          <w:ilvl w:val="0"/>
          <w:numId w:val="1414"/>
        </w:numPr>
        <w:pStyle w:val="Compact"/>
      </w:pPr>
      <w:r>
        <w:t xml:space="preserve">1997 · Clapper ML ·</w:t>
      </w:r>
      <w:r>
        <w:t xml:space="preserve"> </w:t>
      </w:r>
      <w:r>
        <w:rPr>
          <w:iCs/>
          <w:i/>
        </w:rPr>
        <w:t xml:space="preserve">Clin Cancer Res</w:t>
      </w:r>
      <w:r>
        <w:t xml:space="preserve"> </w:t>
      </w:r>
      <w:r>
        <w:t xml:space="preserve">· Preclinical and clinical evaluation of broccoli supplements as inducers of glutathione S-transferase activity. PMID 9815533</w:t>
      </w:r>
    </w:p>
    <w:p>
      <w:pPr>
        <w:numPr>
          <w:ilvl w:val="0"/>
          <w:numId w:val="1414"/>
        </w:numPr>
        <w:pStyle w:val="Compact"/>
      </w:pPr>
      <w:r>
        <w:t xml:space="preserve">1997 · Konukoğlu D ·</w:t>
      </w:r>
      <w:r>
        <w:t xml:space="preserve"> </w:t>
      </w:r>
      <w:r>
        <w:rPr>
          <w:iCs/>
          <w:i/>
        </w:rPr>
        <w:t xml:space="preserve">J Endocrinol Invest</w:t>
      </w:r>
      <w:r>
        <w:t xml:space="preserve"> </w:t>
      </w:r>
      <w:r>
        <w:t xml:space="preserve">· The erythrocyte glutathione levels during oral glucose tolerance test. PMID 9364250</w:t>
      </w:r>
    </w:p>
    <w:p>
      <w:pPr>
        <w:numPr>
          <w:ilvl w:val="0"/>
          <w:numId w:val="1414"/>
        </w:numPr>
        <w:pStyle w:val="Compact"/>
      </w:pPr>
      <w:r>
        <w:t xml:space="preserve">1997 · Herzenberg LA ·</w:t>
      </w:r>
      <w:r>
        <w:t xml:space="preserve"> </w:t>
      </w:r>
      <w:r>
        <w:rPr>
          <w:iCs/>
          <w:i/>
        </w:rPr>
        <w:t xml:space="preserve">Proc Natl Acad Sci U S A</w:t>
      </w:r>
      <w:r>
        <w:t xml:space="preserve"> </w:t>
      </w:r>
      <w:r>
        <w:t xml:space="preserve">· Glutathione deficiency is associated with impaired survival in HIV disease. PMID 9050888</w:t>
      </w:r>
    </w:p>
    <w:p>
      <w:pPr>
        <w:numPr>
          <w:ilvl w:val="0"/>
          <w:numId w:val="1414"/>
        </w:numPr>
        <w:pStyle w:val="Compact"/>
      </w:pPr>
      <w:r>
        <w:t xml:space="preserve">1996 · Sechi G ·</w:t>
      </w:r>
      <w:r>
        <w:t xml:space="preserve"> </w:t>
      </w:r>
      <w:r>
        <w:rPr>
          <w:iCs/>
          <w:i/>
        </w:rPr>
        <w:t xml:space="preserve">Prog Neuropsychopharmacol Biol Psychiatry</w:t>
      </w:r>
      <w:r>
        <w:t xml:space="preserve"> </w:t>
      </w:r>
      <w:r>
        <w:t xml:space="preserve">· Reduced intravenous glutathione in the treatment of early Parkinson’s disease. PMID 8938817</w:t>
      </w:r>
    </w:p>
    <w:p>
      <w:pPr>
        <w:numPr>
          <w:ilvl w:val="0"/>
          <w:numId w:val="1414"/>
        </w:numPr>
        <w:pStyle w:val="Compact"/>
      </w:pPr>
      <w:r>
        <w:t xml:space="preserve">1996 · Hu JJ ·</w:t>
      </w:r>
      <w:r>
        <w:t xml:space="preserve"> </w:t>
      </w:r>
      <w:r>
        <w:rPr>
          <w:iCs/>
          <w:i/>
        </w:rPr>
        <w:t xml:space="preserve">Cancer Epidemiol Biomarkers Prev</w:t>
      </w:r>
      <w:r>
        <w:t xml:space="preserve"> </w:t>
      </w:r>
      <w:r>
        <w:t xml:space="preserve">· Effects of dietary supplementation of alpha-tocopherol on plasma glutathione and DNA repair activities. PMID 8722217</w:t>
      </w:r>
    </w:p>
    <w:p>
      <w:pPr>
        <w:numPr>
          <w:ilvl w:val="0"/>
          <w:numId w:val="1414"/>
        </w:numPr>
        <w:pStyle w:val="Compact"/>
      </w:pPr>
      <w:r>
        <w:t xml:space="preserve">1996 · Delmas-Beauvieux MC ·</w:t>
      </w:r>
      <w:r>
        <w:t xml:space="preserve"> </w:t>
      </w:r>
      <w:r>
        <w:rPr>
          <w:iCs/>
          <w:i/>
        </w:rPr>
        <w:t xml:space="preserve">Am J Clin Nutr</w:t>
      </w:r>
      <w:r>
        <w:t xml:space="preserve"> </w:t>
      </w:r>
      <w:r>
        <w:t xml:space="preserve">· The enzymatic antioxidant system in blood and glutathione status in human immunodeficiency virus (HIV)-infected patients: effects of supplementation with selenium or beta-carotene. PMID 8669404</w:t>
      </w:r>
    </w:p>
    <w:p>
      <w:pPr>
        <w:numPr>
          <w:ilvl w:val="0"/>
          <w:numId w:val="1414"/>
        </w:numPr>
        <w:pStyle w:val="Compact"/>
      </w:pPr>
      <w:r>
        <w:t xml:space="preserve">1995 · Ramsay B ·</w:t>
      </w:r>
      <w:r>
        <w:t xml:space="preserve"> </w:t>
      </w:r>
      <w:r>
        <w:rPr>
          <w:iCs/>
          <w:i/>
        </w:rPr>
        <w:t xml:space="preserve">Br J Clin Pharmacol</w:t>
      </w:r>
      <w:r>
        <w:t xml:space="preserve"> </w:t>
      </w:r>
      <w:r>
        <w:t xml:space="preserve">· Systemic effects of S-nitroso-glutathione in the human following intravenous infusion. PMID 8527258</w:t>
      </w:r>
    </w:p>
    <w:p>
      <w:pPr>
        <w:numPr>
          <w:ilvl w:val="0"/>
          <w:numId w:val="1414"/>
        </w:numPr>
        <w:pStyle w:val="Compact"/>
      </w:pPr>
      <w:r>
        <w:t xml:space="preserve">1995 · Tessier F ·</w:t>
      </w:r>
      <w:r>
        <w:t xml:space="preserve"> </w:t>
      </w:r>
      <w:r>
        <w:rPr>
          <w:iCs/>
          <w:i/>
        </w:rPr>
        <w:t xml:space="preserve">Med Sci Sports Exerc</w:t>
      </w:r>
      <w:r>
        <w:t xml:space="preserve"> </w:t>
      </w:r>
      <w:r>
        <w:t xml:space="preserve">· Selenium and training effects on the glutathione system and aerobic performance. PMID 7752866</w:t>
      </w:r>
    </w:p>
    <w:p>
      <w:pPr>
        <w:numPr>
          <w:ilvl w:val="0"/>
          <w:numId w:val="1414"/>
        </w:numPr>
        <w:pStyle w:val="Compact"/>
      </w:pPr>
      <w:r>
        <w:t xml:space="preserve">1994 · Bailey HH ·</w:t>
      </w:r>
      <w:r>
        <w:t xml:space="preserve"> </w:t>
      </w:r>
      <w:r>
        <w:rPr>
          <w:iCs/>
          <w:i/>
        </w:rPr>
        <w:t xml:space="preserve">J Clin Oncol</w:t>
      </w:r>
      <w:r>
        <w:t xml:space="preserve"> </w:t>
      </w:r>
      <w:r>
        <w:t xml:space="preserve">· Phase I clinical trial of intravenous L-buthionine sulfoximine and melphalan: an attempt at modulation of glutathione. PMID 8270977</w:t>
      </w:r>
    </w:p>
    <w:p>
      <w:pPr>
        <w:numPr>
          <w:ilvl w:val="0"/>
          <w:numId w:val="1414"/>
        </w:numPr>
        <w:pStyle w:val="Compact"/>
      </w:pPr>
      <w:r>
        <w:t xml:space="preserve">1994 · Meyer A ·</w:t>
      </w:r>
      <w:r>
        <w:t xml:space="preserve"> </w:t>
      </w:r>
      <w:r>
        <w:rPr>
          <w:iCs/>
          <w:i/>
        </w:rPr>
        <w:t xml:space="preserve">Eur Respir J</w:t>
      </w:r>
      <w:r>
        <w:t xml:space="preserve"> </w:t>
      </w:r>
      <w:r>
        <w:t xml:space="preserve">· The effect of oral N-acetylcysteine on lung glutathione levels in idiopathic pulmonary fibrosis. PMID 8013597</w:t>
      </w:r>
    </w:p>
    <w:p>
      <w:pPr>
        <w:numPr>
          <w:ilvl w:val="0"/>
          <w:numId w:val="1414"/>
        </w:numPr>
        <w:pStyle w:val="Compact"/>
      </w:pPr>
      <w:r>
        <w:t xml:space="preserve">1994 · Plaxe S ·</w:t>
      </w:r>
      <w:r>
        <w:t xml:space="preserve"> </w:t>
      </w:r>
      <w:r>
        <w:rPr>
          <w:iCs/>
          <w:i/>
        </w:rPr>
        <w:t xml:space="preserve">Gynecol Oncol</w:t>
      </w:r>
      <w:r>
        <w:t xml:space="preserve"> </w:t>
      </w:r>
      <w:r>
        <w:t xml:space="preserve">· Phase I trial of cisplatin in combination with glutathione. PMID 7959273</w:t>
      </w:r>
    </w:p>
    <w:p>
      <w:pPr>
        <w:numPr>
          <w:ilvl w:val="0"/>
          <w:numId w:val="1414"/>
        </w:numPr>
        <w:pStyle w:val="Compact"/>
      </w:pPr>
      <w:r>
        <w:t xml:space="preserve">1994 · Kinscherf R ·</w:t>
      </w:r>
      <w:r>
        <w:t xml:space="preserve"> </w:t>
      </w:r>
      <w:r>
        <w:rPr>
          <w:iCs/>
          <w:i/>
        </w:rPr>
        <w:t xml:space="preserve">FASEB J</w:t>
      </w:r>
      <w:r>
        <w:t xml:space="preserve"> </w:t>
      </w:r>
      <w:r>
        <w:t xml:space="preserve">· Effect of glutathione depletion and oral N-acetyl-cysteine treatment on CD4+ and CD8+ cells. PMID 7909525</w:t>
      </w:r>
    </w:p>
    <w:p>
      <w:pPr>
        <w:numPr>
          <w:ilvl w:val="0"/>
          <w:numId w:val="1414"/>
        </w:numPr>
        <w:pStyle w:val="Compact"/>
      </w:pPr>
      <w:r>
        <w:t xml:space="preserve">1993 · Thomson CD ·</w:t>
      </w:r>
      <w:r>
        <w:t xml:space="preserve"> </w:t>
      </w:r>
      <w:r>
        <w:rPr>
          <w:iCs/>
          <w:i/>
        </w:rPr>
        <w:t xml:space="preserve">Br J Nutr</w:t>
      </w:r>
      <w:r>
        <w:t xml:space="preserve"> </w:t>
      </w:r>
      <w:r>
        <w:t xml:space="preserve">· Long-term supplementation with selenate and selenomethionine: selenium and glutathione peroxidase (EC 1.11.1.9) in blood components of New Zealand women. PMID 8490010</w:t>
      </w:r>
    </w:p>
    <w:p>
      <w:pPr>
        <w:numPr>
          <w:ilvl w:val="0"/>
          <w:numId w:val="1414"/>
        </w:numPr>
        <w:pStyle w:val="Compact"/>
      </w:pPr>
      <w:r>
        <w:t xml:space="preserve">1993 · Johnston CS ·</w:t>
      </w:r>
      <w:r>
        <w:t xml:space="preserve"> </w:t>
      </w:r>
      <w:r>
        <w:rPr>
          <w:iCs/>
          <w:i/>
        </w:rPr>
        <w:t xml:space="preserve">Am J Clin Nutr</w:t>
      </w:r>
      <w:r>
        <w:t xml:space="preserve"> </w:t>
      </w:r>
      <w:r>
        <w:t xml:space="preserve">· Vitamin C elevates red blood cell glutathione in healthy adults. PMID 8317379</w:t>
      </w:r>
    </w:p>
    <w:p>
      <w:pPr>
        <w:numPr>
          <w:ilvl w:val="0"/>
          <w:numId w:val="1414"/>
        </w:numPr>
        <w:pStyle w:val="Compact"/>
      </w:pPr>
      <w:r>
        <w:t xml:space="preserve">1993 · Jendryczko A ·</w:t>
      </w:r>
      <w:r>
        <w:t xml:space="preserve"> </w:t>
      </w:r>
      <w:r>
        <w:rPr>
          <w:iCs/>
          <w:i/>
        </w:rPr>
        <w:t xml:space="preserve">Zentralbl Gynakol</w:t>
      </w:r>
      <w:r>
        <w:t xml:space="preserve"> </w:t>
      </w:r>
      <w:r>
        <w:t xml:space="preserve">· Effects of two low-dose oral contraceptives on erythrocyte superoxide dismutase, catalase and glutathione peroxidase activities. PMID 8296490</w:t>
      </w:r>
    </w:p>
    <w:p>
      <w:pPr>
        <w:numPr>
          <w:ilvl w:val="0"/>
          <w:numId w:val="1414"/>
        </w:numPr>
        <w:pStyle w:val="Compact"/>
      </w:pPr>
      <w:r>
        <w:t xml:space="preserve">1993 · Suthutvoravut U ·</w:t>
      </w:r>
      <w:r>
        <w:t xml:space="preserve"> </w:t>
      </w:r>
      <w:r>
        <w:rPr>
          <w:iCs/>
          <w:i/>
        </w:rPr>
        <w:t xml:space="preserve">J Med Assoc Thai</w:t>
      </w:r>
      <w:r>
        <w:t xml:space="preserve"> </w:t>
      </w:r>
      <w:r>
        <w:t xml:space="preserve">· Vitamin E status, glutathione peroxidase activity and the effect of vitamin E supplementation in children with thalassemia. PMID 7822984</w:t>
      </w:r>
    </w:p>
    <w:p>
      <w:pPr>
        <w:numPr>
          <w:ilvl w:val="0"/>
          <w:numId w:val="1414"/>
        </w:numPr>
        <w:pStyle w:val="Compact"/>
      </w:pPr>
      <w:r>
        <w:t xml:space="preserve">1992 · Costagliola C ·</w:t>
      </w:r>
      <w:r>
        <w:t xml:space="preserve"> </w:t>
      </w:r>
      <w:r>
        <w:rPr>
          <w:iCs/>
          <w:i/>
        </w:rPr>
        <w:t xml:space="preserve">Nephron</w:t>
      </w:r>
      <w:r>
        <w:t xml:space="preserve"> </w:t>
      </w:r>
      <w:r>
        <w:t xml:space="preserve">· Anemia and chronic renal failure: a therapeutical approach by reduced glutathione parenteral administration. PMID 1501736</w:t>
      </w:r>
    </w:p>
    <w:p>
      <w:pPr>
        <w:numPr>
          <w:ilvl w:val="0"/>
          <w:numId w:val="1414"/>
        </w:numPr>
        <w:pStyle w:val="Compact"/>
      </w:pPr>
      <w:r>
        <w:t xml:space="preserve">1992 · Ortolani O ·</w:t>
      </w:r>
      <w:r>
        <w:t xml:space="preserve"> </w:t>
      </w:r>
      <w:r>
        <w:rPr>
          <w:iCs/>
          <w:i/>
        </w:rPr>
        <w:t xml:space="preserve">Boll Soc Ital Biol Sper</w:t>
      </w:r>
      <w:r>
        <w:t xml:space="preserve"> </w:t>
      </w:r>
      <w:r>
        <w:t xml:space="preserve">· [Usefulness of the prevention of oxygen radical damage in the critical patient using the parenteral administration of reduced glutathione in high doses]. PMID 1463596</w:t>
      </w:r>
    </w:p>
    <w:p>
      <w:pPr>
        <w:numPr>
          <w:ilvl w:val="0"/>
          <w:numId w:val="1414"/>
        </w:numPr>
        <w:pStyle w:val="Compact"/>
      </w:pPr>
      <w:r>
        <w:t xml:space="preserve">1990 · Corbucci GG ·</w:t>
      </w:r>
      <w:r>
        <w:t xml:space="preserve"> </w:t>
      </w:r>
      <w:r>
        <w:rPr>
          <w:iCs/>
          <w:i/>
        </w:rPr>
        <w:t xml:space="preserve">Int J Clin Pharmacol Res</w:t>
      </w:r>
      <w:r>
        <w:t xml:space="preserve"> </w:t>
      </w:r>
      <w:r>
        <w:t xml:space="preserve">· The role of reduced glutathione during the course of acute haemolysis in glucose-6-phosphate dehydrogenase deficient patients: clinical and pharmacodynamic aspects. PMID 1981880</w:t>
      </w:r>
    </w:p>
    <w:p>
      <w:pPr>
        <w:numPr>
          <w:ilvl w:val="0"/>
          <w:numId w:val="1414"/>
        </w:numPr>
        <w:pStyle w:val="Compact"/>
      </w:pPr>
      <w:r>
        <w:t xml:space="preserve">1989 · Vendemiale G ·</w:t>
      </w:r>
      <w:r>
        <w:t xml:space="preserve"> </w:t>
      </w:r>
      <w:r>
        <w:rPr>
          <w:iCs/>
          <w:i/>
        </w:rPr>
        <w:t xml:space="preserve">Scand J Gastroenterol</w:t>
      </w:r>
      <w:r>
        <w:t xml:space="preserve"> </w:t>
      </w:r>
      <w:r>
        <w:t xml:space="preserve">· Effects of oral S-adenosyl-L-methionine on hepatic glutathione in patients with liver disease. PMID 2781235</w:t>
      </w:r>
    </w:p>
    <w:p>
      <w:pPr>
        <w:numPr>
          <w:ilvl w:val="0"/>
          <w:numId w:val="1414"/>
        </w:numPr>
        <w:pStyle w:val="Compact"/>
      </w:pPr>
      <w:r>
        <w:t xml:space="preserve">1988 · Thomson CD ·</w:t>
      </w:r>
      <w:r>
        <w:t xml:space="preserve"> </w:t>
      </w:r>
      <w:r>
        <w:rPr>
          <w:iCs/>
          <w:i/>
        </w:rPr>
        <w:t xml:space="preserve">Am J Clin Nutr</w:t>
      </w:r>
      <w:r>
        <w:t xml:space="preserve"> </w:t>
      </w:r>
      <w:r>
        <w:t xml:space="preserve">· Selenium and vitamin E supplementation: activities of glutathione peroxidase in human tissues. PMID 3407611</w:t>
      </w:r>
    </w:p>
    <w:p>
      <w:pPr>
        <w:numPr>
          <w:ilvl w:val="0"/>
          <w:numId w:val="1414"/>
        </w:numPr>
        <w:pStyle w:val="Compact"/>
      </w:pPr>
      <w:r>
        <w:t xml:space="preserve">1988 · Nève J ·</w:t>
      </w:r>
      <w:r>
        <w:t xml:space="preserve"> </w:t>
      </w:r>
      <w:r>
        <w:rPr>
          <w:iCs/>
          <w:i/>
        </w:rPr>
        <w:t xml:space="preserve">Am J Clin Nutr</w:t>
      </w:r>
      <w:r>
        <w:t xml:space="preserve"> </w:t>
      </w:r>
      <w:r>
        <w:t xml:space="preserve">· Selenium supplementation in healthy Belgian adults: response in platelet glutathione peroxidase activity and other blood indices. PMID 3389320</w:t>
      </w:r>
    </w:p>
    <w:p>
      <w:pPr>
        <w:numPr>
          <w:ilvl w:val="0"/>
          <w:numId w:val="1414"/>
        </w:numPr>
        <w:pStyle w:val="Compact"/>
      </w:pPr>
      <w:r>
        <w:t xml:space="preserve">1988 · Thomson CD ·</w:t>
      </w:r>
      <w:r>
        <w:t xml:space="preserve"> </w:t>
      </w:r>
      <w:r>
        <w:rPr>
          <w:iCs/>
          <w:i/>
        </w:rPr>
        <w:t xml:space="preserve">Biochem Int</w:t>
      </w:r>
      <w:r>
        <w:t xml:space="preserve"> </w:t>
      </w:r>
      <w:r>
        <w:t xml:space="preserve">· The absence of adaptive changes in tissue activities of glutathione-S-transferase, superoxide dismutase and catalase following selenium and vitamin E supplementation in subjects with low selenium status. PMID 3355578</w:t>
      </w:r>
    </w:p>
    <w:p>
      <w:pPr>
        <w:numPr>
          <w:ilvl w:val="0"/>
          <w:numId w:val="1414"/>
        </w:numPr>
        <w:pStyle w:val="Compact"/>
      </w:pPr>
      <w:r>
        <w:t xml:space="preserve">1988 · Clausen J ·</w:t>
      </w:r>
      <w:r>
        <w:t xml:space="preserve"> </w:t>
      </w:r>
      <w:r>
        <w:rPr>
          <w:iCs/>
          <w:i/>
        </w:rPr>
        <w:t xml:space="preserve">Biol Trace Elem Res</w:t>
      </w:r>
      <w:r>
        <w:t xml:space="preserve"> </w:t>
      </w:r>
      <w:r>
        <w:t xml:space="preserve">· Comparison of whole blood selenium values and erythrocyte glutathione peroxidase activities of normal individuals on supplementation with selenate, selenite, L-selenomethionine, and high selenium yeast. PMID 2484510</w:t>
      </w:r>
    </w:p>
    <w:p>
      <w:pPr>
        <w:numPr>
          <w:ilvl w:val="0"/>
          <w:numId w:val="1414"/>
        </w:numPr>
        <w:pStyle w:val="Compact"/>
      </w:pPr>
      <w:r>
        <w:t xml:space="preserve">1985 · Batist G ·</w:t>
      </w:r>
      <w:r>
        <w:t xml:space="preserve"> </w:t>
      </w:r>
      <w:r>
        <w:rPr>
          <w:iCs/>
          <w:i/>
        </w:rPr>
        <w:t xml:space="preserve">Cancer Res</w:t>
      </w:r>
      <w:r>
        <w:t xml:space="preserve"> </w:t>
      </w:r>
      <w:r>
        <w:t xml:space="preserve">· Cardiac and red blood cell glutathione peroxidase: results of a prospective randomized trial in patients on total parenteral nutrition. PMID 3931910</w:t>
      </w:r>
    </w:p>
    <w:p>
      <w:pPr>
        <w:numPr>
          <w:ilvl w:val="0"/>
          <w:numId w:val="1414"/>
        </w:numPr>
        <w:pStyle w:val="Compact"/>
      </w:pPr>
      <w:r>
        <w:t xml:space="preserve">1984 · Sundström H ·</w:t>
      </w:r>
      <w:r>
        <w:t xml:space="preserve"> </w:t>
      </w:r>
      <w:r>
        <w:rPr>
          <w:iCs/>
          <w:i/>
        </w:rPr>
        <w:t xml:space="preserve">Cancer Lett</w:t>
      </w:r>
      <w:r>
        <w:t xml:space="preserve"> </w:t>
      </w:r>
      <w:r>
        <w:t xml:space="preserve">· Serum selenium and glutathione peroxidase, and plasma lipid peroxides in uterine, ovarian or vulvar cancer, and their responses to antioxidants in patients with ovarian cancer. PMID 6498792</w:t>
      </w:r>
    </w:p>
    <w:bookmarkEnd w:id="3058"/>
    <w:bookmarkStart w:id="3059" w:name="brémélanotide-pt-141-16"/>
    <w:p>
      <w:pPr>
        <w:pStyle w:val="Heading2"/>
      </w:pPr>
      <w:r>
        <w:t xml:space="preserve">Brémélanotide (PT-141) (16)</w:t>
      </w:r>
    </w:p>
    <w:p>
      <w:pPr>
        <w:numPr>
          <w:ilvl w:val="0"/>
          <w:numId w:val="1415"/>
        </w:numPr>
        <w:pStyle w:val="Compact"/>
      </w:pPr>
      <w:r>
        <w:t xml:space="preserve">2022 · Simon JA ·</w:t>
      </w:r>
      <w:r>
        <w:t xml:space="preserve"> </w:t>
      </w:r>
      <w:r>
        <w:rPr>
          <w:iCs/>
          <w:i/>
        </w:rPr>
        <w:t xml:space="preserve">J Womens Health (Larchmt)</w:t>
      </w:r>
      <w:r>
        <w:t xml:space="preserve"> </w:t>
      </w:r>
      <w:r>
        <w:t xml:space="preserve">· Prespecified and Integrated Subgroup Analyses from the RECONNECT Phase 3 Studies of Bremelanotide. PMID 35230162</w:t>
      </w:r>
    </w:p>
    <w:p>
      <w:pPr>
        <w:numPr>
          <w:ilvl w:val="0"/>
          <w:numId w:val="1415"/>
        </w:numPr>
        <w:pStyle w:val="Compact"/>
      </w:pPr>
      <w:r>
        <w:t xml:space="preserve">2022 · Clayton AH ·</w:t>
      </w:r>
      <w:r>
        <w:t xml:space="preserve"> </w:t>
      </w:r>
      <w:r>
        <w:rPr>
          <w:iCs/>
          <w:i/>
        </w:rPr>
        <w:t xml:space="preserve">J Womens Health (Larchmt)</w:t>
      </w:r>
      <w:r>
        <w:t xml:space="preserve"> </w:t>
      </w:r>
      <w:r>
        <w:t xml:space="preserve">· Safety Profile of Bremelanotide Across the Clinical Development Program. PMID 35147466</w:t>
      </w:r>
    </w:p>
    <w:p>
      <w:pPr>
        <w:numPr>
          <w:ilvl w:val="0"/>
          <w:numId w:val="1415"/>
        </w:numPr>
        <w:pStyle w:val="Compact"/>
      </w:pPr>
      <w:r>
        <w:t xml:space="preserve">2021 · Koochaki P ·</w:t>
      </w:r>
      <w:r>
        <w:t xml:space="preserve"> </w:t>
      </w:r>
      <w:r>
        <w:rPr>
          <w:iCs/>
          <w:i/>
        </w:rPr>
        <w:t xml:space="preserve">J Womens Health (Larchmt)</w:t>
      </w:r>
      <w:r>
        <w:t xml:space="preserve"> </w:t>
      </w:r>
      <w:r>
        <w:t xml:space="preserve">· The Patient Experience of Premenopausal Women Treated with Bremelanotide for Hypoactive Sexual Desire Disorder: RECONNECT Exit Study Results. PMID 33538638</w:t>
      </w:r>
    </w:p>
    <w:p>
      <w:pPr>
        <w:numPr>
          <w:ilvl w:val="0"/>
          <w:numId w:val="1415"/>
        </w:numPr>
        <w:pStyle w:val="Compact"/>
      </w:pPr>
      <w:r>
        <w:t xml:space="preserve">2019 · Kingsberg SA ·</w:t>
      </w:r>
      <w:r>
        <w:t xml:space="preserve"> </w:t>
      </w:r>
      <w:r>
        <w:rPr>
          <w:iCs/>
          <w:i/>
        </w:rPr>
        <w:t xml:space="preserve">Obstet Gynecol</w:t>
      </w:r>
      <w:r>
        <w:t xml:space="preserve"> </w:t>
      </w:r>
      <w:r>
        <w:t xml:space="preserve">· Bremelanotide for the Treatment of Hypoactive Sexual Desire Disorder: Two Randomized Phase 3 Trials. PMID 31599840</w:t>
      </w:r>
    </w:p>
    <w:p>
      <w:pPr>
        <w:numPr>
          <w:ilvl w:val="0"/>
          <w:numId w:val="1415"/>
        </w:numPr>
        <w:pStyle w:val="Compact"/>
      </w:pPr>
      <w:r>
        <w:t xml:space="preserve">2019 · Althof S ·</w:t>
      </w:r>
      <w:r>
        <w:t xml:space="preserve"> </w:t>
      </w:r>
      <w:r>
        <w:rPr>
          <w:iCs/>
          <w:i/>
        </w:rPr>
        <w:t xml:space="preserve">J Sex Med</w:t>
      </w:r>
      <w:r>
        <w:t xml:space="preserve"> </w:t>
      </w:r>
      <w:r>
        <w:t xml:space="preserve">· Responder Analyses from a Phase 2b Dose-Ranging Study of Bremelanotide. PMID 31277966</w:t>
      </w:r>
    </w:p>
    <w:p>
      <w:pPr>
        <w:numPr>
          <w:ilvl w:val="0"/>
          <w:numId w:val="1415"/>
        </w:numPr>
        <w:pStyle w:val="Compact"/>
      </w:pPr>
      <w:r>
        <w:t xml:space="preserve">2017 · Clayton AH ·</w:t>
      </w:r>
      <w:r>
        <w:t xml:space="preserve"> </w:t>
      </w:r>
      <w:r>
        <w:rPr>
          <w:iCs/>
          <w:i/>
        </w:rPr>
        <w:t xml:space="preserve">Clin Ther</w:t>
      </w:r>
      <w:r>
        <w:t xml:space="preserve"> </w:t>
      </w:r>
      <w:r>
        <w:t xml:space="preserve">· Phase I Randomized Placebo-controlled, Double-blind Study of the Safety and Tolerability of Bremelanotide Coadministered With Ethanol in Healthy Male and Female Participants. PMID 28189361</w:t>
      </w:r>
    </w:p>
    <w:p>
      <w:pPr>
        <w:numPr>
          <w:ilvl w:val="0"/>
          <w:numId w:val="1415"/>
        </w:numPr>
        <w:pStyle w:val="Compact"/>
      </w:pPr>
      <w:r>
        <w:t xml:space="preserve">2017 · White WB ·</w:t>
      </w:r>
      <w:r>
        <w:t xml:space="preserve"> </w:t>
      </w:r>
      <w:r>
        <w:rPr>
          <w:iCs/>
          <w:i/>
        </w:rPr>
        <w:t xml:space="preserve">J Hypertens</w:t>
      </w:r>
      <w:r>
        <w:t xml:space="preserve"> </w:t>
      </w:r>
      <w:r>
        <w:t xml:space="preserve">· Usefulness of ambulatory blood pressure monitoring to assess the melanocortin receptor agonist bremelanotide. PMID 27977473</w:t>
      </w:r>
    </w:p>
    <w:p>
      <w:pPr>
        <w:numPr>
          <w:ilvl w:val="0"/>
          <w:numId w:val="1415"/>
        </w:numPr>
        <w:pStyle w:val="Compact"/>
      </w:pPr>
      <w:r>
        <w:t xml:space="preserve">2016 · Clayton AH ·</w:t>
      </w:r>
      <w:r>
        <w:t xml:space="preserve"> </w:t>
      </w:r>
      <w:r>
        <w:rPr>
          <w:iCs/>
          <w:i/>
        </w:rPr>
        <w:t xml:space="preserve">Womens Health (Lond)</w:t>
      </w:r>
      <w:r>
        <w:t xml:space="preserve"> </w:t>
      </w:r>
      <w:r>
        <w:t xml:space="preserve">· Bremelanotide for female sexual dysfunctions in premenopausal women: a randomized, placebo-controlled dose-finding trial. PMID 27181790</w:t>
      </w:r>
    </w:p>
    <w:p>
      <w:pPr>
        <w:numPr>
          <w:ilvl w:val="0"/>
          <w:numId w:val="1415"/>
        </w:numPr>
        <w:pStyle w:val="Compact"/>
      </w:pPr>
      <w:r>
        <w:t xml:space="preserve">2008 · Safarinejad MR ·</w:t>
      </w:r>
      <w:r>
        <w:t xml:space="preserve"> </w:t>
      </w:r>
      <w:r>
        <w:rPr>
          <w:iCs/>
          <w:i/>
        </w:rPr>
        <w:t xml:space="preserve">J Urol</w:t>
      </w:r>
      <w:r>
        <w:t xml:space="preserve"> </w:t>
      </w:r>
      <w:r>
        <w:t xml:space="preserve">· Salvage of sildenafil failures with bremelanotide: a randomized, double-blind, placebo controlled study. PMID 18206919</w:t>
      </w:r>
    </w:p>
    <w:p>
      <w:pPr>
        <w:numPr>
          <w:ilvl w:val="0"/>
          <w:numId w:val="1415"/>
        </w:numPr>
        <w:pStyle w:val="Compact"/>
      </w:pPr>
      <w:r>
        <w:t xml:space="preserve">2008 · Safarinejad MR ·</w:t>
      </w:r>
      <w:r>
        <w:t xml:space="preserve"> </w:t>
      </w:r>
      <w:r>
        <w:rPr>
          <w:iCs/>
          <w:i/>
        </w:rPr>
        <w:t xml:space="preserve">J Sex Med</w:t>
      </w:r>
      <w:r>
        <w:t xml:space="preserve"> </w:t>
      </w:r>
      <w:r>
        <w:t xml:space="preserve">· RETRACTED: Evaluation of the safety and efficacy of bremelanotide, a melanocortin receptor agonist, in female subjects with arousal disorder: a double-blind placebo-controlled, fixed dose, randomized study. PMID 18179455</w:t>
      </w:r>
    </w:p>
    <w:p>
      <w:pPr>
        <w:numPr>
          <w:ilvl w:val="0"/>
          <w:numId w:val="1415"/>
        </w:numPr>
        <w:pStyle w:val="Compact"/>
      </w:pPr>
      <w:r>
        <w:t xml:space="preserve">2006 · Diamond LE ·</w:t>
      </w:r>
      <w:r>
        <w:t xml:space="preserve"> </w:t>
      </w:r>
      <w:r>
        <w:rPr>
          <w:iCs/>
          <w:i/>
        </w:rPr>
        <w:t xml:space="preserve">J Sex Med</w:t>
      </w:r>
      <w:r>
        <w:t xml:space="preserve"> </w:t>
      </w:r>
      <w:r>
        <w:t xml:space="preserve">· An effect on the subjective sexual response in premenopausal women with sexual arousal disorder by bremelanotide (PT-141), a melanocortin receptor agonist. PMID 16839319</w:t>
      </w:r>
    </w:p>
    <w:p>
      <w:pPr>
        <w:numPr>
          <w:ilvl w:val="0"/>
          <w:numId w:val="1415"/>
        </w:numPr>
        <w:pStyle w:val="Compact"/>
      </w:pPr>
      <w:r>
        <w:t xml:space="preserve">2005 · Diamond LE ·</w:t>
      </w:r>
      <w:r>
        <w:t xml:space="preserve"> </w:t>
      </w:r>
      <w:r>
        <w:rPr>
          <w:iCs/>
          <w:i/>
        </w:rPr>
        <w:t xml:space="preserve">Urology</w:t>
      </w:r>
      <w:r>
        <w:t xml:space="preserve"> </w:t>
      </w:r>
      <w:r>
        <w:t xml:space="preserve">· Co-administration of low doses of intranasal PT-141, a melanocortin receptor agonist, and sildenafil to men with erectile dysfunction results in an enhanced erectile response. PMID 15833522</w:t>
      </w:r>
    </w:p>
    <w:p>
      <w:pPr>
        <w:numPr>
          <w:ilvl w:val="0"/>
          <w:numId w:val="1415"/>
        </w:numPr>
        <w:pStyle w:val="Compact"/>
      </w:pPr>
      <w:r>
        <w:t xml:space="preserve">2004 · Bayés M ·</w:t>
      </w:r>
      <w:r>
        <w:t xml:space="preserve"> </w:t>
      </w:r>
      <w:r>
        <w:rPr>
          <w:iCs/>
          <w:i/>
        </w:rPr>
        <w:t xml:space="preserve">Methods Find Exp Clin Pharmacol</w:t>
      </w:r>
      <w:r>
        <w:t xml:space="preserve"> </w:t>
      </w:r>
      <w:r>
        <w:t xml:space="preserve">· Gateways to clinical trials. PMID 15672123</w:t>
      </w:r>
    </w:p>
    <w:p>
      <w:pPr>
        <w:numPr>
          <w:ilvl w:val="0"/>
          <w:numId w:val="1415"/>
        </w:numPr>
        <w:pStyle w:val="Compact"/>
      </w:pPr>
      <w:r>
        <w:t xml:space="preserve">2004 · Rosen RC ·</w:t>
      </w:r>
      <w:r>
        <w:t xml:space="preserve"> </w:t>
      </w:r>
      <w:r>
        <w:rPr>
          <w:iCs/>
          <w:i/>
        </w:rPr>
        <w:t xml:space="preserve">Int J Impot Res</w:t>
      </w:r>
      <w:r>
        <w:t xml:space="preserve"> </w:t>
      </w:r>
      <w:r>
        <w:t xml:space="preserve">· Evaluation of the safety, pharmacokinetics and pharmacodynamic effects of subcutaneously administered PT-141, a melanocortin receptor agonist, in healthy male subjects and in patients with an inadequate response to Viagra. PMID 14999221</w:t>
      </w:r>
    </w:p>
    <w:p>
      <w:pPr>
        <w:numPr>
          <w:ilvl w:val="0"/>
          <w:numId w:val="1415"/>
        </w:numPr>
        <w:pStyle w:val="Compact"/>
      </w:pPr>
      <w:r>
        <w:t xml:space="preserve">2004 · Diamond LE ·</w:t>
      </w:r>
      <w:r>
        <w:t xml:space="preserve"> </w:t>
      </w:r>
      <w:r>
        <w:rPr>
          <w:iCs/>
          <w:i/>
        </w:rPr>
        <w:t xml:space="preserve">Int J Impot Res</w:t>
      </w:r>
      <w:r>
        <w:t xml:space="preserve"> </w:t>
      </w:r>
      <w:r>
        <w:t xml:space="preserve">· Double-blind, placebo-controlled evaluation of the safety, pharmacokinetic properties and pharmacodynamic effects of intranasal PT-141, a melanocortin receptor agonist, in healthy males and patients with mild-to-moderate erectile dysfunction. PMID 14963471</w:t>
      </w:r>
    </w:p>
    <w:p>
      <w:pPr>
        <w:numPr>
          <w:ilvl w:val="0"/>
          <w:numId w:val="1415"/>
        </w:numPr>
        <w:pStyle w:val="Compact"/>
      </w:pPr>
      <w:r>
        <w:t xml:space="preserve">2003 · Molinoff PB ·</w:t>
      </w:r>
      <w:r>
        <w:t xml:space="preserve"> </w:t>
      </w:r>
      <w:r>
        <w:rPr>
          <w:iCs/>
          <w:i/>
        </w:rPr>
        <w:t xml:space="preserve">Ann N Y Acad Sci</w:t>
      </w:r>
      <w:r>
        <w:t xml:space="preserve"> </w:t>
      </w:r>
      <w:r>
        <w:t xml:space="preserve">· PT-141: a melanocortin agonist for the treatment of sexual dysfunction. PMID 12851303</w:t>
      </w:r>
    </w:p>
    <w:bookmarkEnd w:id="3059"/>
    <w:bookmarkStart w:id="3060" w:name="melanotan-ii-8"/>
    <w:p>
      <w:pPr>
        <w:pStyle w:val="Heading2"/>
      </w:pPr>
      <w:r>
        <w:t xml:space="preserve">Melanotan II (8)</w:t>
      </w:r>
    </w:p>
    <w:p>
      <w:pPr>
        <w:numPr>
          <w:ilvl w:val="0"/>
          <w:numId w:val="1416"/>
        </w:numPr>
        <w:pStyle w:val="Compact"/>
      </w:pPr>
      <w:r>
        <w:t xml:space="preserve">2006 · Fitzgerald LM ·</w:t>
      </w:r>
      <w:r>
        <w:t xml:space="preserve"> </w:t>
      </w:r>
      <w:r>
        <w:rPr>
          <w:iCs/>
          <w:i/>
        </w:rPr>
        <w:t xml:space="preserve">Peptides</w:t>
      </w:r>
      <w:r>
        <w:t xml:space="preserve"> </w:t>
      </w:r>
      <w:r>
        <w:t xml:space="preserve">· Effect of MELANOTAN, [Nle(4), D-Phe(7)]-alpha-MSH, on melanin synthesis in humans with MC1R variant alleles. PMID 16293341</w:t>
      </w:r>
    </w:p>
    <w:p>
      <w:pPr>
        <w:numPr>
          <w:ilvl w:val="0"/>
          <w:numId w:val="1416"/>
        </w:numPr>
        <w:pStyle w:val="Compact"/>
      </w:pPr>
      <w:r>
        <w:t xml:space="preserve">2004 · Dorr RT ·</w:t>
      </w:r>
      <w:r>
        <w:t xml:space="preserve"> </w:t>
      </w:r>
      <w:r>
        <w:rPr>
          <w:iCs/>
          <w:i/>
        </w:rPr>
        <w:t xml:space="preserve">Arch Dermatol</w:t>
      </w:r>
      <w:r>
        <w:t xml:space="preserve"> </w:t>
      </w:r>
      <w:r>
        <w:t xml:space="preserve">· Effects of a superpotent melanotropic peptide in combination with solar UV radiation on tanning of the skin in human volunteers. PMID 15262693</w:t>
      </w:r>
    </w:p>
    <w:p>
      <w:pPr>
        <w:numPr>
          <w:ilvl w:val="0"/>
          <w:numId w:val="1416"/>
        </w:numPr>
        <w:pStyle w:val="Compact"/>
      </w:pPr>
      <w:r>
        <w:t xml:space="preserve">2000 · Dorr RT ·</w:t>
      </w:r>
      <w:r>
        <w:t xml:space="preserve"> </w:t>
      </w:r>
      <w:r>
        <w:rPr>
          <w:iCs/>
          <w:i/>
        </w:rPr>
        <w:t xml:space="preserve">Photochem Photobiol</w:t>
      </w:r>
      <w:r>
        <w:t xml:space="preserve"> </w:t>
      </w:r>
      <w:r>
        <w:t xml:space="preserve">· Increased eumelanin expression and tanning is induced by a superpotent melanotropin [Nle4-D-Phe7]-alpha-MSH in humans. PMID 11045725</w:t>
      </w:r>
    </w:p>
    <w:p>
      <w:pPr>
        <w:numPr>
          <w:ilvl w:val="0"/>
          <w:numId w:val="1416"/>
        </w:numPr>
        <w:pStyle w:val="Compact"/>
      </w:pPr>
      <w:r>
        <w:t xml:space="preserve">2000 · Wessells H ·</w:t>
      </w:r>
      <w:r>
        <w:t xml:space="preserve"> </w:t>
      </w:r>
      <w:r>
        <w:rPr>
          <w:iCs/>
          <w:i/>
        </w:rPr>
        <w:t xml:space="preserve">Int J Impot Res</w:t>
      </w:r>
      <w:r>
        <w:t xml:space="preserve"> </w:t>
      </w:r>
      <w:r>
        <w:t xml:space="preserve">· Melanocortin receptor agonists, penile erection, and sexual motivation: human studies with Melanotan II. PMID 11035391</w:t>
      </w:r>
    </w:p>
    <w:p>
      <w:pPr>
        <w:numPr>
          <w:ilvl w:val="0"/>
          <w:numId w:val="1416"/>
        </w:numPr>
        <w:pStyle w:val="Compact"/>
      </w:pPr>
      <w:r>
        <w:t xml:space="preserve">2000 · Wessells H ·</w:t>
      </w:r>
      <w:r>
        <w:t xml:space="preserve"> </w:t>
      </w:r>
      <w:r>
        <w:rPr>
          <w:iCs/>
          <w:i/>
        </w:rPr>
        <w:t xml:space="preserve">Urology</w:t>
      </w:r>
      <w:r>
        <w:t xml:space="preserve"> </w:t>
      </w:r>
      <w:r>
        <w:t xml:space="preserve">· Effect of an alpha-melanocyte stimulating hormone analog on penile erection and sexual desire in men with organic erectile dysfunction. PMID 11018622</w:t>
      </w:r>
    </w:p>
    <w:p>
      <w:pPr>
        <w:numPr>
          <w:ilvl w:val="0"/>
          <w:numId w:val="1416"/>
        </w:numPr>
        <w:pStyle w:val="Compact"/>
      </w:pPr>
      <w:r>
        <w:t xml:space="preserve">1998 · Wessells H ·</w:t>
      </w:r>
      <w:r>
        <w:t xml:space="preserve"> </w:t>
      </w:r>
      <w:r>
        <w:rPr>
          <w:iCs/>
          <w:i/>
        </w:rPr>
        <w:t xml:space="preserve">J Urol</w:t>
      </w:r>
      <w:r>
        <w:t xml:space="preserve"> </w:t>
      </w:r>
      <w:r>
        <w:t xml:space="preserve">· Synthetic melanotropic peptide initiates erections in men with psychogenic erectile dysfunction: double-blind, placebo controlled crossover study. PMID 9679884</w:t>
      </w:r>
    </w:p>
    <w:p>
      <w:pPr>
        <w:numPr>
          <w:ilvl w:val="0"/>
          <w:numId w:val="1416"/>
        </w:numPr>
        <w:pStyle w:val="Compact"/>
      </w:pPr>
      <w:r>
        <w:t xml:space="preserve">1997 · Ugwu SO ·</w:t>
      </w:r>
      <w:r>
        <w:t xml:space="preserve"> </w:t>
      </w:r>
      <w:r>
        <w:rPr>
          <w:iCs/>
          <w:i/>
        </w:rPr>
        <w:t xml:space="preserve">Biopharm Drug Dispos</w:t>
      </w:r>
      <w:r>
        <w:t xml:space="preserve"> </w:t>
      </w:r>
      <w:r>
        <w:t xml:space="preserve">· Skin pigmentation and pharmacokinetics of melanotan-I in humans. PMID 9113347</w:t>
      </w:r>
    </w:p>
    <w:p>
      <w:pPr>
        <w:numPr>
          <w:ilvl w:val="0"/>
          <w:numId w:val="1416"/>
        </w:numPr>
        <w:pStyle w:val="Compact"/>
      </w:pPr>
      <w:r>
        <w:t xml:space="preserve">1996 · Dorr RT ·</w:t>
      </w:r>
      <w:r>
        <w:t xml:space="preserve"> </w:t>
      </w:r>
      <w:r>
        <w:rPr>
          <w:iCs/>
          <w:i/>
        </w:rPr>
        <w:t xml:space="preserve">Life Sci</w:t>
      </w:r>
      <w:r>
        <w:t xml:space="preserve"> </w:t>
      </w:r>
      <w:r>
        <w:t xml:space="preserve">· Evaluation of melanotan-II, a superpotent cyclic melanotropic peptide in a pilot phase-I clinical study. PMID 8637402</w:t>
      </w:r>
    </w:p>
    <w:bookmarkEnd w:id="3060"/>
    <w:bookmarkStart w:id="3061" w:name="afamélanotide-10"/>
    <w:p>
      <w:pPr>
        <w:pStyle w:val="Heading2"/>
      </w:pPr>
      <w:r>
        <w:t xml:space="preserve">Afamélanotide (10)</w:t>
      </w:r>
    </w:p>
    <w:p>
      <w:pPr>
        <w:numPr>
          <w:ilvl w:val="0"/>
          <w:numId w:val="1417"/>
        </w:numPr>
        <w:pStyle w:val="Compact"/>
      </w:pPr>
      <w:r>
        <w:t xml:space="preserve">2026 · Shetty N ·</w:t>
      </w:r>
      <w:r>
        <w:t xml:space="preserve"> </w:t>
      </w:r>
      <w:r>
        <w:rPr>
          <w:iCs/>
          <w:i/>
        </w:rPr>
        <w:t xml:space="preserve">Photochem Photobiol</w:t>
      </w:r>
      <w:r>
        <w:t xml:space="preserve"> </w:t>
      </w:r>
      <w:r>
        <w:t xml:space="preserve">· Adjunctive use of Polypodium leucotomos extract in patients with erythropoietic protoporphyria: An exploratory study. PMID 41766687</w:t>
      </w:r>
    </w:p>
    <w:p>
      <w:pPr>
        <w:numPr>
          <w:ilvl w:val="0"/>
          <w:numId w:val="1417"/>
        </w:numPr>
        <w:pStyle w:val="Compact"/>
      </w:pPr>
      <w:r>
        <w:t xml:space="preserve">2023 · Stanislaus V ·</w:t>
      </w:r>
      <w:r>
        <w:t xml:space="preserve"> </w:t>
      </w:r>
      <w:r>
        <w:rPr>
          <w:iCs/>
          <w:i/>
        </w:rPr>
        <w:t xml:space="preserve">BMC Neurol</w:t>
      </w:r>
      <w:r>
        <w:t xml:space="preserve"> </w:t>
      </w:r>
      <w:r>
        <w:t xml:space="preserve">· A feasibility and safety study of afamelanotide in acute stroke patients - an open label, proof of concept, phase iia clinical trial. PMID 37496004</w:t>
      </w:r>
    </w:p>
    <w:p>
      <w:pPr>
        <w:numPr>
          <w:ilvl w:val="0"/>
          <w:numId w:val="1417"/>
        </w:numPr>
        <w:pStyle w:val="Compact"/>
      </w:pPr>
      <w:r>
        <w:t xml:space="preserve">2020 · Toh JJH ·</w:t>
      </w:r>
      <w:r>
        <w:t xml:space="preserve"> </w:t>
      </w:r>
      <w:r>
        <w:rPr>
          <w:iCs/>
          <w:i/>
        </w:rPr>
        <w:t xml:space="preserve">J Am Acad Dermatol</w:t>
      </w:r>
      <w:r>
        <w:t xml:space="preserve"> </w:t>
      </w:r>
      <w:r>
        <w:t xml:space="preserve">· Afamelanotide implants and narrow-band ultraviolet B phototherapy for the treatment of nonsegmental vitiligo in Asians. PMID 31987791</w:t>
      </w:r>
    </w:p>
    <w:p>
      <w:pPr>
        <w:numPr>
          <w:ilvl w:val="0"/>
          <w:numId w:val="1417"/>
        </w:numPr>
        <w:pStyle w:val="Compact"/>
      </w:pPr>
      <w:r>
        <w:t xml:space="preserve">2015 · Langendonk JG ·</w:t>
      </w:r>
      <w:r>
        <w:t xml:space="preserve"> </w:t>
      </w:r>
      <w:r>
        <w:rPr>
          <w:iCs/>
          <w:i/>
        </w:rPr>
        <w:t xml:space="preserve">N Engl J Med</w:t>
      </w:r>
      <w:r>
        <w:t xml:space="preserve"> </w:t>
      </w:r>
      <w:r>
        <w:t xml:space="preserve">· Afamelanotide for Erythropoietic Protoporphyria. PMID 26132941</w:t>
      </w:r>
    </w:p>
    <w:p>
      <w:pPr>
        <w:numPr>
          <w:ilvl w:val="0"/>
          <w:numId w:val="1417"/>
        </w:numPr>
        <w:pStyle w:val="Compact"/>
      </w:pPr>
      <w:r>
        <w:t xml:space="preserve">2015 · Lengweiler S ·</w:t>
      </w:r>
      <w:r>
        <w:t xml:space="preserve"> </w:t>
      </w:r>
      <w:r>
        <w:rPr>
          <w:iCs/>
          <w:i/>
        </w:rPr>
        <w:t xml:space="preserve">Skin Pharmacol Physiol</w:t>
      </w:r>
      <w:r>
        <w:t xml:space="preserve"> </w:t>
      </w:r>
      <w:r>
        <w:t xml:space="preserve">· Evaluation of the immunogenicity of the synthetic α-melanocyte-stimulating hormone (α-MSH) analogue afamelanotide ([Nle4-D-Phe7]-α-MSH, Scenesse®) in erythropoietic protoporphyria patients by ELISA detecting both anti-afamelanotide and anti-α-MSH antibodies. PMID 25402764</w:t>
      </w:r>
    </w:p>
    <w:p>
      <w:pPr>
        <w:numPr>
          <w:ilvl w:val="0"/>
          <w:numId w:val="1417"/>
        </w:numPr>
        <w:pStyle w:val="Compact"/>
      </w:pPr>
      <w:r>
        <w:t xml:space="preserve">2015 · Lim HW ·</w:t>
      </w:r>
      <w:r>
        <w:t xml:space="preserve"> </w:t>
      </w:r>
      <w:r>
        <w:rPr>
          <w:iCs/>
          <w:i/>
        </w:rPr>
        <w:t xml:space="preserve">JAMA Dermatol</w:t>
      </w:r>
      <w:r>
        <w:t xml:space="preserve"> </w:t>
      </w:r>
      <w:r>
        <w:t xml:space="preserve">· Afamelanotide and narrowband UV-B phototherapy for the treatment of vitiligo: a randomized multicenter trial. PMID 25230094</w:t>
      </w:r>
    </w:p>
    <w:p>
      <w:pPr>
        <w:numPr>
          <w:ilvl w:val="0"/>
          <w:numId w:val="1417"/>
        </w:numPr>
        <w:pStyle w:val="Compact"/>
      </w:pPr>
      <w:r>
        <w:t xml:space="preserve">2014 · Biolcati G ·</w:t>
      </w:r>
      <w:r>
        <w:t xml:space="preserve"> </w:t>
      </w:r>
      <w:r>
        <w:rPr>
          <w:iCs/>
          <w:i/>
        </w:rPr>
        <w:t xml:space="preserve">Clin Exp Dermatol</w:t>
      </w:r>
      <w:r>
        <w:t xml:space="preserve"> </w:t>
      </w:r>
      <w:r>
        <w:t xml:space="preserve">· Efficacy of the melanocortin analogue Nle4-D-Phe7-α-melanocyte-stimulating hormone in the treatment of patients with Hailey-Hailey disease. PMID 24256215</w:t>
      </w:r>
    </w:p>
    <w:p>
      <w:pPr>
        <w:numPr>
          <w:ilvl w:val="0"/>
          <w:numId w:val="1417"/>
        </w:numPr>
        <w:pStyle w:val="Compact"/>
      </w:pPr>
      <w:r>
        <w:t xml:space="preserve">2014 · Böhm M ·</w:t>
      </w:r>
      <w:r>
        <w:t xml:space="preserve"> </w:t>
      </w:r>
      <w:r>
        <w:rPr>
          <w:iCs/>
          <w:i/>
        </w:rPr>
        <w:t xml:space="preserve">J Eur Acad Dermatol Venereol</w:t>
      </w:r>
      <w:r>
        <w:t xml:space="preserve"> </w:t>
      </w:r>
      <w:r>
        <w:t xml:space="preserve">· Beneficial effects of the melanocortin analogue Nle4-D-Phe7-α-MSH in acne vulgaris. PMID 22845050</w:t>
      </w:r>
    </w:p>
    <w:p>
      <w:pPr>
        <w:numPr>
          <w:ilvl w:val="0"/>
          <w:numId w:val="1417"/>
        </w:numPr>
        <w:pStyle w:val="Compact"/>
      </w:pPr>
      <w:r>
        <w:t xml:space="preserve">2011 · Haylett AK ·</w:t>
      </w:r>
      <w:r>
        <w:t xml:space="preserve"> </w:t>
      </w:r>
      <w:r>
        <w:rPr>
          <w:iCs/>
          <w:i/>
        </w:rPr>
        <w:t xml:space="preserve">Br J Dermatol</w:t>
      </w:r>
      <w:r>
        <w:t xml:space="preserve"> </w:t>
      </w:r>
      <w:r>
        <w:t xml:space="preserve">· Systemic photoprotection in solar urticaria with α-melanocyte-stimulating hormone analogue [Nle4-D-Phe7]-α-MSH. PMID 20969564</w:t>
      </w:r>
    </w:p>
    <w:p>
      <w:pPr>
        <w:numPr>
          <w:ilvl w:val="0"/>
          <w:numId w:val="1417"/>
        </w:numPr>
        <w:pStyle w:val="Compact"/>
      </w:pPr>
      <w:r>
        <w:t xml:space="preserve">2009 · Harms JH ·</w:t>
      </w:r>
      <w:r>
        <w:t xml:space="preserve"> </w:t>
      </w:r>
      <w:r>
        <w:rPr>
          <w:iCs/>
          <w:i/>
        </w:rPr>
        <w:t xml:space="preserve">Photochem Photobiol</w:t>
      </w:r>
      <w:r>
        <w:t xml:space="preserve"> </w:t>
      </w:r>
      <w:r>
        <w:t xml:space="preserve">· Mitigating photosensitivity of erythropoietic protoporphyria patients by an agonistic analog of alpha-melanocyte stimulating hormone. PMID 19656325</w:t>
      </w:r>
    </w:p>
    <w:bookmarkEnd w:id="3061"/>
    <w:bookmarkStart w:id="3062" w:name="kisspeptine-37"/>
    <w:p>
      <w:pPr>
        <w:pStyle w:val="Heading2"/>
      </w:pPr>
      <w:r>
        <w:t xml:space="preserve">Kisspeptine (37)</w:t>
      </w:r>
    </w:p>
    <w:p>
      <w:pPr>
        <w:numPr>
          <w:ilvl w:val="0"/>
          <w:numId w:val="1418"/>
        </w:numPr>
        <w:pStyle w:val="Compact"/>
      </w:pPr>
      <w:r>
        <w:t xml:space="preserve">2026 · Yeung AC ·</w:t>
      </w:r>
      <w:r>
        <w:t xml:space="preserve"> </w:t>
      </w:r>
      <w:r>
        <w:rPr>
          <w:iCs/>
          <w:i/>
        </w:rPr>
        <w:t xml:space="preserve">Eur J Endocrinol</w:t>
      </w:r>
      <w:r>
        <w:t xml:space="preserve"> </w:t>
      </w:r>
      <w:r>
        <w:t xml:space="preserve">· Chronic subcutaneous kisspeptin-10 stimulates gonadotropin secretion for 12 days in healthy men. PMID 42549827</w:t>
      </w:r>
    </w:p>
    <w:p>
      <w:pPr>
        <w:numPr>
          <w:ilvl w:val="0"/>
          <w:numId w:val="1418"/>
        </w:numPr>
        <w:pStyle w:val="Compact"/>
      </w:pPr>
      <w:r>
        <w:t xml:space="preserve">2026 · Galbiati F ·</w:t>
      </w:r>
      <w:r>
        <w:t xml:space="preserve"> </w:t>
      </w:r>
      <w:r>
        <w:rPr>
          <w:iCs/>
          <w:i/>
        </w:rPr>
        <w:t xml:space="preserve">J Neuroendocrinol</w:t>
      </w:r>
      <w:r>
        <w:t xml:space="preserve"> </w:t>
      </w:r>
      <w:r>
        <w:t xml:space="preserve">· Intravenous kisspeptin 112-121 bolus does not acutely impact circulating vasopressin in humans. PMID 41273106</w:t>
      </w:r>
    </w:p>
    <w:p>
      <w:pPr>
        <w:numPr>
          <w:ilvl w:val="0"/>
          <w:numId w:val="1418"/>
        </w:numPr>
        <w:pStyle w:val="Compact"/>
      </w:pPr>
      <w:r>
        <w:t xml:space="preserve">2025 · Mills EG ·</w:t>
      </w:r>
      <w:r>
        <w:t xml:space="preserve"> </w:t>
      </w:r>
      <w:r>
        <w:rPr>
          <w:iCs/>
          <w:i/>
        </w:rPr>
        <w:t xml:space="preserve">EBioMedicine</w:t>
      </w:r>
      <w:r>
        <w:t xml:space="preserve"> </w:t>
      </w:r>
      <w:r>
        <w:t xml:space="preserve">· Intranasal kisspeptin administration rapidly stimulates gonadotropin release in humans. PMID 40215751</w:t>
      </w:r>
    </w:p>
    <w:p>
      <w:pPr>
        <w:numPr>
          <w:ilvl w:val="0"/>
          <w:numId w:val="1418"/>
        </w:numPr>
        <w:pStyle w:val="Compact"/>
      </w:pPr>
      <w:r>
        <w:t xml:space="preserve">2025 · Mills EG ·</w:t>
      </w:r>
      <w:r>
        <w:t xml:space="preserve"> </w:t>
      </w:r>
      <w:r>
        <w:rPr>
          <w:iCs/>
          <w:i/>
        </w:rPr>
        <w:t xml:space="preserve">J Clin Endocrinol Metab</w:t>
      </w:r>
      <w:r>
        <w:t xml:space="preserve"> </w:t>
      </w:r>
      <w:r>
        <w:t xml:space="preserve">· Kisspeptin Administration Stimulates Reproductive Hormones but Does Not Affect Anxiety in Humans. PMID 40036336</w:t>
      </w:r>
    </w:p>
    <w:p>
      <w:pPr>
        <w:numPr>
          <w:ilvl w:val="0"/>
          <w:numId w:val="1418"/>
        </w:numPr>
        <w:pStyle w:val="Compact"/>
      </w:pPr>
      <w:r>
        <w:t xml:space="preserve">2025 · Galbiati F ·</w:t>
      </w:r>
      <w:r>
        <w:t xml:space="preserve"> </w:t>
      </w:r>
      <w:r>
        <w:rPr>
          <w:iCs/>
          <w:i/>
        </w:rPr>
        <w:t xml:space="preserve">Eur J Endocrinol</w:t>
      </w:r>
      <w:r>
        <w:t xml:space="preserve"> </w:t>
      </w:r>
      <w:r>
        <w:t xml:space="preserve">· Sex-dependent increases in oxytocin levels in response to intravenous kisspeptin in humans. PMID 39965102</w:t>
      </w:r>
    </w:p>
    <w:p>
      <w:pPr>
        <w:numPr>
          <w:ilvl w:val="0"/>
          <w:numId w:val="1418"/>
        </w:numPr>
        <w:pStyle w:val="Compact"/>
      </w:pPr>
      <w:r>
        <w:t xml:space="preserve">2025 · Rodanaki M ·</w:t>
      </w:r>
      <w:r>
        <w:t xml:space="preserve"> </w:t>
      </w:r>
      <w:r>
        <w:rPr>
          <w:iCs/>
          <w:i/>
        </w:rPr>
        <w:t xml:space="preserve">J Pediatr Endocrinol Metab</w:t>
      </w:r>
      <w:r>
        <w:t xml:space="preserve"> </w:t>
      </w:r>
      <w:r>
        <w:t xml:space="preserve">· Effect of a GnRH injection on kisspeptin levels in girls with suspected precocious puberty: a randomized-controlled pilot study. PMID 39847034</w:t>
      </w:r>
    </w:p>
    <w:p>
      <w:pPr>
        <w:numPr>
          <w:ilvl w:val="0"/>
          <w:numId w:val="1418"/>
        </w:numPr>
        <w:pStyle w:val="Compact"/>
      </w:pPr>
      <w:r>
        <w:t xml:space="preserve">2024 · Abbara A ·</w:t>
      </w:r>
      <w:r>
        <w:t xml:space="preserve"> </w:t>
      </w:r>
      <w:r>
        <w:rPr>
          <w:iCs/>
          <w:i/>
        </w:rPr>
        <w:t xml:space="preserve">Fertil Steril</w:t>
      </w:r>
      <w:r>
        <w:t xml:space="preserve"> </w:t>
      </w:r>
      <w:r>
        <w:t xml:space="preserve">· Endocrine profile of the kisspeptin receptor agonist MVT-602 in healthy premenopausal women with and without ovarian stimulation: results from 2 randomized, placebo-controlled clinical tricals. PMID 37925096</w:t>
      </w:r>
    </w:p>
    <w:p>
      <w:pPr>
        <w:numPr>
          <w:ilvl w:val="0"/>
          <w:numId w:val="1418"/>
        </w:numPr>
        <w:pStyle w:val="Compact"/>
      </w:pPr>
      <w:r>
        <w:t xml:space="preserve">2023 · Bavato F ·</w:t>
      </w:r>
      <w:r>
        <w:t xml:space="preserve"> </w:t>
      </w:r>
      <w:r>
        <w:rPr>
          <w:iCs/>
          <w:i/>
        </w:rPr>
        <w:t xml:space="preserve">J Psychopharmacol</w:t>
      </w:r>
      <w:r>
        <w:t xml:space="preserve"> </w:t>
      </w:r>
      <w:r>
        <w:t xml:space="preserve">· Oral sodium oxybate does not alter plasma kisspeptin levels in healthy male volunteers. PMID 37401623</w:t>
      </w:r>
    </w:p>
    <w:p>
      <w:pPr>
        <w:numPr>
          <w:ilvl w:val="0"/>
          <w:numId w:val="1418"/>
        </w:numPr>
        <w:pStyle w:val="Compact"/>
      </w:pPr>
      <w:r>
        <w:t xml:space="preserve">2023 · Mills EG ·</w:t>
      </w:r>
      <w:r>
        <w:t xml:space="preserve"> </w:t>
      </w:r>
      <w:r>
        <w:rPr>
          <w:iCs/>
          <w:i/>
        </w:rPr>
        <w:t xml:space="preserve">JAMA Netw Open</w:t>
      </w:r>
      <w:r>
        <w:t xml:space="preserve"> </w:t>
      </w:r>
      <w:r>
        <w:t xml:space="preserve">· Effects of Kisspeptin on Sexual Brain Processing and Penile Tumescence in Men With Hypoactive Sexual Desire Disorder: A Randomized Clinical Trial. PMID 36735255</w:t>
      </w:r>
    </w:p>
    <w:p>
      <w:pPr>
        <w:numPr>
          <w:ilvl w:val="0"/>
          <w:numId w:val="1418"/>
        </w:numPr>
        <w:pStyle w:val="Compact"/>
      </w:pPr>
      <w:r>
        <w:t xml:space="preserve">2022 · Thurston L ·</w:t>
      </w:r>
      <w:r>
        <w:t xml:space="preserve"> </w:t>
      </w:r>
      <w:r>
        <w:rPr>
          <w:iCs/>
          <w:i/>
        </w:rPr>
        <w:t xml:space="preserve">JAMA Netw Open</w:t>
      </w:r>
      <w:r>
        <w:t xml:space="preserve"> </w:t>
      </w:r>
      <w:r>
        <w:t xml:space="preserve">· Effects of Kisspeptin Administration in Women With Hypoactive Sexual Desire Disorder: A Randomized Clinical Trial. PMID 36287566</w:t>
      </w:r>
    </w:p>
    <w:p>
      <w:pPr>
        <w:numPr>
          <w:ilvl w:val="0"/>
          <w:numId w:val="1418"/>
        </w:numPr>
        <w:pStyle w:val="Compact"/>
      </w:pPr>
      <w:r>
        <w:t xml:space="preserve">2022 · Comninos AN ·</w:t>
      </w:r>
      <w:r>
        <w:t xml:space="preserve"> </w:t>
      </w:r>
      <w:r>
        <w:rPr>
          <w:iCs/>
          <w:i/>
        </w:rPr>
        <w:t xml:space="preserve">J Clin Endocrinol Metab</w:t>
      </w:r>
      <w:r>
        <w:t xml:space="preserve"> </w:t>
      </w:r>
      <w:r>
        <w:t xml:space="preserve">· Acute Effects of Kisspeptin Administration on Bone Metabolism in Healthy Men. PMID 35244717</w:t>
      </w:r>
    </w:p>
    <w:p>
      <w:pPr>
        <w:numPr>
          <w:ilvl w:val="0"/>
          <w:numId w:val="1418"/>
        </w:numPr>
        <w:pStyle w:val="Compact"/>
      </w:pPr>
      <w:r>
        <w:t xml:space="preserve">2021 · Yang L ·</w:t>
      </w:r>
      <w:r>
        <w:t xml:space="preserve"> </w:t>
      </w:r>
      <w:r>
        <w:rPr>
          <w:iCs/>
          <w:i/>
        </w:rPr>
        <w:t xml:space="preserve">J Clin Endocrinol Metab</w:t>
      </w:r>
      <w:r>
        <w:t xml:space="preserve"> </w:t>
      </w:r>
      <w:r>
        <w:t xml:space="preserve">· The Effects of Kisspeptin on Brain Response to Food Images and Psychometric Parameters of Appetite in Healthy Men. PMID 33075807</w:t>
      </w:r>
    </w:p>
    <w:p>
      <w:pPr>
        <w:numPr>
          <w:ilvl w:val="0"/>
          <w:numId w:val="1418"/>
        </w:numPr>
        <w:pStyle w:val="Compact"/>
      </w:pPr>
      <w:r>
        <w:t xml:space="preserve">2020 · Skorupskaite K ·</w:t>
      </w:r>
      <w:r>
        <w:t xml:space="preserve"> </w:t>
      </w:r>
      <w:r>
        <w:rPr>
          <w:iCs/>
          <w:i/>
        </w:rPr>
        <w:t xml:space="preserve">Hum Reprod</w:t>
      </w:r>
      <w:r>
        <w:t xml:space="preserve"> </w:t>
      </w:r>
      <w:r>
        <w:t xml:space="preserve">· Kisspeptin and neurokinin B interactions in modulating gonadotropin secretion in women with polycystic ovary syndrome. PMID 32510130</w:t>
      </w:r>
    </w:p>
    <w:p>
      <w:pPr>
        <w:numPr>
          <w:ilvl w:val="0"/>
          <w:numId w:val="1418"/>
        </w:numPr>
        <w:pStyle w:val="Compact"/>
      </w:pPr>
      <w:r>
        <w:t xml:space="preserve">2019 · Romero-Ruiz A ·</w:t>
      </w:r>
      <w:r>
        <w:t xml:space="preserve"> </w:t>
      </w:r>
      <w:r>
        <w:rPr>
          <w:iCs/>
          <w:i/>
        </w:rPr>
        <w:t xml:space="preserve">Hum Reprod</w:t>
      </w:r>
      <w:r>
        <w:t xml:space="preserve"> </w:t>
      </w:r>
      <w:r>
        <w:t xml:space="preserve">· Kisspeptin treatment induces gonadotropic responses and rescues ovulation in a subset of preclinical models and women with polycystic ovary syndrome. PMID 31820802</w:t>
      </w:r>
    </w:p>
    <w:p>
      <w:pPr>
        <w:numPr>
          <w:ilvl w:val="0"/>
          <w:numId w:val="1418"/>
        </w:numPr>
        <w:pStyle w:val="Compact"/>
      </w:pPr>
      <w:r>
        <w:t xml:space="preserve">2019 · Ullah H ·</w:t>
      </w:r>
      <w:r>
        <w:t xml:space="preserve"> </w:t>
      </w:r>
      <w:r>
        <w:rPr>
          <w:iCs/>
          <w:i/>
        </w:rPr>
        <w:t xml:space="preserve">Andrologia</w:t>
      </w:r>
      <w:r>
        <w:t xml:space="preserve"> </w:t>
      </w:r>
      <w:r>
        <w:t xml:space="preserve">· Age-dependent changes in the reproductive axis responsiveness to kisspeptin-10 administration in healthy men. PMID 30590872</w:t>
      </w:r>
    </w:p>
    <w:p>
      <w:pPr>
        <w:numPr>
          <w:ilvl w:val="0"/>
          <w:numId w:val="1418"/>
        </w:numPr>
        <w:pStyle w:val="Compact"/>
      </w:pPr>
      <w:r>
        <w:t xml:space="preserve">2018 · Izzi-Engbeaya C ·</w:t>
      </w:r>
      <w:r>
        <w:t xml:space="preserve"> </w:t>
      </w:r>
      <w:r>
        <w:rPr>
          <w:iCs/>
          <w:i/>
        </w:rPr>
        <w:t xml:space="preserve">Diabetes Obes Metab</w:t>
      </w:r>
      <w:r>
        <w:t xml:space="preserve"> </w:t>
      </w:r>
      <w:r>
        <w:t xml:space="preserve">· The effects of kisspeptin on β-cell function, serum metabolites and appetite in humans. PMID 29974637</w:t>
      </w:r>
    </w:p>
    <w:p>
      <w:pPr>
        <w:numPr>
          <w:ilvl w:val="0"/>
          <w:numId w:val="1418"/>
        </w:numPr>
        <w:pStyle w:val="Compact"/>
      </w:pPr>
      <w:r>
        <w:t xml:space="preserve">2018 · Chan YM ·</w:t>
      </w:r>
      <w:r>
        <w:t xml:space="preserve"> </w:t>
      </w:r>
      <w:r>
        <w:rPr>
          <w:iCs/>
          <w:i/>
        </w:rPr>
        <w:t xml:space="preserve">JCI Insight</w:t>
      </w:r>
      <w:r>
        <w:t xml:space="preserve"> </w:t>
      </w:r>
      <w:r>
        <w:t xml:space="preserve">· Divergent responses to kisspeptin in children with delayed puberty. PMID 29669934</w:t>
      </w:r>
    </w:p>
    <w:p>
      <w:pPr>
        <w:numPr>
          <w:ilvl w:val="0"/>
          <w:numId w:val="1418"/>
        </w:numPr>
        <w:pStyle w:val="Compact"/>
      </w:pPr>
      <w:r>
        <w:t xml:space="preserve">2018 · Owens LA ·</w:t>
      </w:r>
      <w:r>
        <w:t xml:space="preserve"> </w:t>
      </w:r>
      <w:r>
        <w:rPr>
          <w:iCs/>
          <w:i/>
        </w:rPr>
        <w:t xml:space="preserve">Hum Reprod</w:t>
      </w:r>
      <w:r>
        <w:t xml:space="preserve"> </w:t>
      </w:r>
      <w:r>
        <w:t xml:space="preserve">· The direct and indirect effects of kisspeptin-54 on granulosa lutein cell function. PMID 29206944</w:t>
      </w:r>
    </w:p>
    <w:p>
      <w:pPr>
        <w:numPr>
          <w:ilvl w:val="0"/>
          <w:numId w:val="1418"/>
        </w:numPr>
        <w:pStyle w:val="Compact"/>
      </w:pPr>
      <w:r>
        <w:t xml:space="preserve">2017 · Abbara A ·</w:t>
      </w:r>
      <w:r>
        <w:t xml:space="preserve"> </w:t>
      </w:r>
      <w:r>
        <w:rPr>
          <w:iCs/>
          <w:i/>
        </w:rPr>
        <w:t xml:space="preserve">Hum Reprod</w:t>
      </w:r>
      <w:r>
        <w:t xml:space="preserve"> </w:t>
      </w:r>
      <w:r>
        <w:t xml:space="preserve">· A second dose of kisspeptin-54 improves oocyte maturation in women at high risk of ovarian hyperstimulation syndrome: a Phase 2 randomized controlled trial. PMID 28854728</w:t>
      </w:r>
    </w:p>
    <w:p>
      <w:pPr>
        <w:numPr>
          <w:ilvl w:val="0"/>
          <w:numId w:val="1418"/>
        </w:numPr>
        <w:pStyle w:val="Compact"/>
      </w:pPr>
      <w:r>
        <w:t xml:space="preserve">2017 · Comninos AN ·</w:t>
      </w:r>
      <w:r>
        <w:t xml:space="preserve"> </w:t>
      </w:r>
      <w:r>
        <w:rPr>
          <w:iCs/>
          <w:i/>
        </w:rPr>
        <w:t xml:space="preserve">J Clin Invest</w:t>
      </w:r>
      <w:r>
        <w:t xml:space="preserve"> </w:t>
      </w:r>
      <w:r>
        <w:t xml:space="preserve">· Kisspeptin modulates sexual and emotional brain processing in humans. PMID 28112678</w:t>
      </w:r>
    </w:p>
    <w:p>
      <w:pPr>
        <w:numPr>
          <w:ilvl w:val="0"/>
          <w:numId w:val="1418"/>
        </w:numPr>
        <w:pStyle w:val="Compact"/>
      </w:pPr>
      <w:r>
        <w:t xml:space="preserve">2016 · Skorupskaite K ·</w:t>
      </w:r>
      <w:r>
        <w:t xml:space="preserve"> </w:t>
      </w:r>
      <w:r>
        <w:rPr>
          <w:iCs/>
          <w:i/>
        </w:rPr>
        <w:t xml:space="preserve">J Clin Endocrinol Metab</w:t>
      </w:r>
      <w:r>
        <w:t xml:space="preserve"> </w:t>
      </w:r>
      <w:r>
        <w:t xml:space="preserve">· Interactions Between Neurokinin B and Kisspeptin in Mediating Estrogen Feedback in Healthy Women. PMID 27636018</w:t>
      </w:r>
    </w:p>
    <w:p>
      <w:pPr>
        <w:numPr>
          <w:ilvl w:val="0"/>
          <w:numId w:val="1418"/>
        </w:numPr>
        <w:pStyle w:val="Compact"/>
      </w:pPr>
      <w:r>
        <w:t xml:space="preserve">2016 · Lippincott MF ·</w:t>
      </w:r>
      <w:r>
        <w:t xml:space="preserve"> </w:t>
      </w:r>
      <w:r>
        <w:rPr>
          <w:iCs/>
          <w:i/>
        </w:rPr>
        <w:t xml:space="preserve">J Clin Endocrinol Metab</w:t>
      </w:r>
      <w:r>
        <w:t xml:space="preserve"> </w:t>
      </w:r>
      <w:r>
        <w:t xml:space="preserve">· Kisspeptin Responsiveness Signals Emergence of Reproductive Endocrine Activity: Implications for Human Puberty. PMID 27214398</w:t>
      </w:r>
    </w:p>
    <w:p>
      <w:pPr>
        <w:numPr>
          <w:ilvl w:val="0"/>
          <w:numId w:val="1418"/>
        </w:numPr>
        <w:pStyle w:val="Compact"/>
      </w:pPr>
      <w:r>
        <w:t xml:space="preserve">2016 · Narayanaswamy S ·</w:t>
      </w:r>
      <w:r>
        <w:t xml:space="preserve"> </w:t>
      </w:r>
      <w:r>
        <w:rPr>
          <w:iCs/>
          <w:i/>
        </w:rPr>
        <w:t xml:space="preserve">Clin Endocrinol (Oxf)</w:t>
      </w:r>
      <w:r>
        <w:t xml:space="preserve"> </w:t>
      </w:r>
      <w:r>
        <w:t xml:space="preserve">· Subcutaneous infusion of kisspeptin-54 stimulates gonadotrophin release in women and the response correlates with basal oestradiol levels. PMID 26572695</w:t>
      </w:r>
    </w:p>
    <w:p>
      <w:pPr>
        <w:numPr>
          <w:ilvl w:val="0"/>
          <w:numId w:val="1418"/>
        </w:numPr>
        <w:pStyle w:val="Compact"/>
      </w:pPr>
      <w:r>
        <w:t xml:space="preserve">2015 · Abbara A ·</w:t>
      </w:r>
      <w:r>
        <w:t xml:space="preserve"> </w:t>
      </w:r>
      <w:r>
        <w:rPr>
          <w:iCs/>
          <w:i/>
        </w:rPr>
        <w:t xml:space="preserve">J Clin Endocrinol Metab</w:t>
      </w:r>
      <w:r>
        <w:t xml:space="preserve"> </w:t>
      </w:r>
      <w:r>
        <w:t xml:space="preserve">· Efficacy of Kisspeptin-54 to Trigger Oocyte Maturation in Women at High Risk of Ovarian Hyperstimulation Syndrome (OHSS) During In Vitro Fertilization (IVF) Therapy. PMID 26192876</w:t>
      </w:r>
    </w:p>
    <w:p>
      <w:pPr>
        <w:numPr>
          <w:ilvl w:val="0"/>
          <w:numId w:val="1418"/>
        </w:numPr>
        <w:pStyle w:val="Compact"/>
      </w:pPr>
      <w:r>
        <w:t xml:space="preserve">2014 · Jayasena CN ·</w:t>
      </w:r>
      <w:r>
        <w:t xml:space="preserve"> </w:t>
      </w:r>
      <w:r>
        <w:rPr>
          <w:iCs/>
          <w:i/>
        </w:rPr>
        <w:t xml:space="preserve">J Clin Invest</w:t>
      </w:r>
      <w:r>
        <w:t xml:space="preserve"> </w:t>
      </w:r>
      <w:r>
        <w:t xml:space="preserve">· Kisspeptin-54 triggers egg maturation in women undergoing in vitro fertilization. PMID 25036713</w:t>
      </w:r>
    </w:p>
    <w:p>
      <w:pPr>
        <w:numPr>
          <w:ilvl w:val="0"/>
          <w:numId w:val="1418"/>
        </w:numPr>
        <w:pStyle w:val="Compact"/>
      </w:pPr>
      <w:r>
        <w:t xml:space="preserve">2014 · Jayasena CN ·</w:t>
      </w:r>
      <w:r>
        <w:t xml:space="preserve"> </w:t>
      </w:r>
      <w:r>
        <w:rPr>
          <w:iCs/>
          <w:i/>
        </w:rPr>
        <w:t xml:space="preserve">Clin Endocrinol (Oxf)</w:t>
      </w:r>
      <w:r>
        <w:t xml:space="preserve"> </w:t>
      </w:r>
      <w:r>
        <w:t xml:space="preserve">· Acute and chronic effects of kisspeptin-54 administration on GH, prolactin and TSH secretion in healthy women. PMID 24863252</w:t>
      </w:r>
    </w:p>
    <w:p>
      <w:pPr>
        <w:numPr>
          <w:ilvl w:val="0"/>
          <w:numId w:val="1418"/>
        </w:numPr>
        <w:pStyle w:val="Compact"/>
      </w:pPr>
      <w:r>
        <w:t xml:space="preserve">2014 · MacLean DB ·</w:t>
      </w:r>
      <w:r>
        <w:t xml:space="preserve"> </w:t>
      </w:r>
      <w:r>
        <w:rPr>
          <w:iCs/>
          <w:i/>
        </w:rPr>
        <w:t xml:space="preserve">J Clin Endocrinol Metab</w:t>
      </w:r>
      <w:r>
        <w:t xml:space="preserve"> </w:t>
      </w:r>
      <w:r>
        <w:t xml:space="preserve">· Sustained exposure to the investigational Kisspeptin analog, TAK-448, down-regulates testosterone into the castration range in healthy males and in patients with prostate cancer: results from two phase 1 studies. PMID 24762108</w:t>
      </w:r>
    </w:p>
    <w:p>
      <w:pPr>
        <w:numPr>
          <w:ilvl w:val="0"/>
          <w:numId w:val="1418"/>
        </w:numPr>
        <w:pStyle w:val="Compact"/>
      </w:pPr>
      <w:r>
        <w:t xml:space="preserve">2014 · Jayasena CN ·</w:t>
      </w:r>
      <w:r>
        <w:t xml:space="preserve"> </w:t>
      </w:r>
      <w:r>
        <w:rPr>
          <w:iCs/>
          <w:i/>
        </w:rPr>
        <w:t xml:space="preserve">J Clin Endocrinol Metab</w:t>
      </w:r>
      <w:r>
        <w:t xml:space="preserve"> </w:t>
      </w:r>
      <w:r>
        <w:t xml:space="preserve">· Increasing LH pulsatility in women with hypothalamic amenorrhoea using intravenous infusion of Kisspeptin-54. PMID 24517142</w:t>
      </w:r>
    </w:p>
    <w:p>
      <w:pPr>
        <w:numPr>
          <w:ilvl w:val="0"/>
          <w:numId w:val="1418"/>
        </w:numPr>
        <w:pStyle w:val="Compact"/>
      </w:pPr>
      <w:r>
        <w:t xml:space="preserve">2013 · Jayasena CN ·</w:t>
      </w:r>
      <w:r>
        <w:t xml:space="preserve"> </w:t>
      </w:r>
      <w:r>
        <w:rPr>
          <w:iCs/>
          <w:i/>
        </w:rPr>
        <w:t xml:space="preserve">J Clin Endocrinol Metab</w:t>
      </w:r>
      <w:r>
        <w:t xml:space="preserve"> </w:t>
      </w:r>
      <w:r>
        <w:t xml:space="preserve">· Twice-daily subcutaneous injection of kisspeptin-54 does not abolish menstrual cyclicity in healthy female volunteers. PMID 24030945</w:t>
      </w:r>
    </w:p>
    <w:p>
      <w:pPr>
        <w:numPr>
          <w:ilvl w:val="0"/>
          <w:numId w:val="1418"/>
        </w:numPr>
        <w:pStyle w:val="Compact"/>
      </w:pPr>
      <w:r>
        <w:t xml:space="preserve">2013 · Jayasena CN ·</w:t>
      </w:r>
      <w:r>
        <w:t xml:space="preserve"> </w:t>
      </w:r>
      <w:r>
        <w:rPr>
          <w:iCs/>
          <w:i/>
        </w:rPr>
        <w:t xml:space="preserve">Clin Endocrinol (Oxf)</w:t>
      </w:r>
      <w:r>
        <w:t xml:space="preserve"> </w:t>
      </w:r>
      <w:r>
        <w:t xml:space="preserve">· A single injection of kisspeptin-54 temporarily increases luteinizing hormone pulsatility in healthy women. PMID 23452073</w:t>
      </w:r>
    </w:p>
    <w:p>
      <w:pPr>
        <w:numPr>
          <w:ilvl w:val="0"/>
          <w:numId w:val="1418"/>
        </w:numPr>
        <w:pStyle w:val="Compact"/>
      </w:pPr>
      <w:r>
        <w:t xml:space="preserve">2013 · George JT ·</w:t>
      </w:r>
      <w:r>
        <w:t xml:space="preserve"> </w:t>
      </w:r>
      <w:r>
        <w:rPr>
          <w:iCs/>
          <w:i/>
        </w:rPr>
        <w:t xml:space="preserve">Clin Endocrinol (Oxf)</w:t>
      </w:r>
      <w:r>
        <w:t xml:space="preserve"> </w:t>
      </w:r>
      <w:r>
        <w:t xml:space="preserve">· Exploring the pathophysiology of hypogonadism in men with type 2 diabetes: kisspeptin-10 stimulates serum testosterone and LH secretion in men with type 2 diabetes and mild biochemical hypogonadism. PMID 23153270</w:t>
      </w:r>
    </w:p>
    <w:p>
      <w:pPr>
        <w:numPr>
          <w:ilvl w:val="0"/>
          <w:numId w:val="1418"/>
        </w:numPr>
        <w:pStyle w:val="Compact"/>
      </w:pPr>
      <w:r>
        <w:t xml:space="preserve">2013 · Young J ·</w:t>
      </w:r>
      <w:r>
        <w:t xml:space="preserve"> </w:t>
      </w:r>
      <w:r>
        <w:rPr>
          <w:iCs/>
          <w:i/>
        </w:rPr>
        <w:t xml:space="preserve">Neuroendocrinology</w:t>
      </w:r>
      <w:r>
        <w:t xml:space="preserve"> </w:t>
      </w:r>
      <w:r>
        <w:t xml:space="preserve">· Kisspeptin restores pulsatile LH secretion in patients with neurokinin B signaling deficiencies: physiological, pathophysiological and therapeutic implications. PMID 22377698</w:t>
      </w:r>
    </w:p>
    <w:p>
      <w:pPr>
        <w:numPr>
          <w:ilvl w:val="0"/>
          <w:numId w:val="1418"/>
        </w:numPr>
        <w:pStyle w:val="Compact"/>
      </w:pPr>
      <w:r>
        <w:t xml:space="preserve">2011 · George JT ·</w:t>
      </w:r>
      <w:r>
        <w:t xml:space="preserve"> </w:t>
      </w:r>
      <w:r>
        <w:rPr>
          <w:iCs/>
          <w:i/>
        </w:rPr>
        <w:t xml:space="preserve">J Clin Endocrinol Metab</w:t>
      </w:r>
      <w:r>
        <w:t xml:space="preserve"> </w:t>
      </w:r>
      <w:r>
        <w:t xml:space="preserve">· Kisspeptin-10 is a potent stimulator of LH and increases pulse frequency in men. PMID 21632807</w:t>
      </w:r>
    </w:p>
    <w:p>
      <w:pPr>
        <w:numPr>
          <w:ilvl w:val="0"/>
          <w:numId w:val="1418"/>
        </w:numPr>
        <w:pStyle w:val="Compact"/>
      </w:pPr>
      <w:r>
        <w:t xml:space="preserve">2010 · Jayasena CN ·</w:t>
      </w:r>
      <w:r>
        <w:t xml:space="preserve"> </w:t>
      </w:r>
      <w:r>
        <w:rPr>
          <w:iCs/>
          <w:i/>
        </w:rPr>
        <w:t xml:space="preserve">Clin Pharmacol Ther</w:t>
      </w:r>
      <w:r>
        <w:t xml:space="preserve"> </w:t>
      </w:r>
      <w:r>
        <w:t xml:space="preserve">· Twice-weekly administration of kisspeptin-54 for 8 weeks stimulates release of reproductive hormones in women with hypothalamic amenorrhea. PMID 20980998</w:t>
      </w:r>
    </w:p>
    <w:p>
      <w:pPr>
        <w:numPr>
          <w:ilvl w:val="0"/>
          <w:numId w:val="1418"/>
        </w:numPr>
        <w:pStyle w:val="Compact"/>
      </w:pPr>
      <w:r>
        <w:t xml:space="preserve">2009 · Jayasena CN ·</w:t>
      </w:r>
      <w:r>
        <w:t xml:space="preserve"> </w:t>
      </w:r>
      <w:r>
        <w:rPr>
          <w:iCs/>
          <w:i/>
        </w:rPr>
        <w:t xml:space="preserve">J Clin Endocrinol Metab</w:t>
      </w:r>
      <w:r>
        <w:t xml:space="preserve"> </w:t>
      </w:r>
      <w:r>
        <w:t xml:space="preserve">· Subcutaneous injection of kisspeptin-54 acutely stimulates gonadotropin secretion in women with hypothalamic amenorrhea, but chronic administration causes tachyphylaxis. PMID 19820030</w:t>
      </w:r>
    </w:p>
    <w:p>
      <w:pPr>
        <w:numPr>
          <w:ilvl w:val="0"/>
          <w:numId w:val="1418"/>
        </w:numPr>
        <w:pStyle w:val="Compact"/>
      </w:pPr>
      <w:r>
        <w:t xml:space="preserve">2007 · Dhillo WS ·</w:t>
      </w:r>
      <w:r>
        <w:t xml:space="preserve"> </w:t>
      </w:r>
      <w:r>
        <w:rPr>
          <w:iCs/>
          <w:i/>
        </w:rPr>
        <w:t xml:space="preserve">J Clin Endocrinol Metab</w:t>
      </w:r>
      <w:r>
        <w:t xml:space="preserve"> </w:t>
      </w:r>
      <w:r>
        <w:t xml:space="preserve">· Kisspeptin-54 stimulates gonadotropin release most potently during the preovulatory phase of the menstrual cycle in women. PMID 17635940</w:t>
      </w:r>
    </w:p>
    <w:p>
      <w:pPr>
        <w:numPr>
          <w:ilvl w:val="0"/>
          <w:numId w:val="1418"/>
        </w:numPr>
        <w:pStyle w:val="Compact"/>
      </w:pPr>
      <w:r>
        <w:t xml:space="preserve">2005 · Dhillo WS ·</w:t>
      </w:r>
      <w:r>
        <w:t xml:space="preserve"> </w:t>
      </w:r>
      <w:r>
        <w:rPr>
          <w:iCs/>
          <w:i/>
        </w:rPr>
        <w:t xml:space="preserve">J Clin Endocrinol Metab</w:t>
      </w:r>
      <w:r>
        <w:t xml:space="preserve"> </w:t>
      </w:r>
      <w:r>
        <w:t xml:space="preserve">· Kisspeptin-54 stimulates the hypothalamic-pituitary gonadal axis in human males. PMID 16174713</w:t>
      </w:r>
    </w:p>
    <w:bookmarkEnd w:id="3062"/>
    <w:bookmarkStart w:id="3063" w:name="ocytocine-spray-nasal-349"/>
    <w:p>
      <w:pPr>
        <w:pStyle w:val="Heading2"/>
      </w:pPr>
      <w:r>
        <w:t xml:space="preserve">Ocytocine (spray nasal) (349)</w:t>
      </w:r>
    </w:p>
    <w:p>
      <w:pPr>
        <w:numPr>
          <w:ilvl w:val="0"/>
          <w:numId w:val="1419"/>
        </w:numPr>
        <w:pStyle w:val="Compact"/>
      </w:pPr>
      <w:r>
        <w:t xml:space="preserve">2026 · van der Straaten M ·</w:t>
      </w:r>
      <w:r>
        <w:t xml:space="preserve"> </w:t>
      </w:r>
      <w:r>
        <w:rPr>
          <w:iCs/>
          <w:i/>
        </w:rPr>
        <w:t xml:space="preserve">Womens Health (Lond)</w:t>
      </w:r>
      <w:r>
        <w:t xml:space="preserve"> </w:t>
      </w:r>
      <w:r>
        <w:t xml:space="preserve">· Oxytocin selectively enhances the recognition of infant sadness in postpartum depression. PMID 42904460</w:t>
      </w:r>
    </w:p>
    <w:p>
      <w:pPr>
        <w:numPr>
          <w:ilvl w:val="0"/>
          <w:numId w:val="1419"/>
        </w:numPr>
        <w:pStyle w:val="Compact"/>
      </w:pPr>
      <w:r>
        <w:t xml:space="preserve">2026 · Tiouririne NA ·</w:t>
      </w:r>
      <w:r>
        <w:t xml:space="preserve"> </w:t>
      </w:r>
      <w:r>
        <w:rPr>
          <w:iCs/>
          <w:i/>
        </w:rPr>
        <w:t xml:space="preserve">Alcohol Clin Exp Res (Hoboken)</w:t>
      </w:r>
      <w:r>
        <w:t xml:space="preserve"> </w:t>
      </w:r>
      <w:r>
        <w:t xml:space="preserve">· Intranasal Oxytocin for Alcohol Use Disorder: A Randomized, Double-Blind, Placebo-Controlled Multisite Trial Assessing Efficacy and Safety. PMID 42458234</w:t>
      </w:r>
    </w:p>
    <w:p>
      <w:pPr>
        <w:numPr>
          <w:ilvl w:val="0"/>
          <w:numId w:val="1419"/>
        </w:numPr>
        <w:pStyle w:val="Compact"/>
      </w:pPr>
      <w:r>
        <w:t xml:space="preserve">2026 · Arqueros M ·</w:t>
      </w:r>
      <w:r>
        <w:t xml:space="preserve"> </w:t>
      </w:r>
      <w:r>
        <w:rPr>
          <w:iCs/>
          <w:i/>
        </w:rPr>
        <w:t xml:space="preserve">Psychiatry Res</w:t>
      </w:r>
      <w:r>
        <w:t xml:space="preserve"> </w:t>
      </w:r>
      <w:r>
        <w:t xml:space="preserve">· Promoting self-compassion meditation with intranasal oxytocin in borderline personality disorder: a pilot study. PMID 42372695</w:t>
      </w:r>
    </w:p>
    <w:p>
      <w:pPr>
        <w:numPr>
          <w:ilvl w:val="0"/>
          <w:numId w:val="1419"/>
        </w:numPr>
        <w:pStyle w:val="Compact"/>
      </w:pPr>
      <w:r>
        <w:t xml:space="preserve">2026 · Silva JU ·</w:t>
      </w:r>
      <w:r>
        <w:t xml:space="preserve"> </w:t>
      </w:r>
      <w:r>
        <w:rPr>
          <w:iCs/>
          <w:i/>
        </w:rPr>
        <w:t xml:space="preserve">Neuropeptides</w:t>
      </w:r>
      <w:r>
        <w:t xml:space="preserve"> </w:t>
      </w:r>
      <w:r>
        <w:t xml:space="preserve">· Effects of intranasal oxytocin on fear, pain and aversive memory. PMID 42066687</w:t>
      </w:r>
    </w:p>
    <w:p>
      <w:pPr>
        <w:numPr>
          <w:ilvl w:val="0"/>
          <w:numId w:val="1419"/>
        </w:numPr>
        <w:pStyle w:val="Compact"/>
      </w:pPr>
      <w:r>
        <w:t xml:space="preserve">2026 · Riem MME ·</w:t>
      </w:r>
      <w:r>
        <w:t xml:space="preserve"> </w:t>
      </w:r>
      <w:r>
        <w:rPr>
          <w:iCs/>
          <w:i/>
        </w:rPr>
        <w:t xml:space="preserve">Ned Tijdschr Geneeskd</w:t>
      </w:r>
      <w:r>
        <w:t xml:space="preserve"> </w:t>
      </w:r>
      <w:r>
        <w:t xml:space="preserve">· [Boosting oxytocin in postpartum depression]. PMID 41989096</w:t>
      </w:r>
    </w:p>
    <w:p>
      <w:pPr>
        <w:numPr>
          <w:ilvl w:val="0"/>
          <w:numId w:val="1419"/>
        </w:numPr>
        <w:pStyle w:val="Compact"/>
      </w:pPr>
      <w:r>
        <w:t xml:space="preserve">2026 · Galbiati F ·</w:t>
      </w:r>
      <w:r>
        <w:t xml:space="preserve"> </w:t>
      </w:r>
      <w:r>
        <w:rPr>
          <w:iCs/>
          <w:i/>
        </w:rPr>
        <w:t xml:space="preserve">Int J Obes (Lond)</w:t>
      </w:r>
      <w:r>
        <w:t xml:space="preserve"> </w:t>
      </w:r>
      <w:r>
        <w:t xml:space="preserve">· Reproductive hormone stability with prolonged intranasal oxytocin in adults with obesity. PMID 41951782</w:t>
      </w:r>
    </w:p>
    <w:p>
      <w:pPr>
        <w:numPr>
          <w:ilvl w:val="0"/>
          <w:numId w:val="1419"/>
        </w:numPr>
        <w:pStyle w:val="Compact"/>
      </w:pPr>
      <w:r>
        <w:t xml:space="preserve">2026 · Kiss O ·</w:t>
      </w:r>
      <w:r>
        <w:t xml:space="preserve"> </w:t>
      </w:r>
      <w:r>
        <w:rPr>
          <w:iCs/>
          <w:i/>
        </w:rPr>
        <w:t xml:space="preserve">Psychol Res</w:t>
      </w:r>
      <w:r>
        <w:t xml:space="preserve"> </w:t>
      </w:r>
      <w:r>
        <w:t xml:space="preserve">· The impact of intranasal oxytocin administration and social observation on time perception and task execution in a simple motor task. PMID 41944895</w:t>
      </w:r>
    </w:p>
    <w:p>
      <w:pPr>
        <w:numPr>
          <w:ilvl w:val="0"/>
          <w:numId w:val="1419"/>
        </w:numPr>
        <w:pStyle w:val="Compact"/>
      </w:pPr>
      <w:r>
        <w:t xml:space="preserve">2026 · Margaux E ·</w:t>
      </w:r>
      <w:r>
        <w:t xml:space="preserve"> </w:t>
      </w:r>
      <w:r>
        <w:rPr>
          <w:iCs/>
          <w:i/>
        </w:rPr>
        <w:t xml:space="preserve">Brain Behav Immun</w:t>
      </w:r>
      <w:r>
        <w:t xml:space="preserve"> </w:t>
      </w:r>
      <w:r>
        <w:t xml:space="preserve">· A pilot study on the role of the oxytocinergic system in gut microbiome composition in children with autism: baseline associations and effects of intranasal oxytocin. PMID 41941984</w:t>
      </w:r>
    </w:p>
    <w:p>
      <w:pPr>
        <w:numPr>
          <w:ilvl w:val="0"/>
          <w:numId w:val="1419"/>
        </w:numPr>
        <w:pStyle w:val="Compact"/>
      </w:pPr>
      <w:r>
        <w:t xml:space="preserve">2026 · Evenepoel M ·</w:t>
      </w:r>
      <w:r>
        <w:t xml:space="preserve"> </w:t>
      </w:r>
      <w:r>
        <w:rPr>
          <w:iCs/>
          <w:i/>
        </w:rPr>
        <w:t xml:space="preserve">Transl Psychiatry</w:t>
      </w:r>
      <w:r>
        <w:t xml:space="preserve"> </w:t>
      </w:r>
      <w:r>
        <w:t xml:space="preserve">· The role of the oxytocinergic system in oral microbiome composition in children with autism: evidence from a randomized controlled trial of intranasal oxytocin. PMID 41876480</w:t>
      </w:r>
    </w:p>
    <w:p>
      <w:pPr>
        <w:numPr>
          <w:ilvl w:val="0"/>
          <w:numId w:val="1419"/>
        </w:numPr>
        <w:pStyle w:val="Compact"/>
      </w:pPr>
      <w:r>
        <w:t xml:space="preserve">2026 · Breithaupt L ·</w:t>
      </w:r>
      <w:r>
        <w:t xml:space="preserve"> </w:t>
      </w:r>
      <w:r>
        <w:rPr>
          <w:iCs/>
          <w:i/>
        </w:rPr>
        <w:t xml:space="preserve">Endocrine</w:t>
      </w:r>
      <w:r>
        <w:t xml:space="preserve"> </w:t>
      </w:r>
      <w:r>
        <w:t xml:space="preserve">· Identification of intranasal oxytocin plasma proteome signatures. PMID 41806102</w:t>
      </w:r>
    </w:p>
    <w:p>
      <w:pPr>
        <w:numPr>
          <w:ilvl w:val="0"/>
          <w:numId w:val="1419"/>
        </w:numPr>
        <w:pStyle w:val="Compact"/>
      </w:pPr>
      <w:r>
        <w:t xml:space="preserve">2026 · Gether IM ·</w:t>
      </w:r>
      <w:r>
        <w:t xml:space="preserve"> </w:t>
      </w:r>
      <w:r>
        <w:rPr>
          <w:iCs/>
          <w:i/>
        </w:rPr>
        <w:t xml:space="preserve">Diabetes Obes Metab</w:t>
      </w:r>
      <w:r>
        <w:t xml:space="preserve"> </w:t>
      </w:r>
      <w:r>
        <w:t xml:space="preserve">· Intravenous Oxytocin Has no Effect on Ad Libitum Food Intake or Postprandial Plasma Glucose Concentrations in Individuals With Obesity: A Randomised, Placebo-Controlled, Double-Blind, Crossover Study. PMID 41804830</w:t>
      </w:r>
    </w:p>
    <w:p>
      <w:pPr>
        <w:numPr>
          <w:ilvl w:val="0"/>
          <w:numId w:val="1419"/>
        </w:numPr>
        <w:pStyle w:val="Compact"/>
      </w:pPr>
      <w:r>
        <w:t xml:space="preserve">2026 · Wang Y ·</w:t>
      </w:r>
      <w:r>
        <w:t xml:space="preserve"> </w:t>
      </w:r>
      <w:r>
        <w:rPr>
          <w:iCs/>
          <w:i/>
        </w:rPr>
        <w:t xml:space="preserve">Brain Imaging Behav</w:t>
      </w:r>
      <w:r>
        <w:t xml:space="preserve"> </w:t>
      </w:r>
      <w:r>
        <w:t xml:space="preserve">· The effect of intranasal oxytocin on the neuropsychological substrates of intergroup categorization. PMID 41779290</w:t>
      </w:r>
    </w:p>
    <w:p>
      <w:pPr>
        <w:numPr>
          <w:ilvl w:val="0"/>
          <w:numId w:val="1419"/>
        </w:numPr>
        <w:pStyle w:val="Compact"/>
      </w:pPr>
      <w:r>
        <w:t xml:space="preserve">2026 · Mendonça TP ·</w:t>
      </w:r>
      <w:r>
        <w:t xml:space="preserve"> </w:t>
      </w:r>
      <w:r>
        <w:rPr>
          <w:iCs/>
          <w:i/>
        </w:rPr>
        <w:t xml:space="preserve">Eur J Appl Physiol</w:t>
      </w:r>
      <w:r>
        <w:t xml:space="preserve"> </w:t>
      </w:r>
      <w:r>
        <w:t xml:space="preserve">· Effects of intranasal oxytocin combined with resistance training on testosterone, cortisol, fatigue, and skin temperature in paralympic powerlifting athletes. PMID 41711901</w:t>
      </w:r>
    </w:p>
    <w:p>
      <w:pPr>
        <w:numPr>
          <w:ilvl w:val="0"/>
          <w:numId w:val="1419"/>
        </w:numPr>
        <w:pStyle w:val="Compact"/>
      </w:pPr>
      <w:r>
        <w:t xml:space="preserve">2026 · Liu W ·</w:t>
      </w:r>
      <w:r>
        <w:t xml:space="preserve"> </w:t>
      </w:r>
      <w:r>
        <w:rPr>
          <w:iCs/>
          <w:i/>
        </w:rPr>
        <w:t xml:space="preserve">Proc Natl Acad Sci U S A</w:t>
      </w:r>
      <w:r>
        <w:t xml:space="preserve"> </w:t>
      </w:r>
      <w:r>
        <w:t xml:space="preserve">· Post-encoding administration of oxytocin selectively enhances memory consolidation of male faces in females. PMID 41557801</w:t>
      </w:r>
    </w:p>
    <w:p>
      <w:pPr>
        <w:numPr>
          <w:ilvl w:val="0"/>
          <w:numId w:val="1419"/>
        </w:numPr>
        <w:pStyle w:val="Compact"/>
      </w:pPr>
      <w:r>
        <w:t xml:space="preserve">2026 · Boulton KA ·</w:t>
      </w:r>
      <w:r>
        <w:t xml:space="preserve"> </w:t>
      </w:r>
      <w:r>
        <w:rPr>
          <w:iCs/>
          <w:i/>
        </w:rPr>
        <w:t xml:space="preserve">J Child Psychol Psychiatry</w:t>
      </w:r>
      <w:r>
        <w:t xml:space="preserve"> </w:t>
      </w:r>
      <w:r>
        <w:t xml:space="preserve">· Evaluating placebo responses to intranasal oxytocin in autism: findings from the placebo lead-in phase of a randomised controlled trial. PMID 41550040</w:t>
      </w:r>
    </w:p>
    <w:p>
      <w:pPr>
        <w:numPr>
          <w:ilvl w:val="0"/>
          <w:numId w:val="1419"/>
        </w:numPr>
        <w:pStyle w:val="Compact"/>
      </w:pPr>
      <w:r>
        <w:t xml:space="preserve">2026 · Prinsen J ·</w:t>
      </w:r>
      <w:r>
        <w:t xml:space="preserve"> </w:t>
      </w:r>
      <w:r>
        <w:rPr>
          <w:iCs/>
          <w:i/>
        </w:rPr>
        <w:t xml:space="preserve">Psychoneuroendocrinology</w:t>
      </w:r>
      <w:r>
        <w:t xml:space="preserve"> </w:t>
      </w:r>
      <w:r>
        <w:t xml:space="preserve">· Impact of chronic oxytocin on gaze and pupil dynamics during live dyadic interactions in children with autism. PMID 41547341</w:t>
      </w:r>
    </w:p>
    <w:p>
      <w:pPr>
        <w:numPr>
          <w:ilvl w:val="0"/>
          <w:numId w:val="1419"/>
        </w:numPr>
        <w:pStyle w:val="Compact"/>
      </w:pPr>
      <w:r>
        <w:t xml:space="preserve">2026 · Song D ·</w:t>
      </w:r>
      <w:r>
        <w:t xml:space="preserve"> </w:t>
      </w:r>
      <w:r>
        <w:rPr>
          <w:iCs/>
          <w:i/>
        </w:rPr>
        <w:t xml:space="preserve">Behav Brain Res</w:t>
      </w:r>
      <w:r>
        <w:t xml:space="preserve"> </w:t>
      </w:r>
      <w:r>
        <w:t xml:space="preserve">· Age-dependent effects of intranasal oxytocin administration were revealed by resting brain entropy (BEN). PMID 41360155</w:t>
      </w:r>
    </w:p>
    <w:p>
      <w:pPr>
        <w:numPr>
          <w:ilvl w:val="0"/>
          <w:numId w:val="1419"/>
        </w:numPr>
        <w:pStyle w:val="Compact"/>
      </w:pPr>
      <w:r>
        <w:t xml:space="preserve">2026 · Schneider E ·</w:t>
      </w:r>
      <w:r>
        <w:t xml:space="preserve"> </w:t>
      </w:r>
      <w:r>
        <w:rPr>
          <w:iCs/>
          <w:i/>
        </w:rPr>
        <w:t xml:space="preserve">JAMA Psychiatry</w:t>
      </w:r>
      <w:r>
        <w:t xml:space="preserve"> </w:t>
      </w:r>
      <w:r>
        <w:t xml:space="preserve">· Intranasal Oxytocin and Physical Intimacy for Dermatological Wound Healing and Neuroendocrine Stress: A Randomized Clinical Trial. PMID 41222549</w:t>
      </w:r>
    </w:p>
    <w:p>
      <w:pPr>
        <w:numPr>
          <w:ilvl w:val="0"/>
          <w:numId w:val="1419"/>
        </w:numPr>
        <w:pStyle w:val="Compact"/>
      </w:pPr>
      <w:r>
        <w:t xml:space="preserve">2026 · Saker T ·</w:t>
      </w:r>
      <w:r>
        <w:t xml:space="preserve"> </w:t>
      </w:r>
      <w:r>
        <w:rPr>
          <w:iCs/>
          <w:i/>
        </w:rPr>
        <w:t xml:space="preserve">J Psychiatr Res</w:t>
      </w:r>
      <w:r>
        <w:t xml:space="preserve"> </w:t>
      </w:r>
      <w:r>
        <w:t xml:space="preserve">· The effect of intranasal oxytocin on theory of mind in children with attention deficit/hyperactive disorder. PMID 41138507</w:t>
      </w:r>
    </w:p>
    <w:p>
      <w:pPr>
        <w:numPr>
          <w:ilvl w:val="0"/>
          <w:numId w:val="1419"/>
        </w:numPr>
        <w:pStyle w:val="Compact"/>
      </w:pPr>
      <w:r>
        <w:t xml:space="preserve">2026 · Nannt J ·</w:t>
      </w:r>
      <w:r>
        <w:t xml:space="preserve"> </w:t>
      </w:r>
      <w:r>
        <w:rPr>
          <w:iCs/>
          <w:i/>
        </w:rPr>
        <w:t xml:space="preserve">Int J Eat Disord</w:t>
      </w:r>
      <w:r>
        <w:t xml:space="preserve"> </w:t>
      </w:r>
      <w:r>
        <w:t xml:space="preserve">· Oxytocin Effects on Food Stimulus Processing and Food Intake in Females With or Without Binge Eating Disorder. PMID 41131747</w:t>
      </w:r>
    </w:p>
    <w:p>
      <w:pPr>
        <w:numPr>
          <w:ilvl w:val="0"/>
          <w:numId w:val="1419"/>
        </w:numPr>
        <w:pStyle w:val="Compact"/>
      </w:pPr>
      <w:r>
        <w:t xml:space="preserve">2025 · Riem MME ·</w:t>
      </w:r>
      <w:r>
        <w:t xml:space="preserve"> </w:t>
      </w:r>
      <w:r>
        <w:rPr>
          <w:iCs/>
          <w:i/>
        </w:rPr>
        <w:t xml:space="preserve">Psychoneuroendocrinology</w:t>
      </w:r>
      <w:r>
        <w:t xml:space="preserve"> </w:t>
      </w:r>
      <w:r>
        <w:t xml:space="preserve">· Boosting oxytocin in postpartum depression: Intranasal oxytocin enhances maternal positive affect and regard for the infant. PMID 40614394</w:t>
      </w:r>
    </w:p>
    <w:p>
      <w:pPr>
        <w:numPr>
          <w:ilvl w:val="0"/>
          <w:numId w:val="1419"/>
        </w:numPr>
        <w:pStyle w:val="Compact"/>
      </w:pPr>
      <w:r>
        <w:t xml:space="preserve">2025 · Cosme G ·</w:t>
      </w:r>
      <w:r>
        <w:t xml:space="preserve"> </w:t>
      </w:r>
      <w:r>
        <w:rPr>
          <w:iCs/>
          <w:i/>
        </w:rPr>
        <w:t xml:space="preserve">Psychoneuroendocrinology</w:t>
      </w:r>
      <w:r>
        <w:t xml:space="preserve"> </w:t>
      </w:r>
      <w:r>
        <w:t xml:space="preserve">· Intranasal oxytocin increases cooperation of heterosexual men with women. PMID 40578004</w:t>
      </w:r>
    </w:p>
    <w:p>
      <w:pPr>
        <w:numPr>
          <w:ilvl w:val="0"/>
          <w:numId w:val="1419"/>
        </w:numPr>
        <w:pStyle w:val="Compact"/>
      </w:pPr>
      <w:r>
        <w:t xml:space="preserve">2025 · Julius NC ·</w:t>
      </w:r>
      <w:r>
        <w:t xml:space="preserve"> </w:t>
      </w:r>
      <w:r>
        <w:rPr>
          <w:iCs/>
          <w:i/>
        </w:rPr>
        <w:t xml:space="preserve">Sci Rep</w:t>
      </w:r>
      <w:r>
        <w:t xml:space="preserve"> </w:t>
      </w:r>
      <w:r>
        <w:t xml:space="preserve">· Nasal dominance potentiates intranasal oxytocin’s anxiolytic effects. PMID 40425808</w:t>
      </w:r>
    </w:p>
    <w:p>
      <w:pPr>
        <w:numPr>
          <w:ilvl w:val="0"/>
          <w:numId w:val="1419"/>
        </w:numPr>
        <w:pStyle w:val="Compact"/>
      </w:pPr>
      <w:r>
        <w:t xml:space="preserve">2025 · Flanagan JC ·</w:t>
      </w:r>
      <w:r>
        <w:t xml:space="preserve"> </w:t>
      </w:r>
      <w:r>
        <w:rPr>
          <w:iCs/>
          <w:i/>
        </w:rPr>
        <w:t xml:space="preserve">J Clin Psychiatry</w:t>
      </w:r>
      <w:r>
        <w:t xml:space="preserve"> </w:t>
      </w:r>
      <w:r>
        <w:t xml:space="preserve">· Results of a Randomized Controlled Trial Examining the Efficacy of Intranasal Oxytocin to Enhance Alcohol Behavioral Couple Therapy. PMID 40392716</w:t>
      </w:r>
    </w:p>
    <w:p>
      <w:pPr>
        <w:numPr>
          <w:ilvl w:val="0"/>
          <w:numId w:val="1419"/>
        </w:numPr>
        <w:pStyle w:val="Compact"/>
      </w:pPr>
      <w:r>
        <w:t xml:space="preserve">2025 · Aulinas A ·</w:t>
      </w:r>
      <w:r>
        <w:t xml:space="preserve"> </w:t>
      </w:r>
      <w:r>
        <w:rPr>
          <w:iCs/>
          <w:i/>
        </w:rPr>
        <w:t xml:space="preserve">J Clin Endocrinol Metab</w:t>
      </w:r>
      <w:r>
        <w:t xml:space="preserve"> </w:t>
      </w:r>
      <w:r>
        <w:t xml:space="preserve">· Arginine-Vasopressin Dynamics in Relation to Food Intake and 8-Week Intranasal Oxytocin Treatment in Adults With Obesity. PMID 40314146</w:t>
      </w:r>
    </w:p>
    <w:p>
      <w:pPr>
        <w:numPr>
          <w:ilvl w:val="0"/>
          <w:numId w:val="1419"/>
        </w:numPr>
        <w:pStyle w:val="Compact"/>
      </w:pPr>
      <w:r>
        <w:t xml:space="preserve">2025 · Vetter S ·</w:t>
      </w:r>
      <w:r>
        <w:t xml:space="preserve"> </w:t>
      </w:r>
      <w:r>
        <w:rPr>
          <w:iCs/>
          <w:i/>
        </w:rPr>
        <w:t xml:space="preserve">Psychopharmacology (Berl)</w:t>
      </w:r>
      <w:r>
        <w:t xml:space="preserve"> </w:t>
      </w:r>
      <w:r>
        <w:t xml:space="preserve">· Intranasal oxytocin blunts amygdala response to negative affective stimuli in males and females with alcohol use disorder: a randomized controlled cross-over trial. PMID 40232386</w:t>
      </w:r>
    </w:p>
    <w:p>
      <w:pPr>
        <w:numPr>
          <w:ilvl w:val="0"/>
          <w:numId w:val="1419"/>
        </w:numPr>
        <w:pStyle w:val="Compact"/>
      </w:pPr>
      <w:r>
        <w:t xml:space="preserve">2025 · O’ Brien S ·</w:t>
      </w:r>
      <w:r>
        <w:t xml:space="preserve"> </w:t>
      </w:r>
      <w:r>
        <w:rPr>
          <w:iCs/>
          <w:i/>
        </w:rPr>
        <w:t xml:space="preserve">Sci Rep</w:t>
      </w:r>
      <w:r>
        <w:t xml:space="preserve"> </w:t>
      </w:r>
      <w:r>
        <w:t xml:space="preserve">· Intranasal oxytocin modulates brain activity during emotional processing in children with treatment resistant conduct problems. PMID 40180973</w:t>
      </w:r>
    </w:p>
    <w:p>
      <w:pPr>
        <w:numPr>
          <w:ilvl w:val="0"/>
          <w:numId w:val="1419"/>
        </w:numPr>
        <w:pStyle w:val="Compact"/>
      </w:pPr>
      <w:r>
        <w:t xml:space="preserve">2025 · Andari E ·</w:t>
      </w:r>
      <w:r>
        <w:t xml:space="preserve"> </w:t>
      </w:r>
      <w:r>
        <w:rPr>
          <w:iCs/>
          <w:i/>
        </w:rPr>
        <w:t xml:space="preserve">Neuropsychopharmacology</w:t>
      </w:r>
      <w:r>
        <w:t xml:space="preserve"> </w:t>
      </w:r>
      <w:r>
        <w:t xml:space="preserve">· Random forest and Shapley Additive exPlanations predict oxytocin targeted effects on brain functional networks involved in salience and sensorimotor processing, in a randomized clinical trial in autism. PMID 40175527</w:t>
      </w:r>
    </w:p>
    <w:p>
      <w:pPr>
        <w:numPr>
          <w:ilvl w:val="0"/>
          <w:numId w:val="1419"/>
        </w:numPr>
        <w:pStyle w:val="Compact"/>
      </w:pPr>
      <w:r>
        <w:t xml:space="preserve">2025 · Shafer SL ·</w:t>
      </w:r>
      <w:r>
        <w:t xml:space="preserve"> </w:t>
      </w:r>
      <w:r>
        <w:rPr>
          <w:iCs/>
          <w:i/>
        </w:rPr>
        <w:t xml:space="preserve">Br J Anaesth</w:t>
      </w:r>
      <w:r>
        <w:t xml:space="preserve"> </w:t>
      </w:r>
      <w:r>
        <w:t xml:space="preserve">· Plasma pharmacokinetics of intravenous and intranasal oxytocin in nonpregnant adults. PMID 40121179</w:t>
      </w:r>
    </w:p>
    <w:p>
      <w:pPr>
        <w:numPr>
          <w:ilvl w:val="0"/>
          <w:numId w:val="1419"/>
        </w:numPr>
        <w:pStyle w:val="Compact"/>
      </w:pPr>
      <w:r>
        <w:t xml:space="preserve">2025 · Liu J ·</w:t>
      </w:r>
      <w:r>
        <w:t xml:space="preserve"> </w:t>
      </w:r>
      <w:r>
        <w:rPr>
          <w:iCs/>
          <w:i/>
        </w:rPr>
        <w:t xml:space="preserve">Psychoneuroendocrinology</w:t>
      </w:r>
      <w:r>
        <w:t xml:space="preserve"> </w:t>
      </w:r>
      <w:r>
        <w:t xml:space="preserve">· The complex role of oxytocin in fear acquisition and generalization. PMID 40073548</w:t>
      </w:r>
    </w:p>
    <w:p>
      <w:pPr>
        <w:numPr>
          <w:ilvl w:val="0"/>
          <w:numId w:val="1419"/>
        </w:numPr>
        <w:pStyle w:val="Compact"/>
      </w:pPr>
      <w:r>
        <w:t xml:space="preserve">2025 · Rosenfeld-Ganzel A ·</w:t>
      </w:r>
      <w:r>
        <w:t xml:space="preserve"> </w:t>
      </w:r>
      <w:r>
        <w:rPr>
          <w:iCs/>
          <w:i/>
        </w:rPr>
        <w:t xml:space="preserve">Biol Psychol</w:t>
      </w:r>
      <w:r>
        <w:t xml:space="preserve"> </w:t>
      </w:r>
      <w:r>
        <w:t xml:space="preserve">· Oxytocin’s role in the interaction between emotion and cognitive control. PMID 39987954</w:t>
      </w:r>
    </w:p>
    <w:p>
      <w:pPr>
        <w:numPr>
          <w:ilvl w:val="0"/>
          <w:numId w:val="1419"/>
        </w:numPr>
        <w:pStyle w:val="Compact"/>
      </w:pPr>
      <w:r>
        <w:t xml:space="preserve">2025 · Verdes A ·</w:t>
      </w:r>
      <w:r>
        <w:t xml:space="preserve"> </w:t>
      </w:r>
      <w:r>
        <w:rPr>
          <w:iCs/>
          <w:i/>
        </w:rPr>
        <w:t xml:space="preserve">J Child Adolesc Psychopharmacol</w:t>
      </w:r>
      <w:r>
        <w:t xml:space="preserve"> </w:t>
      </w:r>
      <w:r>
        <w:t xml:space="preserve">· Predictors of Placebo Response in the Study of Oxytocin in Autism to Improve Reciprocal Social Behaviors. PMID 39970017</w:t>
      </w:r>
    </w:p>
    <w:p>
      <w:pPr>
        <w:numPr>
          <w:ilvl w:val="0"/>
          <w:numId w:val="1419"/>
        </w:numPr>
        <w:pStyle w:val="Compact"/>
      </w:pPr>
      <w:r>
        <w:t xml:space="preserve">2025 · Lindley Baron-Cohen K ·</w:t>
      </w:r>
      <w:r>
        <w:t xml:space="preserve"> </w:t>
      </w:r>
      <w:r>
        <w:rPr>
          <w:iCs/>
          <w:i/>
        </w:rPr>
        <w:t xml:space="preserve">Psychoneuroendocrinology</w:t>
      </w:r>
      <w:r>
        <w:t xml:space="preserve"> </w:t>
      </w:r>
      <w:r>
        <w:t xml:space="preserve">· Intranasal oxytocin increases breast milk oxytocin, but has a reduced effect in depressed mothers: A randomized controlled trial. PMID 39891981</w:t>
      </w:r>
    </w:p>
    <w:p>
      <w:pPr>
        <w:numPr>
          <w:ilvl w:val="0"/>
          <w:numId w:val="1419"/>
        </w:numPr>
        <w:pStyle w:val="Compact"/>
      </w:pPr>
      <w:r>
        <w:t xml:space="preserve">2025 · Burmester V ·</w:t>
      </w:r>
      <w:r>
        <w:t xml:space="preserve"> </w:t>
      </w:r>
      <w:r>
        <w:rPr>
          <w:iCs/>
          <w:i/>
        </w:rPr>
        <w:t xml:space="preserve">Eur Eat Disord Rev</w:t>
      </w:r>
      <w:r>
        <w:t xml:space="preserve"> </w:t>
      </w:r>
      <w:r>
        <w:t xml:space="preserve">· Oxytocin Amplifies Negative Response to Ambiguity in Adolescent Females With and Without Eating Disorders. PMID 39887557</w:t>
      </w:r>
    </w:p>
    <w:p>
      <w:pPr>
        <w:numPr>
          <w:ilvl w:val="0"/>
          <w:numId w:val="1419"/>
        </w:numPr>
        <w:pStyle w:val="Compact"/>
      </w:pPr>
      <w:r>
        <w:t xml:space="preserve">2025 · Coleman KKL ·</w:t>
      </w:r>
      <w:r>
        <w:t xml:space="preserve"> </w:t>
      </w:r>
      <w:r>
        <w:rPr>
          <w:iCs/>
          <w:i/>
        </w:rPr>
        <w:t xml:space="preserve">Lancet Neurol</w:t>
      </w:r>
      <w:r>
        <w:t xml:space="preserve"> </w:t>
      </w:r>
      <w:r>
        <w:t xml:space="preserve">· Intranasal oxytocin for apathy in people with frontotemporal dementia (FOXY): a multicentre, randomised, double-blind, placebo-controlled, adaptive, crossover, phase 2a/2b superiority trial. PMID 39862881</w:t>
      </w:r>
    </w:p>
    <w:p>
      <w:pPr>
        <w:numPr>
          <w:ilvl w:val="0"/>
          <w:numId w:val="1419"/>
        </w:numPr>
        <w:pStyle w:val="Compact"/>
      </w:pPr>
      <w:r>
        <w:t xml:space="preserve">2025 · Thurston MD ·</w:t>
      </w:r>
      <w:r>
        <w:t xml:space="preserve"> </w:t>
      </w:r>
      <w:r>
        <w:rPr>
          <w:iCs/>
          <w:i/>
        </w:rPr>
        <w:t xml:space="preserve">Psychopharmacology (Berl)</w:t>
      </w:r>
      <w:r>
        <w:t xml:space="preserve"> </w:t>
      </w:r>
      <w:r>
        <w:t xml:space="preserve">· Oxytocin differentially modulates reward system responses to social and non-social incentives. PMID 39365438</w:t>
      </w:r>
    </w:p>
    <w:p>
      <w:pPr>
        <w:numPr>
          <w:ilvl w:val="0"/>
          <w:numId w:val="1419"/>
        </w:numPr>
        <w:pStyle w:val="Compact"/>
      </w:pPr>
      <w:r>
        <w:t xml:space="preserve">2025 · Rashidi M ·</w:t>
      </w:r>
      <w:r>
        <w:t xml:space="preserve"> </w:t>
      </w:r>
      <w:r>
        <w:rPr>
          <w:iCs/>
          <w:i/>
        </w:rPr>
        <w:t xml:space="preserve">Neuropsychopharmacology</w:t>
      </w:r>
      <w:r>
        <w:t xml:space="preserve"> </w:t>
      </w:r>
      <w:r>
        <w:t xml:space="preserve">· Effects of intranasal oxytocin on fear extinction learning. PMID 39313675</w:t>
      </w:r>
    </w:p>
    <w:p>
      <w:pPr>
        <w:numPr>
          <w:ilvl w:val="0"/>
          <w:numId w:val="1419"/>
        </w:numPr>
        <w:pStyle w:val="Compact"/>
      </w:pPr>
      <w:r>
        <w:t xml:space="preserve">2024 · Moerkerke M ·</w:t>
      </w:r>
      <w:r>
        <w:t xml:space="preserve"> </w:t>
      </w:r>
      <w:r>
        <w:rPr>
          <w:iCs/>
          <w:i/>
        </w:rPr>
        <w:t xml:space="preserve">Mol Autism</w:t>
      </w:r>
      <w:r>
        <w:t xml:space="preserve"> </w:t>
      </w:r>
      <w:r>
        <w:t xml:space="preserve">· Impact of chronic intranasal oxytocin administration on face expression processing in autistic children: a randomized controlled trial using fMRI. PMID 39709442</w:t>
      </w:r>
    </w:p>
    <w:p>
      <w:pPr>
        <w:numPr>
          <w:ilvl w:val="0"/>
          <w:numId w:val="1419"/>
        </w:numPr>
        <w:pStyle w:val="Compact"/>
      </w:pPr>
      <w:r>
        <w:t xml:space="preserve">2024 · Maoz H ·</w:t>
      </w:r>
      <w:r>
        <w:t xml:space="preserve"> </w:t>
      </w:r>
      <w:r>
        <w:rPr>
          <w:iCs/>
          <w:i/>
        </w:rPr>
        <w:t xml:space="preserve">Psychiatry Res</w:t>
      </w:r>
      <w:r>
        <w:t xml:space="preserve"> </w:t>
      </w:r>
      <w:r>
        <w:t xml:space="preserve">· Sex differences in response to intranasal oxytocin as an adjunctive therapy for patients with severe mental illness. PMID 39579479</w:t>
      </w:r>
    </w:p>
    <w:p>
      <w:pPr>
        <w:numPr>
          <w:ilvl w:val="0"/>
          <w:numId w:val="1419"/>
        </w:numPr>
        <w:pStyle w:val="Compact"/>
      </w:pPr>
      <w:r>
        <w:t xml:space="preserve">2024 · Wang Y ·</w:t>
      </w:r>
      <w:r>
        <w:t xml:space="preserve"> </w:t>
      </w:r>
      <w:r>
        <w:rPr>
          <w:iCs/>
          <w:i/>
        </w:rPr>
        <w:t xml:space="preserve">Neuropharmacology</w:t>
      </w:r>
      <w:r>
        <w:t xml:space="preserve"> </w:t>
      </w:r>
      <w:r>
        <w:t xml:space="preserve">· Oxytocin modulation of explicit pandemic stigma in men with varying social anxiety levels. PMID 39251086</w:t>
      </w:r>
    </w:p>
    <w:p>
      <w:pPr>
        <w:numPr>
          <w:ilvl w:val="0"/>
          <w:numId w:val="1419"/>
        </w:numPr>
        <w:pStyle w:val="Compact"/>
      </w:pPr>
      <w:r>
        <w:t xml:space="preserve">2024 · Liu P ·</w:t>
      </w:r>
      <w:r>
        <w:t xml:space="preserve"> </w:t>
      </w:r>
      <w:r>
        <w:rPr>
          <w:iCs/>
          <w:i/>
        </w:rPr>
        <w:t xml:space="preserve">Neuropharmacology</w:t>
      </w:r>
      <w:r>
        <w:t xml:space="preserve"> </w:t>
      </w:r>
      <w:r>
        <w:t xml:space="preserve">· Effects of four-week intranasal oxytocin administration on large-scale brain networks in older adults. PMID 39182569</w:t>
      </w:r>
    </w:p>
    <w:p>
      <w:pPr>
        <w:numPr>
          <w:ilvl w:val="0"/>
          <w:numId w:val="1419"/>
        </w:numPr>
        <w:pStyle w:val="Compact"/>
      </w:pPr>
      <w:r>
        <w:t xml:space="preserve">2024 · Goll N ·</w:t>
      </w:r>
      <w:r>
        <w:t xml:space="preserve"> </w:t>
      </w:r>
      <w:r>
        <w:rPr>
          <w:iCs/>
          <w:i/>
        </w:rPr>
        <w:t xml:space="preserve">Diabetes Obes Metab</w:t>
      </w:r>
      <w:r>
        <w:t xml:space="preserve"> </w:t>
      </w:r>
      <w:r>
        <w:t xml:space="preserve">· Oxytocin does not acutely improve glucose tolerance in men with type 2 diabetes. PMID 39118203</w:t>
      </w:r>
    </w:p>
    <w:p>
      <w:pPr>
        <w:numPr>
          <w:ilvl w:val="0"/>
          <w:numId w:val="1419"/>
        </w:numPr>
        <w:pStyle w:val="Compact"/>
      </w:pPr>
      <w:r>
        <w:t xml:space="preserve">2024 · Zhou M ·</w:t>
      </w:r>
      <w:r>
        <w:t xml:space="preserve"> </w:t>
      </w:r>
      <w:r>
        <w:rPr>
          <w:iCs/>
          <w:i/>
        </w:rPr>
        <w:t xml:space="preserve">Biol Psychiatry Cogn Neurosci Neuroimaging</w:t>
      </w:r>
      <w:r>
        <w:t xml:space="preserve"> </w:t>
      </w:r>
      <w:r>
        <w:t xml:space="preserve">· Intranasal Oxytocin Improves Interoceptive Accuracy and Heartbeat-Evoked Potentials During a Cardiac Interoceptive Task. PMID 38839034</w:t>
      </w:r>
    </w:p>
    <w:p>
      <w:pPr>
        <w:numPr>
          <w:ilvl w:val="0"/>
          <w:numId w:val="1419"/>
        </w:numPr>
        <w:pStyle w:val="Compact"/>
      </w:pPr>
      <w:r>
        <w:t xml:space="preserve">2024 · Plessow F ·</w:t>
      </w:r>
      <w:r>
        <w:t xml:space="preserve"> </w:t>
      </w:r>
      <w:r>
        <w:rPr>
          <w:iCs/>
          <w:i/>
        </w:rPr>
        <w:t xml:space="preserve">NEJM Evid</w:t>
      </w:r>
      <w:r>
        <w:t xml:space="preserve"> </w:t>
      </w:r>
      <w:r>
        <w:t xml:space="preserve">· Intranasal Oxytocin for Obesity. PMID 38815173</w:t>
      </w:r>
    </w:p>
    <w:p>
      <w:pPr>
        <w:numPr>
          <w:ilvl w:val="0"/>
          <w:numId w:val="1419"/>
        </w:numPr>
        <w:pStyle w:val="Compact"/>
      </w:pPr>
      <w:r>
        <w:t xml:space="preserve">2024 · Berger R ·</w:t>
      </w:r>
      <w:r>
        <w:t xml:space="preserve"> </w:t>
      </w:r>
      <w:r>
        <w:rPr>
          <w:iCs/>
          <w:i/>
        </w:rPr>
        <w:t xml:space="preserve">Psychother Psychosom</w:t>
      </w:r>
      <w:r>
        <w:t xml:space="preserve"> </w:t>
      </w:r>
      <w:r>
        <w:t xml:space="preserve">· Oxytocin-Augmented Modular-Based Group Intervention for Loneliness: A Proof-Of-Concept Randomized Controlled Trial. PMID 38754399</w:t>
      </w:r>
    </w:p>
    <w:p>
      <w:pPr>
        <w:numPr>
          <w:ilvl w:val="0"/>
          <w:numId w:val="1419"/>
        </w:numPr>
        <w:pStyle w:val="Compact"/>
      </w:pPr>
      <w:r>
        <w:t xml:space="preserve">2024 · Tomescu MI ·</w:t>
      </w:r>
      <w:r>
        <w:t xml:space="preserve"> </w:t>
      </w:r>
      <w:r>
        <w:rPr>
          <w:iCs/>
          <w:i/>
        </w:rPr>
        <w:t xml:space="preserve">Psychophysiology</w:t>
      </w:r>
      <w:r>
        <w:t xml:space="preserve"> </w:t>
      </w:r>
      <w:r>
        <w:t xml:space="preserve">· Social functioning predicts individual changes in EEG microstates following intranasal oxytocin administration: A double-blind, cross-over randomized clinical trial. PMID 38594888</w:t>
      </w:r>
    </w:p>
    <w:p>
      <w:pPr>
        <w:numPr>
          <w:ilvl w:val="0"/>
          <w:numId w:val="1419"/>
        </w:numPr>
        <w:pStyle w:val="Compact"/>
      </w:pPr>
      <w:r>
        <w:t xml:space="preserve">2024 · Flechsenhar A ·</w:t>
      </w:r>
      <w:r>
        <w:t xml:space="preserve"> </w:t>
      </w:r>
      <w:r>
        <w:rPr>
          <w:iCs/>
          <w:i/>
        </w:rPr>
        <w:t xml:space="preserve">Neuropharmacology</w:t>
      </w:r>
      <w:r>
        <w:t xml:space="preserve"> </w:t>
      </w:r>
      <w:r>
        <w:t xml:space="preserve">· Oxytocin and social learning in socially anxious men and women. PMID 38537867</w:t>
      </w:r>
    </w:p>
    <w:p>
      <w:pPr>
        <w:numPr>
          <w:ilvl w:val="0"/>
          <w:numId w:val="1419"/>
        </w:numPr>
        <w:pStyle w:val="Compact"/>
      </w:pPr>
      <w:r>
        <w:t xml:space="preserve">2024 · Maguire S ·</w:t>
      </w:r>
      <w:r>
        <w:t xml:space="preserve"> </w:t>
      </w:r>
      <w:r>
        <w:rPr>
          <w:iCs/>
          <w:i/>
        </w:rPr>
        <w:t xml:space="preserve">Psychoneuroendocrinology</w:t>
      </w:r>
      <w:r>
        <w:t xml:space="preserve"> </w:t>
      </w:r>
      <w:r>
        <w:t xml:space="preserve">· A phase II randomised controlled trial of intranasal oxytocin in anorexia nervosa. PMID 38520886</w:t>
      </w:r>
    </w:p>
    <w:p>
      <w:pPr>
        <w:numPr>
          <w:ilvl w:val="0"/>
          <w:numId w:val="1419"/>
        </w:numPr>
        <w:pStyle w:val="Compact"/>
      </w:pPr>
      <w:r>
        <w:t xml:space="preserve">2024 · Shoenfelt A ·</w:t>
      </w:r>
      <w:r>
        <w:t xml:space="preserve"> </w:t>
      </w:r>
      <w:r>
        <w:rPr>
          <w:iCs/>
          <w:i/>
        </w:rPr>
        <w:t xml:space="preserve">Psychoneuroendocrinology</w:t>
      </w:r>
      <w:r>
        <w:t xml:space="preserve"> </w:t>
      </w:r>
      <w:r>
        <w:t xml:space="preserve">· Effects of chronic intranasal oxytocin on visual attention to faces vs. natural scenes in older adults. PMID 38461634</w:t>
      </w:r>
    </w:p>
    <w:p>
      <w:pPr>
        <w:numPr>
          <w:ilvl w:val="0"/>
          <w:numId w:val="1419"/>
        </w:numPr>
        <w:pStyle w:val="Compact"/>
      </w:pPr>
      <w:r>
        <w:t xml:space="preserve">2024 · Ellenbogen MA ·</w:t>
      </w:r>
      <w:r>
        <w:t xml:space="preserve"> </w:t>
      </w:r>
      <w:r>
        <w:rPr>
          <w:iCs/>
          <w:i/>
        </w:rPr>
        <w:t xml:space="preserve">Psychol Med</w:t>
      </w:r>
      <w:r>
        <w:t xml:space="preserve"> </w:t>
      </w:r>
      <w:r>
        <w:t xml:space="preserve">· The effects of intranasal oxytocin on the efficacy of psychotherapy for major depressive disorder: a pilot randomized controlled trial. PMID 38445382</w:t>
      </w:r>
    </w:p>
    <w:p>
      <w:pPr>
        <w:numPr>
          <w:ilvl w:val="0"/>
          <w:numId w:val="1419"/>
        </w:numPr>
        <w:pStyle w:val="Compact"/>
      </w:pPr>
      <w:r>
        <w:t xml:space="preserve">2024 · Hwang S ·</w:t>
      </w:r>
      <w:r>
        <w:t xml:space="preserve"> </w:t>
      </w:r>
      <w:r>
        <w:rPr>
          <w:iCs/>
          <w:i/>
        </w:rPr>
        <w:t xml:space="preserve">Am J Psychiatry</w:t>
      </w:r>
      <w:r>
        <w:t xml:space="preserve"> </w:t>
      </w:r>
      <w:r>
        <w:t xml:space="preserve">· Neural Responses to Intranasal Oxytocin in Youths With Severe Irritability. PMID 38419495</w:t>
      </w:r>
    </w:p>
    <w:p>
      <w:pPr>
        <w:numPr>
          <w:ilvl w:val="0"/>
          <w:numId w:val="1419"/>
        </w:numPr>
        <w:pStyle w:val="Compact"/>
      </w:pPr>
      <w:r>
        <w:t xml:space="preserve">2024 · Moses E ·</w:t>
      </w:r>
      <w:r>
        <w:t xml:space="preserve"> </w:t>
      </w:r>
      <w:r>
        <w:rPr>
          <w:iCs/>
          <w:i/>
        </w:rPr>
        <w:t xml:space="preserve">Soc Cogn Affect Neurosci</w:t>
      </w:r>
      <w:r>
        <w:t xml:space="preserve"> </w:t>
      </w:r>
      <w:r>
        <w:t xml:space="preserve">· Oxytocin differentially modulates the early neural responses to faces and non-social stimuli. PMID 38372627</w:t>
      </w:r>
    </w:p>
    <w:p>
      <w:pPr>
        <w:numPr>
          <w:ilvl w:val="0"/>
          <w:numId w:val="1419"/>
        </w:numPr>
        <w:pStyle w:val="Compact"/>
      </w:pPr>
      <w:r>
        <w:t xml:space="preserve">2024 · İmamoğlu A ·</w:t>
      </w:r>
      <w:r>
        <w:t xml:space="preserve"> </w:t>
      </w:r>
      <w:r>
        <w:rPr>
          <w:iCs/>
          <w:i/>
        </w:rPr>
        <w:t xml:space="preserve">J Psychiatr Res</w:t>
      </w:r>
      <w:r>
        <w:t xml:space="preserve"> </w:t>
      </w:r>
      <w:r>
        <w:t xml:space="preserve">· The effect of intranasal oxytocin on neurocognition in people with schizophrenia: A randomized controlled trial. PMID 38262165</w:t>
      </w:r>
    </w:p>
    <w:p>
      <w:pPr>
        <w:numPr>
          <w:ilvl w:val="0"/>
          <w:numId w:val="1419"/>
        </w:numPr>
        <w:pStyle w:val="Compact"/>
      </w:pPr>
      <w:r>
        <w:t xml:space="preserve">2024 · Davies C ·</w:t>
      </w:r>
      <w:r>
        <w:t xml:space="preserve"> </w:t>
      </w:r>
      <w:r>
        <w:rPr>
          <w:iCs/>
          <w:i/>
        </w:rPr>
        <w:t xml:space="preserve">Mol Psychiatry</w:t>
      </w:r>
      <w:r>
        <w:t xml:space="preserve"> </w:t>
      </w:r>
      <w:r>
        <w:t xml:space="preserve">· Connectome dysfunction in patients at clinical high risk for psychosis and modulation by oxytocin. PMID 38243074</w:t>
      </w:r>
    </w:p>
    <w:p>
      <w:pPr>
        <w:numPr>
          <w:ilvl w:val="0"/>
          <w:numId w:val="1419"/>
        </w:numPr>
        <w:pStyle w:val="Compact"/>
      </w:pPr>
      <w:r>
        <w:t xml:space="preserve">2024 · Pongrácz P ·</w:t>
      </w:r>
      <w:r>
        <w:t xml:space="preserve"> </w:t>
      </w:r>
      <w:r>
        <w:rPr>
          <w:iCs/>
          <w:i/>
        </w:rPr>
        <w:t xml:space="preserve">BMC Ecol Evol</w:t>
      </w:r>
      <w:r>
        <w:t xml:space="preserve"> </w:t>
      </w:r>
      <w:r>
        <w:t xml:space="preserve">· Alarm or emotion? intranasal oxytocin helps determine information conveyed by dog barks for adult male human listeners. PMID 38221611</w:t>
      </w:r>
    </w:p>
    <w:p>
      <w:pPr>
        <w:numPr>
          <w:ilvl w:val="0"/>
          <w:numId w:val="1419"/>
        </w:numPr>
        <w:pStyle w:val="Compact"/>
      </w:pPr>
      <w:r>
        <w:t xml:space="preserve">2024 · Moerkerke M ·</w:t>
      </w:r>
      <w:r>
        <w:t xml:space="preserve"> </w:t>
      </w:r>
      <w:r>
        <w:rPr>
          <w:iCs/>
          <w:i/>
        </w:rPr>
        <w:t xml:space="preserve">Nat Commun</w:t>
      </w:r>
      <w:r>
        <w:t xml:space="preserve"> </w:t>
      </w:r>
      <w:r>
        <w:t xml:space="preserve">· Chronic oxytocin administration stimulates the oxytocinergic system in children with autism. PMID 38167302</w:t>
      </w:r>
    </w:p>
    <w:p>
      <w:pPr>
        <w:numPr>
          <w:ilvl w:val="0"/>
          <w:numId w:val="1419"/>
        </w:numPr>
        <w:pStyle w:val="Compact"/>
      </w:pPr>
      <w:r>
        <w:t xml:space="preserve">2024 · Maoz H ·</w:t>
      </w:r>
      <w:r>
        <w:t xml:space="preserve"> </w:t>
      </w:r>
      <w:r>
        <w:rPr>
          <w:iCs/>
          <w:i/>
        </w:rPr>
        <w:t xml:space="preserve">J Affect Disord</w:t>
      </w:r>
      <w:r>
        <w:t xml:space="preserve"> </w:t>
      </w:r>
      <w:r>
        <w:t xml:space="preserve">· Intranasal oxytocin as an adjunct treatment among patients with severe major depression with and without comorbid borderline personality disorder. PMID 37992767</w:t>
      </w:r>
    </w:p>
    <w:p>
      <w:pPr>
        <w:numPr>
          <w:ilvl w:val="0"/>
          <w:numId w:val="1419"/>
        </w:numPr>
        <w:pStyle w:val="Compact"/>
      </w:pPr>
      <w:r>
        <w:t xml:space="preserve">2024 · Xiao S ·</w:t>
      </w:r>
      <w:r>
        <w:t xml:space="preserve"> </w:t>
      </w:r>
      <w:r>
        <w:rPr>
          <w:iCs/>
          <w:i/>
        </w:rPr>
        <w:t xml:space="preserve">Psychoneuroendocrinology</w:t>
      </w:r>
      <w:r>
        <w:t xml:space="preserve"> </w:t>
      </w:r>
      <w:r>
        <w:t xml:space="preserve">· Age-dependent effects of oxytocin in brain regions enriched with oxytocin receptors. PMID 37951085</w:t>
      </w:r>
    </w:p>
    <w:p>
      <w:pPr>
        <w:numPr>
          <w:ilvl w:val="0"/>
          <w:numId w:val="1419"/>
        </w:numPr>
        <w:pStyle w:val="Compact"/>
      </w:pPr>
      <w:r>
        <w:t xml:space="preserve">2023 · Alaerts K ·</w:t>
      </w:r>
      <w:r>
        <w:t xml:space="preserve"> </w:t>
      </w:r>
      <w:r>
        <w:rPr>
          <w:iCs/>
          <w:i/>
        </w:rPr>
        <w:t xml:space="preserve">Psychother Psychosom</w:t>
      </w:r>
      <w:r>
        <w:t xml:space="preserve"> </w:t>
      </w:r>
      <w:r>
        <w:t xml:space="preserve">· At the Head and Heart of Oxytocin’s Stress-Regulatory Neural and Cardiac Effects: A Chronic Administration RCT in Children with Autism. PMID 37820592</w:t>
      </w:r>
    </w:p>
    <w:p>
      <w:pPr>
        <w:numPr>
          <w:ilvl w:val="0"/>
          <w:numId w:val="1419"/>
        </w:numPr>
        <w:pStyle w:val="Compact"/>
      </w:pPr>
      <w:r>
        <w:t xml:space="preserve">2023 · Wright KA ·</w:t>
      </w:r>
      <w:r>
        <w:t xml:space="preserve"> </w:t>
      </w:r>
      <w:r>
        <w:rPr>
          <w:iCs/>
          <w:i/>
        </w:rPr>
        <w:t xml:space="preserve">Horm Behav</w:t>
      </w:r>
      <w:r>
        <w:t xml:space="preserve"> </w:t>
      </w:r>
      <w:r>
        <w:t xml:space="preserve">· Four-week intranasal oxytocin administration reduces attachment avoidance in older women. PMID 37659357</w:t>
      </w:r>
    </w:p>
    <w:p>
      <w:pPr>
        <w:numPr>
          <w:ilvl w:val="0"/>
          <w:numId w:val="1419"/>
        </w:numPr>
        <w:pStyle w:val="Compact"/>
      </w:pPr>
      <w:r>
        <w:t xml:space="preserve">2023 · Vogt C ·</w:t>
      </w:r>
      <w:r>
        <w:t xml:space="preserve"> </w:t>
      </w:r>
      <w:r>
        <w:rPr>
          <w:iCs/>
          <w:i/>
        </w:rPr>
        <w:t xml:space="preserve">Soc Cogn Affect Neurosci</w:t>
      </w:r>
      <w:r>
        <w:t xml:space="preserve"> </w:t>
      </w:r>
      <w:r>
        <w:t xml:space="preserve">· Oxytocinergic modulation of speech production-a double-blind placebo-controlled fMRI study. PMID 37384576</w:t>
      </w:r>
    </w:p>
    <w:p>
      <w:pPr>
        <w:numPr>
          <w:ilvl w:val="0"/>
          <w:numId w:val="1419"/>
        </w:numPr>
        <w:pStyle w:val="Compact"/>
      </w:pPr>
      <w:r>
        <w:t xml:space="preserve">2023 · Lin C ·</w:t>
      </w:r>
      <w:r>
        <w:t xml:space="preserve"> </w:t>
      </w:r>
      <w:r>
        <w:rPr>
          <w:iCs/>
          <w:i/>
        </w:rPr>
        <w:t xml:space="preserve">Physiol Behav</w:t>
      </w:r>
      <w:r>
        <w:t xml:space="preserve"> </w:t>
      </w:r>
      <w:r>
        <w:t xml:space="preserve">· The relationship between oxytocin and empathy for others’ pain: Testing the mediating effect of first-hand pain sensitivity. PMID 37301493</w:t>
      </w:r>
    </w:p>
    <w:p>
      <w:pPr>
        <w:numPr>
          <w:ilvl w:val="0"/>
          <w:numId w:val="1419"/>
        </w:numPr>
        <w:pStyle w:val="Compact"/>
      </w:pPr>
      <w:r>
        <w:t xml:space="preserve">2023 · Moerkerke M ·</w:t>
      </w:r>
      <w:r>
        <w:t xml:space="preserve"> </w:t>
      </w:r>
      <w:r>
        <w:rPr>
          <w:iCs/>
          <w:i/>
        </w:rPr>
        <w:t xml:space="preserve">J Child Psychol Psychiatry</w:t>
      </w:r>
      <w:r>
        <w:t xml:space="preserve"> </w:t>
      </w:r>
      <w:r>
        <w:t xml:space="preserve">· Can repeated intranasal oxytocin administration affect reduced neural sensitivity towards expressive faces in autism? A randomized controlled trial. PMID 37278339</w:t>
      </w:r>
    </w:p>
    <w:p>
      <w:pPr>
        <w:numPr>
          <w:ilvl w:val="0"/>
          <w:numId w:val="1419"/>
        </w:numPr>
        <w:pStyle w:val="Compact"/>
      </w:pPr>
      <w:r>
        <w:t xml:space="preserve">2023 · Chen Y ·</w:t>
      </w:r>
      <w:r>
        <w:t xml:space="preserve"> </w:t>
      </w:r>
      <w:r>
        <w:rPr>
          <w:iCs/>
          <w:i/>
        </w:rPr>
        <w:t xml:space="preserve">Elife</w:t>
      </w:r>
      <w:r>
        <w:t xml:space="preserve"> </w:t>
      </w:r>
      <w:r>
        <w:t xml:space="preserve">· Oxytocin administration enhances pleasantness and neural responses to gentle stroking but not moderate pressure social touch by increasing peripheral concentrations. PMID 37171081</w:t>
      </w:r>
    </w:p>
    <w:p>
      <w:pPr>
        <w:numPr>
          <w:ilvl w:val="0"/>
          <w:numId w:val="1419"/>
        </w:numPr>
        <w:pStyle w:val="Compact"/>
      </w:pPr>
      <w:r>
        <w:t xml:space="preserve">2023 · Daniels N ·</w:t>
      </w:r>
      <w:r>
        <w:t xml:space="preserve"> </w:t>
      </w:r>
      <w:r>
        <w:rPr>
          <w:iCs/>
          <w:i/>
        </w:rPr>
        <w:t xml:space="preserve">Mol Autism</w:t>
      </w:r>
      <w:r>
        <w:t xml:space="preserve"> </w:t>
      </w:r>
      <w:r>
        <w:t xml:space="preserve">· Effects of multiple-dose intranasal oxytocin administration on social responsiveness in children with autism: a randomized, placebo-controlled trial. PMID 37081454</w:t>
      </w:r>
    </w:p>
    <w:p>
      <w:pPr>
        <w:numPr>
          <w:ilvl w:val="0"/>
          <w:numId w:val="1419"/>
        </w:numPr>
        <w:pStyle w:val="Compact"/>
      </w:pPr>
      <w:r>
        <w:t xml:space="preserve">2023 · Cosme G ·</w:t>
      </w:r>
      <w:r>
        <w:t xml:space="preserve"> </w:t>
      </w:r>
      <w:r>
        <w:rPr>
          <w:iCs/>
          <w:i/>
        </w:rPr>
        <w:t xml:space="preserve">J Psychopharmacol</w:t>
      </w:r>
      <w:r>
        <w:t xml:space="preserve"> </w:t>
      </w:r>
      <w:r>
        <w:t xml:space="preserve">· Temporal profile of intranasal oxytocin in the human autonomic nervous system at rest: An electrocardiography and pupillometry study. PMID 36891949</w:t>
      </w:r>
    </w:p>
    <w:p>
      <w:pPr>
        <w:numPr>
          <w:ilvl w:val="0"/>
          <w:numId w:val="1419"/>
        </w:numPr>
        <w:pStyle w:val="Compact"/>
      </w:pPr>
      <w:r>
        <w:t xml:space="preserve">2023 · Jansen M ·</w:t>
      </w:r>
      <w:r>
        <w:t xml:space="preserve"> </w:t>
      </w:r>
      <w:r>
        <w:rPr>
          <w:iCs/>
          <w:i/>
        </w:rPr>
        <w:t xml:space="preserve">Neuroimage</w:t>
      </w:r>
      <w:r>
        <w:t xml:space="preserve"> </w:t>
      </w:r>
      <w:r>
        <w:t xml:space="preserve">· l-DOPA and oxytocin influence the neurocomputational mechanisms of self-benefitting and prosocial reinforcement learning. PMID 36848972</w:t>
      </w:r>
    </w:p>
    <w:p>
      <w:pPr>
        <w:numPr>
          <w:ilvl w:val="0"/>
          <w:numId w:val="1419"/>
        </w:numPr>
        <w:pStyle w:val="Compact"/>
      </w:pPr>
      <w:r>
        <w:t xml:space="preserve">2023 · Maslahati T ·</w:t>
      </w:r>
      <w:r>
        <w:t xml:space="preserve"> </w:t>
      </w:r>
      <w:r>
        <w:rPr>
          <w:iCs/>
          <w:i/>
        </w:rPr>
        <w:t xml:space="preserve">Transl Psychiatry</w:t>
      </w:r>
      <w:r>
        <w:t xml:space="preserve"> </w:t>
      </w:r>
      <w:r>
        <w:t xml:space="preserve">· Oxytocin vs. placebo effects on intrusive memory consolidation using a trauma film paradigm: a randomized, controlled experimental study in healthy women. PMID 36739422</w:t>
      </w:r>
    </w:p>
    <w:p>
      <w:pPr>
        <w:numPr>
          <w:ilvl w:val="0"/>
          <w:numId w:val="1419"/>
        </w:numPr>
        <w:pStyle w:val="Compact"/>
      </w:pPr>
      <w:r>
        <w:t xml:space="preserve">2023 · Vehlen A ·</w:t>
      </w:r>
      <w:r>
        <w:t xml:space="preserve"> </w:t>
      </w:r>
      <w:r>
        <w:rPr>
          <w:iCs/>
          <w:i/>
        </w:rPr>
        <w:t xml:space="preserve">J Psychiatr Res</w:t>
      </w:r>
      <w:r>
        <w:t xml:space="preserve"> </w:t>
      </w:r>
      <w:r>
        <w:t xml:space="preserve">· Reduced eye gaze during facial emotion recognition in chronic depression: Effects of intranasal oxytocin. PMID 36657314</w:t>
      </w:r>
    </w:p>
    <w:p>
      <w:pPr>
        <w:numPr>
          <w:ilvl w:val="0"/>
          <w:numId w:val="1419"/>
        </w:numPr>
        <w:pStyle w:val="Compact"/>
      </w:pPr>
      <w:r>
        <w:t xml:space="preserve">2023 · Grossman-Giron A ·</w:t>
      </w:r>
      <w:r>
        <w:t xml:space="preserve"> </w:t>
      </w:r>
      <w:r>
        <w:rPr>
          <w:iCs/>
          <w:i/>
        </w:rPr>
        <w:t xml:space="preserve">Neuropsychobiology</w:t>
      </w:r>
      <w:r>
        <w:t xml:space="preserve"> </w:t>
      </w:r>
      <w:r>
        <w:t xml:space="preserve">· Intranasal Oxytocin as Add-On Treatment for Inpatients with Severe Mental Illness: A Randomized Clinical Trial. PMID 36603563</w:t>
      </w:r>
    </w:p>
    <w:p>
      <w:pPr>
        <w:numPr>
          <w:ilvl w:val="0"/>
          <w:numId w:val="1419"/>
        </w:numPr>
        <w:pStyle w:val="Compact"/>
      </w:pPr>
      <w:r>
        <w:t xml:space="preserve">2023 · Guastella AJ ·</w:t>
      </w:r>
      <w:r>
        <w:t xml:space="preserve"> </w:t>
      </w:r>
      <w:r>
        <w:rPr>
          <w:iCs/>
          <w:i/>
        </w:rPr>
        <w:t xml:space="preserve">Mol Psychiatry</w:t>
      </w:r>
      <w:r>
        <w:t xml:space="preserve"> </w:t>
      </w:r>
      <w:r>
        <w:t xml:space="preserve">· The effect of oxytocin nasal spray on social interaction in young children with autism: a randomized clinical trial. PMID 36302965</w:t>
      </w:r>
    </w:p>
    <w:p>
      <w:pPr>
        <w:numPr>
          <w:ilvl w:val="0"/>
          <w:numId w:val="1419"/>
        </w:numPr>
        <w:pStyle w:val="Compact"/>
      </w:pPr>
      <w:r>
        <w:t xml:space="preserve">2023 · Seeley SH ·</w:t>
      </w:r>
      <w:r>
        <w:t xml:space="preserve"> </w:t>
      </w:r>
      <w:r>
        <w:rPr>
          <w:iCs/>
          <w:i/>
        </w:rPr>
        <w:t xml:space="preserve">Hum Brain Mapp</w:t>
      </w:r>
      <w:r>
        <w:t xml:space="preserve"> </w:t>
      </w:r>
      <w:r>
        <w:t xml:space="preserve">· Dwelling in prolonged grief: Resting state functional connectivity during oxytocin and placebo administration. PMID 36087094</w:t>
      </w:r>
    </w:p>
    <w:p>
      <w:pPr>
        <w:numPr>
          <w:ilvl w:val="0"/>
          <w:numId w:val="1419"/>
        </w:numPr>
        <w:pStyle w:val="Compact"/>
      </w:pPr>
      <w:r>
        <w:t xml:space="preserve">2023 · Ditzen B ·</w:t>
      </w:r>
      <w:r>
        <w:t xml:space="preserve"> </w:t>
      </w:r>
      <w:r>
        <w:rPr>
          <w:iCs/>
          <w:i/>
        </w:rPr>
        <w:t xml:space="preserve">Brain Behav Immun</w:t>
      </w:r>
      <w:r>
        <w:t xml:space="preserve"> </w:t>
      </w:r>
      <w:r>
        <w:t xml:space="preserve">· Effects of intranasal oxytocin and positive couple interaction on immune factors in skin wounds. PMID 36058418</w:t>
      </w:r>
    </w:p>
    <w:p>
      <w:pPr>
        <w:numPr>
          <w:ilvl w:val="0"/>
          <w:numId w:val="1419"/>
        </w:numPr>
        <w:pStyle w:val="Compact"/>
      </w:pPr>
      <w:r>
        <w:t xml:space="preserve">2022 · Coenjaerts M ·</w:t>
      </w:r>
      <w:r>
        <w:t xml:space="preserve"> </w:t>
      </w:r>
      <w:r>
        <w:rPr>
          <w:iCs/>
          <w:i/>
        </w:rPr>
        <w:t xml:space="preserve">Neuroimage</w:t>
      </w:r>
      <w:r>
        <w:t xml:space="preserve"> </w:t>
      </w:r>
      <w:r>
        <w:t xml:space="preserve">· Exogenous estradiol and oxytocin modulate sex differences in hippocampal reactivity during the encoding of episodic memories. PMID 36349596</w:t>
      </w:r>
    </w:p>
    <w:p>
      <w:pPr>
        <w:numPr>
          <w:ilvl w:val="0"/>
          <w:numId w:val="1419"/>
        </w:numPr>
        <w:pStyle w:val="Compact"/>
      </w:pPr>
      <w:r>
        <w:t xml:space="preserve">2022 · Melby K ·</w:t>
      </w:r>
      <w:r>
        <w:t xml:space="preserve"> </w:t>
      </w:r>
      <w:r>
        <w:rPr>
          <w:iCs/>
          <w:i/>
        </w:rPr>
        <w:t xml:space="preserve">Horm Behav</w:t>
      </w:r>
      <w:r>
        <w:t xml:space="preserve"> </w:t>
      </w:r>
      <w:r>
        <w:t xml:space="preserve">· The effect of intranasal oxytocin on processing emotional stimuli during alcohol withdrawal: A randomized placebo-controlled double-blind clinical trial. PMID 36242831</w:t>
      </w:r>
    </w:p>
    <w:p>
      <w:pPr>
        <w:numPr>
          <w:ilvl w:val="0"/>
          <w:numId w:val="1419"/>
        </w:numPr>
        <w:pStyle w:val="Compact"/>
      </w:pPr>
      <w:r>
        <w:t xml:space="preserve">2022 · Zhuang Q ·</w:t>
      </w:r>
      <w:r>
        <w:t xml:space="preserve"> </w:t>
      </w:r>
      <w:r>
        <w:rPr>
          <w:iCs/>
          <w:i/>
        </w:rPr>
        <w:t xml:space="preserve">Int J Neuropsychopharmacol</w:t>
      </w:r>
      <w:r>
        <w:t xml:space="preserve"> </w:t>
      </w:r>
      <w:r>
        <w:t xml:space="preserve">· Oral Administration of Oxytocin, Like Intranasal Administration, Decreases Top-Down Social Attention. PMID 36053298</w:t>
      </w:r>
    </w:p>
    <w:p>
      <w:pPr>
        <w:numPr>
          <w:ilvl w:val="0"/>
          <w:numId w:val="1419"/>
        </w:numPr>
        <w:pStyle w:val="Compact"/>
      </w:pPr>
      <w:r>
        <w:t xml:space="preserve">2022 · Korann V ·</w:t>
      </w:r>
      <w:r>
        <w:t xml:space="preserve"> </w:t>
      </w:r>
      <w:r>
        <w:rPr>
          <w:iCs/>
          <w:i/>
        </w:rPr>
        <w:t xml:space="preserve">Schizophr Bull</w:t>
      </w:r>
      <w:r>
        <w:t xml:space="preserve"> </w:t>
      </w:r>
      <w:r>
        <w:t xml:space="preserve">· Effect of Intranasal Oxytocin on Resting-state Effective Connectivity in Schizophrenia. PMID 35759349</w:t>
      </w:r>
    </w:p>
    <w:p>
      <w:pPr>
        <w:numPr>
          <w:ilvl w:val="0"/>
          <w:numId w:val="1419"/>
        </w:numPr>
        <w:pStyle w:val="Compact"/>
      </w:pPr>
      <w:r>
        <w:t xml:space="preserve">2022 · Flanagan JC ·</w:t>
      </w:r>
      <w:r>
        <w:t xml:space="preserve"> </w:t>
      </w:r>
      <w:r>
        <w:rPr>
          <w:iCs/>
          <w:i/>
        </w:rPr>
        <w:t xml:space="preserve">J Psychiatr Res</w:t>
      </w:r>
      <w:r>
        <w:t xml:space="preserve"> </w:t>
      </w:r>
      <w:r>
        <w:t xml:space="preserve">· A randomized controlled trial examining the effects of intranasal oxytocin on alcohol craving and intimate partner aggression among couples. PMID 35709548</w:t>
      </w:r>
    </w:p>
    <w:p>
      <w:pPr>
        <w:numPr>
          <w:ilvl w:val="0"/>
          <w:numId w:val="1419"/>
        </w:numPr>
        <w:pStyle w:val="Compact"/>
      </w:pPr>
      <w:r>
        <w:t xml:space="preserve">2022 · Doppler CEJ ·</w:t>
      </w:r>
      <w:r>
        <w:t xml:space="preserve"> </w:t>
      </w:r>
      <w:r>
        <w:rPr>
          <w:iCs/>
          <w:i/>
        </w:rPr>
        <w:t xml:space="preserve">Psychoneuroendocrinology</w:t>
      </w:r>
      <w:r>
        <w:t xml:space="preserve"> </w:t>
      </w:r>
      <w:r>
        <w:t xml:space="preserve">· Intranasal oxytocin attenuates the effects of monetary feedback on procedural learning. PMID 35689985</w:t>
      </w:r>
    </w:p>
    <w:p>
      <w:pPr>
        <w:numPr>
          <w:ilvl w:val="0"/>
          <w:numId w:val="1419"/>
        </w:numPr>
        <w:pStyle w:val="Compact"/>
      </w:pPr>
      <w:r>
        <w:t xml:space="preserve">2022 · Le J ·</w:t>
      </w:r>
      <w:r>
        <w:t xml:space="preserve"> </w:t>
      </w:r>
      <w:r>
        <w:rPr>
          <w:iCs/>
          <w:i/>
        </w:rPr>
        <w:t xml:space="preserve">Psychother Psychosom</w:t>
      </w:r>
      <w:r>
        <w:t xml:space="preserve"> </w:t>
      </w:r>
      <w:r>
        <w:t xml:space="preserve">· Infrequent Intranasal Oxytocin Followed by Positive Social Interaction Improves Symptoms in Autistic Children: A Pilot Randomized Clinical Trial. PMID 35545057</w:t>
      </w:r>
    </w:p>
    <w:p>
      <w:pPr>
        <w:numPr>
          <w:ilvl w:val="0"/>
          <w:numId w:val="1419"/>
        </w:numPr>
        <w:pStyle w:val="Compact"/>
      </w:pPr>
      <w:r>
        <w:t xml:space="preserve">2022 · Doerr JM ·</w:t>
      </w:r>
      <w:r>
        <w:t xml:space="preserve"> </w:t>
      </w:r>
      <w:r>
        <w:rPr>
          <w:iCs/>
          <w:i/>
        </w:rPr>
        <w:t xml:space="preserve">Psychosom Med</w:t>
      </w:r>
      <w:r>
        <w:t xml:space="preserve"> </w:t>
      </w:r>
      <w:r>
        <w:t xml:space="preserve">· The Effect of Intranasal Oxytocin on the Association Between Couple Interaction and Sleep: A Placebo-Controlled Study. PMID 35472193</w:t>
      </w:r>
    </w:p>
    <w:p>
      <w:pPr>
        <w:numPr>
          <w:ilvl w:val="0"/>
          <w:numId w:val="1419"/>
        </w:numPr>
        <w:pStyle w:val="Compact"/>
      </w:pPr>
      <w:r>
        <w:t xml:space="preserve">2022 · Back SN ·</w:t>
      </w:r>
      <w:r>
        <w:t xml:space="preserve"> </w:t>
      </w:r>
      <w:r>
        <w:rPr>
          <w:iCs/>
          <w:i/>
        </w:rPr>
        <w:t xml:space="preserve">J Neural Transm (Vienna)</w:t>
      </w:r>
      <w:r>
        <w:t xml:space="preserve"> </w:t>
      </w:r>
      <w:r>
        <w:t xml:space="preserve">· Reduced vagal activity in borderline personality disorder is unaffected by intranasal oxytocin administration, but predicted by the interaction between childhood trauma and attachment insecurity. PMID 35275249</w:t>
      </w:r>
    </w:p>
    <w:p>
      <w:pPr>
        <w:numPr>
          <w:ilvl w:val="0"/>
          <w:numId w:val="1419"/>
        </w:numPr>
        <w:pStyle w:val="Compact"/>
      </w:pPr>
      <w:r>
        <w:t xml:space="preserve">2022 · Liu P ·</w:t>
      </w:r>
      <w:r>
        <w:t xml:space="preserve"> </w:t>
      </w:r>
      <w:r>
        <w:rPr>
          <w:iCs/>
          <w:i/>
        </w:rPr>
        <w:t xml:space="preserve">Neuroimage</w:t>
      </w:r>
      <w:r>
        <w:t xml:space="preserve"> </w:t>
      </w:r>
      <w:r>
        <w:t xml:space="preserve">· Intranasal oxytocin modulates the salience network in aging. PMID 35259525</w:t>
      </w:r>
    </w:p>
    <w:p>
      <w:pPr>
        <w:numPr>
          <w:ilvl w:val="0"/>
          <w:numId w:val="1419"/>
        </w:numPr>
        <w:pStyle w:val="Compact"/>
      </w:pPr>
      <w:r>
        <w:t xml:space="preserve">2022 · Kou J ·</w:t>
      </w:r>
      <w:r>
        <w:t xml:space="preserve"> </w:t>
      </w:r>
      <w:r>
        <w:rPr>
          <w:iCs/>
          <w:i/>
        </w:rPr>
        <w:t xml:space="preserve">Psychother Psychosom</w:t>
      </w:r>
      <w:r>
        <w:t xml:space="preserve"> </w:t>
      </w:r>
      <w:r>
        <w:t xml:space="preserve">· Anxiolytic Effects of Chronic Intranasal Oxytocin on Neural Responses to Threat Are Dose-Frequency Dependent. PMID 35086102</w:t>
      </w:r>
    </w:p>
    <w:p>
      <w:pPr>
        <w:numPr>
          <w:ilvl w:val="0"/>
          <w:numId w:val="1419"/>
        </w:numPr>
        <w:pStyle w:val="Compact"/>
      </w:pPr>
      <w:r>
        <w:t xml:space="preserve">2022 · Yamasue H ·</w:t>
      </w:r>
      <w:r>
        <w:t xml:space="preserve"> </w:t>
      </w:r>
      <w:r>
        <w:rPr>
          <w:iCs/>
          <w:i/>
        </w:rPr>
        <w:t xml:space="preserve">Brain</w:t>
      </w:r>
      <w:r>
        <w:t xml:space="preserve"> </w:t>
      </w:r>
      <w:r>
        <w:t xml:space="preserve">· Effect of a novel nasal oxytocin spray with enhanced bioavailability on autism: a randomized trial. PMID 35067719</w:t>
      </w:r>
    </w:p>
    <w:p>
      <w:pPr>
        <w:numPr>
          <w:ilvl w:val="0"/>
          <w:numId w:val="1419"/>
        </w:numPr>
        <w:pStyle w:val="Compact"/>
      </w:pPr>
      <w:r>
        <w:t xml:space="preserve">2022 · Stauffer CS ·</w:t>
      </w:r>
      <w:r>
        <w:t xml:space="preserve"> </w:t>
      </w:r>
      <w:r>
        <w:rPr>
          <w:iCs/>
          <w:i/>
        </w:rPr>
        <w:t xml:space="preserve">Psychiatry Res</w:t>
      </w:r>
      <w:r>
        <w:t xml:space="preserve"> </w:t>
      </w:r>
      <w:r>
        <w:t xml:space="preserve">· Effects of oxytocin administration on fear-potentiated acoustic startle in co-occurring PTSD and alcohol use disorder: A randomized clinical trial. PMID 34983010</w:t>
      </w:r>
    </w:p>
    <w:p>
      <w:pPr>
        <w:numPr>
          <w:ilvl w:val="0"/>
          <w:numId w:val="1419"/>
        </w:numPr>
        <w:pStyle w:val="Compact"/>
      </w:pPr>
      <w:r>
        <w:t xml:space="preserve">2022 · Ma Y ·</w:t>
      </w:r>
      <w:r>
        <w:t xml:space="preserve"> </w:t>
      </w:r>
      <w:r>
        <w:rPr>
          <w:iCs/>
          <w:i/>
        </w:rPr>
        <w:t xml:space="preserve">Int J Psychophysiol</w:t>
      </w:r>
      <w:r>
        <w:t xml:space="preserve"> </w:t>
      </w:r>
      <w:r>
        <w:t xml:space="preserve">· Adult attachment style moderates the effect of oxytocin on neural responses to infant emotional faces. PMID 34919983</w:t>
      </w:r>
    </w:p>
    <w:p>
      <w:pPr>
        <w:numPr>
          <w:ilvl w:val="0"/>
          <w:numId w:val="1419"/>
        </w:numPr>
        <w:pStyle w:val="Compact"/>
      </w:pPr>
      <w:r>
        <w:t xml:space="preserve">2022 · Schultebraucks K ·</w:t>
      </w:r>
      <w:r>
        <w:t xml:space="preserve"> </w:t>
      </w:r>
      <w:r>
        <w:rPr>
          <w:iCs/>
          <w:i/>
        </w:rPr>
        <w:t xml:space="preserve">Neuropsychopharmacology</w:t>
      </w:r>
      <w:r>
        <w:t xml:space="preserve"> </w:t>
      </w:r>
      <w:r>
        <w:t xml:space="preserve">· Intranasal oxytocin administration impacts the acquisition and consolidation of trauma-associated memories: a double-blind randomized placebo-controlled experimental study in healthy women. PMID 34887528</w:t>
      </w:r>
    </w:p>
    <w:p>
      <w:pPr>
        <w:numPr>
          <w:ilvl w:val="0"/>
          <w:numId w:val="1419"/>
        </w:numPr>
        <w:pStyle w:val="Compact"/>
      </w:pPr>
      <w:r>
        <w:t xml:space="preserve">2022 · Lindley Baron-Cohen K ·</w:t>
      </w:r>
      <w:r>
        <w:t xml:space="preserve"> </w:t>
      </w:r>
      <w:r>
        <w:rPr>
          <w:iCs/>
          <w:i/>
        </w:rPr>
        <w:t xml:space="preserve">J Affect Disord</w:t>
      </w:r>
      <w:r>
        <w:t xml:space="preserve"> </w:t>
      </w:r>
      <w:r>
        <w:t xml:space="preserve">· Intranasal oxytocin administration improves mood in new mothers with moderate low mood but not in mothers with elevated symptoms of postnatal depression: A randomised controlled trial. PMID 34843839</w:t>
      </w:r>
    </w:p>
    <w:p>
      <w:pPr>
        <w:numPr>
          <w:ilvl w:val="0"/>
          <w:numId w:val="1419"/>
        </w:numPr>
        <w:pStyle w:val="Compact"/>
      </w:pPr>
      <w:r>
        <w:t xml:space="preserve">2022 · Kou J ·</w:t>
      </w:r>
      <w:r>
        <w:t xml:space="preserve"> </w:t>
      </w:r>
      <w:r>
        <w:rPr>
          <w:iCs/>
          <w:i/>
        </w:rPr>
        <w:t xml:space="preserve">Psychol Med</w:t>
      </w:r>
      <w:r>
        <w:t xml:space="preserve"> </w:t>
      </w:r>
      <w:r>
        <w:t xml:space="preserve">· A randomized trial shows dose-frequency and genotype may determine the therapeutic efficacy of intranasal oxytocin. PMID 33272333</w:t>
      </w:r>
    </w:p>
    <w:p>
      <w:pPr>
        <w:numPr>
          <w:ilvl w:val="0"/>
          <w:numId w:val="1419"/>
        </w:numPr>
        <w:pStyle w:val="Compact"/>
      </w:pPr>
      <w:r>
        <w:t xml:space="preserve">2021 · Sikich L ·</w:t>
      </w:r>
      <w:r>
        <w:t xml:space="preserve"> </w:t>
      </w:r>
      <w:r>
        <w:rPr>
          <w:iCs/>
          <w:i/>
        </w:rPr>
        <w:t xml:space="preserve">N Engl J Med</w:t>
      </w:r>
      <w:r>
        <w:t xml:space="preserve"> </w:t>
      </w:r>
      <w:r>
        <w:t xml:space="preserve">· Intranasal Oxytocin in Children and Adolescents with Autism Spectrum Disorder. PMID 34644471</w:t>
      </w:r>
    </w:p>
    <w:p>
      <w:pPr>
        <w:numPr>
          <w:ilvl w:val="0"/>
          <w:numId w:val="1419"/>
        </w:numPr>
        <w:pStyle w:val="Compact"/>
      </w:pPr>
      <w:r>
        <w:t xml:space="preserve">2021 · Fastman J ·</w:t>
      </w:r>
      <w:r>
        <w:t xml:space="preserve"> </w:t>
      </w:r>
      <w:r>
        <w:rPr>
          <w:iCs/>
          <w:i/>
        </w:rPr>
        <w:t xml:space="preserve">Mol Autism</w:t>
      </w:r>
      <w:r>
        <w:t xml:space="preserve"> </w:t>
      </w:r>
      <w:r>
        <w:t xml:space="preserve">· A randomized controlled trial of intranasal oxytocin in Phelan-McDermid syndrome. PMID 34593045</w:t>
      </w:r>
    </w:p>
    <w:p>
      <w:pPr>
        <w:numPr>
          <w:ilvl w:val="0"/>
          <w:numId w:val="1419"/>
        </w:numPr>
        <w:pStyle w:val="Compact"/>
      </w:pPr>
      <w:r>
        <w:t xml:space="preserve">2021 · Zhuang Q ·</w:t>
      </w:r>
      <w:r>
        <w:t xml:space="preserve"> </w:t>
      </w:r>
      <w:r>
        <w:rPr>
          <w:iCs/>
          <w:i/>
        </w:rPr>
        <w:t xml:space="preserve">Psychoneuroendocrinology</w:t>
      </w:r>
      <w:r>
        <w:t xml:space="preserve"> </w:t>
      </w:r>
      <w:r>
        <w:t xml:space="preserve">· Intranasal vasopressin like oxytocin increases social attention by influencing top-down control, but additionally enhances bottom-up control. PMID 34537624</w:t>
      </w:r>
    </w:p>
    <w:p>
      <w:pPr>
        <w:numPr>
          <w:ilvl w:val="0"/>
          <w:numId w:val="1419"/>
        </w:numPr>
        <w:pStyle w:val="Compact"/>
      </w:pPr>
      <w:r>
        <w:t xml:space="preserve">2021 · Zhang X ·</w:t>
      </w:r>
      <w:r>
        <w:t xml:space="preserve"> </w:t>
      </w:r>
      <w:r>
        <w:rPr>
          <w:iCs/>
          <w:i/>
        </w:rPr>
        <w:t xml:space="preserve">Psychoneuroendocrinology</w:t>
      </w:r>
      <w:r>
        <w:t xml:space="preserve"> </w:t>
      </w:r>
      <w:r>
        <w:t xml:space="preserve">· Oxytocin reduces romantic rejection-induced pain in online speed-dating as revealed by decreased frontal-midline theta oscillations. PMID 34537623</w:t>
      </w:r>
    </w:p>
    <w:p>
      <w:pPr>
        <w:numPr>
          <w:ilvl w:val="0"/>
          <w:numId w:val="1419"/>
        </w:numPr>
        <w:pStyle w:val="Compact"/>
      </w:pPr>
      <w:r>
        <w:t xml:space="preserve">2021 · Sippel LM ·</w:t>
      </w:r>
      <w:r>
        <w:t xml:space="preserve"> </w:t>
      </w:r>
      <w:r>
        <w:rPr>
          <w:iCs/>
          <w:i/>
        </w:rPr>
        <w:t xml:space="preserve">Psychiatry Res Neuroimaging</w:t>
      </w:r>
      <w:r>
        <w:t xml:space="preserve"> </w:t>
      </w:r>
      <w:r>
        <w:t xml:space="preserve">· Effects of intranasal oxytocin on threat- and reward-related functional connectivity in men and women with and without childhood abuse-related PTSD. PMID 34455213</w:t>
      </w:r>
    </w:p>
    <w:p>
      <w:pPr>
        <w:numPr>
          <w:ilvl w:val="0"/>
          <w:numId w:val="1419"/>
        </w:numPr>
        <w:pStyle w:val="Compact"/>
      </w:pPr>
      <w:r>
        <w:t xml:space="preserve">2021 · Henningsson S ·</w:t>
      </w:r>
      <w:r>
        <w:t xml:space="preserve"> </w:t>
      </w:r>
      <w:r>
        <w:rPr>
          <w:iCs/>
          <w:i/>
        </w:rPr>
        <w:t xml:space="preserve">Biol Psychol</w:t>
      </w:r>
      <w:r>
        <w:t xml:space="preserve"> </w:t>
      </w:r>
      <w:r>
        <w:t xml:space="preserve">· A randomized placebo-controlled intranasal oxytocin study on first impressions and reactions to social rejection. PMID 34331996</w:t>
      </w:r>
    </w:p>
    <w:p>
      <w:pPr>
        <w:numPr>
          <w:ilvl w:val="0"/>
          <w:numId w:val="1419"/>
        </w:numPr>
        <w:pStyle w:val="Compact"/>
      </w:pPr>
      <w:r>
        <w:t xml:space="preserve">2021 · Cherki BR ·</w:t>
      </w:r>
      <w:r>
        <w:t xml:space="preserve"> </w:t>
      </w:r>
      <w:r>
        <w:rPr>
          <w:iCs/>
          <w:i/>
        </w:rPr>
        <w:t xml:space="preserve">Psychoneuroendocrinology</w:t>
      </w:r>
      <w:r>
        <w:t xml:space="preserve"> </w:t>
      </w:r>
      <w:r>
        <w:t xml:space="preserve">· Intranasal oxytocin, testosterone reactivity, and human competitiveness. PMID 34298279</w:t>
      </w:r>
    </w:p>
    <w:p>
      <w:pPr>
        <w:numPr>
          <w:ilvl w:val="0"/>
          <w:numId w:val="1419"/>
        </w:numPr>
        <w:pStyle w:val="Compact"/>
      </w:pPr>
      <w:r>
        <w:t xml:space="preserve">2021 · Melkonian AJ ·</w:t>
      </w:r>
      <w:r>
        <w:t xml:space="preserve"> </w:t>
      </w:r>
      <w:r>
        <w:rPr>
          <w:iCs/>
          <w:i/>
        </w:rPr>
        <w:t xml:space="preserve">J Clin Psychopharmacol</w:t>
      </w:r>
      <w:r>
        <w:t xml:space="preserve"> </w:t>
      </w:r>
      <w:r>
        <w:t xml:space="preserve">· Craving Moderates the Effects of Intranasal Oxytocin on Anger in Response to Social Stress Among Veterans With Co-Occurring Posttraumatic Stress Disorder and Alcohol Use Disorder. PMID 34121063</w:t>
      </w:r>
    </w:p>
    <w:p>
      <w:pPr>
        <w:numPr>
          <w:ilvl w:val="0"/>
          <w:numId w:val="1419"/>
        </w:numPr>
        <w:pStyle w:val="Compact"/>
      </w:pPr>
      <w:r>
        <w:t xml:space="preserve">2021 · Le J ·</w:t>
      </w:r>
      <w:r>
        <w:t xml:space="preserve"> </w:t>
      </w:r>
      <w:r>
        <w:rPr>
          <w:iCs/>
          <w:i/>
        </w:rPr>
        <w:t xml:space="preserve">Psychophysiology</w:t>
      </w:r>
      <w:r>
        <w:t xml:space="preserve"> </w:t>
      </w:r>
      <w:r>
        <w:t xml:space="preserve">· Oxytocin facilitates socially directed attention. PMID 34032304</w:t>
      </w:r>
    </w:p>
    <w:p>
      <w:pPr>
        <w:numPr>
          <w:ilvl w:val="0"/>
          <w:numId w:val="1419"/>
        </w:numPr>
        <w:pStyle w:val="Compact"/>
      </w:pPr>
      <w:r>
        <w:t xml:space="preserve">2021 · Espinoza SE ·</w:t>
      </w:r>
      <w:r>
        <w:t xml:space="preserve"> </w:t>
      </w:r>
      <w:r>
        <w:rPr>
          <w:iCs/>
          <w:i/>
        </w:rPr>
        <w:t xml:space="preserve">J Am Med Dir Assoc</w:t>
      </w:r>
      <w:r>
        <w:t xml:space="preserve"> </w:t>
      </w:r>
      <w:r>
        <w:t xml:space="preserve">· Intranasal Oxytocin Improves Lean Muscle Mass and Lowers LDL Cholesterol in Older Adults with Sarcopenic Obesity: A Pilot Randomized Controlled Trial. PMID 34029521</w:t>
      </w:r>
    </w:p>
    <w:p>
      <w:pPr>
        <w:numPr>
          <w:ilvl w:val="0"/>
          <w:numId w:val="1419"/>
        </w:numPr>
        <w:pStyle w:val="Compact"/>
      </w:pPr>
      <w:r>
        <w:t xml:space="preserve">2021 · Rung JM ·</w:t>
      </w:r>
      <w:r>
        <w:t xml:space="preserve"> </w:t>
      </w:r>
      <w:r>
        <w:rPr>
          <w:iCs/>
          <w:i/>
        </w:rPr>
        <w:t xml:space="preserve">Psychopharmacology (Berl)</w:t>
      </w:r>
      <w:r>
        <w:t xml:space="preserve"> </w:t>
      </w:r>
      <w:r>
        <w:t xml:space="preserve">· Safety and tolerability of chronic intranasal oxytocin in older men: results from a randomized controlled trial. PMID 33982141</w:t>
      </w:r>
    </w:p>
    <w:p>
      <w:pPr>
        <w:numPr>
          <w:ilvl w:val="0"/>
          <w:numId w:val="1419"/>
        </w:numPr>
        <w:pStyle w:val="Compact"/>
      </w:pPr>
      <w:r>
        <w:t xml:space="preserve">2021 · Wong SF ·</w:t>
      </w:r>
      <w:r>
        <w:t xml:space="preserve"> </w:t>
      </w:r>
      <w:r>
        <w:rPr>
          <w:iCs/>
          <w:i/>
        </w:rPr>
        <w:t xml:space="preserve">Int J Psychophysiol</w:t>
      </w:r>
      <w:r>
        <w:t xml:space="preserve"> </w:t>
      </w:r>
      <w:r>
        <w:t xml:space="preserve">· Intranasal oxytocin increases state anhedonia following imagery training of positive social outcomes in individuals lower in extraversion, trust-altruism, and openness to experience. PMID 33839197</w:t>
      </w:r>
    </w:p>
    <w:p>
      <w:pPr>
        <w:numPr>
          <w:ilvl w:val="0"/>
          <w:numId w:val="1419"/>
        </w:numPr>
        <w:pStyle w:val="Compact"/>
      </w:pPr>
      <w:r>
        <w:t xml:space="preserve">2021 · Kapetaniou GE ·</w:t>
      </w:r>
      <w:r>
        <w:t xml:space="preserve"> </w:t>
      </w:r>
      <w:r>
        <w:rPr>
          <w:iCs/>
          <w:i/>
        </w:rPr>
        <w:t xml:space="preserve">Elife</w:t>
      </w:r>
      <w:r>
        <w:t xml:space="preserve"> </w:t>
      </w:r>
      <w:r>
        <w:t xml:space="preserve">· The role of oxytocin in delay of gratification and flexibility in non-social decision making. PMID 33821797</w:t>
      </w:r>
    </w:p>
    <w:p>
      <w:pPr>
        <w:numPr>
          <w:ilvl w:val="0"/>
          <w:numId w:val="1419"/>
        </w:numPr>
        <w:pStyle w:val="Compact"/>
      </w:pPr>
      <w:r>
        <w:t xml:space="preserve">2021 · Buchanan RW ·</w:t>
      </w:r>
      <w:r>
        <w:t xml:space="preserve"> </w:t>
      </w:r>
      <w:r>
        <w:rPr>
          <w:iCs/>
          <w:i/>
        </w:rPr>
        <w:t xml:space="preserve">J Clin Psychopharmacol</w:t>
      </w:r>
      <w:r>
        <w:t xml:space="preserve"> </w:t>
      </w:r>
      <w:r>
        <w:t xml:space="preserve">· Combined Oxytocin and Cognitive Behavioral Social Skills Training for Social Function in People With Schizophrenia. PMID 33783399</w:t>
      </w:r>
    </w:p>
    <w:p>
      <w:pPr>
        <w:numPr>
          <w:ilvl w:val="0"/>
          <w:numId w:val="1419"/>
        </w:numPr>
        <w:pStyle w:val="Compact"/>
      </w:pPr>
      <w:r>
        <w:t xml:space="preserve">2021 · Kato Y ·</w:t>
      </w:r>
      <w:r>
        <w:t xml:space="preserve"> </w:t>
      </w:r>
      <w:r>
        <w:rPr>
          <w:iCs/>
          <w:i/>
        </w:rPr>
        <w:t xml:space="preserve">Mol Autism</w:t>
      </w:r>
      <w:r>
        <w:t xml:space="preserve"> </w:t>
      </w:r>
      <w:r>
        <w:t xml:space="preserve">· Oxytocin-induced increase in N,N-dimethylglycine and time course of changes in oxytocin efficacy for autism social core symptoms. PMID 33622389</w:t>
      </w:r>
    </w:p>
    <w:p>
      <w:pPr>
        <w:numPr>
          <w:ilvl w:val="0"/>
          <w:numId w:val="1419"/>
        </w:numPr>
        <w:pStyle w:val="Compact"/>
      </w:pPr>
      <w:r>
        <w:t xml:space="preserve">2021 · Zheng X ·</w:t>
      </w:r>
      <w:r>
        <w:t xml:space="preserve"> </w:t>
      </w:r>
      <w:r>
        <w:rPr>
          <w:iCs/>
          <w:i/>
        </w:rPr>
        <w:t xml:space="preserve">J Psychopharmacol</w:t>
      </w:r>
      <w:r>
        <w:t xml:space="preserve"> </w:t>
      </w:r>
      <w:r>
        <w:t xml:space="preserve">· Intranasal oxytocin may help maintain romantic bonds by decreasing jealousy evoked by either imagined or real partner infidelity. PMID 33601928</w:t>
      </w:r>
    </w:p>
    <w:p>
      <w:pPr>
        <w:numPr>
          <w:ilvl w:val="0"/>
          <w:numId w:val="1419"/>
        </w:numPr>
        <w:pStyle w:val="Compact"/>
      </w:pPr>
      <w:r>
        <w:t xml:space="preserve">2021 · Andari E ·</w:t>
      </w:r>
      <w:r>
        <w:t xml:space="preserve"> </w:t>
      </w:r>
      <w:r>
        <w:rPr>
          <w:iCs/>
          <w:i/>
        </w:rPr>
        <w:t xml:space="preserve">J Clin Psychopharmacol</w:t>
      </w:r>
      <w:r>
        <w:t xml:space="preserve"> </w:t>
      </w:r>
      <w:r>
        <w:t xml:space="preserve">· Effects of Oxytocin on Emotion Recognition in Schizophrenia: A Randomized Double-Blind Pilot Study. PMID 33587397</w:t>
      </w:r>
    </w:p>
    <w:p>
      <w:pPr>
        <w:numPr>
          <w:ilvl w:val="0"/>
          <w:numId w:val="1419"/>
        </w:numPr>
        <w:pStyle w:val="Compact"/>
      </w:pPr>
      <w:r>
        <w:t xml:space="preserve">2021 · Kou J ·</w:t>
      </w:r>
      <w:r>
        <w:t xml:space="preserve"> </w:t>
      </w:r>
      <w:r>
        <w:rPr>
          <w:iCs/>
          <w:i/>
        </w:rPr>
        <w:t xml:space="preserve">Transl Psychiatry</w:t>
      </w:r>
      <w:r>
        <w:t xml:space="preserve"> </w:t>
      </w:r>
      <w:r>
        <w:t xml:space="preserve">· In the nose or on the tongue? Contrasting motivational effects of oral and intranasal oxytocin on arousal and reward during social processing. PMID 33542175</w:t>
      </w:r>
    </w:p>
    <w:p>
      <w:pPr>
        <w:numPr>
          <w:ilvl w:val="0"/>
          <w:numId w:val="1419"/>
        </w:numPr>
        <w:pStyle w:val="Compact"/>
      </w:pPr>
      <w:r>
        <w:t xml:space="preserve">2021 · Martins D ·</w:t>
      </w:r>
      <w:r>
        <w:t xml:space="preserve"> </w:t>
      </w:r>
      <w:r>
        <w:rPr>
          <w:iCs/>
          <w:i/>
        </w:rPr>
        <w:t xml:space="preserve">Commun Biol</w:t>
      </w:r>
      <w:r>
        <w:t xml:space="preserve"> </w:t>
      </w:r>
      <w:r>
        <w:t xml:space="preserve">· Oxytocin modulates local topography of human functional connectome in healthy men at rest. PMID 33452496</w:t>
      </w:r>
    </w:p>
    <w:p>
      <w:pPr>
        <w:numPr>
          <w:ilvl w:val="0"/>
          <w:numId w:val="1419"/>
        </w:numPr>
        <w:pStyle w:val="Compact"/>
      </w:pPr>
      <w:r>
        <w:t xml:space="preserve">2021 · Melby K ·</w:t>
      </w:r>
      <w:r>
        <w:t xml:space="preserve"> </w:t>
      </w:r>
      <w:r>
        <w:rPr>
          <w:iCs/>
          <w:i/>
        </w:rPr>
        <w:t xml:space="preserve">Alcohol Alcohol</w:t>
      </w:r>
      <w:r>
        <w:t xml:space="preserve"> </w:t>
      </w:r>
      <w:r>
        <w:t xml:space="preserve">· Efficacy of Self-Administered Intranasal Oxytocin on Alcohol Use and Craving After Detoxification in Patients With Alcohol Dependence. A Double-Blind Placebo-Controlled Trial. PMID 33352584</w:t>
      </w:r>
    </w:p>
    <w:p>
      <w:pPr>
        <w:numPr>
          <w:ilvl w:val="0"/>
          <w:numId w:val="1419"/>
        </w:numPr>
        <w:pStyle w:val="Compact"/>
      </w:pPr>
      <w:r>
        <w:t xml:space="preserve">2021 · Radke S ·</w:t>
      </w:r>
      <w:r>
        <w:t xml:space="preserve"> </w:t>
      </w:r>
      <w:r>
        <w:rPr>
          <w:iCs/>
          <w:i/>
        </w:rPr>
        <w:t xml:space="preserve">Soc Cogn Affect Neurosci</w:t>
      </w:r>
      <w:r>
        <w:t xml:space="preserve"> </w:t>
      </w:r>
      <w:r>
        <w:t xml:space="preserve">· Neurobiobehavioral responses to virtual social rejection in females-exploring the influence of oxytocin. PMID 33326562</w:t>
      </w:r>
    </w:p>
    <w:p>
      <w:pPr>
        <w:numPr>
          <w:ilvl w:val="0"/>
          <w:numId w:val="1419"/>
        </w:numPr>
        <w:pStyle w:val="Compact"/>
      </w:pPr>
      <w:r>
        <w:t xml:space="preserve">2021 · Alaerts K ·</w:t>
      </w:r>
      <w:r>
        <w:t xml:space="preserve"> </w:t>
      </w:r>
      <w:r>
        <w:rPr>
          <w:iCs/>
          <w:i/>
        </w:rPr>
        <w:t xml:space="preserve">Eur Neuropsychopharmacol</w:t>
      </w:r>
      <w:r>
        <w:t xml:space="preserve"> </w:t>
      </w:r>
      <w:r>
        <w:t xml:space="preserve">· Changes in endogenous oxytocin levels after intranasal oxytocin treatment in adult men with autism: An exploratory study with long-term follow-up. PMID 33309460</w:t>
      </w:r>
    </w:p>
    <w:p>
      <w:pPr>
        <w:numPr>
          <w:ilvl w:val="0"/>
          <w:numId w:val="1419"/>
        </w:numPr>
        <w:pStyle w:val="Compact"/>
      </w:pPr>
      <w:r>
        <w:t xml:space="preserve">2021 · Damen L ·</w:t>
      </w:r>
      <w:r>
        <w:t xml:space="preserve"> </w:t>
      </w:r>
      <w:r>
        <w:rPr>
          <w:iCs/>
          <w:i/>
        </w:rPr>
        <w:t xml:space="preserve">Clin Endocrinol (Oxf)</w:t>
      </w:r>
      <w:r>
        <w:t xml:space="preserve"> </w:t>
      </w:r>
      <w:r>
        <w:t xml:space="preserve">· Oxytocin in young children with Prader-Willi syndrome: Results of a randomized, double-blind, placebo-controlled, crossover trial investigating 3 months of oxytocin. PMID 33296519</w:t>
      </w:r>
    </w:p>
    <w:p>
      <w:pPr>
        <w:numPr>
          <w:ilvl w:val="0"/>
          <w:numId w:val="1419"/>
        </w:numPr>
        <w:pStyle w:val="Compact"/>
      </w:pPr>
      <w:r>
        <w:t xml:space="preserve">2021 · Meusel M ·</w:t>
      </w:r>
      <w:r>
        <w:t xml:space="preserve"> </w:t>
      </w:r>
      <w:r>
        <w:rPr>
          <w:iCs/>
          <w:i/>
        </w:rPr>
        <w:t xml:space="preserve">Am J Physiol Regul Integr Comp Physiol</w:t>
      </w:r>
      <w:r>
        <w:t xml:space="preserve"> </w:t>
      </w:r>
      <w:r>
        <w:t xml:space="preserve">· Intranasal oxytocin has sympathoexcitatory effects on vascular tone in healthy males. PMID 33296278</w:t>
      </w:r>
    </w:p>
    <w:p>
      <w:pPr>
        <w:numPr>
          <w:ilvl w:val="0"/>
          <w:numId w:val="1419"/>
        </w:numPr>
        <w:pStyle w:val="Compact"/>
      </w:pPr>
      <w:r>
        <w:t xml:space="preserve">2021 · Zhuang Q ·</w:t>
      </w:r>
      <w:r>
        <w:t xml:space="preserve"> </w:t>
      </w:r>
      <w:r>
        <w:rPr>
          <w:iCs/>
          <w:i/>
        </w:rPr>
        <w:t xml:space="preserve">J Psychopharmacol</w:t>
      </w:r>
      <w:r>
        <w:t xml:space="preserve"> </w:t>
      </w:r>
      <w:r>
        <w:t xml:space="preserve">· Oxytocin-induced facilitation of learning in a probabilistic task is associated with reduced feedback- and error-related negativity potentials. PMID 33274683</w:t>
      </w:r>
    </w:p>
    <w:p>
      <w:pPr>
        <w:numPr>
          <w:ilvl w:val="0"/>
          <w:numId w:val="1419"/>
        </w:numPr>
        <w:pStyle w:val="Compact"/>
      </w:pPr>
      <w:r>
        <w:t xml:space="preserve">2021 · Dou H ·</w:t>
      </w:r>
      <w:r>
        <w:t xml:space="preserve"> </w:t>
      </w:r>
      <w:r>
        <w:rPr>
          <w:iCs/>
          <w:i/>
        </w:rPr>
        <w:t xml:space="preserve">Psychopharmacology (Berl)</w:t>
      </w:r>
      <w:r>
        <w:t xml:space="preserve"> </w:t>
      </w:r>
      <w:r>
        <w:t xml:space="preserve">· Intranasal oxytocin decreases fear generalization in males, but does not modulate discrimination threshold. PMID 33241482</w:t>
      </w:r>
    </w:p>
    <w:p>
      <w:pPr>
        <w:numPr>
          <w:ilvl w:val="0"/>
          <w:numId w:val="1419"/>
        </w:numPr>
        <w:pStyle w:val="Compact"/>
      </w:pPr>
      <w:r>
        <w:t xml:space="preserve">2021 · Plessow F ·</w:t>
      </w:r>
      <w:r>
        <w:t xml:space="preserve"> </w:t>
      </w:r>
      <w:r>
        <w:rPr>
          <w:iCs/>
          <w:i/>
        </w:rPr>
        <w:t xml:space="preserve">Obesity (Silver Spring)</w:t>
      </w:r>
      <w:r>
        <w:t xml:space="preserve"> </w:t>
      </w:r>
      <w:r>
        <w:t xml:space="preserve">· Oxytocin Administration Increases Proactive Control in Men with Overweight or Obesity: A Randomized, Double-Blind, Placebo-Controlled Crossover Study. PMID 33225615</w:t>
      </w:r>
    </w:p>
    <w:p>
      <w:pPr>
        <w:numPr>
          <w:ilvl w:val="0"/>
          <w:numId w:val="1419"/>
        </w:numPr>
        <w:pStyle w:val="Compact"/>
      </w:pPr>
      <w:r>
        <w:t xml:space="preserve">2021 · Hollander E ·</w:t>
      </w:r>
      <w:r>
        <w:t xml:space="preserve"> </w:t>
      </w:r>
      <w:r>
        <w:rPr>
          <w:iCs/>
          <w:i/>
        </w:rPr>
        <w:t xml:space="preserve">J Psychiatr Res</w:t>
      </w:r>
      <w:r>
        <w:t xml:space="preserve"> </w:t>
      </w:r>
      <w:r>
        <w:t xml:space="preserve">· Intranasal oxytocin versus placebo for hyperphagia and repetitive behaviors in children with Prader-Willi Syndrome: A randomized controlled pilot trial. PMID 33190843</w:t>
      </w:r>
    </w:p>
    <w:p>
      <w:pPr>
        <w:numPr>
          <w:ilvl w:val="0"/>
          <w:numId w:val="1419"/>
        </w:numPr>
        <w:pStyle w:val="Compact"/>
      </w:pPr>
      <w:r>
        <w:t xml:space="preserve">2021 · Liao Z ·</w:t>
      </w:r>
      <w:r>
        <w:t xml:space="preserve"> </w:t>
      </w:r>
      <w:r>
        <w:rPr>
          <w:iCs/>
          <w:i/>
        </w:rPr>
        <w:t xml:space="preserve">Psychopharmacology (Berl)</w:t>
      </w:r>
      <w:r>
        <w:t xml:space="preserve"> </w:t>
      </w:r>
      <w:r>
        <w:t xml:space="preserve">· Intranasal oxytocin decreases self-oriented learning. PMID 33156402</w:t>
      </w:r>
    </w:p>
    <w:p>
      <w:pPr>
        <w:numPr>
          <w:ilvl w:val="0"/>
          <w:numId w:val="1419"/>
        </w:numPr>
        <w:pStyle w:val="Compact"/>
      </w:pPr>
      <w:r>
        <w:t xml:space="preserve">2021 · Flynn MJ ·</w:t>
      </w:r>
      <w:r>
        <w:t xml:space="preserve"> </w:t>
      </w:r>
      <w:r>
        <w:rPr>
          <w:iCs/>
          <w:i/>
        </w:rPr>
        <w:t xml:space="preserve">Int J Gynaecol Obstet</w:t>
      </w:r>
      <w:r>
        <w:t xml:space="preserve"> </w:t>
      </w:r>
      <w:r>
        <w:t xml:space="preserve">· Intranasal oxytocin as a treatment for chronic pelvic pain: A randomized controlled feasibility study. PMID 33112417</w:t>
      </w:r>
    </w:p>
    <w:p>
      <w:pPr>
        <w:numPr>
          <w:ilvl w:val="0"/>
          <w:numId w:val="1419"/>
        </w:numPr>
        <w:pStyle w:val="Compact"/>
      </w:pPr>
      <w:r>
        <w:t xml:space="preserve">2021 · Riem MME ·</w:t>
      </w:r>
      <w:r>
        <w:t xml:space="preserve"> </w:t>
      </w:r>
      <w:r>
        <w:rPr>
          <w:iCs/>
          <w:i/>
        </w:rPr>
        <w:t xml:space="preserve">J Affect Disord</w:t>
      </w:r>
      <w:r>
        <w:t xml:space="preserve"> </w:t>
      </w:r>
      <w:r>
        <w:t xml:space="preserve">· Intranasal oxytocin and the stress-buffering effects of social support during experimentally induced pain: The role of attachment security. PMID 32961410</w:t>
      </w:r>
    </w:p>
    <w:p>
      <w:pPr>
        <w:numPr>
          <w:ilvl w:val="0"/>
          <w:numId w:val="1419"/>
        </w:numPr>
        <w:pStyle w:val="Compact"/>
      </w:pPr>
      <w:r>
        <w:t xml:space="preserve">2020 · Melkonyan A ·</w:t>
      </w:r>
      <w:r>
        <w:t xml:space="preserve"> </w:t>
      </w:r>
      <w:r>
        <w:rPr>
          <w:iCs/>
          <w:i/>
        </w:rPr>
        <w:t xml:space="preserve">J Neuroendocrinol</w:t>
      </w:r>
      <w:r>
        <w:t xml:space="preserve"> </w:t>
      </w:r>
      <w:r>
        <w:t xml:space="preserve">· Unchanged food approach-avoidance behaviour of healthy men after oxytocin administration. PMID 33314397</w:t>
      </w:r>
    </w:p>
    <w:p>
      <w:pPr>
        <w:numPr>
          <w:ilvl w:val="0"/>
          <w:numId w:val="1419"/>
        </w:numPr>
        <w:pStyle w:val="Compact"/>
      </w:pPr>
      <w:r>
        <w:t xml:space="preserve">2020 · Ma Y ·</w:t>
      </w:r>
      <w:r>
        <w:t xml:space="preserve"> </w:t>
      </w:r>
      <w:r>
        <w:rPr>
          <w:iCs/>
          <w:i/>
        </w:rPr>
        <w:t xml:space="preserve">Biol Psychol</w:t>
      </w:r>
      <w:r>
        <w:t xml:space="preserve"> </w:t>
      </w:r>
      <w:r>
        <w:t xml:space="preserve">· Intranasal oxytocin attenuates insula activity in response to dynamic angry faces. PMID 33157152</w:t>
      </w:r>
    </w:p>
    <w:p>
      <w:pPr>
        <w:numPr>
          <w:ilvl w:val="0"/>
          <w:numId w:val="1419"/>
        </w:numPr>
        <w:pStyle w:val="Compact"/>
      </w:pPr>
      <w:r>
        <w:t xml:space="preserve">2020 · Oliver LD ·</w:t>
      </w:r>
      <w:r>
        <w:t xml:space="preserve"> </w:t>
      </w:r>
      <w:r>
        <w:rPr>
          <w:iCs/>
          <w:i/>
        </w:rPr>
        <w:t xml:space="preserve">Neurology</w:t>
      </w:r>
      <w:r>
        <w:t xml:space="preserve"> </w:t>
      </w:r>
      <w:r>
        <w:t xml:space="preserve">· Neural effects of oxytocin and mimicry in frontotemporal dementia: A randomized crossover study. PMID 32963103</w:t>
      </w:r>
    </w:p>
    <w:p>
      <w:pPr>
        <w:numPr>
          <w:ilvl w:val="0"/>
          <w:numId w:val="1419"/>
        </w:numPr>
        <w:pStyle w:val="Compact"/>
      </w:pPr>
      <w:r>
        <w:t xml:space="preserve">2020 · Hovey D ·</w:t>
      </w:r>
      <w:r>
        <w:t xml:space="preserve"> </w:t>
      </w:r>
      <w:r>
        <w:rPr>
          <w:iCs/>
          <w:i/>
        </w:rPr>
        <w:t xml:space="preserve">Transl Psychiatry</w:t>
      </w:r>
      <w:r>
        <w:t xml:space="preserve"> </w:t>
      </w:r>
      <w:r>
        <w:t xml:space="preserve">· The effect of intranasal oxytocin on visual processing and salience of human faces. PMID 32951002</w:t>
      </w:r>
    </w:p>
    <w:p>
      <w:pPr>
        <w:numPr>
          <w:ilvl w:val="0"/>
          <w:numId w:val="1419"/>
        </w:numPr>
        <w:pStyle w:val="Compact"/>
      </w:pPr>
      <w:r>
        <w:t xml:space="preserve">2020 · Jain V ·</w:t>
      </w:r>
      <w:r>
        <w:t xml:space="preserve"> </w:t>
      </w:r>
      <w:r>
        <w:rPr>
          <w:iCs/>
          <w:i/>
        </w:rPr>
        <w:t xml:space="preserve">Sleep Med</w:t>
      </w:r>
      <w:r>
        <w:t xml:space="preserve"> </w:t>
      </w:r>
      <w:r>
        <w:t xml:space="preserve">· Intranasal oxytocin increases respiratory rate and reduces obstructive event duration and oxygen desaturation in obstructive sleep apnea patients: a randomized double blinded placebo controlled study. PMID 32862007</w:t>
      </w:r>
    </w:p>
    <w:p>
      <w:pPr>
        <w:numPr>
          <w:ilvl w:val="0"/>
          <w:numId w:val="1419"/>
        </w:numPr>
        <w:pStyle w:val="Compact"/>
      </w:pPr>
      <w:r>
        <w:t xml:space="preserve">2020 · Chen Y ·</w:t>
      </w:r>
      <w:r>
        <w:t xml:space="preserve"> </w:t>
      </w:r>
      <w:r>
        <w:rPr>
          <w:iCs/>
          <w:i/>
        </w:rPr>
        <w:t xml:space="preserve">Eur Neuropsychopharmacol</w:t>
      </w:r>
      <w:r>
        <w:t xml:space="preserve"> </w:t>
      </w:r>
      <w:r>
        <w:t xml:space="preserve">· Oxytocin increases the pleasantness of affective touch and orbitofrontal cortex activity independent of valence. PMID 32861545</w:t>
      </w:r>
    </w:p>
    <w:p>
      <w:pPr>
        <w:numPr>
          <w:ilvl w:val="0"/>
          <w:numId w:val="1419"/>
        </w:numPr>
        <w:pStyle w:val="Compact"/>
      </w:pPr>
      <w:r>
        <w:t xml:space="preserve">2020 · Wang T ·</w:t>
      </w:r>
      <w:r>
        <w:t xml:space="preserve"> </w:t>
      </w:r>
      <w:r>
        <w:rPr>
          <w:iCs/>
          <w:i/>
        </w:rPr>
        <w:t xml:space="preserve">Pharmacol Biochem Behav</w:t>
      </w:r>
      <w:r>
        <w:t xml:space="preserve"> </w:t>
      </w:r>
      <w:r>
        <w:t xml:space="preserve">· Attachment anxiety moderates the effect of oxytocin on negative emotion recognition: Evidence from eye-movement data. PMID 32835786</w:t>
      </w:r>
    </w:p>
    <w:p>
      <w:pPr>
        <w:numPr>
          <w:ilvl w:val="0"/>
          <w:numId w:val="1419"/>
        </w:numPr>
        <w:pStyle w:val="Compact"/>
      </w:pPr>
      <w:r>
        <w:t xml:space="preserve">2020 · Morrison TE ·</w:t>
      </w:r>
      <w:r>
        <w:t xml:space="preserve"> </w:t>
      </w:r>
      <w:r>
        <w:rPr>
          <w:iCs/>
          <w:i/>
        </w:rPr>
        <w:t xml:space="preserve">Psychoneuroendocrinology</w:t>
      </w:r>
      <w:r>
        <w:t xml:space="preserve"> </w:t>
      </w:r>
      <w:r>
        <w:t xml:space="preserve">· Automatic Imitation in Comorbid PTSD &amp; Alcohol Use Disorder and Controls: an RCT of Intranasal Oxytocin. PMID 32745891</w:t>
      </w:r>
    </w:p>
    <w:p>
      <w:pPr>
        <w:numPr>
          <w:ilvl w:val="0"/>
          <w:numId w:val="1419"/>
        </w:numPr>
        <w:pStyle w:val="Compact"/>
      </w:pPr>
      <w:r>
        <w:t xml:space="preserve">2020 · Sippel LM ·</w:t>
      </w:r>
      <w:r>
        <w:t xml:space="preserve"> </w:t>
      </w:r>
      <w:r>
        <w:rPr>
          <w:iCs/>
          <w:i/>
        </w:rPr>
        <w:t xml:space="preserve">J Clin Psychopharmacol</w:t>
      </w:r>
      <w:r>
        <w:t xml:space="preserve"> </w:t>
      </w:r>
      <w:r>
        <w:t xml:space="preserve">· A Preliminary Examination of Endogenous Peripheral Oxytocin in a Pilot Randomized Clinical Trial of Oxytocin-Enhanced Psychotherapy for Posttraumatic Stress Disorder. PMID 32639293</w:t>
      </w:r>
    </w:p>
    <w:p>
      <w:pPr>
        <w:numPr>
          <w:ilvl w:val="0"/>
          <w:numId w:val="1419"/>
        </w:numPr>
        <w:pStyle w:val="Compact"/>
      </w:pPr>
      <w:r>
        <w:t xml:space="preserve">2020 · Borowiak K ·</w:t>
      </w:r>
      <w:r>
        <w:t xml:space="preserve"> </w:t>
      </w:r>
      <w:r>
        <w:rPr>
          <w:iCs/>
          <w:i/>
        </w:rPr>
        <w:t xml:space="preserve">Transl Psychiatry</w:t>
      </w:r>
      <w:r>
        <w:t xml:space="preserve"> </w:t>
      </w:r>
      <w:r>
        <w:t xml:space="preserve">· Intranasal oxytocin modulates brain responses to voice-identity recognition in typically developing individuals, but not in ASD. PMID 32636360</w:t>
      </w:r>
    </w:p>
    <w:p>
      <w:pPr>
        <w:numPr>
          <w:ilvl w:val="0"/>
          <w:numId w:val="1419"/>
        </w:numPr>
        <w:pStyle w:val="Compact"/>
      </w:pPr>
      <w:r>
        <w:t xml:space="preserve">2020 · Demartini B ·</w:t>
      </w:r>
      <w:r>
        <w:t xml:space="preserve"> </w:t>
      </w:r>
      <w:r>
        <w:rPr>
          <w:iCs/>
          <w:i/>
        </w:rPr>
        <w:t xml:space="preserve">J Clin Psychopharmacol</w:t>
      </w:r>
      <w:r>
        <w:t xml:space="preserve"> </w:t>
      </w:r>
      <w:r>
        <w:t xml:space="preserve">· The Effect of Intranasal Oxytocin in Patients With Functional Motor Symptoms: A Preliminary Open-Label Case Series. PMID 32604129</w:t>
      </w:r>
    </w:p>
    <w:p>
      <w:pPr>
        <w:numPr>
          <w:ilvl w:val="0"/>
          <w:numId w:val="1419"/>
        </w:numPr>
        <w:pStyle w:val="Compact"/>
      </w:pPr>
      <w:r>
        <w:t xml:space="preserve">2020 · Martins D ·</w:t>
      </w:r>
      <w:r>
        <w:t xml:space="preserve"> </w:t>
      </w:r>
      <w:r>
        <w:rPr>
          <w:iCs/>
          <w:i/>
        </w:rPr>
        <w:t xml:space="preserve">Transl Psychiatry</w:t>
      </w:r>
      <w:r>
        <w:t xml:space="preserve"> </w:t>
      </w:r>
      <w:r>
        <w:t xml:space="preserve">· Investigating resting brain perfusion abnormalities and disease target-engagement by intranasal oxytocin in women with bulimia nervosa and binge-eating disorder and healthy controls. PMID 32513936</w:t>
      </w:r>
    </w:p>
    <w:p>
      <w:pPr>
        <w:numPr>
          <w:ilvl w:val="0"/>
          <w:numId w:val="1419"/>
        </w:numPr>
        <w:pStyle w:val="Compact"/>
      </w:pPr>
      <w:r>
        <w:t xml:space="preserve">2020 · Le J ·</w:t>
      </w:r>
      <w:r>
        <w:t xml:space="preserve"> </w:t>
      </w:r>
      <w:r>
        <w:rPr>
          <w:iCs/>
          <w:i/>
        </w:rPr>
        <w:t xml:space="preserve">Transl Psychiatry</w:t>
      </w:r>
      <w:r>
        <w:t xml:space="preserve"> </w:t>
      </w:r>
      <w:r>
        <w:t xml:space="preserve">· Oxytocin biases eye-gaze to dynamic and static social images and the eyes of fearful faces: associations with trait autism. PMID 32398642</w:t>
      </w:r>
    </w:p>
    <w:p>
      <w:pPr>
        <w:numPr>
          <w:ilvl w:val="0"/>
          <w:numId w:val="1419"/>
        </w:numPr>
        <w:pStyle w:val="Compact"/>
      </w:pPr>
      <w:r>
        <w:t xml:space="preserve">2020 · Sherman BJ ·</w:t>
      </w:r>
      <w:r>
        <w:t xml:space="preserve"> </w:t>
      </w:r>
      <w:r>
        <w:rPr>
          <w:iCs/>
          <w:i/>
        </w:rPr>
        <w:t xml:space="preserve">Psychopharmacology (Berl)</w:t>
      </w:r>
      <w:r>
        <w:t xml:space="preserve"> </w:t>
      </w:r>
      <w:r>
        <w:t xml:space="preserve">· The effect of oxytocin, gender, and ovarian hormones on stress reactivity in individuals with cocaine use disorder. PMID 32388622</w:t>
      </w:r>
    </w:p>
    <w:p>
      <w:pPr>
        <w:numPr>
          <w:ilvl w:val="0"/>
          <w:numId w:val="1419"/>
        </w:numPr>
        <w:pStyle w:val="Compact"/>
      </w:pPr>
      <w:r>
        <w:t xml:space="preserve">2020 · Pfeifer AC ·</w:t>
      </w:r>
      <w:r>
        <w:t xml:space="preserve"> </w:t>
      </w:r>
      <w:r>
        <w:rPr>
          <w:iCs/>
          <w:i/>
        </w:rPr>
        <w:t xml:space="preserve">Mol Pain</w:t>
      </w:r>
      <w:r>
        <w:t xml:space="preserve"> </w:t>
      </w:r>
      <w:r>
        <w:t xml:space="preserve">· Oxytocin and positive couple interaction affect the perception of wound pain in everyday life. PMID 32308117</w:t>
      </w:r>
    </w:p>
    <w:p>
      <w:pPr>
        <w:numPr>
          <w:ilvl w:val="0"/>
          <w:numId w:val="1419"/>
        </w:numPr>
        <w:pStyle w:val="Compact"/>
      </w:pPr>
      <w:r>
        <w:t xml:space="preserve">2020 · Sabino ADV ·</w:t>
      </w:r>
      <w:r>
        <w:t xml:space="preserve"> </w:t>
      </w:r>
      <w:r>
        <w:rPr>
          <w:iCs/>
          <w:i/>
        </w:rPr>
        <w:t xml:space="preserve">Psychopharmacology (Berl)</w:t>
      </w:r>
      <w:r>
        <w:t xml:space="preserve"> </w:t>
      </w:r>
      <w:r>
        <w:t xml:space="preserve">· Acute effects of oxytocin in music performance anxiety: a crossover, randomized, placebo-controlled trial. PMID 32123973</w:t>
      </w:r>
    </w:p>
    <w:p>
      <w:pPr>
        <w:numPr>
          <w:ilvl w:val="0"/>
          <w:numId w:val="1419"/>
        </w:numPr>
        <w:pStyle w:val="Compact"/>
      </w:pPr>
      <w:r>
        <w:t xml:space="preserve">2020 · Wu Q ·</w:t>
      </w:r>
      <w:r>
        <w:t xml:space="preserve"> </w:t>
      </w:r>
      <w:r>
        <w:rPr>
          <w:iCs/>
          <w:i/>
        </w:rPr>
        <w:t xml:space="preserve">Psychoneuroendocrinology</w:t>
      </w:r>
      <w:r>
        <w:t xml:space="preserve"> </w:t>
      </w:r>
      <w:r>
        <w:t xml:space="preserve">· Oxytocin alters the effect of payoff but not base rate in emotion perception. PMID 32070797</w:t>
      </w:r>
    </w:p>
    <w:p>
      <w:pPr>
        <w:numPr>
          <w:ilvl w:val="0"/>
          <w:numId w:val="1419"/>
        </w:numPr>
        <w:pStyle w:val="Compact"/>
      </w:pPr>
      <w:r>
        <w:t xml:space="preserve">2020 · Melby K ·</w:t>
      </w:r>
      <w:r>
        <w:t xml:space="preserve"> </w:t>
      </w:r>
      <w:r>
        <w:rPr>
          <w:iCs/>
          <w:i/>
        </w:rPr>
        <w:t xml:space="preserve">PLoS One</w:t>
      </w:r>
      <w:r>
        <w:t xml:space="preserve"> </w:t>
      </w:r>
      <w:r>
        <w:t xml:space="preserve">· Actigraphy assessment of motor activity and sleep in patients with alcohol withdrawal syndrome and the effects of intranasal oxytocin. PMID 32053696</w:t>
      </w:r>
    </w:p>
    <w:p>
      <w:pPr>
        <w:numPr>
          <w:ilvl w:val="0"/>
          <w:numId w:val="1419"/>
        </w:numPr>
        <w:pStyle w:val="Compact"/>
      </w:pPr>
      <w:r>
        <w:t xml:space="preserve">2020 · Agurto C ·</w:t>
      </w:r>
      <w:r>
        <w:t xml:space="preserve"> </w:t>
      </w:r>
      <w:r>
        <w:rPr>
          <w:iCs/>
          <w:i/>
        </w:rPr>
        <w:t xml:space="preserve">Neuropsychopharmacology</w:t>
      </w:r>
      <w:r>
        <w:t xml:space="preserve"> </w:t>
      </w:r>
      <w:r>
        <w:t xml:space="preserve">· Detection of acute 3,4-methylenedioxymethamphetamine (MDMA) effects across protocols using automated natural language processing. PMID 31978933</w:t>
      </w:r>
    </w:p>
    <w:p>
      <w:pPr>
        <w:numPr>
          <w:ilvl w:val="0"/>
          <w:numId w:val="1419"/>
        </w:numPr>
        <w:pStyle w:val="Compact"/>
      </w:pPr>
      <w:r>
        <w:t xml:space="preserve">2020 · Bernaerts S ·</w:t>
      </w:r>
      <w:r>
        <w:t xml:space="preserve"> </w:t>
      </w:r>
      <w:r>
        <w:rPr>
          <w:iCs/>
          <w:i/>
        </w:rPr>
        <w:t xml:space="preserve">Mol Autism</w:t>
      </w:r>
      <w:r>
        <w:t xml:space="preserve"> </w:t>
      </w:r>
      <w:r>
        <w:t xml:space="preserve">· Behavioral effects of multiple-dose oxytocin treatment in autism: a randomized, placebo-controlled trial with long-term follow-up. PMID 31969977</w:t>
      </w:r>
    </w:p>
    <w:p>
      <w:pPr>
        <w:numPr>
          <w:ilvl w:val="0"/>
          <w:numId w:val="1419"/>
        </w:numPr>
        <w:pStyle w:val="Compact"/>
      </w:pPr>
      <w:r>
        <w:t xml:space="preserve">2020 · Sindermann C ·</w:t>
      </w:r>
      <w:r>
        <w:t xml:space="preserve"> </w:t>
      </w:r>
      <w:r>
        <w:rPr>
          <w:iCs/>
          <w:i/>
        </w:rPr>
        <w:t xml:space="preserve">Brain Behav</w:t>
      </w:r>
      <w:r>
        <w:t xml:space="preserve"> </w:t>
      </w:r>
      <w:r>
        <w:t xml:space="preserve">· The role of oxytocin on self-serving lying. PMID 31930678</w:t>
      </w:r>
    </w:p>
    <w:p>
      <w:pPr>
        <w:numPr>
          <w:ilvl w:val="0"/>
          <w:numId w:val="1419"/>
        </w:numPr>
        <w:pStyle w:val="Compact"/>
      </w:pPr>
      <w:r>
        <w:t xml:space="preserve">2020 · McClure EA ·</w:t>
      </w:r>
      <w:r>
        <w:t xml:space="preserve"> </w:t>
      </w:r>
      <w:r>
        <w:rPr>
          <w:iCs/>
          <w:i/>
        </w:rPr>
        <w:t xml:space="preserve">Psychopharmacology (Berl)</w:t>
      </w:r>
      <w:r>
        <w:t xml:space="preserve"> </w:t>
      </w:r>
      <w:r>
        <w:t xml:space="preserve">· The influence of gender and oxytocin on stress reactivity, cigarette craving, and smoking in a randomized, placebo-controlled laboratory relapse paradigm. PMID 31792646</w:t>
      </w:r>
    </w:p>
    <w:p>
      <w:pPr>
        <w:numPr>
          <w:ilvl w:val="0"/>
          <w:numId w:val="1419"/>
        </w:numPr>
        <w:pStyle w:val="Compact"/>
      </w:pPr>
      <w:r>
        <w:t xml:space="preserve">2020 · Lieberz J ·</w:t>
      </w:r>
      <w:r>
        <w:t xml:space="preserve"> </w:t>
      </w:r>
      <w:r>
        <w:rPr>
          <w:iCs/>
          <w:i/>
        </w:rPr>
        <w:t xml:space="preserve">Neuropsychopharmacology</w:t>
      </w:r>
      <w:r>
        <w:t xml:space="preserve"> </w:t>
      </w:r>
      <w:r>
        <w:t xml:space="preserve">· Kinetics of oxytocin effects on amygdala and striatal reactivity vary between women and men. PMID 31785587</w:t>
      </w:r>
    </w:p>
    <w:p>
      <w:pPr>
        <w:numPr>
          <w:ilvl w:val="0"/>
          <w:numId w:val="1419"/>
        </w:numPr>
        <w:pStyle w:val="Compact"/>
      </w:pPr>
      <w:r>
        <w:t xml:space="preserve">2020 · Verhees MWFT ·</w:t>
      </w:r>
      <w:r>
        <w:t xml:space="preserve"> </w:t>
      </w:r>
      <w:r>
        <w:rPr>
          <w:iCs/>
          <w:i/>
        </w:rPr>
        <w:t xml:space="preserve">J Behav Ther Exp Psychiatry</w:t>
      </w:r>
      <w:r>
        <w:t xml:space="preserve"> </w:t>
      </w:r>
      <w:r>
        <w:t xml:space="preserve">· Combining oxytocin and cognitive bias modification training in a randomized controlled trial: Effects on trust in maternal support. PMID 31610435</w:t>
      </w:r>
    </w:p>
    <w:p>
      <w:pPr>
        <w:numPr>
          <w:ilvl w:val="0"/>
          <w:numId w:val="1419"/>
        </w:numPr>
        <w:pStyle w:val="Compact"/>
      </w:pPr>
      <w:r>
        <w:t xml:space="preserve">2020 · Zhao W ·</w:t>
      </w:r>
      <w:r>
        <w:t xml:space="preserve"> </w:t>
      </w:r>
      <w:r>
        <w:rPr>
          <w:iCs/>
          <w:i/>
        </w:rPr>
        <w:t xml:space="preserve">Prog Neuropsychopharmacol Biol Psychiatry</w:t>
      </w:r>
      <w:r>
        <w:t xml:space="preserve"> </w:t>
      </w:r>
      <w:r>
        <w:t xml:space="preserve">· Oxytocin modulation of self-referential processing is partly replicable and sensitive to oxytocin receptor genotype. PMID 31415827</w:t>
      </w:r>
    </w:p>
    <w:p>
      <w:pPr>
        <w:numPr>
          <w:ilvl w:val="0"/>
          <w:numId w:val="1419"/>
        </w:numPr>
        <w:pStyle w:val="Compact"/>
      </w:pPr>
      <w:r>
        <w:t xml:space="preserve">2020 · Van Hedger K ·</w:t>
      </w:r>
      <w:r>
        <w:t xml:space="preserve"> </w:t>
      </w:r>
      <w:r>
        <w:rPr>
          <w:iCs/>
          <w:i/>
        </w:rPr>
        <w:t xml:space="preserve">Nicotine Tob Res</w:t>
      </w:r>
      <w:r>
        <w:t xml:space="preserve"> </w:t>
      </w:r>
      <w:r>
        <w:t xml:space="preserve">· Effects of Intranasal Oxytocin on Stress-Induced Cigarette Craving in Daily Smokers. PMID 30085292</w:t>
      </w:r>
    </w:p>
    <w:p>
      <w:pPr>
        <w:numPr>
          <w:ilvl w:val="0"/>
          <w:numId w:val="1419"/>
        </w:numPr>
        <w:pStyle w:val="Compact"/>
      </w:pPr>
      <w:r>
        <w:t xml:space="preserve">2020 · Yamasue H ·</w:t>
      </w:r>
      <w:r>
        <w:t xml:space="preserve"> </w:t>
      </w:r>
      <w:r>
        <w:rPr>
          <w:iCs/>
          <w:i/>
        </w:rPr>
        <w:t xml:space="preserve">Mol Psychiatry</w:t>
      </w:r>
      <w:r>
        <w:t xml:space="preserve"> </w:t>
      </w:r>
      <w:r>
        <w:t xml:space="preserve">· Effect of intranasal oxytocin on the core social symptoms of autism spectrum disorder: a randomized clinical trial. PMID 29955161</w:t>
      </w:r>
    </w:p>
    <w:p>
      <w:pPr>
        <w:numPr>
          <w:ilvl w:val="0"/>
          <w:numId w:val="1419"/>
        </w:numPr>
        <w:pStyle w:val="Compact"/>
      </w:pPr>
      <w:r>
        <w:t xml:space="preserve">2019 · Domes G ·</w:t>
      </w:r>
      <w:r>
        <w:t xml:space="preserve"> </w:t>
      </w:r>
      <w:r>
        <w:rPr>
          <w:iCs/>
          <w:i/>
        </w:rPr>
        <w:t xml:space="preserve">Transl Psychiatry</w:t>
      </w:r>
      <w:r>
        <w:t xml:space="preserve"> </w:t>
      </w:r>
      <w:r>
        <w:t xml:space="preserve">· Effects of intranasal oxytocin administration on empathy and approach motivation in women with borderline personality disorder: a randomized controlled trial. PMID 31801937</w:t>
      </w:r>
    </w:p>
    <w:p>
      <w:pPr>
        <w:numPr>
          <w:ilvl w:val="0"/>
          <w:numId w:val="1419"/>
        </w:numPr>
        <w:pStyle w:val="Compact"/>
      </w:pPr>
      <w:r>
        <w:t xml:space="preserve">2019 · Burmester V ·</w:t>
      </w:r>
      <w:r>
        <w:t xml:space="preserve"> </w:t>
      </w:r>
      <w:r>
        <w:rPr>
          <w:iCs/>
          <w:i/>
        </w:rPr>
        <w:t xml:space="preserve">Physiol Behav</w:t>
      </w:r>
      <w:r>
        <w:t xml:space="preserve"> </w:t>
      </w:r>
      <w:r>
        <w:t xml:space="preserve">· Oxytocin reduces post-stress sweet snack intake in women without attenuating salivary cortisol. PMID 31628930</w:t>
      </w:r>
    </w:p>
    <w:p>
      <w:pPr>
        <w:numPr>
          <w:ilvl w:val="0"/>
          <w:numId w:val="1419"/>
        </w:numPr>
        <w:pStyle w:val="Compact"/>
      </w:pPr>
      <w:r>
        <w:t xml:space="preserve">2019 · Stauffer CS ·</w:t>
      </w:r>
      <w:r>
        <w:t xml:space="preserve"> </w:t>
      </w:r>
      <w:r>
        <w:rPr>
          <w:iCs/>
          <w:i/>
        </w:rPr>
        <w:t xml:space="preserve">Alcohol Clin Exp Res</w:t>
      </w:r>
      <w:r>
        <w:t xml:space="preserve"> </w:t>
      </w:r>
      <w:r>
        <w:t xml:space="preserve">· Effects of Oxytocin Administration on Cue-Induced Craving in Co-occurring Alcohol Use Disorder and PTSD: A Within-Participant Randomized Clinical Trial. PMID 31610033</w:t>
      </w:r>
    </w:p>
    <w:p>
      <w:pPr>
        <w:numPr>
          <w:ilvl w:val="0"/>
          <w:numId w:val="1419"/>
        </w:numPr>
        <w:pStyle w:val="Compact"/>
      </w:pPr>
      <w:r>
        <w:t xml:space="preserve">2019 · Bradley ER ·</w:t>
      </w:r>
      <w:r>
        <w:t xml:space="preserve"> </w:t>
      </w:r>
      <w:r>
        <w:rPr>
          <w:iCs/>
          <w:i/>
        </w:rPr>
        <w:t xml:space="preserve">Schizophr Res</w:t>
      </w:r>
      <w:r>
        <w:t xml:space="preserve"> </w:t>
      </w:r>
      <w:r>
        <w:t xml:space="preserve">· Oxytocin increases eye gaze in schizophrenia. PMID 31416746</w:t>
      </w:r>
    </w:p>
    <w:p>
      <w:pPr>
        <w:numPr>
          <w:ilvl w:val="0"/>
          <w:numId w:val="1419"/>
        </w:numPr>
        <w:pStyle w:val="Compact"/>
      </w:pPr>
      <w:r>
        <w:t xml:space="preserve">2019 · Fragkaki I ·</w:t>
      </w:r>
      <w:r>
        <w:t xml:space="preserve"> </w:t>
      </w:r>
      <w:r>
        <w:rPr>
          <w:iCs/>
          <w:i/>
        </w:rPr>
        <w:t xml:space="preserve">Horm Behav</w:t>
      </w:r>
      <w:r>
        <w:t xml:space="preserve"> </w:t>
      </w:r>
      <w:r>
        <w:t xml:space="preserve">· The effect of oxytocin administration on empathy and emotion recognition in residential youth: A randomized, within-subjects trial. PMID 31351105</w:t>
      </w:r>
    </w:p>
    <w:p>
      <w:pPr>
        <w:numPr>
          <w:ilvl w:val="0"/>
          <w:numId w:val="1419"/>
        </w:numPr>
        <w:pStyle w:val="Compact"/>
      </w:pPr>
      <w:r>
        <w:t xml:space="preserve">2019 · Bozorgmehr A ·</w:t>
      </w:r>
      <w:r>
        <w:t xml:space="preserve"> </w:t>
      </w:r>
      <w:r>
        <w:rPr>
          <w:iCs/>
          <w:i/>
        </w:rPr>
        <w:t xml:space="preserve">Neurosci Lett</w:t>
      </w:r>
      <w:r>
        <w:t xml:space="preserve"> </w:t>
      </w:r>
      <w:r>
        <w:t xml:space="preserve">· Oxytocin moderates risky decision-making during the Iowa Gambling Task: A new insight based on the role of oxytocin receptor gene polymorphisms and interventional cognitive study. PMID 31200092</w:t>
      </w:r>
    </w:p>
    <w:p>
      <w:pPr>
        <w:numPr>
          <w:ilvl w:val="0"/>
          <w:numId w:val="1419"/>
        </w:numPr>
        <w:pStyle w:val="Compact"/>
      </w:pPr>
      <w:r>
        <w:t xml:space="preserve">2019 · Grace SA ·</w:t>
      </w:r>
      <w:r>
        <w:t xml:space="preserve"> </w:t>
      </w:r>
      <w:r>
        <w:rPr>
          <w:iCs/>
          <w:i/>
        </w:rPr>
        <w:t xml:space="preserve">Psychoneuroendocrinology</w:t>
      </w:r>
      <w:r>
        <w:t xml:space="preserve"> </w:t>
      </w:r>
      <w:r>
        <w:t xml:space="preserve">· Intranasal oxytocin alters amygdala-temporal resting-state functional connectivity in body dysmorphic disorder: A double-blind placebo-controlled randomized trial. PMID 31146138</w:t>
      </w:r>
    </w:p>
    <w:p>
      <w:pPr>
        <w:numPr>
          <w:ilvl w:val="0"/>
          <w:numId w:val="1419"/>
        </w:numPr>
        <w:pStyle w:val="Compact"/>
      </w:pPr>
      <w:r>
        <w:t xml:space="preserve">2019 · Tabak BA ·</w:t>
      </w:r>
      <w:r>
        <w:t xml:space="preserve"> </w:t>
      </w:r>
      <w:r>
        <w:rPr>
          <w:iCs/>
          <w:i/>
        </w:rPr>
        <w:t xml:space="preserve">Psychoneuroendocrinology</w:t>
      </w:r>
      <w:r>
        <w:t xml:space="preserve"> </w:t>
      </w:r>
      <w:r>
        <w:t xml:space="preserve">· Null results of oxytocin and vasopressin administration across a range of social cognitive and behavioral paradigms: Evidence from a randomized controlled trial. PMID 31128568</w:t>
      </w:r>
    </w:p>
    <w:p>
      <w:pPr>
        <w:numPr>
          <w:ilvl w:val="0"/>
          <w:numId w:val="1419"/>
        </w:numPr>
        <w:pStyle w:val="Compact"/>
      </w:pPr>
      <w:r>
        <w:t xml:space="preserve">2019 · Petereit P ·</w:t>
      </w:r>
      <w:r>
        <w:t xml:space="preserve"> </w:t>
      </w:r>
      <w:r>
        <w:rPr>
          <w:iCs/>
          <w:i/>
        </w:rPr>
        <w:t xml:space="preserve">Biol Psychol</w:t>
      </w:r>
      <w:r>
        <w:t xml:space="preserve"> </w:t>
      </w:r>
      <w:r>
        <w:t xml:space="preserve">· Oxytocin reduces the link between neural and affective responses after social exclusion. PMID 31075364</w:t>
      </w:r>
    </w:p>
    <w:p>
      <w:pPr>
        <w:numPr>
          <w:ilvl w:val="0"/>
          <w:numId w:val="1419"/>
        </w:numPr>
        <w:pStyle w:val="Compact"/>
      </w:pPr>
      <w:r>
        <w:t xml:space="preserve">2019 · Bartz JA ·</w:t>
      </w:r>
      <w:r>
        <w:t xml:space="preserve"> </w:t>
      </w:r>
      <w:r>
        <w:rPr>
          <w:iCs/>
          <w:i/>
        </w:rPr>
        <w:t xml:space="preserve">Biol Psychiatry Cogn Neurosci Neuroimaging</w:t>
      </w:r>
      <w:r>
        <w:t xml:space="preserve"> </w:t>
      </w:r>
      <w:r>
        <w:t xml:space="preserve">· Oxytocin Selectively Improves Empathic Accuracy: A Replication in Men and Novel Insights in Women. PMID 30954442</w:t>
      </w:r>
    </w:p>
    <w:p>
      <w:pPr>
        <w:numPr>
          <w:ilvl w:val="0"/>
          <w:numId w:val="1419"/>
        </w:numPr>
        <w:pStyle w:val="Compact"/>
      </w:pPr>
      <w:r>
        <w:t xml:space="preserve">2019 · Melby K ·</w:t>
      </w:r>
      <w:r>
        <w:t xml:space="preserve"> </w:t>
      </w:r>
      <w:r>
        <w:rPr>
          <w:iCs/>
          <w:i/>
        </w:rPr>
        <w:t xml:space="preserve">Drug Alcohol Depend</w:t>
      </w:r>
      <w:r>
        <w:t xml:space="preserve"> </w:t>
      </w:r>
      <w:r>
        <w:t xml:space="preserve">· Effect of intranasal oxytocin on alcohol withdrawal syndrome: A randomized placebo-controlled double-blind clinical trial. PMID 30784955</w:t>
      </w:r>
    </w:p>
    <w:p>
      <w:pPr>
        <w:numPr>
          <w:ilvl w:val="0"/>
          <w:numId w:val="1419"/>
        </w:numPr>
        <w:pStyle w:val="Compact"/>
      </w:pPr>
      <w:r>
        <w:t xml:space="preserve">2019 · Davies C ·</w:t>
      </w:r>
      <w:r>
        <w:t xml:space="preserve"> </w:t>
      </w:r>
      <w:r>
        <w:rPr>
          <w:iCs/>
          <w:i/>
        </w:rPr>
        <w:t xml:space="preserve">Neuropsychopharmacology</w:t>
      </w:r>
      <w:r>
        <w:t xml:space="preserve"> </w:t>
      </w:r>
      <w:r>
        <w:t xml:space="preserve">· Oxytocin modulates hippocampal perfusion in people at clinical high risk for psychosis. PMID 30626906</w:t>
      </w:r>
    </w:p>
    <w:p>
      <w:pPr>
        <w:numPr>
          <w:ilvl w:val="0"/>
          <w:numId w:val="1419"/>
        </w:numPr>
        <w:pStyle w:val="Compact"/>
      </w:pPr>
      <w:r>
        <w:t xml:space="preserve">2019 · Fang A ·</w:t>
      </w:r>
      <w:r>
        <w:t xml:space="preserve"> </w:t>
      </w:r>
      <w:r>
        <w:rPr>
          <w:iCs/>
          <w:i/>
        </w:rPr>
        <w:t xml:space="preserve">Depress Anxiety</w:t>
      </w:r>
      <w:r>
        <w:t xml:space="preserve"> </w:t>
      </w:r>
      <w:r>
        <w:t xml:space="preserve">· Intranasal oxytocin modulates higher order social cognition in body dysmorphic disorder. PMID 30614171</w:t>
      </w:r>
    </w:p>
    <w:p>
      <w:pPr>
        <w:numPr>
          <w:ilvl w:val="0"/>
          <w:numId w:val="1419"/>
        </w:numPr>
        <w:pStyle w:val="Compact"/>
      </w:pPr>
      <w:r>
        <w:t xml:space="preserve">2019 · Leslie M ·</w:t>
      </w:r>
      <w:r>
        <w:t xml:space="preserve"> </w:t>
      </w:r>
      <w:r>
        <w:rPr>
          <w:iCs/>
          <w:i/>
        </w:rPr>
        <w:t xml:space="preserve">Mol Cell Endocrinol</w:t>
      </w:r>
      <w:r>
        <w:t xml:space="preserve"> </w:t>
      </w:r>
      <w:r>
        <w:t xml:space="preserve">· The influence of oxytocin on eating behaviours and stress in women with bulimia nervosa and binge eating disorder. PMID 30579958</w:t>
      </w:r>
    </w:p>
    <w:p>
      <w:pPr>
        <w:numPr>
          <w:ilvl w:val="0"/>
          <w:numId w:val="1419"/>
        </w:numPr>
        <w:pStyle w:val="Compact"/>
      </w:pPr>
      <w:r>
        <w:t xml:space="preserve">2019 · Crucianelli L ·</w:t>
      </w:r>
      <w:r>
        <w:t xml:space="preserve"> </w:t>
      </w:r>
      <w:r>
        <w:rPr>
          <w:iCs/>
          <w:i/>
        </w:rPr>
        <w:t xml:space="preserve">J Cogn Neurosci</w:t>
      </w:r>
      <w:r>
        <w:t xml:space="preserve"> </w:t>
      </w:r>
      <w:r>
        <w:t xml:space="preserve">· Embodied Precision: Intranasal Oxytocin Modulates Multisensory Integration. PMID 30562138</w:t>
      </w:r>
    </w:p>
    <w:p>
      <w:pPr>
        <w:numPr>
          <w:ilvl w:val="0"/>
          <w:numId w:val="1419"/>
        </w:numPr>
        <w:pStyle w:val="Compact"/>
      </w:pPr>
      <w:r>
        <w:t xml:space="preserve">2019 · Koch SBJ ·</w:t>
      </w:r>
      <w:r>
        <w:t xml:space="preserve"> </w:t>
      </w:r>
      <w:r>
        <w:rPr>
          <w:iCs/>
          <w:i/>
        </w:rPr>
        <w:t xml:space="preserve">Eur Neuropsychopharmacol</w:t>
      </w:r>
      <w:r>
        <w:t xml:space="preserve"> </w:t>
      </w:r>
      <w:r>
        <w:t xml:space="preserve">· Effects of intranasal oxytocin on distraction as emotion regulation strategy in patients with post-traumatic stress disorder. PMID 30554861</w:t>
      </w:r>
    </w:p>
    <w:p>
      <w:pPr>
        <w:numPr>
          <w:ilvl w:val="0"/>
          <w:numId w:val="1419"/>
        </w:numPr>
        <w:pStyle w:val="Compact"/>
      </w:pPr>
      <w:r>
        <w:t xml:space="preserve">2019 · Kruppa JA ·</w:t>
      </w:r>
      <w:r>
        <w:t xml:space="preserve"> </w:t>
      </w:r>
      <w:r>
        <w:rPr>
          <w:iCs/>
          <w:i/>
        </w:rPr>
        <w:t xml:space="preserve">Neuropsychopharmacology</w:t>
      </w:r>
      <w:r>
        <w:t xml:space="preserve"> </w:t>
      </w:r>
      <w:r>
        <w:t xml:space="preserve">· Neural modulation of social reinforcement learning by intranasal oxytocin in male adults with high-functioning autism spectrum disorder: a randomized trial. PMID 30390065</w:t>
      </w:r>
    </w:p>
    <w:p>
      <w:pPr>
        <w:numPr>
          <w:ilvl w:val="0"/>
          <w:numId w:val="1419"/>
        </w:numPr>
        <w:pStyle w:val="Compact"/>
      </w:pPr>
      <w:r>
        <w:t xml:space="preserve">2019 · Flanagan JC ·</w:t>
      </w:r>
      <w:r>
        <w:t xml:space="preserve"> </w:t>
      </w:r>
      <w:r>
        <w:rPr>
          <w:iCs/>
          <w:i/>
        </w:rPr>
        <w:t xml:space="preserve">Exp Clin Psychopharmacol</w:t>
      </w:r>
      <w:r>
        <w:t xml:space="preserve"> </w:t>
      </w:r>
      <w:r>
        <w:t xml:space="preserve">· Effects of oxytocin on stress reactivity and craving in veterans with co-occurring PTSD and alcohol use disorder. PMID 30382728</w:t>
      </w:r>
    </w:p>
    <w:p>
      <w:pPr>
        <w:numPr>
          <w:ilvl w:val="0"/>
          <w:numId w:val="1419"/>
        </w:numPr>
        <w:pStyle w:val="Compact"/>
      </w:pPr>
      <w:r>
        <w:t xml:space="preserve">2019 · Eckstein M ·</w:t>
      </w:r>
      <w:r>
        <w:t xml:space="preserve"> </w:t>
      </w:r>
      <w:r>
        <w:rPr>
          <w:iCs/>
          <w:i/>
        </w:rPr>
        <w:t xml:space="preserve">Soc Neurosci</w:t>
      </w:r>
      <w:r>
        <w:t xml:space="preserve"> </w:t>
      </w:r>
      <w:r>
        <w:t xml:space="preserve">· Oxytocin increases eye-gaze towards novel social and non-social stimuli. PMID 30378456</w:t>
      </w:r>
    </w:p>
    <w:p>
      <w:pPr>
        <w:numPr>
          <w:ilvl w:val="0"/>
          <w:numId w:val="1419"/>
        </w:numPr>
        <w:pStyle w:val="Compact"/>
      </w:pPr>
      <w:r>
        <w:t xml:space="preserve">2019 · Grainger SA ·</w:t>
      </w:r>
      <w:r>
        <w:t xml:space="preserve"> </w:t>
      </w:r>
      <w:r>
        <w:rPr>
          <w:iCs/>
          <w:i/>
        </w:rPr>
        <w:t xml:space="preserve">J Psychopharmacol</w:t>
      </w:r>
      <w:r>
        <w:t xml:space="preserve"> </w:t>
      </w:r>
      <w:r>
        <w:t xml:space="preserve">· Intranasal oxytocin does not alter initial perceptions of facial trustworthiness in younger or older adults. PMID 30326770</w:t>
      </w:r>
    </w:p>
    <w:p>
      <w:pPr>
        <w:numPr>
          <w:ilvl w:val="0"/>
          <w:numId w:val="1419"/>
        </w:numPr>
        <w:pStyle w:val="Compact"/>
      </w:pPr>
      <w:r>
        <w:t xml:space="preserve">2019 · Quintana DS ·</w:t>
      </w:r>
      <w:r>
        <w:t xml:space="preserve"> </w:t>
      </w:r>
      <w:r>
        <w:rPr>
          <w:iCs/>
          <w:i/>
        </w:rPr>
        <w:t xml:space="preserve">Neuropsychopharmacology</w:t>
      </w:r>
      <w:r>
        <w:t xml:space="preserve"> </w:t>
      </w:r>
      <w:r>
        <w:t xml:space="preserve">· Low-dose intranasal oxytocin delivered with Breath Powered device modulates pupil diameter and amygdala activity: a randomized controlled pupillometry and fMRI study. PMID 30323359</w:t>
      </w:r>
    </w:p>
    <w:p>
      <w:pPr>
        <w:numPr>
          <w:ilvl w:val="0"/>
          <w:numId w:val="1419"/>
        </w:numPr>
        <w:pStyle w:val="Compact"/>
      </w:pPr>
      <w:r>
        <w:t xml:space="preserve">2019 · Halverson T ·</w:t>
      </w:r>
      <w:r>
        <w:t xml:space="preserve"> </w:t>
      </w:r>
      <w:r>
        <w:rPr>
          <w:iCs/>
          <w:i/>
        </w:rPr>
        <w:t xml:space="preserve">Schizophr Res</w:t>
      </w:r>
      <w:r>
        <w:t xml:space="preserve"> </w:t>
      </w:r>
      <w:r>
        <w:t xml:space="preserve">· Effects of oxytocin on empathy, introspective accuracy, and social symptoms in schizophrenia: A 12-week twice-daily randomized controlled trial. PMID 30243853</w:t>
      </w:r>
    </w:p>
    <w:p>
      <w:pPr>
        <w:numPr>
          <w:ilvl w:val="0"/>
          <w:numId w:val="1419"/>
        </w:numPr>
        <w:pStyle w:val="Compact"/>
      </w:pPr>
      <w:r>
        <w:t xml:space="preserve">2019 · Brede S ·</w:t>
      </w:r>
      <w:r>
        <w:t xml:space="preserve"> </w:t>
      </w:r>
      <w:r>
        <w:rPr>
          <w:iCs/>
          <w:i/>
        </w:rPr>
        <w:t xml:space="preserve">Diabetes Obes Metab</w:t>
      </w:r>
      <w:r>
        <w:t xml:space="preserve"> </w:t>
      </w:r>
      <w:r>
        <w:t xml:space="preserve">· Intranasal oxytocin fails to acutely improve glucose metabolism in obese men. PMID 30203536</w:t>
      </w:r>
    </w:p>
    <w:p>
      <w:pPr>
        <w:numPr>
          <w:ilvl w:val="0"/>
          <w:numId w:val="1419"/>
        </w:numPr>
        <w:pStyle w:val="Compact"/>
      </w:pPr>
      <w:r>
        <w:t xml:space="preserve">2019 · Schwaiger M ·</w:t>
      </w:r>
      <w:r>
        <w:t xml:space="preserve"> </w:t>
      </w:r>
      <w:r>
        <w:rPr>
          <w:iCs/>
          <w:i/>
        </w:rPr>
        <w:t xml:space="preserve">Psychoneuroendocrinology</w:t>
      </w:r>
      <w:r>
        <w:t xml:space="preserve"> </w:t>
      </w:r>
      <w:r>
        <w:t xml:space="preserve">· Oxytocin administration and emotion recognition abilities in adults with a history of childhood adversity. PMID 30189345</w:t>
      </w:r>
    </w:p>
    <w:p>
      <w:pPr>
        <w:numPr>
          <w:ilvl w:val="0"/>
          <w:numId w:val="1419"/>
        </w:numPr>
        <w:pStyle w:val="Compact"/>
      </w:pPr>
      <w:r>
        <w:t xml:space="preserve">2019 · Romney C ·</w:t>
      </w:r>
      <w:r>
        <w:t xml:space="preserve"> </w:t>
      </w:r>
      <w:r>
        <w:rPr>
          <w:iCs/>
          <w:i/>
        </w:rPr>
        <w:t xml:space="preserve">Int J Psychophysiol</w:t>
      </w:r>
      <w:r>
        <w:t xml:space="preserve"> </w:t>
      </w:r>
      <w:r>
        <w:t xml:space="preserve">· Where is the love? A double-blind, randomized study of the effects of intranasal oxytocin on stress regulation and aggression. PMID 30144492</w:t>
      </w:r>
    </w:p>
    <w:p>
      <w:pPr>
        <w:numPr>
          <w:ilvl w:val="0"/>
          <w:numId w:val="1419"/>
        </w:numPr>
        <w:pStyle w:val="Compact"/>
      </w:pPr>
      <w:r>
        <w:t xml:space="preserve">2018 · Finger E ·</w:t>
      </w:r>
      <w:r>
        <w:t xml:space="preserve"> </w:t>
      </w:r>
      <w:r>
        <w:rPr>
          <w:iCs/>
          <w:i/>
        </w:rPr>
        <w:t xml:space="preserve">Alzheimers Res Ther</w:t>
      </w:r>
      <w:r>
        <w:t xml:space="preserve"> </w:t>
      </w:r>
      <w:r>
        <w:t xml:space="preserve">· Adaptive crossover designs for assessment of symptomatic treatments targeting behaviour in neurodegenerative disease: a phase 2 clinical trial of intranasal oxytocin for frontotemporal dementia (FOXY). PMID 30261917</w:t>
      </w:r>
    </w:p>
    <w:p>
      <w:pPr>
        <w:numPr>
          <w:ilvl w:val="0"/>
          <w:numId w:val="1419"/>
        </w:numPr>
        <w:pStyle w:val="Compact"/>
      </w:pPr>
      <w:r>
        <w:t xml:space="preserve">2018 · Burmester V ·</w:t>
      </w:r>
      <w:r>
        <w:t xml:space="preserve"> </w:t>
      </w:r>
      <w:r>
        <w:rPr>
          <w:iCs/>
          <w:i/>
        </w:rPr>
        <w:t xml:space="preserve">Appetite</w:t>
      </w:r>
      <w:r>
        <w:t xml:space="preserve"> </w:t>
      </w:r>
      <w:r>
        <w:t xml:space="preserve">· Rapid-onset anorectic effects of intranasal oxytocin in young men. PMID 30081055</w:t>
      </w:r>
    </w:p>
    <w:p>
      <w:pPr>
        <w:numPr>
          <w:ilvl w:val="0"/>
          <w:numId w:val="1419"/>
        </w:numPr>
        <w:pStyle w:val="Compact"/>
      </w:pPr>
      <w:r>
        <w:t xml:space="preserve">2018 · Verhees MWFT ·</w:t>
      </w:r>
      <w:r>
        <w:t xml:space="preserve"> </w:t>
      </w:r>
      <w:r>
        <w:rPr>
          <w:iCs/>
          <w:i/>
        </w:rPr>
        <w:t xml:space="preserve">Psychopharmacology (Berl)</w:t>
      </w:r>
      <w:r>
        <w:t xml:space="preserve"> </w:t>
      </w:r>
      <w:r>
        <w:t xml:space="preserve">· No side-effects of single intranasal oxytocin administration in middle childhood. PMID 29915962</w:t>
      </w:r>
    </w:p>
    <w:p>
      <w:pPr>
        <w:numPr>
          <w:ilvl w:val="0"/>
          <w:numId w:val="1419"/>
        </w:numPr>
        <w:pStyle w:val="Compact"/>
      </w:pPr>
      <w:r>
        <w:t xml:space="preserve">2018 · Quintana DS ·</w:t>
      </w:r>
      <w:r>
        <w:t xml:space="preserve"> </w:t>
      </w:r>
      <w:r>
        <w:rPr>
          <w:iCs/>
          <w:i/>
        </w:rPr>
        <w:t xml:space="preserve">Horm Behav</w:t>
      </w:r>
      <w:r>
        <w:t xml:space="preserve"> </w:t>
      </w:r>
      <w:r>
        <w:t xml:space="preserve">· Saliva oxytocin measures do not reflect peripheral plasma concentrations after intranasal oxytocin administration in men. PMID 29750971</w:t>
      </w:r>
    </w:p>
    <w:p>
      <w:pPr>
        <w:numPr>
          <w:ilvl w:val="0"/>
          <w:numId w:val="1419"/>
        </w:numPr>
        <w:pStyle w:val="Compact"/>
      </w:pPr>
      <w:r>
        <w:t xml:space="preserve">2018 · Kruger THC ·</w:t>
      </w:r>
      <w:r>
        <w:t xml:space="preserve"> </w:t>
      </w:r>
      <w:r>
        <w:rPr>
          <w:iCs/>
          <w:i/>
        </w:rPr>
        <w:t xml:space="preserve">J Clin Psychopharmacol</w:t>
      </w:r>
      <w:r>
        <w:t xml:space="preserve"> </w:t>
      </w:r>
      <w:r>
        <w:t xml:space="preserve">· Effects of Intranasal Oxytocin Administration on Sexual Functions in Healthy Women: A Laboratory Paradigm. PMID 29596150</w:t>
      </w:r>
    </w:p>
    <w:p>
      <w:pPr>
        <w:numPr>
          <w:ilvl w:val="0"/>
          <w:numId w:val="1419"/>
        </w:numPr>
        <w:pStyle w:val="Compact"/>
      </w:pPr>
      <w:r>
        <w:t xml:space="preserve">2018 · Kim YR ·</w:t>
      </w:r>
      <w:r>
        <w:t xml:space="preserve"> </w:t>
      </w:r>
      <w:r>
        <w:rPr>
          <w:iCs/>
          <w:i/>
        </w:rPr>
        <w:t xml:space="preserve">Psychoneuroendocrinology</w:t>
      </w:r>
      <w:r>
        <w:t xml:space="preserve"> </w:t>
      </w:r>
      <w:r>
        <w:t xml:space="preserve">· Effects of intranasal oxytocin on the attentional bias to emotional stimuli in patients with bulimia nervosa. PMID 29529522</w:t>
      </w:r>
    </w:p>
    <w:p>
      <w:pPr>
        <w:numPr>
          <w:ilvl w:val="0"/>
          <w:numId w:val="1419"/>
        </w:numPr>
        <w:pStyle w:val="Compact"/>
      </w:pPr>
      <w:r>
        <w:t xml:space="preserve">2018 · Warren KR ·</w:t>
      </w:r>
      <w:r>
        <w:t xml:space="preserve"> </w:t>
      </w:r>
      <w:r>
        <w:rPr>
          <w:iCs/>
          <w:i/>
        </w:rPr>
        <w:t xml:space="preserve">Physiol Behav</w:t>
      </w:r>
      <w:r>
        <w:t xml:space="preserve"> </w:t>
      </w:r>
      <w:r>
        <w:t xml:space="preserve">· Effects of intranasal oxytocin on satiety signaling in people with schizophrenia. PMID 29524451</w:t>
      </w:r>
    </w:p>
    <w:p>
      <w:pPr>
        <w:numPr>
          <w:ilvl w:val="0"/>
          <w:numId w:val="1419"/>
        </w:numPr>
        <w:pStyle w:val="Compact"/>
      </w:pPr>
      <w:r>
        <w:t xml:space="preserve">2018 · Grainger SA ·</w:t>
      </w:r>
      <w:r>
        <w:t xml:space="preserve"> </w:t>
      </w:r>
      <w:r>
        <w:rPr>
          <w:iCs/>
          <w:i/>
        </w:rPr>
        <w:t xml:space="preserve">Horm Behav</w:t>
      </w:r>
      <w:r>
        <w:t xml:space="preserve"> </w:t>
      </w:r>
      <w:r>
        <w:t xml:space="preserve">· Intranasal oxytocin does not reduce age-related difficulties in social cognition. PMID 29408521</w:t>
      </w:r>
    </w:p>
    <w:p>
      <w:pPr>
        <w:numPr>
          <w:ilvl w:val="0"/>
          <w:numId w:val="1419"/>
        </w:numPr>
        <w:pStyle w:val="Compact"/>
      </w:pPr>
      <w:r>
        <w:t xml:space="preserve">2018 · Schumacher S ·</w:t>
      </w:r>
      <w:r>
        <w:t xml:space="preserve"> </w:t>
      </w:r>
      <w:r>
        <w:rPr>
          <w:iCs/>
          <w:i/>
        </w:rPr>
        <w:t xml:space="preserve">PLoS One</w:t>
      </w:r>
      <w:r>
        <w:t xml:space="preserve"> </w:t>
      </w:r>
      <w:r>
        <w:t xml:space="preserve">· Does trait anxiety influence effects of oxytocin on eye-blink startle reactivity? A randomized, double-blind, placebo-controlled crossover study. PMID 29300752</w:t>
      </w:r>
    </w:p>
    <w:p>
      <w:pPr>
        <w:numPr>
          <w:ilvl w:val="0"/>
          <w:numId w:val="1419"/>
        </w:numPr>
        <w:pStyle w:val="Compact"/>
      </w:pPr>
      <w:r>
        <w:t xml:space="preserve">2018 · Flanagan JC ·</w:t>
      </w:r>
      <w:r>
        <w:t xml:space="preserve"> </w:t>
      </w:r>
      <w:r>
        <w:rPr>
          <w:iCs/>
          <w:i/>
        </w:rPr>
        <w:t xml:space="preserve">J Psychiatr Res</w:t>
      </w:r>
      <w:r>
        <w:t xml:space="preserve"> </w:t>
      </w:r>
      <w:r>
        <w:t xml:space="preserve">· Augmenting Prolonged Exposure therapy for PTSD with intranasal oxytocin: A randomized, placebo-controlled pilot trial. PMID 29294429</w:t>
      </w:r>
    </w:p>
    <w:p>
      <w:pPr>
        <w:numPr>
          <w:ilvl w:val="0"/>
          <w:numId w:val="1419"/>
        </w:numPr>
        <w:pStyle w:val="Compact"/>
      </w:pPr>
      <w:r>
        <w:t xml:space="preserve">2018 · Ota M ·</w:t>
      </w:r>
      <w:r>
        <w:t xml:space="preserve"> </w:t>
      </w:r>
      <w:r>
        <w:rPr>
          <w:iCs/>
          <w:i/>
        </w:rPr>
        <w:t xml:space="preserve">Postgrad Med</w:t>
      </w:r>
      <w:r>
        <w:t xml:space="preserve"> </w:t>
      </w:r>
      <w:r>
        <w:t xml:space="preserve">· The effects of adjunctive intranasal oxytocin in patients with schizophrenia. PMID 29105546</w:t>
      </w:r>
    </w:p>
    <w:p>
      <w:pPr>
        <w:numPr>
          <w:ilvl w:val="0"/>
          <w:numId w:val="1419"/>
        </w:numPr>
        <w:pStyle w:val="Compact"/>
      </w:pPr>
      <w:r>
        <w:t xml:space="preserve">2018 · Hansson AC ·</w:t>
      </w:r>
      <w:r>
        <w:t xml:space="preserve"> </w:t>
      </w:r>
      <w:r>
        <w:rPr>
          <w:iCs/>
          <w:i/>
        </w:rPr>
        <w:t xml:space="preserve">Neuropsychopharmacology</w:t>
      </w:r>
      <w:r>
        <w:t xml:space="preserve"> </w:t>
      </w:r>
      <w:r>
        <w:t xml:space="preserve">· Oxytocin Reduces Alcohol Cue-Reactivity in Alcohol-Dependent Rats and Humans. PMID 29090683</w:t>
      </w:r>
    </w:p>
    <w:p>
      <w:pPr>
        <w:numPr>
          <w:ilvl w:val="0"/>
          <w:numId w:val="1419"/>
        </w:numPr>
        <w:pStyle w:val="Compact"/>
      </w:pPr>
      <w:r>
        <w:t xml:space="preserve">2018 · Russell J ·</w:t>
      </w:r>
      <w:r>
        <w:t xml:space="preserve"> </w:t>
      </w:r>
      <w:r>
        <w:rPr>
          <w:iCs/>
          <w:i/>
        </w:rPr>
        <w:t xml:space="preserve">Psychoneuroendocrinology</w:t>
      </w:r>
      <w:r>
        <w:t xml:space="preserve"> </w:t>
      </w:r>
      <w:r>
        <w:t xml:space="preserve">· Intranasal oxytocin in the treatment of anorexia nervosa: Randomized controlled trial during re-feeding. PMID 29049935</w:t>
      </w:r>
    </w:p>
    <w:p>
      <w:pPr>
        <w:numPr>
          <w:ilvl w:val="0"/>
          <w:numId w:val="1419"/>
        </w:numPr>
        <w:pStyle w:val="Compact"/>
      </w:pPr>
      <w:r>
        <w:t xml:space="preserve">2018 · Rutherford HJV ·</w:t>
      </w:r>
      <w:r>
        <w:t xml:space="preserve"> </w:t>
      </w:r>
      <w:r>
        <w:rPr>
          <w:iCs/>
          <w:i/>
        </w:rPr>
        <w:t xml:space="preserve">Int J Psychophysiol</w:t>
      </w:r>
      <w:r>
        <w:t xml:space="preserve"> </w:t>
      </w:r>
      <w:r>
        <w:t xml:space="preserve">· Intranasal oxytocin decreases cross-frequency coupling of neural oscillations at rest. PMID 28965930</w:t>
      </w:r>
    </w:p>
    <w:p>
      <w:pPr>
        <w:numPr>
          <w:ilvl w:val="0"/>
          <w:numId w:val="1419"/>
        </w:numPr>
        <w:pStyle w:val="Compact"/>
      </w:pPr>
      <w:r>
        <w:t xml:space="preserve">2018 · Labuschagne I ·</w:t>
      </w:r>
      <w:r>
        <w:t xml:space="preserve"> </w:t>
      </w:r>
      <w:r>
        <w:rPr>
          <w:iCs/>
          <w:i/>
        </w:rPr>
        <w:t xml:space="preserve">Prog Neuropsychopharmacol Biol Psychiatry</w:t>
      </w:r>
      <w:r>
        <w:t xml:space="preserve"> </w:t>
      </w:r>
      <w:r>
        <w:t xml:space="preserve">· Oxytocin selectively modulates brain processing of disgust in Huntington’s disease gene carriers. PMID 28947180</w:t>
      </w:r>
    </w:p>
    <w:p>
      <w:pPr>
        <w:numPr>
          <w:ilvl w:val="0"/>
          <w:numId w:val="1419"/>
        </w:numPr>
        <w:pStyle w:val="Compact"/>
      </w:pPr>
      <w:r>
        <w:t xml:space="preserve">2018 · Plessow F ·</w:t>
      </w:r>
      <w:r>
        <w:t xml:space="preserve"> </w:t>
      </w:r>
      <w:r>
        <w:rPr>
          <w:iCs/>
          <w:i/>
        </w:rPr>
        <w:t xml:space="preserve">Neuropsychopharmacology</w:t>
      </w:r>
      <w:r>
        <w:t xml:space="preserve"> </w:t>
      </w:r>
      <w:r>
        <w:t xml:space="preserve">· Effects of Intranasal Oxytocin on the Blood Oxygenation Level-Dependent Signal in Food Motivation and Cognitive Control Pathways in Overweight and Obese Men. PMID 28930284</w:t>
      </w:r>
    </w:p>
    <w:p>
      <w:pPr>
        <w:numPr>
          <w:ilvl w:val="0"/>
          <w:numId w:val="1419"/>
        </w:numPr>
        <w:pStyle w:val="Compact"/>
      </w:pPr>
      <w:r>
        <w:t xml:space="preserve">2018 · Tracy LM ·</w:t>
      </w:r>
      <w:r>
        <w:t xml:space="preserve"> </w:t>
      </w:r>
      <w:r>
        <w:rPr>
          <w:iCs/>
          <w:i/>
        </w:rPr>
        <w:t xml:space="preserve">Prog Neuropsychopharmacol Biol Psychiatry</w:t>
      </w:r>
      <w:r>
        <w:t xml:space="preserve"> </w:t>
      </w:r>
      <w:r>
        <w:t xml:space="preserve">· Intranasal oxytocin reduces heart rate variability during a mental arithmetic task: A randomised, double-blind, placebo-controlled cross-over study. PMID 28844717</w:t>
      </w:r>
    </w:p>
    <w:p>
      <w:pPr>
        <w:numPr>
          <w:ilvl w:val="0"/>
          <w:numId w:val="1419"/>
        </w:numPr>
        <w:pStyle w:val="Compact"/>
      </w:pPr>
      <w:r>
        <w:t xml:space="preserve">2018 · Strathearn L ·</w:t>
      </w:r>
      <w:r>
        <w:t xml:space="preserve"> </w:t>
      </w:r>
      <w:r>
        <w:rPr>
          <w:iCs/>
          <w:i/>
        </w:rPr>
        <w:t xml:space="preserve">Dev Psychopathol</w:t>
      </w:r>
      <w:r>
        <w:t xml:space="preserve"> </w:t>
      </w:r>
      <w:r>
        <w:t xml:space="preserve">· Visual systemizing preference in children with autism: A randomized controlled trial of intranasal oxytocin. PMID 28712371</w:t>
      </w:r>
    </w:p>
    <w:p>
      <w:pPr>
        <w:numPr>
          <w:ilvl w:val="0"/>
          <w:numId w:val="1419"/>
        </w:numPr>
        <w:pStyle w:val="Compact"/>
      </w:pPr>
      <w:r>
        <w:t xml:space="preserve">2017 · Tollenaar MS ·</w:t>
      </w:r>
      <w:r>
        <w:t xml:space="preserve"> </w:t>
      </w:r>
      <w:r>
        <w:rPr>
          <w:iCs/>
          <w:i/>
        </w:rPr>
        <w:t xml:space="preserve">Psychopharmacology (Berl)</w:t>
      </w:r>
      <w:r>
        <w:t xml:space="preserve"> </w:t>
      </w:r>
      <w:r>
        <w:t xml:space="preserve">· Does oxytocin lead to emotional interference during a working memory paradigm?. PMID 28913643</w:t>
      </w:r>
    </w:p>
    <w:p>
      <w:pPr>
        <w:numPr>
          <w:ilvl w:val="0"/>
          <w:numId w:val="1419"/>
        </w:numPr>
        <w:pStyle w:val="Compact"/>
      </w:pPr>
      <w:r>
        <w:t xml:space="preserve">2017 · Rutherford HJV ·</w:t>
      </w:r>
      <w:r>
        <w:t xml:space="preserve"> </w:t>
      </w:r>
      <w:r>
        <w:rPr>
          <w:iCs/>
          <w:i/>
        </w:rPr>
        <w:t xml:space="preserve">Biol Psychol</w:t>
      </w:r>
      <w:r>
        <w:t xml:space="preserve"> </w:t>
      </w:r>
      <w:r>
        <w:t xml:space="preserve">· Intranasal oxytocin and the neural correlates of infant face processing in non-parent women. PMID 28800972</w:t>
      </w:r>
    </w:p>
    <w:p>
      <w:pPr>
        <w:numPr>
          <w:ilvl w:val="0"/>
          <w:numId w:val="1419"/>
        </w:numPr>
        <w:pStyle w:val="Compact"/>
      </w:pPr>
      <w:r>
        <w:t xml:space="preserve">2017 · Brodmann K ·</w:t>
      </w:r>
      <w:r>
        <w:t xml:space="preserve"> </w:t>
      </w:r>
      <w:r>
        <w:rPr>
          <w:iCs/>
          <w:i/>
        </w:rPr>
        <w:t xml:space="preserve">Brain Connect</w:t>
      </w:r>
      <w:r>
        <w:t xml:space="preserve"> </w:t>
      </w:r>
      <w:r>
        <w:t xml:space="preserve">· Intranasal Oxytocin Selectively Modulates Large-Scale Brain Networks in Humans. PMID 28762756</w:t>
      </w:r>
    </w:p>
    <w:p>
      <w:pPr>
        <w:numPr>
          <w:ilvl w:val="0"/>
          <w:numId w:val="1419"/>
        </w:numPr>
        <w:pStyle w:val="Compact"/>
      </w:pPr>
      <w:r>
        <w:t xml:space="preserve">2017 · Parker KJ ·</w:t>
      </w:r>
      <w:r>
        <w:t xml:space="preserve"> </w:t>
      </w:r>
      <w:r>
        <w:rPr>
          <w:iCs/>
          <w:i/>
        </w:rPr>
        <w:t xml:space="preserve">Proc Natl Acad Sci U S A</w:t>
      </w:r>
      <w:r>
        <w:t xml:space="preserve"> </w:t>
      </w:r>
      <w:r>
        <w:t xml:space="preserve">· Intranasal oxytocin treatment for social deficits and biomarkers of response in children with autism. PMID 28696286</w:t>
      </w:r>
    </w:p>
    <w:p>
      <w:pPr>
        <w:numPr>
          <w:ilvl w:val="0"/>
          <w:numId w:val="1419"/>
        </w:numPr>
        <w:pStyle w:val="Compact"/>
      </w:pPr>
      <w:r>
        <w:t xml:space="preserve">2017 · Spengler FB ·</w:t>
      </w:r>
      <w:r>
        <w:t xml:space="preserve"> </w:t>
      </w:r>
      <w:r>
        <w:rPr>
          <w:iCs/>
          <w:i/>
        </w:rPr>
        <w:t xml:space="preserve">Biol Psychiatry</w:t>
      </w:r>
      <w:r>
        <w:t xml:space="preserve"> </w:t>
      </w:r>
      <w:r>
        <w:t xml:space="preserve">· Kinetics and Dose Dependency of Intranasal Oxytocin Effects on Amygdala Reactivity. PMID 28629540</w:t>
      </w:r>
    </w:p>
    <w:p>
      <w:pPr>
        <w:numPr>
          <w:ilvl w:val="0"/>
          <w:numId w:val="1419"/>
        </w:numPr>
        <w:pStyle w:val="Compact"/>
      </w:pPr>
      <w:r>
        <w:t xml:space="preserve">2017 · Tracy LM ·</w:t>
      </w:r>
      <w:r>
        <w:t xml:space="preserve"> </w:t>
      </w:r>
      <w:r>
        <w:rPr>
          <w:iCs/>
          <w:i/>
        </w:rPr>
        <w:t xml:space="preserve">Psychoneuroendocrinology</w:t>
      </w:r>
      <w:r>
        <w:t xml:space="preserve"> </w:t>
      </w:r>
      <w:r>
        <w:t xml:space="preserve">· Sex-specific effects of intranasal oxytocin on thermal pain perception: A randomised, double-blind, placebo-controlled cross-over study. PMID 28601750</w:t>
      </w:r>
    </w:p>
    <w:p>
      <w:pPr>
        <w:numPr>
          <w:ilvl w:val="0"/>
          <w:numId w:val="1419"/>
        </w:numPr>
        <w:pStyle w:val="Compact"/>
      </w:pPr>
      <w:r>
        <w:t xml:space="preserve">2017 · Buchanan RW ·</w:t>
      </w:r>
      <w:r>
        <w:t xml:space="preserve"> </w:t>
      </w:r>
      <w:r>
        <w:rPr>
          <w:iCs/>
          <w:i/>
        </w:rPr>
        <w:t xml:space="preserve">J Clin Psychopharmacol</w:t>
      </w:r>
      <w:r>
        <w:t xml:space="preserve"> </w:t>
      </w:r>
      <w:r>
        <w:t xml:space="preserve">· A Randomized Clinical Trial of Oxytocin or Galantamine for the Treatment of Negative Symptoms and Cognitive Impairments in People With Schizophrenia. PMID 28590362</w:t>
      </w:r>
    </w:p>
    <w:p>
      <w:pPr>
        <w:numPr>
          <w:ilvl w:val="0"/>
          <w:numId w:val="1419"/>
        </w:numPr>
        <w:pStyle w:val="Compact"/>
      </w:pPr>
      <w:r>
        <w:t xml:space="preserve">2017 · Quintana DS ·</w:t>
      </w:r>
      <w:r>
        <w:t xml:space="preserve"> </w:t>
      </w:r>
      <w:r>
        <w:rPr>
          <w:iCs/>
          <w:i/>
        </w:rPr>
        <w:t xml:space="preserve">Transl Psychiatry</w:t>
      </w:r>
      <w:r>
        <w:t xml:space="preserve"> </w:t>
      </w:r>
      <w:r>
        <w:t xml:space="preserve">· Dose-dependent social-cognitive effects of intranasal oxytocin delivered with novel Breath Powered device in adults with autism spectrum disorder: a randomized placebo-controlled double-blind crossover trial. PMID 28534875</w:t>
      </w:r>
    </w:p>
    <w:p>
      <w:pPr>
        <w:numPr>
          <w:ilvl w:val="0"/>
          <w:numId w:val="1419"/>
        </w:numPr>
        <w:pStyle w:val="Compact"/>
      </w:pPr>
      <w:r>
        <w:t xml:space="preserve">2017 · Caravaggio F ·</w:t>
      </w:r>
      <w:r>
        <w:t xml:space="preserve"> </w:t>
      </w:r>
      <w:r>
        <w:rPr>
          <w:iCs/>
          <w:i/>
        </w:rPr>
        <w:t xml:space="preserve">Psychoneuroendocrinology</w:t>
      </w:r>
      <w:r>
        <w:t xml:space="preserve"> </w:t>
      </w:r>
      <w:r>
        <w:t xml:space="preserve">· Intranasal oxytocin does not modulate jumping to conclusions in schizophrenia: Potential interactions with caudate volume and baseline social functioning. PMID 28431278</w:t>
      </w:r>
    </w:p>
    <w:p>
      <w:pPr>
        <w:numPr>
          <w:ilvl w:val="0"/>
          <w:numId w:val="1419"/>
        </w:numPr>
        <w:pStyle w:val="Compact"/>
      </w:pPr>
      <w:r>
        <w:t xml:space="preserve">2017 · Kanat M ·</w:t>
      </w:r>
      <w:r>
        <w:t xml:space="preserve"> </w:t>
      </w:r>
      <w:r>
        <w:rPr>
          <w:iCs/>
          <w:i/>
        </w:rPr>
        <w:t xml:space="preserve">Transl Psychiatry</w:t>
      </w:r>
      <w:r>
        <w:t xml:space="preserve"> </w:t>
      </w:r>
      <w:r>
        <w:t xml:space="preserve">· Restoring effects of oxytocin on the attentional preference for faces in autism. PMID 28418399</w:t>
      </w:r>
    </w:p>
    <w:p>
      <w:pPr>
        <w:numPr>
          <w:ilvl w:val="0"/>
          <w:numId w:val="1419"/>
        </w:numPr>
        <w:pStyle w:val="Compact"/>
      </w:pPr>
      <w:r>
        <w:t xml:space="preserve">2017 · Bethlehem RAI ·</w:t>
      </w:r>
      <w:r>
        <w:t xml:space="preserve"> </w:t>
      </w:r>
      <w:r>
        <w:rPr>
          <w:iCs/>
          <w:i/>
        </w:rPr>
        <w:t xml:space="preserve">Transl Psychiatry</w:t>
      </w:r>
      <w:r>
        <w:t xml:space="preserve"> </w:t>
      </w:r>
      <w:r>
        <w:t xml:space="preserve">· Intranasal oxytocin enhances intrinsic corticostriatal functional connectivity in women. PMID 28418398</w:t>
      </w:r>
    </w:p>
    <w:p>
      <w:pPr>
        <w:numPr>
          <w:ilvl w:val="0"/>
          <w:numId w:val="1419"/>
        </w:numPr>
        <w:pStyle w:val="Compact"/>
      </w:pPr>
      <w:r>
        <w:t xml:space="preserve">2017 · Rash JA ·</w:t>
      </w:r>
      <w:r>
        <w:t xml:space="preserve"> </w:t>
      </w:r>
      <w:r>
        <w:rPr>
          <w:iCs/>
          <w:i/>
        </w:rPr>
        <w:t xml:space="preserve">BMJ Open</w:t>
      </w:r>
      <w:r>
        <w:t xml:space="preserve"> </w:t>
      </w:r>
      <w:r>
        <w:t xml:space="preserve">· Protocol for a placebo-controlled, within-participants crossover trial evaluating the efficacy of intranasal oxytocin to improve pain and function among women with chronic pelvic musculoskeletal pain. PMID 28416501</w:t>
      </w:r>
    </w:p>
    <w:p>
      <w:pPr>
        <w:numPr>
          <w:ilvl w:val="0"/>
          <w:numId w:val="1419"/>
        </w:numPr>
        <w:pStyle w:val="Compact"/>
      </w:pPr>
      <w:r>
        <w:t xml:space="preserve">2017 · Miller JL ·</w:t>
      </w:r>
      <w:r>
        <w:t xml:space="preserve"> </w:t>
      </w:r>
      <w:r>
        <w:rPr>
          <w:iCs/>
          <w:i/>
        </w:rPr>
        <w:t xml:space="preserve">Am J Med Genet A</w:t>
      </w:r>
      <w:r>
        <w:t xml:space="preserve"> </w:t>
      </w:r>
      <w:r>
        <w:t xml:space="preserve">· Oxytocin treatment in children with Prader-Willi syndrome: A double-blind, placebo-controlled, crossover study. PMID 28371242</w:t>
      </w:r>
    </w:p>
    <w:p>
      <w:pPr>
        <w:numPr>
          <w:ilvl w:val="0"/>
          <w:numId w:val="1419"/>
        </w:numPr>
        <w:pStyle w:val="Compact"/>
      </w:pPr>
      <w:r>
        <w:t xml:space="preserve">2017 · Sack M ·</w:t>
      </w:r>
      <w:r>
        <w:t xml:space="preserve"> </w:t>
      </w:r>
      <w:r>
        <w:rPr>
          <w:iCs/>
          <w:i/>
        </w:rPr>
        <w:t xml:space="preserve">BMC Med</w:t>
      </w:r>
      <w:r>
        <w:t xml:space="preserve"> </w:t>
      </w:r>
      <w:r>
        <w:t xml:space="preserve">· Intranasal oxytocin reduces provoked symptoms in female patients with posttraumatic stress disorder despite exerting sympathomimetic and positive chronotropic effects in a randomized controlled trial. PMID 28209155</w:t>
      </w:r>
    </w:p>
    <w:p>
      <w:pPr>
        <w:numPr>
          <w:ilvl w:val="0"/>
          <w:numId w:val="1419"/>
        </w:numPr>
        <w:pStyle w:val="Compact"/>
      </w:pPr>
      <w:r>
        <w:t xml:space="preserve">2017 · Muin DA ·</w:t>
      </w:r>
      <w:r>
        <w:t xml:space="preserve"> </w:t>
      </w:r>
      <w:r>
        <w:rPr>
          <w:iCs/>
          <w:i/>
        </w:rPr>
        <w:t xml:space="preserve">Fertil Steril</w:t>
      </w:r>
      <w:r>
        <w:t xml:space="preserve"> </w:t>
      </w:r>
      <w:r>
        <w:t xml:space="preserve">· Men’s sexual response to female partner’s intranasal oxytocin administration for hypoactive sexual desire disorder: an open prospective cohort study. PMID 28189292</w:t>
      </w:r>
    </w:p>
    <w:p>
      <w:pPr>
        <w:numPr>
          <w:ilvl w:val="0"/>
          <w:numId w:val="1419"/>
        </w:numPr>
        <w:pStyle w:val="Compact"/>
      </w:pPr>
      <w:r>
        <w:t xml:space="preserve">2017 · Li T ·</w:t>
      </w:r>
      <w:r>
        <w:t xml:space="preserve"> </w:t>
      </w:r>
      <w:r>
        <w:rPr>
          <w:iCs/>
          <w:i/>
        </w:rPr>
        <w:t xml:space="preserve">Horm Behav</w:t>
      </w:r>
      <w:r>
        <w:t xml:space="preserve"> </w:t>
      </w:r>
      <w:r>
        <w:t xml:space="preserve">· Intranasal oxytocin, but not vasopressin, augments neural responses to toddlers in human fathers. PMID 28161387</w:t>
      </w:r>
    </w:p>
    <w:p>
      <w:pPr>
        <w:numPr>
          <w:ilvl w:val="0"/>
          <w:numId w:val="1419"/>
        </w:numPr>
        <w:pStyle w:val="Compact"/>
      </w:pPr>
      <w:r>
        <w:t xml:space="preserve">2017 · Chen X ·</w:t>
      </w:r>
      <w:r>
        <w:t xml:space="preserve"> </w:t>
      </w:r>
      <w:r>
        <w:rPr>
          <w:iCs/>
          <w:i/>
        </w:rPr>
        <w:t xml:space="preserve">Psychoneuroendocrinology</w:t>
      </w:r>
      <w:r>
        <w:t xml:space="preserve"> </w:t>
      </w:r>
      <w:r>
        <w:t xml:space="preserve">· Within vs. between-subject effects of intranasal oxytocin on the neural response to cooperative and non-cooperative social interactions. PMID 28142074</w:t>
      </w:r>
    </w:p>
    <w:p>
      <w:pPr>
        <w:numPr>
          <w:ilvl w:val="0"/>
          <w:numId w:val="1419"/>
        </w:numPr>
        <w:pStyle w:val="Compact"/>
      </w:pPr>
      <w:r>
        <w:t xml:space="preserve">2017 · Leppanen J ·</w:t>
      </w:r>
      <w:r>
        <w:t xml:space="preserve"> </w:t>
      </w:r>
      <w:r>
        <w:rPr>
          <w:iCs/>
          <w:i/>
        </w:rPr>
        <w:t xml:space="preserve">J Neuroendocrinol</w:t>
      </w:r>
      <w:r>
        <w:t xml:space="preserve"> </w:t>
      </w:r>
      <w:r>
        <w:t xml:space="preserve">· Effects of Intranasal Oxytocin on the Interpretation and Expression of Emotions in Anorexia Nervosa. PMID 28140486</w:t>
      </w:r>
    </w:p>
    <w:p>
      <w:pPr>
        <w:numPr>
          <w:ilvl w:val="0"/>
          <w:numId w:val="1419"/>
        </w:numPr>
        <w:pStyle w:val="Compact"/>
      </w:pPr>
      <w:r>
        <w:t xml:space="preserve">2017 · Jarskog LF ·</w:t>
      </w:r>
      <w:r>
        <w:t xml:space="preserve"> </w:t>
      </w:r>
      <w:r>
        <w:rPr>
          <w:iCs/>
          <w:i/>
        </w:rPr>
        <w:t xml:space="preserve">Schizophr Res</w:t>
      </w:r>
      <w:r>
        <w:t xml:space="preserve"> </w:t>
      </w:r>
      <w:r>
        <w:t xml:space="preserve">· A 12-week randomized controlled trial of twice-daily intranasal oxytocin for social cognitive deficits in people with schizophrenia. PMID 28094169</w:t>
      </w:r>
    </w:p>
    <w:p>
      <w:pPr>
        <w:numPr>
          <w:ilvl w:val="0"/>
          <w:numId w:val="1419"/>
        </w:numPr>
        <w:pStyle w:val="Compact"/>
      </w:pPr>
      <w:r>
        <w:t xml:space="preserve">2017 · Woolley JD ·</w:t>
      </w:r>
      <w:r>
        <w:t xml:space="preserve"> </w:t>
      </w:r>
      <w:r>
        <w:rPr>
          <w:iCs/>
          <w:i/>
        </w:rPr>
        <w:t xml:space="preserve">Psychol Med</w:t>
      </w:r>
      <w:r>
        <w:t xml:space="preserve"> </w:t>
      </w:r>
      <w:r>
        <w:t xml:space="preserve">· Intranasal oxytocin increases facial expressivity, but not ratings of trustworthiness, in patients with schizophrenia and healthy controls. PMID 28091349</w:t>
      </w:r>
    </w:p>
    <w:p>
      <w:pPr>
        <w:numPr>
          <w:ilvl w:val="0"/>
          <w:numId w:val="1419"/>
        </w:numPr>
        <w:pStyle w:val="Compact"/>
      </w:pPr>
      <w:r>
        <w:t xml:space="preserve">2017 · van Zuiden M ·</w:t>
      </w:r>
      <w:r>
        <w:t xml:space="preserve"> </w:t>
      </w:r>
      <w:r>
        <w:rPr>
          <w:iCs/>
          <w:i/>
        </w:rPr>
        <w:t xml:space="preserve">Biol Psychiatry</w:t>
      </w:r>
      <w:r>
        <w:t xml:space="preserve"> </w:t>
      </w:r>
      <w:r>
        <w:t xml:space="preserve">· Intranasal Oxytocin to Prevent Posttraumatic Stress Disorder Symptoms: A Randomized Controlled Trial in Emergency Department Patients. PMID 28087128</w:t>
      </w:r>
    </w:p>
    <w:p>
      <w:pPr>
        <w:numPr>
          <w:ilvl w:val="0"/>
          <w:numId w:val="1419"/>
        </w:numPr>
        <w:pStyle w:val="Compact"/>
      </w:pPr>
      <w:r>
        <w:t xml:space="preserve">2017 · Xu X ·</w:t>
      </w:r>
      <w:r>
        <w:t xml:space="preserve"> </w:t>
      </w:r>
      <w:r>
        <w:rPr>
          <w:iCs/>
          <w:i/>
        </w:rPr>
        <w:t xml:space="preserve">Sci Rep</w:t>
      </w:r>
      <w:r>
        <w:t xml:space="preserve"> </w:t>
      </w:r>
      <w:r>
        <w:t xml:space="preserve">· Oxytocin biases men but not women to restore social connections with individuals who socially exclude them. PMID 28079166</w:t>
      </w:r>
    </w:p>
    <w:p>
      <w:pPr>
        <w:numPr>
          <w:ilvl w:val="0"/>
          <w:numId w:val="1419"/>
        </w:numPr>
        <w:pStyle w:val="Compact"/>
      </w:pPr>
      <w:r>
        <w:t xml:space="preserve">2017 · Hecht EE ·</w:t>
      </w:r>
      <w:r>
        <w:t xml:space="preserve"> </w:t>
      </w:r>
      <w:r>
        <w:rPr>
          <w:iCs/>
          <w:i/>
        </w:rPr>
        <w:t xml:space="preserve">Neuroimage</w:t>
      </w:r>
      <w:r>
        <w:t xml:space="preserve"> </w:t>
      </w:r>
      <w:r>
        <w:t xml:space="preserve">· Intranasal oxytocin reduces social perception in women: Neural activation and individual variation. PMID 27989775</w:t>
      </w:r>
    </w:p>
    <w:p>
      <w:pPr>
        <w:numPr>
          <w:ilvl w:val="0"/>
          <w:numId w:val="1419"/>
        </w:numPr>
        <w:pStyle w:val="Compact"/>
      </w:pPr>
      <w:r>
        <w:t xml:space="preserve">2017 · Nawijn L ·</w:t>
      </w:r>
      <w:r>
        <w:t xml:space="preserve"> </w:t>
      </w:r>
      <w:r>
        <w:rPr>
          <w:iCs/>
          <w:i/>
        </w:rPr>
        <w:t xml:space="preserve">Soc Cogn Affect Neurosci</w:t>
      </w:r>
      <w:r>
        <w:t xml:space="preserve"> </w:t>
      </w:r>
      <w:r>
        <w:t xml:space="preserve">· Intranasal oxytocin increases neural responses to social reward in post-traumatic stress disorder. PMID 27614769</w:t>
      </w:r>
    </w:p>
    <w:p>
      <w:pPr>
        <w:numPr>
          <w:ilvl w:val="0"/>
          <w:numId w:val="1419"/>
        </w:numPr>
        <w:pStyle w:val="Compact"/>
      </w:pPr>
      <w:r>
        <w:t xml:space="preserve">2017 · Palgi S ·</w:t>
      </w:r>
      <w:r>
        <w:t xml:space="preserve"> </w:t>
      </w:r>
      <w:r>
        <w:rPr>
          <w:iCs/>
          <w:i/>
        </w:rPr>
        <w:t xml:space="preserve">Psychol Trauma</w:t>
      </w:r>
      <w:r>
        <w:t xml:space="preserve"> </w:t>
      </w:r>
      <w:r>
        <w:t xml:space="preserve">· The role of oxytocin in empathy in PTSD. PMID 27243570</w:t>
      </w:r>
    </w:p>
    <w:p>
      <w:pPr>
        <w:numPr>
          <w:ilvl w:val="0"/>
          <w:numId w:val="1419"/>
        </w:numPr>
        <w:pStyle w:val="Compact"/>
      </w:pPr>
      <w:r>
        <w:t xml:space="preserve">2017 · Mah BL ·</w:t>
      </w:r>
      <w:r>
        <w:t xml:space="preserve"> </w:t>
      </w:r>
      <w:r>
        <w:rPr>
          <w:iCs/>
          <w:i/>
        </w:rPr>
        <w:t xml:space="preserve">Child Psychiatry Hum Dev</w:t>
      </w:r>
      <w:r>
        <w:t xml:space="preserve"> </w:t>
      </w:r>
      <w:r>
        <w:t xml:space="preserve">· The Effects of Intranasal Oxytocin Administration on Sensitive Caregiving in Mothers with Postnatal Depression. PMID 27100724</w:t>
      </w:r>
    </w:p>
    <w:p>
      <w:pPr>
        <w:numPr>
          <w:ilvl w:val="0"/>
          <w:numId w:val="1419"/>
        </w:numPr>
        <w:pStyle w:val="Compact"/>
      </w:pPr>
      <w:r>
        <w:t xml:space="preserve">2016 · Gordon I ·</w:t>
      </w:r>
      <w:r>
        <w:t xml:space="preserve"> </w:t>
      </w:r>
      <w:r>
        <w:rPr>
          <w:iCs/>
          <w:i/>
        </w:rPr>
        <w:t xml:space="preserve">Sci Rep</w:t>
      </w:r>
      <w:r>
        <w:t xml:space="preserve"> </w:t>
      </w:r>
      <w:r>
        <w:t xml:space="preserve">· Intranasal Oxytocin Enhances Connectivity in the Neural Circuitry Supporting Social Motivation and Social Perception in Children with Autism. PMID 27845765</w:t>
      </w:r>
    </w:p>
    <w:p>
      <w:pPr>
        <w:numPr>
          <w:ilvl w:val="0"/>
          <w:numId w:val="1419"/>
        </w:numPr>
        <w:pStyle w:val="Compact"/>
      </w:pPr>
      <w:r>
        <w:t xml:space="preserve">2016 · Miller MA ·</w:t>
      </w:r>
      <w:r>
        <w:t xml:space="preserve"> </w:t>
      </w:r>
      <w:r>
        <w:rPr>
          <w:iCs/>
          <w:i/>
        </w:rPr>
        <w:t xml:space="preserve">Behav Pharmacol</w:t>
      </w:r>
      <w:r>
        <w:t xml:space="preserve"> </w:t>
      </w:r>
      <w:r>
        <w:t xml:space="preserve">· Intranasal oxytocin dampens cue-elicited cigarette craving in daily smokers: a pilot study. PMID 27661192</w:t>
      </w:r>
    </w:p>
    <w:p>
      <w:pPr>
        <w:numPr>
          <w:ilvl w:val="0"/>
          <w:numId w:val="1419"/>
        </w:numPr>
        <w:pStyle w:val="Compact"/>
      </w:pPr>
      <w:r>
        <w:t xml:space="preserve">2016 · Mickey BJ ·</w:t>
      </w:r>
      <w:r>
        <w:t xml:space="preserve"> </w:t>
      </w:r>
      <w:r>
        <w:rPr>
          <w:iCs/>
          <w:i/>
        </w:rPr>
        <w:t xml:space="preserve">Psychopharmacology (Berl)</w:t>
      </w:r>
      <w:r>
        <w:t xml:space="preserve"> </w:t>
      </w:r>
      <w:r>
        <w:t xml:space="preserve">· Oxytocin modulates hemodynamic responses to monetary incentives in humans. PMID 27614896</w:t>
      </w:r>
    </w:p>
    <w:p>
      <w:pPr>
        <w:numPr>
          <w:ilvl w:val="0"/>
          <w:numId w:val="1419"/>
        </w:numPr>
        <w:pStyle w:val="Compact"/>
      </w:pPr>
      <w:r>
        <w:t xml:space="preserve">2016 · Kosaka H ·</w:t>
      </w:r>
      <w:r>
        <w:t xml:space="preserve"> </w:t>
      </w:r>
      <w:r>
        <w:rPr>
          <w:iCs/>
          <w:i/>
        </w:rPr>
        <w:t xml:space="preserve">Transl Psychiatry</w:t>
      </w:r>
      <w:r>
        <w:t xml:space="preserve"> </w:t>
      </w:r>
      <w:r>
        <w:t xml:space="preserve">· Oxytocin efficacy is modulated by dosage and oxytocin receptor genotype in young adults with high-functioning autism: a 24-week randomized clinical trial. PMID 27552585</w:t>
      </w:r>
    </w:p>
    <w:p>
      <w:pPr>
        <w:numPr>
          <w:ilvl w:val="0"/>
          <w:numId w:val="1419"/>
        </w:numPr>
        <w:pStyle w:val="Compact"/>
      </w:pPr>
      <w:r>
        <w:t xml:space="preserve">2016 · Zunhammer M ·</w:t>
      </w:r>
      <w:r>
        <w:t xml:space="preserve"> </w:t>
      </w:r>
      <w:r>
        <w:rPr>
          <w:iCs/>
          <w:i/>
        </w:rPr>
        <w:t xml:space="preserve">Sci Rep</w:t>
      </w:r>
      <w:r>
        <w:t xml:space="preserve"> </w:t>
      </w:r>
      <w:r>
        <w:t xml:space="preserve">· Pain modulation by intranasal oxytocin and emotional picture viewing - a randomized double-blind fMRI study. PMID 27546446</w:t>
      </w:r>
    </w:p>
    <w:p>
      <w:pPr>
        <w:numPr>
          <w:ilvl w:val="0"/>
          <w:numId w:val="1419"/>
        </w:numPr>
        <w:pStyle w:val="Compact"/>
      </w:pPr>
      <w:r>
        <w:t xml:space="preserve">2016 · Brambilla M ·</w:t>
      </w:r>
      <w:r>
        <w:t xml:space="preserve"> </w:t>
      </w:r>
      <w:r>
        <w:rPr>
          <w:iCs/>
          <w:i/>
        </w:rPr>
        <w:t xml:space="preserve">Eur Neuropsychopharmacol</w:t>
      </w:r>
      <w:r>
        <w:t xml:space="preserve"> </w:t>
      </w:r>
      <w:r>
        <w:t xml:space="preserve">· Oxytocin to modulate emotional processing in schizophrenia: A randomized, double-blind, cross-over clinical trial. PMID 27527256</w:t>
      </w:r>
    </w:p>
    <w:p>
      <w:pPr>
        <w:numPr>
          <w:ilvl w:val="0"/>
          <w:numId w:val="1419"/>
        </w:numPr>
        <w:pStyle w:val="Compact"/>
      </w:pPr>
      <w:r>
        <w:t xml:space="preserve">2016 · Kuppens RJ ·</w:t>
      </w:r>
      <w:r>
        <w:t xml:space="preserve"> </w:t>
      </w:r>
      <w:r>
        <w:rPr>
          <w:iCs/>
          <w:i/>
        </w:rPr>
        <w:t xml:space="preserve">Clin Endocrinol (Oxf)</w:t>
      </w:r>
      <w:r>
        <w:t xml:space="preserve"> </w:t>
      </w:r>
      <w:r>
        <w:t xml:space="preserve">· Promising effects of oxytocin on social and food-related behaviour in young children with Prader-Willi syndrome: a randomized, double-blind, controlled crossover trial. PMID 27486141</w:t>
      </w:r>
    </w:p>
    <w:p>
      <w:pPr>
        <w:numPr>
          <w:ilvl w:val="0"/>
          <w:numId w:val="1419"/>
        </w:numPr>
        <w:pStyle w:val="Compact"/>
      </w:pPr>
      <w:r>
        <w:t xml:space="preserve">2016 · Cardoso C ·</w:t>
      </w:r>
      <w:r>
        <w:t xml:space="preserve"> </w:t>
      </w:r>
      <w:r>
        <w:rPr>
          <w:iCs/>
          <w:i/>
        </w:rPr>
        <w:t xml:space="preserve">Psychoneuroendocrinology</w:t>
      </w:r>
      <w:r>
        <w:t xml:space="preserve"> </w:t>
      </w:r>
      <w:r>
        <w:t xml:space="preserve">· Oxytocin and social context moderate social support seeking in women during negative memory recall. PMID 27164224</w:t>
      </w:r>
    </w:p>
    <w:p>
      <w:pPr>
        <w:numPr>
          <w:ilvl w:val="0"/>
          <w:numId w:val="1419"/>
        </w:numPr>
        <w:pStyle w:val="Compact"/>
      </w:pPr>
      <w:r>
        <w:t xml:space="preserve">2016 · Mitchell JM ·</w:t>
      </w:r>
      <w:r>
        <w:t xml:space="preserve"> </w:t>
      </w:r>
      <w:r>
        <w:rPr>
          <w:iCs/>
          <w:i/>
        </w:rPr>
        <w:t xml:space="preserve">J Addict Med</w:t>
      </w:r>
      <w:r>
        <w:t xml:space="preserve"> </w:t>
      </w:r>
      <w:r>
        <w:t xml:space="preserve">· Intranasal Oxytocin Selectively Modulates Social Perception, Craving, and Approach Behavior in Subjects With Alcohol Use Disorder. PMID 27159342</w:t>
      </w:r>
    </w:p>
    <w:p>
      <w:pPr>
        <w:numPr>
          <w:ilvl w:val="0"/>
          <w:numId w:val="1419"/>
        </w:numPr>
        <w:pStyle w:val="Compact"/>
      </w:pPr>
      <w:r>
        <w:t xml:space="preserve">2016 · Woolley JD ·</w:t>
      </w:r>
      <w:r>
        <w:t xml:space="preserve"> </w:t>
      </w:r>
      <w:r>
        <w:rPr>
          <w:iCs/>
          <w:i/>
        </w:rPr>
        <w:t xml:space="preserve">Psychopharmacology (Berl)</w:t>
      </w:r>
      <w:r>
        <w:t xml:space="preserve"> </w:t>
      </w:r>
      <w:r>
        <w:t xml:space="preserve">· The effects of intranasal oxytocin in opioid-dependent individuals and healthy control subjects: a pilot study. PMID 27137199</w:t>
      </w:r>
    </w:p>
    <w:p>
      <w:pPr>
        <w:numPr>
          <w:ilvl w:val="0"/>
          <w:numId w:val="1419"/>
        </w:numPr>
        <w:pStyle w:val="Compact"/>
      </w:pPr>
      <w:r>
        <w:t xml:space="preserve">2016 · Quintana DS ·</w:t>
      </w:r>
      <w:r>
        <w:t xml:space="preserve"> </w:t>
      </w:r>
      <w:r>
        <w:rPr>
          <w:iCs/>
          <w:i/>
        </w:rPr>
        <w:t xml:space="preserve">Psychoneuroendocrinology</w:t>
      </w:r>
      <w:r>
        <w:t xml:space="preserve"> </w:t>
      </w:r>
      <w:r>
        <w:t xml:space="preserve">· Low dose intranasal oxytocin delivered with Breath Powered device dampens amygdala response to emotional stimuli: A peripheral effect-controlled within-subjects randomized dose-response fMRI trial. PMID 27107209</w:t>
      </w:r>
    </w:p>
    <w:p>
      <w:pPr>
        <w:numPr>
          <w:ilvl w:val="0"/>
          <w:numId w:val="1419"/>
        </w:numPr>
        <w:pStyle w:val="Compact"/>
      </w:pPr>
      <w:r>
        <w:t xml:space="preserve">2016 · Hertz U ·</w:t>
      </w:r>
      <w:r>
        <w:t xml:space="preserve"> </w:t>
      </w:r>
      <w:r>
        <w:rPr>
          <w:iCs/>
          <w:i/>
        </w:rPr>
        <w:t xml:space="preserve">PLoS One</w:t>
      </w:r>
      <w:r>
        <w:t xml:space="preserve"> </w:t>
      </w:r>
      <w:r>
        <w:t xml:space="preserve">· Oxytocin Effect on Collective Decision Making: A Randomized Placebo Controlled Study. PMID 27070542</w:t>
      </w:r>
    </w:p>
    <w:p>
      <w:pPr>
        <w:numPr>
          <w:ilvl w:val="0"/>
          <w:numId w:val="1419"/>
        </w:numPr>
        <w:pStyle w:val="Compact"/>
      </w:pPr>
      <w:r>
        <w:t xml:space="preserve">2016 · Cardoso C ·</w:t>
      </w:r>
      <w:r>
        <w:t xml:space="preserve"> </w:t>
      </w:r>
      <w:r>
        <w:rPr>
          <w:iCs/>
          <w:i/>
        </w:rPr>
        <w:t xml:space="preserve">Psychoneuroendocrinology</w:t>
      </w:r>
      <w:r>
        <w:t xml:space="preserve"> </w:t>
      </w:r>
      <w:r>
        <w:t xml:space="preserve">· Memory response to oxytocin predicts relationship dissolution over 18 months. PMID 26986091</w:t>
      </w:r>
    </w:p>
    <w:p>
      <w:pPr>
        <w:numPr>
          <w:ilvl w:val="0"/>
          <w:numId w:val="1419"/>
        </w:numPr>
        <w:pStyle w:val="Compact"/>
      </w:pPr>
      <w:r>
        <w:t xml:space="preserve">2016 · Colonnello V ·</w:t>
      </w:r>
      <w:r>
        <w:t xml:space="preserve"> </w:t>
      </w:r>
      <w:r>
        <w:rPr>
          <w:iCs/>
          <w:i/>
        </w:rPr>
        <w:t xml:space="preserve">Psychoneuroendocrinology</w:t>
      </w:r>
      <w:r>
        <w:t xml:space="preserve"> </w:t>
      </w:r>
      <w:r>
        <w:t xml:space="preserve">· As time goes by: Oxytocin influences the subjective perception of time in a social context. PMID 26945451</w:t>
      </w:r>
    </w:p>
    <w:p>
      <w:pPr>
        <w:numPr>
          <w:ilvl w:val="0"/>
          <w:numId w:val="1419"/>
        </w:numPr>
        <w:pStyle w:val="Compact"/>
      </w:pPr>
      <w:r>
        <w:t xml:space="preserve">2016 · Dagani J ·</w:t>
      </w:r>
      <w:r>
        <w:t xml:space="preserve"> </w:t>
      </w:r>
      <w:r>
        <w:rPr>
          <w:iCs/>
          <w:i/>
        </w:rPr>
        <w:t xml:space="preserve">Schizophr Res</w:t>
      </w:r>
      <w:r>
        <w:t xml:space="preserve"> </w:t>
      </w:r>
      <w:r>
        <w:t xml:space="preserve">· Do we need oxytocin to treat schizophrenia? A randomized clinical trial. PMID 26883950</w:t>
      </w:r>
    </w:p>
    <w:p>
      <w:pPr>
        <w:numPr>
          <w:ilvl w:val="0"/>
          <w:numId w:val="1419"/>
        </w:numPr>
        <w:pStyle w:val="Compact"/>
      </w:pPr>
      <w:r>
        <w:t xml:space="preserve">2016 · Nawijn L ·</w:t>
      </w:r>
      <w:r>
        <w:t xml:space="preserve"> </w:t>
      </w:r>
      <w:r>
        <w:rPr>
          <w:iCs/>
          <w:i/>
        </w:rPr>
        <w:t xml:space="preserve">Psychoneuroendocrinology</w:t>
      </w:r>
      <w:r>
        <w:t xml:space="preserve"> </w:t>
      </w:r>
      <w:r>
        <w:t xml:space="preserve">· Intranasal oxytocin enhances neural processing of monetary reward and loss in post-traumatic stress disorder and traumatized controls. PMID 26851698</w:t>
      </w:r>
    </w:p>
    <w:p>
      <w:pPr>
        <w:numPr>
          <w:ilvl w:val="0"/>
          <w:numId w:val="1419"/>
        </w:numPr>
        <w:pStyle w:val="Compact"/>
      </w:pPr>
      <w:r>
        <w:t xml:space="preserve">2016 · Koch SB ·</w:t>
      </w:r>
      <w:r>
        <w:t xml:space="preserve"> </w:t>
      </w:r>
      <w:r>
        <w:rPr>
          <w:iCs/>
          <w:i/>
        </w:rPr>
        <w:t xml:space="preserve">Neuropsychopharmacology</w:t>
      </w:r>
      <w:r>
        <w:t xml:space="preserve"> </w:t>
      </w:r>
      <w:r>
        <w:t xml:space="preserve">· Intranasal Oxytocin Normalizes Amygdala Functional Connectivity in Posttraumatic Stress Disorder. PMID 26741286</w:t>
      </w:r>
    </w:p>
    <w:p>
      <w:pPr>
        <w:numPr>
          <w:ilvl w:val="0"/>
          <w:numId w:val="1419"/>
        </w:numPr>
        <w:pStyle w:val="Compact"/>
      </w:pPr>
      <w:r>
        <w:t xml:space="preserve">2016 · Busnelli M ·</w:t>
      </w:r>
      <w:r>
        <w:t xml:space="preserve"> </w:t>
      </w:r>
      <w:r>
        <w:rPr>
          <w:iCs/>
          <w:i/>
        </w:rPr>
        <w:t xml:space="preserve">J Neuroendocrinol</w:t>
      </w:r>
      <w:r>
        <w:t xml:space="preserve"> </w:t>
      </w:r>
      <w:r>
        <w:t xml:space="preserve">· Unaltered Oxytocin and Vasopressin Plasma Levels in Patients with Schizophrenia After 4 Months of Daily Treatment with Intranasal Oxytocin. PMID 26715485</w:t>
      </w:r>
    </w:p>
    <w:p>
      <w:pPr>
        <w:numPr>
          <w:ilvl w:val="0"/>
          <w:numId w:val="1419"/>
        </w:numPr>
        <w:pStyle w:val="Compact"/>
      </w:pPr>
      <w:r>
        <w:t xml:space="preserve">2016 · Palgi S ·</w:t>
      </w:r>
      <w:r>
        <w:t xml:space="preserve"> </w:t>
      </w:r>
      <w:r>
        <w:rPr>
          <w:iCs/>
          <w:i/>
        </w:rPr>
        <w:t xml:space="preserve">Psychoneuroendocrinology</w:t>
      </w:r>
      <w:r>
        <w:t xml:space="preserve"> </w:t>
      </w:r>
      <w:r>
        <w:t xml:space="preserve">· Oxytocin improves compassion toward women among patients with PTSD. PMID 26671007</w:t>
      </w:r>
    </w:p>
    <w:p>
      <w:pPr>
        <w:numPr>
          <w:ilvl w:val="0"/>
          <w:numId w:val="1419"/>
        </w:numPr>
        <w:pStyle w:val="Compact"/>
      </w:pPr>
      <w:r>
        <w:t xml:space="preserve">2016 · Paloyelis Y ·</w:t>
      </w:r>
      <w:r>
        <w:t xml:space="preserve"> </w:t>
      </w:r>
      <w:r>
        <w:rPr>
          <w:iCs/>
          <w:i/>
        </w:rPr>
        <w:t xml:space="preserve">J Neuroendocrinol</w:t>
      </w:r>
      <w:r>
        <w:t xml:space="preserve"> </w:t>
      </w:r>
      <w:r>
        <w:t xml:space="preserve">· The Analgesic Effect of Oxytocin in Humans: A Double-Blind, Placebo-Controlled Cross-Over Study Using Laser-Evoked Potentials. PMID 26660859</w:t>
      </w:r>
    </w:p>
    <w:p>
      <w:pPr>
        <w:numPr>
          <w:ilvl w:val="0"/>
          <w:numId w:val="1419"/>
        </w:numPr>
        <w:pStyle w:val="Compact"/>
      </w:pPr>
      <w:r>
        <w:t xml:space="preserve">2016 · Koch SB ·</w:t>
      </w:r>
      <w:r>
        <w:t xml:space="preserve"> </w:t>
      </w:r>
      <w:r>
        <w:rPr>
          <w:iCs/>
          <w:i/>
        </w:rPr>
        <w:t xml:space="preserve">Neuropsychopharmacology</w:t>
      </w:r>
      <w:r>
        <w:t xml:space="preserve"> </w:t>
      </w:r>
      <w:r>
        <w:t xml:space="preserve">· Intranasal Oxytocin Administration Dampens Amygdala Reactivity towards Emotional Faces in Male and Female PTSD Patients. PMID 26404844</w:t>
      </w:r>
    </w:p>
    <w:p>
      <w:pPr>
        <w:numPr>
          <w:ilvl w:val="0"/>
          <w:numId w:val="1419"/>
        </w:numPr>
        <w:pStyle w:val="Compact"/>
      </w:pPr>
      <w:r>
        <w:t xml:space="preserve">2016 · Frijling JL ·</w:t>
      </w:r>
      <w:r>
        <w:t xml:space="preserve"> </w:t>
      </w:r>
      <w:r>
        <w:rPr>
          <w:iCs/>
          <w:i/>
        </w:rPr>
        <w:t xml:space="preserve">Soc Cogn Affect Neurosci</w:t>
      </w:r>
      <w:r>
        <w:t xml:space="preserve"> </w:t>
      </w:r>
      <w:r>
        <w:t xml:space="preserve">· Effects of intranasal oxytocin on amygdala reactivity to emotional faces in recently trauma-exposed individuals. PMID 26382634</w:t>
      </w:r>
    </w:p>
    <w:p>
      <w:pPr>
        <w:numPr>
          <w:ilvl w:val="0"/>
          <w:numId w:val="1419"/>
        </w:numPr>
        <w:pStyle w:val="Compact"/>
      </w:pPr>
      <w:r>
        <w:t xml:space="preserve">2016 · Frijling JL ·</w:t>
      </w:r>
      <w:r>
        <w:t xml:space="preserve"> </w:t>
      </w:r>
      <w:r>
        <w:rPr>
          <w:iCs/>
          <w:i/>
        </w:rPr>
        <w:t xml:space="preserve">Neuropsychopharmacology</w:t>
      </w:r>
      <w:r>
        <w:t xml:space="preserve"> </w:t>
      </w:r>
      <w:r>
        <w:t xml:space="preserve">· Intranasal Oxytocin Affects Amygdala Functional Connectivity after Trauma Script-Driven Imagery in Distressed Recently Trauma-Exposed Individuals. PMID 26346640</w:t>
      </w:r>
    </w:p>
    <w:p>
      <w:pPr>
        <w:numPr>
          <w:ilvl w:val="0"/>
          <w:numId w:val="1419"/>
        </w:numPr>
        <w:pStyle w:val="Compact"/>
      </w:pPr>
      <w:r>
        <w:t xml:space="preserve">2016 · Eckstein M ·</w:t>
      </w:r>
      <w:r>
        <w:t xml:space="preserve"> </w:t>
      </w:r>
      <w:r>
        <w:rPr>
          <w:iCs/>
          <w:i/>
        </w:rPr>
        <w:t xml:space="preserve">Neuropsychopharmacology</w:t>
      </w:r>
      <w:r>
        <w:t xml:space="preserve"> </w:t>
      </w:r>
      <w:r>
        <w:t xml:space="preserve">· Oxytocin Facilitates Pavlovian Fear Learning in Males. PMID 26272050</w:t>
      </w:r>
    </w:p>
    <w:p>
      <w:pPr>
        <w:numPr>
          <w:ilvl w:val="0"/>
          <w:numId w:val="1419"/>
        </w:numPr>
        <w:pStyle w:val="Compact"/>
      </w:pPr>
      <w:r>
        <w:t xml:space="preserve">2016 · Goodyear K ·</w:t>
      </w:r>
      <w:r>
        <w:t xml:space="preserve"> </w:t>
      </w:r>
      <w:r>
        <w:rPr>
          <w:iCs/>
          <w:i/>
        </w:rPr>
        <w:t xml:space="preserve">Soc Neurosci</w:t>
      </w:r>
      <w:r>
        <w:t xml:space="preserve"> </w:t>
      </w:r>
      <w:r>
        <w:t xml:space="preserve">· Oxytocin influences intuitions about the relationship between belief in free will and moral responsibility. PMID 25916658</w:t>
      </w:r>
    </w:p>
    <w:p>
      <w:pPr>
        <w:numPr>
          <w:ilvl w:val="0"/>
          <w:numId w:val="1419"/>
        </w:numPr>
        <w:pStyle w:val="Compact"/>
      </w:pPr>
      <w:r>
        <w:t xml:space="preserve">2015 · Daughters K ·</w:t>
      </w:r>
      <w:r>
        <w:t xml:space="preserve"> </w:t>
      </w:r>
      <w:r>
        <w:rPr>
          <w:iCs/>
          <w:i/>
        </w:rPr>
        <w:t xml:space="preserve">PLoS One</w:t>
      </w:r>
      <w:r>
        <w:t xml:space="preserve"> </w:t>
      </w:r>
      <w:r>
        <w:t xml:space="preserve">· Salivary Oxytocin Concentrations in Males following Intranasal Administration of Oxytocin: A Double-Blind, Cross-Over Study. PMID 26669935</w:t>
      </w:r>
    </w:p>
    <w:p>
      <w:pPr>
        <w:numPr>
          <w:ilvl w:val="0"/>
          <w:numId w:val="1419"/>
        </w:numPr>
        <w:pStyle w:val="Compact"/>
      </w:pPr>
      <w:r>
        <w:t xml:space="preserve">2015 · Kim YR ·</w:t>
      </w:r>
      <w:r>
        <w:t xml:space="preserve"> </w:t>
      </w:r>
      <w:r>
        <w:rPr>
          <w:iCs/>
          <w:i/>
        </w:rPr>
        <w:t xml:space="preserve">PLoS One</w:t>
      </w:r>
      <w:r>
        <w:t xml:space="preserve"> </w:t>
      </w:r>
      <w:r>
        <w:t xml:space="preserve">· The Impact of Oxytocin on Food Intake and Emotion Recognition in Patients with Eating Disorders: A Double Blind Single Dose Within-Subject Cross-Over Design. PMID 26402337</w:t>
      </w:r>
    </w:p>
    <w:p>
      <w:pPr>
        <w:numPr>
          <w:ilvl w:val="0"/>
          <w:numId w:val="1419"/>
        </w:numPr>
        <w:pStyle w:val="Compact"/>
      </w:pPr>
      <w:r>
        <w:t xml:space="preserve">2015 · Flanagan JC ·</w:t>
      </w:r>
      <w:r>
        <w:t xml:space="preserve"> </w:t>
      </w:r>
      <w:r>
        <w:rPr>
          <w:iCs/>
          <w:i/>
        </w:rPr>
        <w:t xml:space="preserve">Psychiatry Res</w:t>
      </w:r>
      <w:r>
        <w:t xml:space="preserve"> </w:t>
      </w:r>
      <w:r>
        <w:t xml:space="preserve">· Effects of adverse childhood experiences on the association between intranasal oxytocin and social stress reactivity among individuals with cocaine dependence. PMID 26231584</w:t>
      </w:r>
    </w:p>
    <w:p>
      <w:pPr>
        <w:numPr>
          <w:ilvl w:val="0"/>
          <w:numId w:val="1419"/>
        </w:numPr>
        <w:pStyle w:val="Compact"/>
      </w:pPr>
      <w:r>
        <w:t xml:space="preserve">2015 · Quintana DS ·</w:t>
      </w:r>
      <w:r>
        <w:t xml:space="preserve"> </w:t>
      </w:r>
      <w:r>
        <w:rPr>
          <w:iCs/>
          <w:i/>
        </w:rPr>
        <w:t xml:space="preserve">Transl Psychiatry</w:t>
      </w:r>
      <w:r>
        <w:t xml:space="preserve"> </w:t>
      </w:r>
      <w:r>
        <w:t xml:space="preserve">· Low-dose oxytocin delivered intranasally with Breath Powered device affects social-cognitive behavior: a randomized four-way crossover trial with nasal cavity dimension assessment. PMID 26171983</w:t>
      </w:r>
    </w:p>
    <w:p>
      <w:pPr>
        <w:numPr>
          <w:ilvl w:val="0"/>
          <w:numId w:val="1419"/>
        </w:numPr>
        <w:pStyle w:val="Compact"/>
      </w:pPr>
      <w:r>
        <w:t xml:space="preserve">2015 · Muin DA ·</w:t>
      </w:r>
      <w:r>
        <w:t xml:space="preserve"> </w:t>
      </w:r>
      <w:r>
        <w:rPr>
          <w:iCs/>
          <w:i/>
        </w:rPr>
        <w:t xml:space="preserve">Fertil Steril</w:t>
      </w:r>
      <w:r>
        <w:t xml:space="preserve"> </w:t>
      </w:r>
      <w:r>
        <w:t xml:space="preserve">· Effect of long-term intranasal oxytocin on sexual dysfunction in premenopausal and postmenopausal women: a randomized trial. PMID 26151620</w:t>
      </w:r>
    </w:p>
    <w:p>
      <w:pPr>
        <w:numPr>
          <w:ilvl w:val="0"/>
          <w:numId w:val="1419"/>
        </w:numPr>
        <w:pStyle w:val="Compact"/>
      </w:pPr>
      <w:r>
        <w:t xml:space="preserve">2015 · Huang Y ·</w:t>
      </w:r>
      <w:r>
        <w:t xml:space="preserve"> </w:t>
      </w:r>
      <w:r>
        <w:rPr>
          <w:iCs/>
          <w:i/>
        </w:rPr>
        <w:t xml:space="preserve">Psychoneuroendocrinology</w:t>
      </w:r>
      <w:r>
        <w:t xml:space="preserve"> </w:t>
      </w:r>
      <w:r>
        <w:t xml:space="preserve">· Oxytocin enhances implicit social conformity to both in-group and out-group opinions. PMID 26143536</w:t>
      </w:r>
    </w:p>
    <w:p>
      <w:pPr>
        <w:numPr>
          <w:ilvl w:val="0"/>
          <w:numId w:val="1419"/>
        </w:numPr>
        <w:pStyle w:val="Compact"/>
      </w:pPr>
      <w:r>
        <w:t xml:space="preserve">2015 · Bartz JA ·</w:t>
      </w:r>
      <w:r>
        <w:t xml:space="preserve"> </w:t>
      </w:r>
      <w:r>
        <w:rPr>
          <w:iCs/>
          <w:i/>
        </w:rPr>
        <w:t xml:space="preserve">Psychol Sci</w:t>
      </w:r>
      <w:r>
        <w:t xml:space="preserve"> </w:t>
      </w:r>
      <w:r>
        <w:t xml:space="preserve">· Differential Effects of Oxytocin on Agency and Communion for Anxiously and Avoidantly Attached Individuals. PMID 26122122</w:t>
      </w:r>
    </w:p>
    <w:p>
      <w:pPr>
        <w:numPr>
          <w:ilvl w:val="0"/>
          <w:numId w:val="1419"/>
        </w:numPr>
        <w:pStyle w:val="Compact"/>
      </w:pPr>
      <w:r>
        <w:t xml:space="preserve">2015 · Wirth MM ·</w:t>
      </w:r>
      <w:r>
        <w:t xml:space="preserve"> </w:t>
      </w:r>
      <w:r>
        <w:rPr>
          <w:iCs/>
          <w:i/>
        </w:rPr>
        <w:t xml:space="preserve">Neuropsychobiology</w:t>
      </w:r>
      <w:r>
        <w:t xml:space="preserve"> </w:t>
      </w:r>
      <w:r>
        <w:t xml:space="preserve">· Effects of intranasal oxytocin on steroid hormones in men and women. PMID 26044829</w:t>
      </w:r>
    </w:p>
    <w:p>
      <w:pPr>
        <w:numPr>
          <w:ilvl w:val="0"/>
          <w:numId w:val="1419"/>
        </w:numPr>
        <w:pStyle w:val="Compact"/>
      </w:pPr>
      <w:r>
        <w:t xml:space="preserve">2015 · Feng C ·</w:t>
      </w:r>
      <w:r>
        <w:t xml:space="preserve"> </w:t>
      </w:r>
      <w:r>
        <w:rPr>
          <w:iCs/>
          <w:i/>
        </w:rPr>
        <w:t xml:space="preserve">Neuropsychologia</w:t>
      </w:r>
      <w:r>
        <w:t xml:space="preserve"> </w:t>
      </w:r>
      <w:r>
        <w:t xml:space="preserve">· Neuroticism modulates the effects of intranasal vasopressin treatment on the neural response to positive and negative social interactions. PMID 25979609</w:t>
      </w:r>
    </w:p>
    <w:p>
      <w:pPr>
        <w:numPr>
          <w:ilvl w:val="0"/>
          <w:numId w:val="1419"/>
        </w:numPr>
        <w:pStyle w:val="Compact"/>
      </w:pPr>
      <w:r>
        <w:t xml:space="preserve">2015 · Lawson EA ·</w:t>
      </w:r>
      <w:r>
        <w:t xml:space="preserve"> </w:t>
      </w:r>
      <w:r>
        <w:rPr>
          <w:iCs/>
          <w:i/>
        </w:rPr>
        <w:t xml:space="preserve">Obesity (Silver Spring)</w:t>
      </w:r>
      <w:r>
        <w:t xml:space="preserve"> </w:t>
      </w:r>
      <w:r>
        <w:t xml:space="preserve">· Oxytocin reduces caloric intake in men. PMID 25865294</w:t>
      </w:r>
    </w:p>
    <w:p>
      <w:pPr>
        <w:numPr>
          <w:ilvl w:val="0"/>
          <w:numId w:val="1419"/>
        </w:numPr>
        <w:pStyle w:val="Compact"/>
      </w:pPr>
      <w:r>
        <w:t xml:space="preserve">2015 · Acheson DT ·</w:t>
      </w:r>
      <w:r>
        <w:t xml:space="preserve"> </w:t>
      </w:r>
      <w:r>
        <w:rPr>
          <w:iCs/>
          <w:i/>
        </w:rPr>
        <w:t xml:space="preserve">Depress Anxiety</w:t>
      </w:r>
      <w:r>
        <w:t xml:space="preserve"> </w:t>
      </w:r>
      <w:r>
        <w:t xml:space="preserve">· Intranasal oxytocin administration prior to exposure therapy for arachnophobia impedes treatment response. PMID 25826649</w:t>
      </w:r>
    </w:p>
    <w:p>
      <w:pPr>
        <w:numPr>
          <w:ilvl w:val="0"/>
          <w:numId w:val="1419"/>
        </w:numPr>
        <w:pStyle w:val="Compact"/>
      </w:pPr>
      <w:r>
        <w:t xml:space="preserve">2015 · Auyeung B ·</w:t>
      </w:r>
      <w:r>
        <w:t xml:space="preserve"> </w:t>
      </w:r>
      <w:r>
        <w:rPr>
          <w:iCs/>
          <w:i/>
        </w:rPr>
        <w:t xml:space="preserve">Transl Psychiatry</w:t>
      </w:r>
      <w:r>
        <w:t xml:space="preserve"> </w:t>
      </w:r>
      <w:r>
        <w:t xml:space="preserve">· Oxytocin increases eye contact during a real-time, naturalistic social interaction in males with and without autism. PMID 25668435</w:t>
      </w:r>
    </w:p>
    <w:p>
      <w:pPr>
        <w:numPr>
          <w:ilvl w:val="0"/>
          <w:numId w:val="1419"/>
        </w:numPr>
        <w:pStyle w:val="Compact"/>
      </w:pPr>
      <w:r>
        <w:t xml:space="preserve">2015 · Shin NY ·</w:t>
      </w:r>
      <w:r>
        <w:t xml:space="preserve"> </w:t>
      </w:r>
      <w:r>
        <w:rPr>
          <w:iCs/>
          <w:i/>
        </w:rPr>
        <w:t xml:space="preserve">Neuropsychopharmacology</w:t>
      </w:r>
      <w:r>
        <w:t xml:space="preserve"> </w:t>
      </w:r>
      <w:r>
        <w:t xml:space="preserve">· Effects of Oxytocin on Neural Response to Facial Expressions in Patients with Schizophrenia. PMID 25666311</w:t>
      </w:r>
    </w:p>
    <w:p>
      <w:pPr>
        <w:numPr>
          <w:ilvl w:val="0"/>
          <w:numId w:val="1419"/>
        </w:numPr>
        <w:pStyle w:val="Compact"/>
      </w:pPr>
      <w:r>
        <w:t xml:space="preserve">2015 · Zunhammer M ·</w:t>
      </w:r>
      <w:r>
        <w:t xml:space="preserve"> </w:t>
      </w:r>
      <w:r>
        <w:rPr>
          <w:iCs/>
          <w:i/>
        </w:rPr>
        <w:t xml:space="preserve">Psychosom Med</w:t>
      </w:r>
      <w:r>
        <w:t xml:space="preserve"> </w:t>
      </w:r>
      <w:r>
        <w:t xml:space="preserve">· Effects of intranasal oxytocin on thermal pain in healthy men: a randomized functional magnetic resonance imaging study. PMID 25647754</w:t>
      </w:r>
    </w:p>
    <w:p>
      <w:pPr>
        <w:numPr>
          <w:ilvl w:val="0"/>
          <w:numId w:val="1419"/>
        </w:numPr>
        <w:pStyle w:val="Compact"/>
      </w:pPr>
      <w:r>
        <w:t xml:space="preserve">2015 · Woolley JD ·</w:t>
      </w:r>
      <w:r>
        <w:t xml:space="preserve"> </w:t>
      </w:r>
      <w:r>
        <w:rPr>
          <w:iCs/>
          <w:i/>
        </w:rPr>
        <w:t xml:space="preserve">Psychoneuroendocrinology</w:t>
      </w:r>
      <w:r>
        <w:t xml:space="preserve"> </w:t>
      </w:r>
      <w:r>
        <w:t xml:space="preserve">· Oxytocin administration selectively improves olfactory detection thresholds for lyral in patients with schizophrenia. PMID 25637811</w:t>
      </w:r>
    </w:p>
    <w:p>
      <w:pPr>
        <w:numPr>
          <w:ilvl w:val="0"/>
          <w:numId w:val="1419"/>
        </w:numPr>
        <w:pStyle w:val="Compact"/>
      </w:pPr>
      <w:r>
        <w:t xml:space="preserve">2015 · Brüne M ·</w:t>
      </w:r>
      <w:r>
        <w:t xml:space="preserve"> </w:t>
      </w:r>
      <w:r>
        <w:rPr>
          <w:iCs/>
          <w:i/>
        </w:rPr>
        <w:t xml:space="preserve">J Nerv Ment Dis</w:t>
      </w:r>
      <w:r>
        <w:t xml:space="preserve"> </w:t>
      </w:r>
      <w:r>
        <w:t xml:space="preserve">· Nonverbal communication of patients with borderline personality disorder during clinical interviews: a double-blind placebo-controlled study using intranasal oxytocin. PMID 25594788</w:t>
      </w:r>
    </w:p>
    <w:p>
      <w:pPr>
        <w:numPr>
          <w:ilvl w:val="0"/>
          <w:numId w:val="1419"/>
        </w:numPr>
        <w:pStyle w:val="Compact"/>
      </w:pPr>
      <w:r>
        <w:t xml:space="preserve">2015 · Gregory R ·</w:t>
      </w:r>
      <w:r>
        <w:t xml:space="preserve"> </w:t>
      </w:r>
      <w:r>
        <w:rPr>
          <w:iCs/>
          <w:i/>
        </w:rPr>
        <w:t xml:space="preserve">Horm Behav</w:t>
      </w:r>
      <w:r>
        <w:t xml:space="preserve"> </w:t>
      </w:r>
      <w:r>
        <w:t xml:space="preserve">· Oxytocin increases VTA activation to infant and sexual stimuli in nulliparous and postpartum women. PMID 25562711</w:t>
      </w:r>
    </w:p>
    <w:p>
      <w:pPr>
        <w:numPr>
          <w:ilvl w:val="0"/>
          <w:numId w:val="1419"/>
        </w:numPr>
        <w:pStyle w:val="Compact"/>
      </w:pPr>
      <w:r>
        <w:t xml:space="preserve">2015 · Finger EC ·</w:t>
      </w:r>
      <w:r>
        <w:t xml:space="preserve"> </w:t>
      </w:r>
      <w:r>
        <w:rPr>
          <w:iCs/>
          <w:i/>
        </w:rPr>
        <w:t xml:space="preserve">Neurology</w:t>
      </w:r>
      <w:r>
        <w:t xml:space="preserve"> </w:t>
      </w:r>
      <w:r>
        <w:t xml:space="preserve">· Oxytocin for frontotemporal dementia: a randomized dose-finding study of safety and tolerability. PMID 25503617</w:t>
      </w:r>
    </w:p>
    <w:p>
      <w:pPr>
        <w:numPr>
          <w:ilvl w:val="0"/>
          <w:numId w:val="1419"/>
        </w:numPr>
        <w:pStyle w:val="Compact"/>
      </w:pPr>
      <w:r>
        <w:t xml:space="preserve">2015 · Edelson MG ·</w:t>
      </w:r>
      <w:r>
        <w:t xml:space="preserve"> </w:t>
      </w:r>
      <w:r>
        <w:rPr>
          <w:iCs/>
          <w:i/>
        </w:rPr>
        <w:t xml:space="preserve">Neuropsychopharmacology</w:t>
      </w:r>
      <w:r>
        <w:t xml:space="preserve"> </w:t>
      </w:r>
      <w:r>
        <w:t xml:space="preserve">· Opposing effects of oxytocin on overt compliance and lasting changes to memory. PMID 25308350</w:t>
      </w:r>
    </w:p>
    <w:p>
      <w:pPr>
        <w:numPr>
          <w:ilvl w:val="0"/>
          <w:numId w:val="1419"/>
        </w:numPr>
        <w:pStyle w:val="Compact"/>
      </w:pPr>
      <w:r>
        <w:t xml:space="preserve">2015 · Scantamburlo G ·</w:t>
      </w:r>
      <w:r>
        <w:t xml:space="preserve"> </w:t>
      </w:r>
      <w:r>
        <w:rPr>
          <w:iCs/>
          <w:i/>
        </w:rPr>
        <w:t xml:space="preserve">Eur Psychiatry</w:t>
      </w:r>
      <w:r>
        <w:t xml:space="preserve"> </w:t>
      </w:r>
      <w:r>
        <w:t xml:space="preserve">· Additional intranasal oxytocin to escitalopram improves depressive symptoms in resistant depression: an open trial. PMID 25282363</w:t>
      </w:r>
    </w:p>
    <w:p>
      <w:pPr>
        <w:numPr>
          <w:ilvl w:val="0"/>
          <w:numId w:val="1419"/>
        </w:numPr>
        <w:pStyle w:val="Compact"/>
      </w:pPr>
      <w:r>
        <w:t xml:space="preserve">2015 · Guastella AJ ·</w:t>
      </w:r>
      <w:r>
        <w:t xml:space="preserve"> </w:t>
      </w:r>
      <w:r>
        <w:rPr>
          <w:iCs/>
          <w:i/>
        </w:rPr>
        <w:t xml:space="preserve">J Child Psychol Psychiatry</w:t>
      </w:r>
      <w:r>
        <w:t xml:space="preserve"> </w:t>
      </w:r>
      <w:r>
        <w:t xml:space="preserve">· The effects of a course of intranasal oxytocin on social behaviors in youth diagnosed with autism spectrum disorders: a randomized controlled trial. PMID 25087908</w:t>
      </w:r>
    </w:p>
    <w:p>
      <w:pPr>
        <w:numPr>
          <w:ilvl w:val="0"/>
          <w:numId w:val="1419"/>
        </w:numPr>
        <w:pStyle w:val="Compact"/>
      </w:pPr>
      <w:r>
        <w:t xml:space="preserve">2015 · Aoki Y ·</w:t>
      </w:r>
      <w:r>
        <w:t xml:space="preserve"> </w:t>
      </w:r>
      <w:r>
        <w:rPr>
          <w:iCs/>
          <w:i/>
        </w:rPr>
        <w:t xml:space="preserve">Mol Psychiatry</w:t>
      </w:r>
      <w:r>
        <w:t xml:space="preserve"> </w:t>
      </w:r>
      <w:r>
        <w:t xml:space="preserve">· Oxytocin’s neurochemical effects in the medial prefrontal cortex underlie recovery of task-specific brain activity in autism: a randomized controlled trial. PMID 25070538</w:t>
      </w:r>
    </w:p>
    <w:p>
      <w:pPr>
        <w:numPr>
          <w:ilvl w:val="0"/>
          <w:numId w:val="1419"/>
        </w:numPr>
        <w:pStyle w:val="Compact"/>
      </w:pPr>
      <w:r>
        <w:t xml:space="preserve">2014 · Kumar J ·</w:t>
      </w:r>
      <w:r>
        <w:t xml:space="preserve"> </w:t>
      </w:r>
      <w:r>
        <w:rPr>
          <w:iCs/>
          <w:i/>
        </w:rPr>
        <w:t xml:space="preserve">Int J Neuropsychopharmacol</w:t>
      </w:r>
      <w:r>
        <w:t xml:space="preserve"> </w:t>
      </w:r>
      <w:r>
        <w:t xml:space="preserve">· Oxytocin affects the connectivity of the precuneus and the amygdala: a randomized, double-blinded, placebo-controlled neuroimaging trial. PMID 25522395</w:t>
      </w:r>
    </w:p>
    <w:p>
      <w:pPr>
        <w:numPr>
          <w:ilvl w:val="0"/>
          <w:numId w:val="1419"/>
        </w:numPr>
        <w:pStyle w:val="Compact"/>
      </w:pPr>
      <w:r>
        <w:t xml:space="preserve">2014 · Colonnello V ·</w:t>
      </w:r>
      <w:r>
        <w:t xml:space="preserve"> </w:t>
      </w:r>
      <w:r>
        <w:rPr>
          <w:iCs/>
          <w:i/>
        </w:rPr>
        <w:t xml:space="preserve">J Psychosom Res</w:t>
      </w:r>
      <w:r>
        <w:t xml:space="preserve"> </w:t>
      </w:r>
      <w:r>
        <w:t xml:space="preserve">· Intranasal oxytocin enhances positive self-attribution in healthy men. PMID 25439340</w:t>
      </w:r>
    </w:p>
    <w:p>
      <w:pPr>
        <w:numPr>
          <w:ilvl w:val="0"/>
          <w:numId w:val="1419"/>
        </w:numPr>
        <w:pStyle w:val="Compact"/>
      </w:pPr>
      <w:r>
        <w:t xml:space="preserve">2014 · Horta de Macedo LR ·</w:t>
      </w:r>
      <w:r>
        <w:t xml:space="preserve"> </w:t>
      </w:r>
      <w:r>
        <w:rPr>
          <w:iCs/>
          <w:i/>
        </w:rPr>
        <w:t xml:space="preserve">Psychiatry Res</w:t>
      </w:r>
      <w:r>
        <w:t xml:space="preserve"> </w:t>
      </w:r>
      <w:r>
        <w:t xml:space="preserve">· Oxytocin does not improve performance of patients with schizophrenia and healthy volunteers in a facial emotion matching task. PMID 25190346</w:t>
      </w:r>
    </w:p>
    <w:p>
      <w:pPr>
        <w:numPr>
          <w:ilvl w:val="0"/>
          <w:numId w:val="1419"/>
        </w:numPr>
        <w:pStyle w:val="Compact"/>
      </w:pPr>
      <w:r>
        <w:t xml:space="preserve">2014 · Lee MR ·</w:t>
      </w:r>
      <w:r>
        <w:t xml:space="preserve"> </w:t>
      </w:r>
      <w:r>
        <w:rPr>
          <w:iCs/>
          <w:i/>
        </w:rPr>
        <w:t xml:space="preserve">Eur Neuropsychopharmacol</w:t>
      </w:r>
      <w:r>
        <w:t xml:space="preserve"> </w:t>
      </w:r>
      <w:r>
        <w:t xml:space="preserve">· Complexity of oxytocin׳s effects in a chronic cocaine dependent population. PMID 25044050</w:t>
      </w:r>
    </w:p>
    <w:p>
      <w:pPr>
        <w:numPr>
          <w:ilvl w:val="0"/>
          <w:numId w:val="1419"/>
        </w:numPr>
        <w:pStyle w:val="Compact"/>
      </w:pPr>
      <w:r>
        <w:t xml:space="preserve">2014 · Woolley JD ·</w:t>
      </w:r>
      <w:r>
        <w:t xml:space="preserve"> </w:t>
      </w:r>
      <w:r>
        <w:rPr>
          <w:iCs/>
          <w:i/>
        </w:rPr>
        <w:t xml:space="preserve">Psychoneuroendocrinology</w:t>
      </w:r>
      <w:r>
        <w:t xml:space="preserve"> </w:t>
      </w:r>
      <w:r>
        <w:t xml:space="preserve">· Oxytocin administration enhances controlled social cognition in patients with schizophrenia. PMID 25001961</w:t>
      </w:r>
    </w:p>
    <w:p>
      <w:pPr>
        <w:numPr>
          <w:ilvl w:val="0"/>
          <w:numId w:val="1419"/>
        </w:numPr>
        <w:pStyle w:val="Compact"/>
      </w:pPr>
      <w:r>
        <w:t xml:space="preserve">2014 · Einfeld SL ·</w:t>
      </w:r>
      <w:r>
        <w:t xml:space="preserve"> </w:t>
      </w:r>
      <w:r>
        <w:rPr>
          <w:iCs/>
          <w:i/>
        </w:rPr>
        <w:t xml:space="preserve">Am J Med Genet A</w:t>
      </w:r>
      <w:r>
        <w:t xml:space="preserve"> </w:t>
      </w:r>
      <w:r>
        <w:t xml:space="preserve">· A double-blind randomized controlled trial of oxytocin nasal spray in Prader Willi syndrome. PMID 24980612</w:t>
      </w:r>
    </w:p>
    <w:p>
      <w:pPr>
        <w:numPr>
          <w:ilvl w:val="0"/>
          <w:numId w:val="1419"/>
        </w:numPr>
        <w:pStyle w:val="Compact"/>
      </w:pPr>
      <w:r>
        <w:t xml:space="preserve">2014 · Rash JA ·</w:t>
      </w:r>
      <w:r>
        <w:t xml:space="preserve"> </w:t>
      </w:r>
      <w:r>
        <w:rPr>
          <w:iCs/>
          <w:i/>
        </w:rPr>
        <w:t xml:space="preserve">Psychosom Med</w:t>
      </w:r>
      <w:r>
        <w:t xml:space="preserve"> </w:t>
      </w:r>
      <w:r>
        <w:t xml:space="preserve">· The effect of intranasal oxytocin administration on acute cold pressor pain: a placebo-controlled, double-blind, within-participants crossover investigation. PMID 24979580</w:t>
      </w:r>
    </w:p>
    <w:p>
      <w:pPr>
        <w:numPr>
          <w:ilvl w:val="0"/>
          <w:numId w:val="1419"/>
        </w:numPr>
        <w:pStyle w:val="Compact"/>
      </w:pPr>
      <w:r>
        <w:t xml:space="preserve">2014 · Bhandari R ·</w:t>
      </w:r>
      <w:r>
        <w:t xml:space="preserve"> </w:t>
      </w:r>
      <w:r>
        <w:rPr>
          <w:iCs/>
          <w:i/>
        </w:rPr>
        <w:t xml:space="preserve">Soc Neurosci</w:t>
      </w:r>
      <w:r>
        <w:t xml:space="preserve"> </w:t>
      </w:r>
      <w:r>
        <w:t xml:space="preserve">· Effects of intranasal oxytocin administration on memory for infant cues: moderation by childhood emotional maltreatment. PMID 24968101</w:t>
      </w:r>
    </w:p>
    <w:p>
      <w:pPr>
        <w:numPr>
          <w:ilvl w:val="0"/>
          <w:numId w:val="1419"/>
        </w:numPr>
        <w:pStyle w:val="Compact"/>
      </w:pPr>
      <w:r>
        <w:t xml:space="preserve">2014 · Yao S ·</w:t>
      </w:r>
      <w:r>
        <w:t xml:space="preserve"> </w:t>
      </w:r>
      <w:r>
        <w:rPr>
          <w:iCs/>
          <w:i/>
        </w:rPr>
        <w:t xml:space="preserve">Int J Neuropsychopharmacol</w:t>
      </w:r>
      <w:r>
        <w:t xml:space="preserve"> </w:t>
      </w:r>
      <w:r>
        <w:t xml:space="preserve">· Oxytocin makes females, but not males, less forgiving following betrayal of trust. PMID 24916520</w:t>
      </w:r>
    </w:p>
    <w:p>
      <w:pPr>
        <w:numPr>
          <w:ilvl w:val="0"/>
          <w:numId w:val="1419"/>
        </w:numPr>
        <w:pStyle w:val="Compact"/>
      </w:pPr>
      <w:r>
        <w:t xml:space="preserve">2014 · Hoge EA ·</w:t>
      </w:r>
      <w:r>
        <w:t xml:space="preserve"> </w:t>
      </w:r>
      <w:r>
        <w:rPr>
          <w:iCs/>
          <w:i/>
        </w:rPr>
        <w:t xml:space="preserve">Hum Psychopharmacol</w:t>
      </w:r>
      <w:r>
        <w:t xml:space="preserve"> </w:t>
      </w:r>
      <w:r>
        <w:t xml:space="preserve">· Gender moderates the effect of oxytocin on social judgments. PMID 24911580</w:t>
      </w:r>
    </w:p>
    <w:p>
      <w:pPr>
        <w:numPr>
          <w:ilvl w:val="0"/>
          <w:numId w:val="1419"/>
        </w:numPr>
        <w:pStyle w:val="Compact"/>
      </w:pPr>
      <w:r>
        <w:t xml:space="preserve">2014 · Kirkpatrick MG ·</w:t>
      </w:r>
      <w:r>
        <w:t xml:space="preserve"> </w:t>
      </w:r>
      <w:r>
        <w:rPr>
          <w:iCs/>
          <w:i/>
        </w:rPr>
        <w:t xml:space="preserve">Psychoneuroendocrinology</w:t>
      </w:r>
      <w:r>
        <w:t xml:space="preserve"> </w:t>
      </w:r>
      <w:r>
        <w:t xml:space="preserve">· Plasma oxytocin concentrations following MDMA or intranasal oxytocin in humans. PMID 24882155</w:t>
      </w:r>
    </w:p>
    <w:p>
      <w:pPr>
        <w:numPr>
          <w:ilvl w:val="0"/>
          <w:numId w:val="1419"/>
        </w:numPr>
        <w:pStyle w:val="Compact"/>
      </w:pPr>
      <w:r>
        <w:t xml:space="preserve">2014 · Gibson CM ·</w:t>
      </w:r>
      <w:r>
        <w:t xml:space="preserve"> </w:t>
      </w:r>
      <w:r>
        <w:rPr>
          <w:iCs/>
          <w:i/>
        </w:rPr>
        <w:t xml:space="preserve">Schizophr Res</w:t>
      </w:r>
      <w:r>
        <w:t xml:space="preserve"> </w:t>
      </w:r>
      <w:r>
        <w:t xml:space="preserve">· A pilot six-week randomized controlled trial of oxytocin on social cognition and social skills in schizophrenia. PMID 24799299</w:t>
      </w:r>
    </w:p>
    <w:p>
      <w:pPr>
        <w:numPr>
          <w:ilvl w:val="0"/>
          <w:numId w:val="1419"/>
        </w:numPr>
        <w:pStyle w:val="Compact"/>
      </w:pPr>
      <w:r>
        <w:t xml:space="preserve">2014 · Frijling JL ·</w:t>
      </w:r>
      <w:r>
        <w:t xml:space="preserve"> </w:t>
      </w:r>
      <w:r>
        <w:rPr>
          <w:iCs/>
          <w:i/>
        </w:rPr>
        <w:t xml:space="preserve">BMC Psychiatry</w:t>
      </w:r>
      <w:r>
        <w:t xml:space="preserve"> </w:t>
      </w:r>
      <w:r>
        <w:t xml:space="preserve">· Efficacy of oxytocin administration early after psychotrauma in preventing the development of PTSD: study protocol of a randomized controlled trial. PMID 24679046</w:t>
      </w:r>
    </w:p>
    <w:p>
      <w:pPr>
        <w:numPr>
          <w:ilvl w:val="0"/>
          <w:numId w:val="1419"/>
        </w:numPr>
        <w:pStyle w:val="Compact"/>
      </w:pPr>
      <w:r>
        <w:t xml:space="preserve">2014 · Davis MC ·</w:t>
      </w:r>
      <w:r>
        <w:t xml:space="preserve"> </w:t>
      </w:r>
      <w:r>
        <w:rPr>
          <w:iCs/>
          <w:i/>
        </w:rPr>
        <w:t xml:space="preserve">Neuropsychopharmacology</w:t>
      </w:r>
      <w:r>
        <w:t xml:space="preserve"> </w:t>
      </w:r>
      <w:r>
        <w:t xml:space="preserve">· Oxytocin-augmented social cognitive skills training in schizophrenia. PMID 24637803</w:t>
      </w:r>
    </w:p>
    <w:p>
      <w:pPr>
        <w:numPr>
          <w:ilvl w:val="0"/>
          <w:numId w:val="1419"/>
        </w:numPr>
        <w:pStyle w:val="Compact"/>
      </w:pPr>
      <w:r>
        <w:t xml:space="preserve">2014 · Kim YR ·</w:t>
      </w:r>
      <w:r>
        <w:t xml:space="preserve"> </w:t>
      </w:r>
      <w:r>
        <w:rPr>
          <w:iCs/>
          <w:i/>
        </w:rPr>
        <w:t xml:space="preserve">PLoS One</w:t>
      </w:r>
      <w:r>
        <w:t xml:space="preserve"> </w:t>
      </w:r>
      <w:r>
        <w:t xml:space="preserve">· The impact of intranasal oxytocin on attention to social emotional stimuli in patients with anorexia nervosa: a double blind within-subject cross-over experiment. PMID 24603863</w:t>
      </w:r>
    </w:p>
    <w:p>
      <w:pPr>
        <w:numPr>
          <w:ilvl w:val="0"/>
          <w:numId w:val="1419"/>
        </w:numPr>
        <w:pStyle w:val="Compact"/>
      </w:pPr>
      <w:r>
        <w:t xml:space="preserve">2014 · Behnia B ·</w:t>
      </w:r>
      <w:r>
        <w:t xml:space="preserve"> </w:t>
      </w:r>
      <w:r>
        <w:rPr>
          <w:iCs/>
          <w:i/>
        </w:rPr>
        <w:t xml:space="preserve">Horm Behav</w:t>
      </w:r>
      <w:r>
        <w:t xml:space="preserve"> </w:t>
      </w:r>
      <w:r>
        <w:t xml:space="preserve">· Differential effects of intranasal oxytocin on sexual experiences and partner interactions in couples. PMID 24503174</w:t>
      </w:r>
    </w:p>
    <w:p>
      <w:pPr>
        <w:numPr>
          <w:ilvl w:val="0"/>
          <w:numId w:val="1419"/>
        </w:numPr>
        <w:pStyle w:val="Compact"/>
      </w:pPr>
      <w:r>
        <w:t xml:space="preserve">2014 · Riem MM ·</w:t>
      </w:r>
      <w:r>
        <w:t xml:space="preserve"> </w:t>
      </w:r>
      <w:r>
        <w:rPr>
          <w:iCs/>
          <w:i/>
        </w:rPr>
        <w:t xml:space="preserve">Prog Neuropsychopharmacol Biol Psychiatry</w:t>
      </w:r>
      <w:r>
        <w:t xml:space="preserve"> </w:t>
      </w:r>
      <w:r>
        <w:t xml:space="preserve">· Oxytocin effects on mind-reading are moderated by experiences of maternal love withdrawal: an fMRI study. PMID 24486563</w:t>
      </w:r>
    </w:p>
    <w:p>
      <w:pPr>
        <w:numPr>
          <w:ilvl w:val="0"/>
          <w:numId w:val="1419"/>
        </w:numPr>
        <w:pStyle w:val="Compact"/>
      </w:pPr>
      <w:r>
        <w:t xml:space="preserve">2014 · Kirkpatrick MG ·</w:t>
      </w:r>
      <w:r>
        <w:t xml:space="preserve"> </w:t>
      </w:r>
      <w:r>
        <w:rPr>
          <w:iCs/>
          <w:i/>
        </w:rPr>
        <w:t xml:space="preserve">Neuropsychopharmacology</w:t>
      </w:r>
      <w:r>
        <w:t xml:space="preserve"> </w:t>
      </w:r>
      <w:r>
        <w:t xml:space="preserve">· Effects of MDMA and Intranasal oxytocin on social and emotional processing. PMID 24448644</w:t>
      </w:r>
    </w:p>
    <w:p>
      <w:pPr>
        <w:numPr>
          <w:ilvl w:val="0"/>
          <w:numId w:val="1419"/>
        </w:numPr>
        <w:pStyle w:val="Compact"/>
      </w:pPr>
      <w:r>
        <w:t xml:space="preserve">2014 · Cardoso C ·</w:t>
      </w:r>
      <w:r>
        <w:t xml:space="preserve"> </w:t>
      </w:r>
      <w:r>
        <w:rPr>
          <w:iCs/>
          <w:i/>
        </w:rPr>
        <w:t xml:space="preserve">Soc Neurosci</w:t>
      </w:r>
      <w:r>
        <w:t xml:space="preserve"> </w:t>
      </w:r>
      <w:r>
        <w:t xml:space="preserve">· Oxytocin and enhancement of the positive valence of social affiliation memories: an autobiographical memory study. PMID 24387003</w:t>
      </w:r>
    </w:p>
    <w:p>
      <w:pPr>
        <w:numPr>
          <w:ilvl w:val="0"/>
          <w:numId w:val="1419"/>
        </w:numPr>
        <w:pStyle w:val="Compact"/>
      </w:pPr>
      <w:r>
        <w:t xml:space="preserve">2014 · Watanabe T ·</w:t>
      </w:r>
      <w:r>
        <w:t xml:space="preserve"> </w:t>
      </w:r>
      <w:r>
        <w:rPr>
          <w:iCs/>
          <w:i/>
        </w:rPr>
        <w:t xml:space="preserve">JAMA Psychiatry</w:t>
      </w:r>
      <w:r>
        <w:t xml:space="preserve"> </w:t>
      </w:r>
      <w:r>
        <w:t xml:space="preserve">· Mitigation of sociocommunicational deficits of autism through oxytocin-induced recovery of medial prefrontal activity: a randomized trial. PMID 24352377</w:t>
      </w:r>
    </w:p>
    <w:p>
      <w:pPr>
        <w:numPr>
          <w:ilvl w:val="0"/>
          <w:numId w:val="1419"/>
        </w:numPr>
        <w:pStyle w:val="Compact"/>
      </w:pPr>
      <w:r>
        <w:t xml:space="preserve">2014 · Cardoso C ·</w:t>
      </w:r>
      <w:r>
        <w:t xml:space="preserve"> </w:t>
      </w:r>
      <w:r>
        <w:rPr>
          <w:iCs/>
          <w:i/>
        </w:rPr>
        <w:t xml:space="preserve">Emotion</w:t>
      </w:r>
      <w:r>
        <w:t xml:space="preserve"> </w:t>
      </w:r>
      <w:r>
        <w:t xml:space="preserve">· The effect of intranasal oxytocin on perceiving and understanding emotion on the Mayer-Salovey-Caruso Emotional Intelligence Test (MSCEIT). PMID 24188065</w:t>
      </w:r>
    </w:p>
    <w:p>
      <w:pPr>
        <w:numPr>
          <w:ilvl w:val="0"/>
          <w:numId w:val="1419"/>
        </w:numPr>
        <w:pStyle w:val="Compact"/>
      </w:pPr>
      <w:r>
        <w:t xml:space="preserve">2014 · Rilling JK ·</w:t>
      </w:r>
      <w:r>
        <w:t xml:space="preserve"> </w:t>
      </w:r>
      <w:r>
        <w:rPr>
          <w:iCs/>
          <w:i/>
        </w:rPr>
        <w:t xml:space="preserve">Psychoneuroendocrinology</w:t>
      </w:r>
      <w:r>
        <w:t xml:space="preserve"> </w:t>
      </w:r>
      <w:r>
        <w:t xml:space="preserve">· Sex differences in the neural and behavioral response to intranasal oxytocin and vasopressin during human social interaction. PMID 24157401</w:t>
      </w:r>
    </w:p>
    <w:p>
      <w:pPr>
        <w:numPr>
          <w:ilvl w:val="0"/>
          <w:numId w:val="1419"/>
        </w:numPr>
        <w:pStyle w:val="Compact"/>
      </w:pPr>
      <w:r>
        <w:t xml:space="preserve">2014 · Domes G ·</w:t>
      </w:r>
      <w:r>
        <w:t xml:space="preserve"> </w:t>
      </w:r>
      <w:r>
        <w:rPr>
          <w:iCs/>
          <w:i/>
        </w:rPr>
        <w:t xml:space="preserve">Neuropsychopharmacology</w:t>
      </w:r>
      <w:r>
        <w:t xml:space="preserve"> </w:t>
      </w:r>
      <w:r>
        <w:t xml:space="preserve">· Oxytocin promotes facial emotion recognition and amygdala reactivity in adults with asperger syndrome. PMID 24067301</w:t>
      </w:r>
    </w:p>
    <w:p>
      <w:pPr>
        <w:numPr>
          <w:ilvl w:val="0"/>
          <w:numId w:val="1419"/>
        </w:numPr>
        <w:pStyle w:val="Compact"/>
      </w:pPr>
      <w:r>
        <w:t xml:space="preserve">2014 · Dadds MR ·</w:t>
      </w:r>
      <w:r>
        <w:t xml:space="preserve"> </w:t>
      </w:r>
      <w:r>
        <w:rPr>
          <w:iCs/>
          <w:i/>
        </w:rPr>
        <w:t xml:space="preserve">J Autism Dev Disord</w:t>
      </w:r>
      <w:r>
        <w:t xml:space="preserve"> </w:t>
      </w:r>
      <w:r>
        <w:t xml:space="preserve">· Nasal oxytocin for social deficits in childhood autism: a randomized controlled trial. PMID 23888359</w:t>
      </w:r>
    </w:p>
    <w:p>
      <w:pPr>
        <w:numPr>
          <w:ilvl w:val="0"/>
          <w:numId w:val="1419"/>
        </w:numPr>
        <w:pStyle w:val="Compact"/>
      </w:pPr>
      <w:r>
        <w:t xml:space="preserve">2014 · Rupp HA ·</w:t>
      </w:r>
      <w:r>
        <w:t xml:space="preserve"> </w:t>
      </w:r>
      <w:r>
        <w:rPr>
          <w:iCs/>
          <w:i/>
        </w:rPr>
        <w:t xml:space="preserve">Soc Cogn Affect Neurosci</w:t>
      </w:r>
      <w:r>
        <w:t xml:space="preserve"> </w:t>
      </w:r>
      <w:r>
        <w:t xml:space="preserve">· Amygdala response to negative images in postpartum vs nulliparous women and intranasal oxytocin. PMID 22956670</w:t>
      </w:r>
    </w:p>
    <w:p>
      <w:pPr>
        <w:numPr>
          <w:ilvl w:val="0"/>
          <w:numId w:val="1419"/>
        </w:numPr>
        <w:pStyle w:val="Compact"/>
      </w:pPr>
      <w:r>
        <w:t xml:space="preserve">2013 · Striepens N ·</w:t>
      </w:r>
      <w:r>
        <w:t xml:space="preserve"> </w:t>
      </w:r>
      <w:r>
        <w:rPr>
          <w:iCs/>
          <w:i/>
        </w:rPr>
        <w:t xml:space="preserve">Sci Rep</w:t>
      </w:r>
      <w:r>
        <w:t xml:space="preserve"> </w:t>
      </w:r>
      <w:r>
        <w:t xml:space="preserve">· Elevated cerebrospinal fluid and blood concentrations of oxytocin following its intranasal administration in humans. PMID 24310737</w:t>
      </w:r>
    </w:p>
    <w:p>
      <w:pPr>
        <w:numPr>
          <w:ilvl w:val="0"/>
          <w:numId w:val="1419"/>
        </w:numPr>
        <w:pStyle w:val="Compact"/>
      </w:pPr>
      <w:r>
        <w:t xml:space="preserve">2013 · Montag C ·</w:t>
      </w:r>
      <w:r>
        <w:t xml:space="preserve"> </w:t>
      </w:r>
      <w:r>
        <w:rPr>
          <w:iCs/>
          <w:i/>
        </w:rPr>
        <w:t xml:space="preserve">Eur Arch Psychiatry Clin Neurosci</w:t>
      </w:r>
      <w:r>
        <w:t xml:space="preserve"> </w:t>
      </w:r>
      <w:r>
        <w:t xml:space="preserve">· An interaction between oxytocin and a genetic variation of the oxytocin receptor modulates amygdala activity toward direct gaze: evidence from a pharmacological imaging genetics study. PMID 24071915</w:t>
      </w:r>
    </w:p>
    <w:p>
      <w:pPr>
        <w:numPr>
          <w:ilvl w:val="0"/>
          <w:numId w:val="1419"/>
        </w:numPr>
        <w:pStyle w:val="Compact"/>
      </w:pPr>
      <w:r>
        <w:t xml:space="preserve">2013 · Ebert A ·</w:t>
      </w:r>
      <w:r>
        <w:t xml:space="preserve"> </w:t>
      </w:r>
      <w:r>
        <w:rPr>
          <w:iCs/>
          <w:i/>
        </w:rPr>
        <w:t xml:space="preserve">Soc Neurosci</w:t>
      </w:r>
      <w:r>
        <w:t xml:space="preserve"> </w:t>
      </w:r>
      <w:r>
        <w:t xml:space="preserve">· Modulation of interpersonal trust in borderline personality disorder by intranasal oxytocin and childhood trauma. PMID 23802121</w:t>
      </w:r>
    </w:p>
    <w:p>
      <w:pPr>
        <w:numPr>
          <w:ilvl w:val="0"/>
          <w:numId w:val="1419"/>
        </w:numPr>
        <w:pStyle w:val="Compact"/>
      </w:pPr>
      <w:r>
        <w:t xml:space="preserve">2013 · Cardoso C ·</w:t>
      </w:r>
      <w:r>
        <w:t xml:space="preserve"> </w:t>
      </w:r>
      <w:r>
        <w:rPr>
          <w:iCs/>
          <w:i/>
        </w:rPr>
        <w:t xml:space="preserve">Psychoneuroendocrinology</w:t>
      </w:r>
      <w:r>
        <w:t xml:space="preserve"> </w:t>
      </w:r>
      <w:r>
        <w:t xml:space="preserve">· Stress-induced negative mood moderates the relation between oxytocin administration and trust: evidence for the tend-and-befriend response to stress?. PMID 23768973</w:t>
      </w:r>
    </w:p>
    <w:p>
      <w:pPr>
        <w:numPr>
          <w:ilvl w:val="0"/>
          <w:numId w:val="1419"/>
        </w:numPr>
        <w:pStyle w:val="Compact"/>
      </w:pPr>
      <w:r>
        <w:t xml:space="preserve">2013 · Zhang H ·</w:t>
      </w:r>
      <w:r>
        <w:t xml:space="preserve"> </w:t>
      </w:r>
      <w:r>
        <w:rPr>
          <w:iCs/>
          <w:i/>
        </w:rPr>
        <w:t xml:space="preserve">PLoS One</w:t>
      </w:r>
      <w:r>
        <w:t xml:space="preserve"> </w:t>
      </w:r>
      <w:r>
        <w:t xml:space="preserve">· Treatment of obesity and diabetes using oxytocin or analogs in patients and mouse models. PMID 23700406</w:t>
      </w:r>
    </w:p>
    <w:p>
      <w:pPr>
        <w:numPr>
          <w:ilvl w:val="0"/>
          <w:numId w:val="1419"/>
        </w:numPr>
        <w:pStyle w:val="Compact"/>
      </w:pPr>
      <w:r>
        <w:t xml:space="preserve">2013 · Davis MC ·</w:t>
      </w:r>
      <w:r>
        <w:t xml:space="preserve"> </w:t>
      </w:r>
      <w:r>
        <w:rPr>
          <w:iCs/>
          <w:i/>
        </w:rPr>
        <w:t xml:space="preserve">Schizophr Res</w:t>
      </w:r>
      <w:r>
        <w:t xml:space="preserve"> </w:t>
      </w:r>
      <w:r>
        <w:t xml:space="preserve">· Effects of single dose intranasal oxytocin on social cognition in schizophrenia. PMID 23676253</w:t>
      </w:r>
    </w:p>
    <w:p>
      <w:pPr>
        <w:numPr>
          <w:ilvl w:val="0"/>
          <w:numId w:val="1419"/>
        </w:numPr>
        <w:pStyle w:val="Compact"/>
      </w:pPr>
      <w:r>
        <w:t xml:space="preserve">2013 · Acheson D ·</w:t>
      </w:r>
      <w:r>
        <w:t xml:space="preserve"> </w:t>
      </w:r>
      <w:r>
        <w:rPr>
          <w:iCs/>
          <w:i/>
        </w:rPr>
        <w:t xml:space="preserve">Psychopharmacology (Berl)</w:t>
      </w:r>
      <w:r>
        <w:t xml:space="preserve"> </w:t>
      </w:r>
      <w:r>
        <w:t xml:space="preserve">· The effect of intranasal oxytocin treatment on conditioned fear extinction and recall in a healthy human sample. PMID 23644911</w:t>
      </w:r>
    </w:p>
    <w:p>
      <w:pPr>
        <w:numPr>
          <w:ilvl w:val="0"/>
          <w:numId w:val="1419"/>
        </w:numPr>
        <w:pStyle w:val="Compact"/>
      </w:pPr>
      <w:r>
        <w:t xml:space="preserve">2013 · Prehn K ·</w:t>
      </w:r>
      <w:r>
        <w:t xml:space="preserve"> </w:t>
      </w:r>
      <w:r>
        <w:rPr>
          <w:iCs/>
          <w:i/>
        </w:rPr>
        <w:t xml:space="preserve">Psychophysiology</w:t>
      </w:r>
      <w:r>
        <w:t xml:space="preserve"> </w:t>
      </w:r>
      <w:r>
        <w:t xml:space="preserve">· Effects of intranasal oxytocin on pupil dilation indicate increased salience of socioaffective stimuli. PMID 23551070</w:t>
      </w:r>
    </w:p>
    <w:p>
      <w:pPr>
        <w:numPr>
          <w:ilvl w:val="0"/>
          <w:numId w:val="1419"/>
        </w:numPr>
        <w:pStyle w:val="Compact"/>
      </w:pPr>
      <w:r>
        <w:t xml:space="preserve">2013 · Domes G ·</w:t>
      </w:r>
      <w:r>
        <w:t xml:space="preserve"> </w:t>
      </w:r>
      <w:r>
        <w:rPr>
          <w:iCs/>
          <w:i/>
        </w:rPr>
        <w:t xml:space="preserve">Biol Psychiatry</w:t>
      </w:r>
      <w:r>
        <w:t xml:space="preserve"> </w:t>
      </w:r>
      <w:r>
        <w:t xml:space="preserve">· Effects of intranasal oxytocin on the neural basis of face processing in autism spectrum disorder. PMID 23510581</w:t>
      </w:r>
    </w:p>
    <w:p>
      <w:pPr>
        <w:numPr>
          <w:ilvl w:val="0"/>
          <w:numId w:val="1419"/>
        </w:numPr>
        <w:pStyle w:val="Compact"/>
      </w:pPr>
      <w:r>
        <w:t xml:space="preserve">2013 · Tachibana M ·</w:t>
      </w:r>
      <w:r>
        <w:t xml:space="preserve"> </w:t>
      </w:r>
      <w:r>
        <w:rPr>
          <w:iCs/>
          <w:i/>
        </w:rPr>
        <w:t xml:space="preserve">J Child Adolesc Psychopharmacol</w:t>
      </w:r>
      <w:r>
        <w:t xml:space="preserve"> </w:t>
      </w:r>
      <w:r>
        <w:t xml:space="preserve">· Long-term administration of intranasal oxytocin is a safe and promising therapy for early adolescent boys with autism spectrum disorders. PMID 23480321</w:t>
      </w:r>
    </w:p>
    <w:p>
      <w:pPr>
        <w:numPr>
          <w:ilvl w:val="0"/>
          <w:numId w:val="1419"/>
        </w:numPr>
        <w:pStyle w:val="Compact"/>
      </w:pPr>
      <w:r>
        <w:t xml:space="preserve">2013 · Theodoridou A ·</w:t>
      </w:r>
      <w:r>
        <w:t xml:space="preserve"> </w:t>
      </w:r>
      <w:r>
        <w:rPr>
          <w:iCs/>
          <w:i/>
        </w:rPr>
        <w:t xml:space="preserve">PLoS One</w:t>
      </w:r>
      <w:r>
        <w:t xml:space="preserve"> </w:t>
      </w:r>
      <w:r>
        <w:t xml:space="preserve">· A direct examination of the effect of intranasal administration of oxytocin on approach-avoidance motor responses to emotional stimuli. PMID 23469148</w:t>
      </w:r>
    </w:p>
    <w:p>
      <w:pPr>
        <w:numPr>
          <w:ilvl w:val="0"/>
          <w:numId w:val="1419"/>
        </w:numPr>
        <w:pStyle w:val="Compact"/>
      </w:pPr>
      <w:r>
        <w:t xml:space="preserve">2013 · Groppe SE ·</w:t>
      </w:r>
      <w:r>
        <w:t xml:space="preserve"> </w:t>
      </w:r>
      <w:r>
        <w:rPr>
          <w:iCs/>
          <w:i/>
        </w:rPr>
        <w:t xml:space="preserve">Biol Psychiatry</w:t>
      </w:r>
      <w:r>
        <w:t xml:space="preserve"> </w:t>
      </w:r>
      <w:r>
        <w:t xml:space="preserve">· Oxytocin influences processing of socially relevant cues in the ventral tegmental area of the human brain. PMID 23419544</w:t>
      </w:r>
    </w:p>
    <w:p>
      <w:pPr>
        <w:numPr>
          <w:ilvl w:val="0"/>
          <w:numId w:val="1419"/>
        </w:numPr>
        <w:pStyle w:val="Compact"/>
      </w:pPr>
      <w:r>
        <w:t xml:space="preserve">2013 · Lee MR ·</w:t>
      </w:r>
      <w:r>
        <w:t xml:space="preserve"> </w:t>
      </w:r>
      <w:r>
        <w:rPr>
          <w:iCs/>
          <w:i/>
        </w:rPr>
        <w:t xml:space="preserve">Schizophr Res</w:t>
      </w:r>
      <w:r>
        <w:t xml:space="preserve"> </w:t>
      </w:r>
      <w:r>
        <w:t xml:space="preserve">· Effects of adjunctive intranasal oxytocin on olfactory identification and clinical symptoms in schizophrenia: results from a randomized double blind placebo controlled pilot study. PMID 23415472</w:t>
      </w:r>
    </w:p>
    <w:p>
      <w:pPr>
        <w:numPr>
          <w:ilvl w:val="0"/>
          <w:numId w:val="1419"/>
        </w:numPr>
        <w:pStyle w:val="Compact"/>
      </w:pPr>
      <w:r>
        <w:t xml:space="preserve">2013 · Riem MM ·</w:t>
      </w:r>
      <w:r>
        <w:t xml:space="preserve"> </w:t>
      </w:r>
      <w:r>
        <w:rPr>
          <w:iCs/>
          <w:i/>
        </w:rPr>
        <w:t xml:space="preserve">Psychoneuroendocrinology</w:t>
      </w:r>
      <w:r>
        <w:t xml:space="preserve"> </w:t>
      </w:r>
      <w:r>
        <w:t xml:space="preserve">· Does intranasal oxytocin promote prosocial behavior to an excluded fellow player? A randomized-controlled trial with Cyberball. PMID 23352229</w:t>
      </w:r>
    </w:p>
    <w:p>
      <w:pPr>
        <w:numPr>
          <w:ilvl w:val="0"/>
          <w:numId w:val="1419"/>
        </w:numPr>
        <w:pStyle w:val="Compact"/>
      </w:pPr>
      <w:r>
        <w:t xml:space="preserve">2013 · Weigand A ·</w:t>
      </w:r>
      <w:r>
        <w:t xml:space="preserve"> </w:t>
      </w:r>
      <w:r>
        <w:rPr>
          <w:iCs/>
          <w:i/>
        </w:rPr>
        <w:t xml:space="preserve">Psychopharmacology (Berl)</w:t>
      </w:r>
      <w:r>
        <w:t xml:space="preserve"> </w:t>
      </w:r>
      <w:r>
        <w:t xml:space="preserve">· Effects of intranasal oxytocin prior to encoding and retrieval on recognition memory. PMID 23334103</w:t>
      </w:r>
    </w:p>
    <w:p>
      <w:pPr>
        <w:numPr>
          <w:ilvl w:val="0"/>
          <w:numId w:val="1419"/>
        </w:numPr>
        <w:pStyle w:val="Compact"/>
      </w:pPr>
      <w:r>
        <w:t xml:space="preserve">2013 · Modabbernia A ·</w:t>
      </w:r>
      <w:r>
        <w:t xml:space="preserve"> </w:t>
      </w:r>
      <w:r>
        <w:rPr>
          <w:iCs/>
          <w:i/>
        </w:rPr>
        <w:t xml:space="preserve">CNS Drugs</w:t>
      </w:r>
      <w:r>
        <w:t xml:space="preserve"> </w:t>
      </w:r>
      <w:r>
        <w:t xml:space="preserve">· Intranasal oxytocin as an adjunct to risperidone in patients with schizophrenia : an 8-week, randomized, double-blind, placebo-controlled study. PMID 23233269</w:t>
      </w:r>
    </w:p>
    <w:p>
      <w:pPr>
        <w:numPr>
          <w:ilvl w:val="0"/>
          <w:numId w:val="1419"/>
        </w:numPr>
        <w:pStyle w:val="Compact"/>
      </w:pPr>
      <w:r>
        <w:t xml:space="preserve">2013 · Huffmeijer R ·</w:t>
      </w:r>
      <w:r>
        <w:t xml:space="preserve"> </w:t>
      </w:r>
      <w:r>
        <w:rPr>
          <w:iCs/>
          <w:i/>
        </w:rPr>
        <w:t xml:space="preserve">Horm Behav</w:t>
      </w:r>
      <w:r>
        <w:t xml:space="preserve"> </w:t>
      </w:r>
      <w:r>
        <w:t xml:space="preserve">· The impact of oxytocin administration and maternal love withdrawal on event-related potential (ERP) responses to emotional faces with performance feedback. PMID 23159479</w:t>
      </w:r>
    </w:p>
    <w:p>
      <w:pPr>
        <w:numPr>
          <w:ilvl w:val="0"/>
          <w:numId w:val="1419"/>
        </w:numPr>
        <w:pStyle w:val="Compact"/>
      </w:pPr>
      <w:r>
        <w:t xml:space="preserve">2013 · Domes G ·</w:t>
      </w:r>
      <w:r>
        <w:t xml:space="preserve"> </w:t>
      </w:r>
      <w:r>
        <w:rPr>
          <w:iCs/>
          <w:i/>
        </w:rPr>
        <w:t xml:space="preserve">Psychol Med</w:t>
      </w:r>
      <w:r>
        <w:t xml:space="preserve"> </w:t>
      </w:r>
      <w:r>
        <w:t xml:space="preserve">· Intranasal oxytocin increases covert attention to positive social cues. PMID 23146328</w:t>
      </w:r>
    </w:p>
    <w:p>
      <w:pPr>
        <w:numPr>
          <w:ilvl w:val="0"/>
          <w:numId w:val="1419"/>
        </w:numPr>
        <w:pStyle w:val="Compact"/>
      </w:pPr>
      <w:r>
        <w:t xml:space="preserve">2013 · Mah BL ·</w:t>
      </w:r>
      <w:r>
        <w:t xml:space="preserve"> </w:t>
      </w:r>
      <w:r>
        <w:rPr>
          <w:iCs/>
          <w:i/>
        </w:rPr>
        <w:t xml:space="preserve">Prog Neuropsychopharmacol Biol Psychiatry</w:t>
      </w:r>
      <w:r>
        <w:t xml:space="preserve"> </w:t>
      </w:r>
      <w:r>
        <w:t xml:space="preserve">· Oxytocin in postnatally depressed mothers: its influence on mood and expressed emotion. PMID 23085508</w:t>
      </w:r>
    </w:p>
    <w:p>
      <w:pPr>
        <w:numPr>
          <w:ilvl w:val="0"/>
          <w:numId w:val="1419"/>
        </w:numPr>
        <w:pStyle w:val="Compact"/>
      </w:pPr>
      <w:r>
        <w:t xml:space="preserve">2013 · Pedersen CA ·</w:t>
      </w:r>
      <w:r>
        <w:t xml:space="preserve"> </w:t>
      </w:r>
      <w:r>
        <w:rPr>
          <w:iCs/>
          <w:i/>
        </w:rPr>
        <w:t xml:space="preserve">Alcohol Clin Exp Res</w:t>
      </w:r>
      <w:r>
        <w:t xml:space="preserve"> </w:t>
      </w:r>
      <w:r>
        <w:t xml:space="preserve">· Intranasal oxytocin blocks alcohol withdrawal in human subjects. PMID 23025690</w:t>
      </w:r>
    </w:p>
    <w:p>
      <w:pPr>
        <w:numPr>
          <w:ilvl w:val="0"/>
          <w:numId w:val="1419"/>
        </w:numPr>
        <w:pStyle w:val="Compact"/>
      </w:pPr>
      <w:r>
        <w:t xml:space="preserve">2013 · Ellenbogen MA ·</w:t>
      </w:r>
      <w:r>
        <w:t xml:space="preserve"> </w:t>
      </w:r>
      <w:r>
        <w:rPr>
          <w:iCs/>
          <w:i/>
        </w:rPr>
        <w:t xml:space="preserve">Psychoneuroendocrinology</w:t>
      </w:r>
      <w:r>
        <w:t xml:space="preserve"> </w:t>
      </w:r>
      <w:r>
        <w:t xml:space="preserve">· Intranasal oxytocin impedes the ability to ignore task-irrelevant facial expressions of sadness in students with depressive symptoms. PMID 22902063</w:t>
      </w:r>
    </w:p>
    <w:p>
      <w:pPr>
        <w:numPr>
          <w:ilvl w:val="0"/>
          <w:numId w:val="1419"/>
        </w:numPr>
        <w:pStyle w:val="Compact"/>
      </w:pPr>
      <w:r>
        <w:t xml:space="preserve">2013 · Cardoso C ·</w:t>
      </w:r>
      <w:r>
        <w:t xml:space="preserve"> </w:t>
      </w:r>
      <w:r>
        <w:rPr>
          <w:iCs/>
          <w:i/>
        </w:rPr>
        <w:t xml:space="preserve">Psychoneuroendocrinology</w:t>
      </w:r>
      <w:r>
        <w:t xml:space="preserve"> </w:t>
      </w:r>
      <w:r>
        <w:t xml:space="preserve">· Intranasal oxytocin attenuates the cortisol response to physical stress: a dose-response study. PMID 22889586</w:t>
      </w:r>
    </w:p>
    <w:p>
      <w:pPr>
        <w:numPr>
          <w:ilvl w:val="0"/>
          <w:numId w:val="1419"/>
        </w:numPr>
        <w:pStyle w:val="Compact"/>
      </w:pPr>
      <w:r>
        <w:t xml:space="preserve">2013 · Ditzen B ·</w:t>
      </w:r>
      <w:r>
        <w:t xml:space="preserve"> </w:t>
      </w:r>
      <w:r>
        <w:rPr>
          <w:iCs/>
          <w:i/>
        </w:rPr>
        <w:t xml:space="preserve">Soc Cogn Affect Neurosci</w:t>
      </w:r>
      <w:r>
        <w:t xml:space="preserve"> </w:t>
      </w:r>
      <w:r>
        <w:t xml:space="preserve">· Sex-specific effects of intranasal oxytocin on autonomic nervous system and emotional responses to couple conflict. PMID 22842905</w:t>
      </w:r>
    </w:p>
    <w:p>
      <w:pPr>
        <w:numPr>
          <w:ilvl w:val="0"/>
          <w:numId w:val="1419"/>
        </w:numPr>
        <w:pStyle w:val="Compact"/>
      </w:pPr>
      <w:r>
        <w:t xml:space="preserve">2013 · Leknes S ·</w:t>
      </w:r>
      <w:r>
        <w:t xml:space="preserve"> </w:t>
      </w:r>
      <w:r>
        <w:rPr>
          <w:iCs/>
          <w:i/>
        </w:rPr>
        <w:t xml:space="preserve">Soc Cogn Affect Neurosci</w:t>
      </w:r>
      <w:r>
        <w:t xml:space="preserve"> </w:t>
      </w:r>
      <w:r>
        <w:t xml:space="preserve">· Oxytocin enhances pupil dilation and sensitivity to</w:t>
      </w:r>
      <w:r>
        <w:t xml:space="preserve"> </w:t>
      </w:r>
      <w:r>
        <w:t xml:space="preserve">‘</w:t>
      </w:r>
      <w:r>
        <w:t xml:space="preserve">hidden</w:t>
      </w:r>
      <w:r>
        <w:t xml:space="preserve">’</w:t>
      </w:r>
      <w:r>
        <w:t xml:space="preserve"> </w:t>
      </w:r>
      <w:r>
        <w:t xml:space="preserve">emotional expressions. PMID 22648957</w:t>
      </w:r>
    </w:p>
    <w:p>
      <w:pPr>
        <w:numPr>
          <w:ilvl w:val="0"/>
          <w:numId w:val="1419"/>
        </w:numPr>
        <w:pStyle w:val="Compact"/>
      </w:pPr>
      <w:r>
        <w:t xml:space="preserve">2013 · Krueger F ·</w:t>
      </w:r>
      <w:r>
        <w:t xml:space="preserve"> </w:t>
      </w:r>
      <w:r>
        <w:rPr>
          <w:iCs/>
          <w:i/>
        </w:rPr>
        <w:t xml:space="preserve">Soc Cogn Affect Neurosci</w:t>
      </w:r>
      <w:r>
        <w:t xml:space="preserve"> </w:t>
      </w:r>
      <w:r>
        <w:t xml:space="preserve">· Oxytocin selectively increases perceptions of harm for victims but not the desire to punish offenders of criminal offenses. PMID 22368214</w:t>
      </w:r>
    </w:p>
    <w:p>
      <w:pPr>
        <w:numPr>
          <w:ilvl w:val="0"/>
          <w:numId w:val="1419"/>
        </w:numPr>
        <w:pStyle w:val="Compact"/>
      </w:pPr>
      <w:r>
        <w:t xml:space="preserve">2012 · Feifel D ·</w:t>
      </w:r>
      <w:r>
        <w:t xml:space="preserve"> </w:t>
      </w:r>
      <w:r>
        <w:rPr>
          <w:iCs/>
          <w:i/>
        </w:rPr>
        <w:t xml:space="preserve">Schizophr Res</w:t>
      </w:r>
      <w:r>
        <w:t xml:space="preserve"> </w:t>
      </w:r>
      <w:r>
        <w:t xml:space="preserve">· Adjunctive intranasal oxytocin improves verbal memory in people with schizophrenia. PMID 22682705</w:t>
      </w:r>
    </w:p>
    <w:p>
      <w:pPr>
        <w:numPr>
          <w:ilvl w:val="0"/>
          <w:numId w:val="1419"/>
        </w:numPr>
        <w:pStyle w:val="Compact"/>
      </w:pPr>
      <w:r>
        <w:t xml:space="preserve">2012 · Huffmeijer R ·</w:t>
      </w:r>
      <w:r>
        <w:t xml:space="preserve"> </w:t>
      </w:r>
      <w:r>
        <w:rPr>
          <w:iCs/>
          <w:i/>
        </w:rPr>
        <w:t xml:space="preserve">Neuro Endocrinol Lett</w:t>
      </w:r>
      <w:r>
        <w:t xml:space="preserve"> </w:t>
      </w:r>
      <w:r>
        <w:t xml:space="preserve">· Salivary levels of oxytocin remain elevated for more than two hours after intranasal oxytocin administration. PMID 22467107</w:t>
      </w:r>
    </w:p>
    <w:p>
      <w:pPr>
        <w:numPr>
          <w:ilvl w:val="0"/>
          <w:numId w:val="1419"/>
        </w:numPr>
        <w:pStyle w:val="Compact"/>
      </w:pPr>
      <w:r>
        <w:t xml:space="preserve">2012 · Weisman O ·</w:t>
      </w:r>
      <w:r>
        <w:t xml:space="preserve"> </w:t>
      </w:r>
      <w:r>
        <w:rPr>
          <w:iCs/>
          <w:i/>
        </w:rPr>
        <w:t xml:space="preserve">Psychoneuroendocrinology</w:t>
      </w:r>
      <w:r>
        <w:t xml:space="preserve"> </w:t>
      </w:r>
      <w:r>
        <w:t xml:space="preserve">· Intranasal oxytocin administration is reflected in human saliva. PMID 22436536</w:t>
      </w:r>
    </w:p>
    <w:p>
      <w:pPr>
        <w:numPr>
          <w:ilvl w:val="0"/>
          <w:numId w:val="1419"/>
        </w:numPr>
        <w:pStyle w:val="Compact"/>
      </w:pPr>
      <w:r>
        <w:t xml:space="preserve">2012 · Riem MM ·</w:t>
      </w:r>
      <w:r>
        <w:t xml:space="preserve"> </w:t>
      </w:r>
      <w:r>
        <w:rPr>
          <w:iCs/>
          <w:i/>
        </w:rPr>
        <w:t xml:space="preserve">Neuropsychopharmacology</w:t>
      </w:r>
      <w:r>
        <w:t xml:space="preserve"> </w:t>
      </w:r>
      <w:r>
        <w:t xml:space="preserve">· No laughing matter: intranasal oxytocin administration changes functional brain connectivity during exposure to infant laughter. PMID 22189289</w:t>
      </w:r>
    </w:p>
    <w:p>
      <w:pPr>
        <w:numPr>
          <w:ilvl w:val="0"/>
          <w:numId w:val="1419"/>
        </w:numPr>
        <w:pStyle w:val="Compact"/>
      </w:pPr>
      <w:r>
        <w:t xml:space="preserve">2012 · De Dreu CK ·</w:t>
      </w:r>
      <w:r>
        <w:t xml:space="preserve"> </w:t>
      </w:r>
      <w:r>
        <w:rPr>
          <w:iCs/>
          <w:i/>
        </w:rPr>
        <w:t xml:space="preserve">Psychoneuroendocrinology</w:t>
      </w:r>
      <w:r>
        <w:t xml:space="preserve"> </w:t>
      </w:r>
      <w:r>
        <w:t xml:space="preserve">· Oxytocin modulates the link between adult attachment and cooperation through reduced betrayal aversion. PMID 22055739</w:t>
      </w:r>
    </w:p>
    <w:p>
      <w:pPr>
        <w:numPr>
          <w:ilvl w:val="0"/>
          <w:numId w:val="1419"/>
        </w:numPr>
        <w:pStyle w:val="Compact"/>
      </w:pPr>
      <w:r>
        <w:t xml:space="preserve">2012 · Linnen AM ·</w:t>
      </w:r>
      <w:r>
        <w:t xml:space="preserve"> </w:t>
      </w:r>
      <w:r>
        <w:rPr>
          <w:iCs/>
          <w:i/>
        </w:rPr>
        <w:t xml:space="preserve">Stress</w:t>
      </w:r>
      <w:r>
        <w:t xml:space="preserve"> </w:t>
      </w:r>
      <w:r>
        <w:t xml:space="preserve">· Intranasal oxytocin and salivary cortisol concentrations during social rejection in university students. PMID 22044077</w:t>
      </w:r>
    </w:p>
    <w:p>
      <w:pPr>
        <w:numPr>
          <w:ilvl w:val="0"/>
          <w:numId w:val="1419"/>
        </w:numPr>
        <w:pStyle w:val="Compact"/>
      </w:pPr>
      <w:r>
        <w:t xml:space="preserve">2012 · Cardoso C ·</w:t>
      </w:r>
      <w:r>
        <w:t xml:space="preserve"> </w:t>
      </w:r>
      <w:r>
        <w:rPr>
          <w:iCs/>
          <w:i/>
        </w:rPr>
        <w:t xml:space="preserve">Psychopharmacology (Berl)</w:t>
      </w:r>
      <w:r>
        <w:t xml:space="preserve"> </w:t>
      </w:r>
      <w:r>
        <w:t xml:space="preserve">· Acute intranasal oxytocin improves positive self-perceptions of personality. PMID 22012170</w:t>
      </w:r>
    </w:p>
    <w:p>
      <w:pPr>
        <w:numPr>
          <w:ilvl w:val="0"/>
          <w:numId w:val="1419"/>
        </w:numPr>
        <w:pStyle w:val="Compact"/>
      </w:pPr>
      <w:r>
        <w:t xml:space="preserve">2012 · Cardoso C ·</w:t>
      </w:r>
      <w:r>
        <w:t xml:space="preserve"> </w:t>
      </w:r>
      <w:r>
        <w:rPr>
          <w:iCs/>
          <w:i/>
        </w:rPr>
        <w:t xml:space="preserve">Exp Clin Psychopharmacol</w:t>
      </w:r>
      <w:r>
        <w:t xml:space="preserve"> </w:t>
      </w:r>
      <w:r>
        <w:t xml:space="preserve">· Coping style moderates the effect of intranasal oxytocin on the mood response to interpersonal stress. PMID 21988218</w:t>
      </w:r>
    </w:p>
    <w:p>
      <w:pPr>
        <w:numPr>
          <w:ilvl w:val="0"/>
          <w:numId w:val="1419"/>
        </w:numPr>
        <w:pStyle w:val="Compact"/>
      </w:pPr>
      <w:r>
        <w:t xml:space="preserve">2012 · Hall SS ·</w:t>
      </w:r>
      <w:r>
        <w:t xml:space="preserve"> </w:t>
      </w:r>
      <w:r>
        <w:rPr>
          <w:iCs/>
          <w:i/>
        </w:rPr>
        <w:t xml:space="preserve">Psychoneuroendocrinology</w:t>
      </w:r>
      <w:r>
        <w:t xml:space="preserve"> </w:t>
      </w:r>
      <w:r>
        <w:t xml:space="preserve">· Effects of intranasal oxytocin on social anxiety in males with fragile X syndrome. PMID 21862226</w:t>
      </w:r>
    </w:p>
    <w:p>
      <w:pPr>
        <w:numPr>
          <w:ilvl w:val="0"/>
          <w:numId w:val="1419"/>
        </w:numPr>
        <w:pStyle w:val="Compact"/>
      </w:pPr>
      <w:r>
        <w:t xml:space="preserve">2012 · Lischke A ·</w:t>
      </w:r>
      <w:r>
        <w:t xml:space="preserve"> </w:t>
      </w:r>
      <w:r>
        <w:rPr>
          <w:iCs/>
          <w:i/>
        </w:rPr>
        <w:t xml:space="preserve">Psychoneuroendocrinology</w:t>
      </w:r>
      <w:r>
        <w:t xml:space="preserve"> </w:t>
      </w:r>
      <w:r>
        <w:t xml:space="preserve">· Intranasal oxytocin enhances emotion recognition from dynamic facial expressions and leaves eye-gaze unaffected. PMID 21862223</w:t>
      </w:r>
    </w:p>
    <w:p>
      <w:pPr>
        <w:numPr>
          <w:ilvl w:val="0"/>
          <w:numId w:val="1419"/>
        </w:numPr>
        <w:pStyle w:val="Compact"/>
      </w:pPr>
      <w:r>
        <w:t xml:space="preserve">2012 · Rilling JK ·</w:t>
      </w:r>
      <w:r>
        <w:t xml:space="preserve"> </w:t>
      </w:r>
      <w:r>
        <w:rPr>
          <w:iCs/>
          <w:i/>
        </w:rPr>
        <w:t xml:space="preserve">Psychoneuroendocrinology</w:t>
      </w:r>
      <w:r>
        <w:t xml:space="preserve"> </w:t>
      </w:r>
      <w:r>
        <w:t xml:space="preserve">· Effects of intranasal oxytocin and vasopressin on cooperative behavior and associated brain activity in men. PMID 21840129</w:t>
      </w:r>
    </w:p>
    <w:p>
      <w:pPr>
        <w:numPr>
          <w:ilvl w:val="0"/>
          <w:numId w:val="1419"/>
        </w:numPr>
        <w:pStyle w:val="Compact"/>
      </w:pPr>
      <w:r>
        <w:t xml:space="preserve">2011 · Jesso S ·</w:t>
      </w:r>
      <w:r>
        <w:t xml:space="preserve"> </w:t>
      </w:r>
      <w:r>
        <w:rPr>
          <w:iCs/>
          <w:i/>
        </w:rPr>
        <w:t xml:space="preserve">Brain</w:t>
      </w:r>
      <w:r>
        <w:t xml:space="preserve"> </w:t>
      </w:r>
      <w:r>
        <w:t xml:space="preserve">· The effects of oxytocin on social cognition and behaviour in frontotemporal dementia. PMID 21859765</w:t>
      </w:r>
    </w:p>
    <w:p>
      <w:pPr>
        <w:numPr>
          <w:ilvl w:val="0"/>
          <w:numId w:val="1419"/>
        </w:numPr>
        <w:pStyle w:val="Compact"/>
      </w:pPr>
      <w:r>
        <w:t xml:space="preserve">2011 · Pedersen CA ·</w:t>
      </w:r>
      <w:r>
        <w:t xml:space="preserve"> </w:t>
      </w:r>
      <w:r>
        <w:rPr>
          <w:iCs/>
          <w:i/>
        </w:rPr>
        <w:t xml:space="preserve">Schizophr Res</w:t>
      </w:r>
      <w:r>
        <w:t xml:space="preserve"> </w:t>
      </w:r>
      <w:r>
        <w:t xml:space="preserve">· Intranasal oxytocin reduces psychotic symptoms and improves Theory of Mind and social perception in schizophrenia. PMID 21840177</w:t>
      </w:r>
    </w:p>
    <w:p>
      <w:pPr>
        <w:numPr>
          <w:ilvl w:val="0"/>
          <w:numId w:val="1419"/>
        </w:numPr>
        <w:pStyle w:val="Compact"/>
      </w:pPr>
      <w:r>
        <w:t xml:space="preserve">2011 · Rockliff H ·</w:t>
      </w:r>
      <w:r>
        <w:t xml:space="preserve"> </w:t>
      </w:r>
      <w:r>
        <w:rPr>
          <w:iCs/>
          <w:i/>
        </w:rPr>
        <w:t xml:space="preserve">Emotion</w:t>
      </w:r>
      <w:r>
        <w:t xml:space="preserve"> </w:t>
      </w:r>
      <w:r>
        <w:t xml:space="preserve">· Effects of intranasal oxytocin on</w:t>
      </w:r>
      <w:r>
        <w:t xml:space="preserve"> </w:t>
      </w:r>
      <w:r>
        <w:t xml:space="preserve">‘</w:t>
      </w:r>
      <w:r>
        <w:t xml:space="preserve">compassion focused imagery</w:t>
      </w:r>
      <w:r>
        <w:t xml:space="preserve">’</w:t>
      </w:r>
      <w:r>
        <w:t xml:space="preserve">. PMID 21707149</w:t>
      </w:r>
    </w:p>
    <w:p>
      <w:pPr>
        <w:numPr>
          <w:ilvl w:val="0"/>
          <w:numId w:val="1419"/>
        </w:numPr>
        <w:pStyle w:val="Compact"/>
      </w:pPr>
      <w:r>
        <w:t xml:space="preserve">2011 · Simeon D ·</w:t>
      </w:r>
      <w:r>
        <w:t xml:space="preserve"> </w:t>
      </w:r>
      <w:r>
        <w:rPr>
          <w:iCs/>
          <w:i/>
        </w:rPr>
        <w:t xml:space="preserve">Psychoneuroendocrinology</w:t>
      </w:r>
      <w:r>
        <w:t xml:space="preserve"> </w:t>
      </w:r>
      <w:r>
        <w:t xml:space="preserve">· Oxytocin administration attenuates stress reactivity in borderline personality disorder: a pilot study. PMID 21546164</w:t>
      </w:r>
    </w:p>
    <w:p>
      <w:pPr>
        <w:numPr>
          <w:ilvl w:val="0"/>
          <w:numId w:val="1419"/>
        </w:numPr>
        <w:pStyle w:val="Compact"/>
      </w:pPr>
      <w:r>
        <w:t xml:space="preserve">2011 · Schulze L ·</w:t>
      </w:r>
      <w:r>
        <w:t xml:space="preserve"> </w:t>
      </w:r>
      <w:r>
        <w:rPr>
          <w:iCs/>
          <w:i/>
        </w:rPr>
        <w:t xml:space="preserve">Psychoneuroendocrinology</w:t>
      </w:r>
      <w:r>
        <w:t xml:space="preserve"> </w:t>
      </w:r>
      <w:r>
        <w:t xml:space="preserve">· Oxytocin increases recognition of masked emotional faces. PMID 21477929</w:t>
      </w:r>
    </w:p>
    <w:p>
      <w:pPr>
        <w:numPr>
          <w:ilvl w:val="0"/>
          <w:numId w:val="1419"/>
        </w:numPr>
        <w:pStyle w:val="Compact"/>
      </w:pPr>
      <w:r>
        <w:t xml:space="preserve">2011 · Goldman MB ·</w:t>
      </w:r>
      <w:r>
        <w:t xml:space="preserve"> </w:t>
      </w:r>
      <w:r>
        <w:rPr>
          <w:iCs/>
          <w:i/>
        </w:rPr>
        <w:t xml:space="preserve">Psychopharmacology (Berl)</w:t>
      </w:r>
      <w:r>
        <w:t xml:space="preserve"> </w:t>
      </w:r>
      <w:r>
        <w:t xml:space="preserve">· Divergent effects of two different doses of intranasal oxytocin on facial affect discrimination in schizophrenic patients with and without polydipsia. PMID 21301811</w:t>
      </w:r>
    </w:p>
    <w:p>
      <w:pPr>
        <w:numPr>
          <w:ilvl w:val="0"/>
          <w:numId w:val="1419"/>
        </w:numPr>
        <w:pStyle w:val="Compact"/>
      </w:pPr>
      <w:r>
        <w:t xml:space="preserve">2011 · Quirin M ·</w:t>
      </w:r>
      <w:r>
        <w:t xml:space="preserve"> </w:t>
      </w:r>
      <w:r>
        <w:rPr>
          <w:iCs/>
          <w:i/>
        </w:rPr>
        <w:t xml:space="preserve">Psychoneuroendocrinology</w:t>
      </w:r>
      <w:r>
        <w:t xml:space="preserve"> </w:t>
      </w:r>
      <w:r>
        <w:t xml:space="preserve">· Oxytocin buffers cortisol responses to stress in individuals with impaired emotion regulation abilities. PMID 21208748</w:t>
      </w:r>
    </w:p>
    <w:p>
      <w:pPr>
        <w:numPr>
          <w:ilvl w:val="0"/>
          <w:numId w:val="1419"/>
        </w:numPr>
        <w:pStyle w:val="Compact"/>
      </w:pPr>
      <w:r>
        <w:t xml:space="preserve">2011 · Bartz J ·</w:t>
      </w:r>
      <w:r>
        <w:t xml:space="preserve"> </w:t>
      </w:r>
      <w:r>
        <w:rPr>
          <w:iCs/>
          <w:i/>
        </w:rPr>
        <w:t xml:space="preserve">Soc Cogn Affect Neurosci</w:t>
      </w:r>
      <w:r>
        <w:t xml:space="preserve"> </w:t>
      </w:r>
      <w:r>
        <w:t xml:space="preserve">· Oxytocin can hinder trust and cooperation in borderline personality disorder. PMID 21115541</w:t>
      </w:r>
    </w:p>
    <w:p>
      <w:pPr>
        <w:numPr>
          <w:ilvl w:val="0"/>
          <w:numId w:val="1419"/>
        </w:numPr>
        <w:pStyle w:val="Compact"/>
      </w:pPr>
      <w:r>
        <w:t xml:space="preserve">2010 · Alvares GA ·</w:t>
      </w:r>
      <w:r>
        <w:t xml:space="preserve"> </w:t>
      </w:r>
      <w:r>
        <w:rPr>
          <w:iCs/>
          <w:i/>
        </w:rPr>
        <w:t xml:space="preserve">Exp Clin Psychopharmacol</w:t>
      </w:r>
      <w:r>
        <w:t xml:space="preserve"> </w:t>
      </w:r>
      <w:r>
        <w:t xml:space="preserve">· Acute effects of intranasal oxytocin on subjective and behavioral responses to social rejection. PMID 20695687</w:t>
      </w:r>
    </w:p>
    <w:p>
      <w:pPr>
        <w:numPr>
          <w:ilvl w:val="0"/>
          <w:numId w:val="1419"/>
        </w:numPr>
        <w:pStyle w:val="Compact"/>
      </w:pPr>
      <w:r>
        <w:t xml:space="preserve">2010 · Feifel D ·</w:t>
      </w:r>
      <w:r>
        <w:t xml:space="preserve"> </w:t>
      </w:r>
      <w:r>
        <w:rPr>
          <w:iCs/>
          <w:i/>
        </w:rPr>
        <w:t xml:space="preserve">Biol Psychiatry</w:t>
      </w:r>
      <w:r>
        <w:t xml:space="preserve"> </w:t>
      </w:r>
      <w:r>
        <w:t xml:space="preserve">· Adjunctive intranasal oxytocin reduces symptoms in schizophrenia patients. PMID 20615494</w:t>
      </w:r>
    </w:p>
    <w:p>
      <w:pPr>
        <w:numPr>
          <w:ilvl w:val="0"/>
          <w:numId w:val="1419"/>
        </w:numPr>
        <w:pStyle w:val="Compact"/>
      </w:pPr>
      <w:r>
        <w:t xml:space="preserve">2010 · Perry A ·</w:t>
      </w:r>
      <w:r>
        <w:t xml:space="preserve"> </w:t>
      </w:r>
      <w:r>
        <w:rPr>
          <w:iCs/>
          <w:i/>
        </w:rPr>
        <w:t xml:space="preserve">Psychoneuroendocrinology</w:t>
      </w:r>
      <w:r>
        <w:t xml:space="preserve"> </w:t>
      </w:r>
      <w:r>
        <w:t xml:space="preserve">· Intranasal oxytocin modulates EEG mu/alpha and beta rhythms during perception of biological motion. PMID 20493637</w:t>
      </w:r>
    </w:p>
    <w:p>
      <w:pPr>
        <w:numPr>
          <w:ilvl w:val="0"/>
          <w:numId w:val="1419"/>
        </w:numPr>
        <w:pStyle w:val="Compact"/>
      </w:pPr>
      <w:r>
        <w:t xml:space="preserve">2010 · Naber F ·</w:t>
      </w:r>
      <w:r>
        <w:t xml:space="preserve"> </w:t>
      </w:r>
      <w:r>
        <w:rPr>
          <w:iCs/>
          <w:i/>
        </w:rPr>
        <w:t xml:space="preserve">Psychoneuroendocrinology</w:t>
      </w:r>
      <w:r>
        <w:t xml:space="preserve"> </w:t>
      </w:r>
      <w:r>
        <w:t xml:space="preserve">· Intranasal oxytocin increases fathers’ observed responsiveness during play with their children: a double-blind within-subject experiment. PMID 20457491</w:t>
      </w:r>
    </w:p>
    <w:p>
      <w:pPr>
        <w:numPr>
          <w:ilvl w:val="0"/>
          <w:numId w:val="1419"/>
        </w:numPr>
        <w:pStyle w:val="Compact"/>
      </w:pPr>
      <w:r>
        <w:t xml:space="preserve">2010 · Ochsenkühn R ·</w:t>
      </w:r>
      <w:r>
        <w:t xml:space="preserve"> </w:t>
      </w:r>
      <w:r>
        <w:rPr>
          <w:iCs/>
          <w:i/>
        </w:rPr>
        <w:t xml:space="preserve">Arch Gynecol Obstet</w:t>
      </w:r>
      <w:r>
        <w:t xml:space="preserve"> </w:t>
      </w:r>
      <w:r>
        <w:t xml:space="preserve">· The effect of nasal oxytocin on pregnancy rates following intrauterine insemination: double-blind, randomized, clinical pilot study. PMID 19921230</w:t>
      </w:r>
    </w:p>
    <w:p>
      <w:pPr>
        <w:numPr>
          <w:ilvl w:val="0"/>
          <w:numId w:val="1419"/>
        </w:numPr>
        <w:pStyle w:val="Compact"/>
      </w:pPr>
      <w:r>
        <w:t xml:space="preserve">2010 · Guastella AJ ·</w:t>
      </w:r>
      <w:r>
        <w:t xml:space="preserve"> </w:t>
      </w:r>
      <w:r>
        <w:rPr>
          <w:iCs/>
          <w:i/>
        </w:rPr>
        <w:t xml:space="preserve">Biol Psychiatry</w:t>
      </w:r>
      <w:r>
        <w:t xml:space="preserve"> </w:t>
      </w:r>
      <w:r>
        <w:t xml:space="preserve">· Intranasal oxytocin improves emotion recognition for youth with autism spectrum disorders. PMID 19897177</w:t>
      </w:r>
    </w:p>
    <w:p>
      <w:pPr>
        <w:numPr>
          <w:ilvl w:val="0"/>
          <w:numId w:val="1419"/>
        </w:numPr>
        <w:pStyle w:val="Compact"/>
      </w:pPr>
      <w:r>
        <w:t xml:space="preserve">2009 · Guastella AJ ·</w:t>
      </w:r>
      <w:r>
        <w:t xml:space="preserve"> </w:t>
      </w:r>
      <w:r>
        <w:rPr>
          <w:iCs/>
          <w:i/>
        </w:rPr>
        <w:t xml:space="preserve">Psychoneuroendocrinology</w:t>
      </w:r>
      <w:r>
        <w:t xml:space="preserve"> </w:t>
      </w:r>
      <w:r>
        <w:t xml:space="preserve">· A randomized controlled trial of intranasal oxytocin as an adjunct to exposure therapy for social anxiety disorder. PMID 19246160</w:t>
      </w:r>
    </w:p>
    <w:p>
      <w:pPr>
        <w:numPr>
          <w:ilvl w:val="0"/>
          <w:numId w:val="1419"/>
        </w:numPr>
        <w:pStyle w:val="Compact"/>
      </w:pPr>
      <w:r>
        <w:t xml:space="preserve">2009 · Ditzen B ·</w:t>
      </w:r>
      <w:r>
        <w:t xml:space="preserve"> </w:t>
      </w:r>
      <w:r>
        <w:rPr>
          <w:iCs/>
          <w:i/>
        </w:rPr>
        <w:t xml:space="preserve">Biol Psychiatry</w:t>
      </w:r>
      <w:r>
        <w:t xml:space="preserve"> </w:t>
      </w:r>
      <w:r>
        <w:t xml:space="preserve">· Intranasal oxytocin increases positive communication and reduces cortisol levels during couple conflict. PMID 19027101</w:t>
      </w:r>
    </w:p>
    <w:p>
      <w:pPr>
        <w:numPr>
          <w:ilvl w:val="0"/>
          <w:numId w:val="1419"/>
        </w:numPr>
        <w:pStyle w:val="Compact"/>
      </w:pPr>
      <w:r>
        <w:t xml:space="preserve">2008 · Burri A ·</w:t>
      </w:r>
      <w:r>
        <w:t xml:space="preserve"> </w:t>
      </w:r>
      <w:r>
        <w:rPr>
          <w:iCs/>
          <w:i/>
        </w:rPr>
        <w:t xml:space="preserve">Psychoneuroendocrinology</w:t>
      </w:r>
      <w:r>
        <w:t xml:space="preserve"> </w:t>
      </w:r>
      <w:r>
        <w:t xml:space="preserve">· The acute effects of intranasal oxytocin administration on endocrine and sexual function in males. PMID 18375074</w:t>
      </w:r>
    </w:p>
    <w:p>
      <w:pPr>
        <w:numPr>
          <w:ilvl w:val="0"/>
          <w:numId w:val="1419"/>
        </w:numPr>
        <w:pStyle w:val="Compact"/>
      </w:pPr>
      <w:r>
        <w:t xml:space="preserve">2008 · Savaskan E ·</w:t>
      </w:r>
      <w:r>
        <w:t xml:space="preserve"> </w:t>
      </w:r>
      <w:r>
        <w:rPr>
          <w:iCs/>
          <w:i/>
        </w:rPr>
        <w:t xml:space="preserve">Psychoneuroendocrinology</w:t>
      </w:r>
      <w:r>
        <w:t xml:space="preserve"> </w:t>
      </w:r>
      <w:r>
        <w:t xml:space="preserve">· Post-learning intranasal oxytocin modulates human memory for facial identity. PMID 18221838</w:t>
      </w:r>
    </w:p>
    <w:p>
      <w:pPr>
        <w:numPr>
          <w:ilvl w:val="0"/>
          <w:numId w:val="1419"/>
        </w:numPr>
        <w:pStyle w:val="Compact"/>
      </w:pPr>
      <w:r>
        <w:t xml:space="preserve">2007 · Meinlschmidt G ·</w:t>
      </w:r>
      <w:r>
        <w:t xml:space="preserve"> </w:t>
      </w:r>
      <w:r>
        <w:rPr>
          <w:iCs/>
          <w:i/>
        </w:rPr>
        <w:t xml:space="preserve">Biol Psychiatry</w:t>
      </w:r>
      <w:r>
        <w:t xml:space="preserve"> </w:t>
      </w:r>
      <w:r>
        <w:t xml:space="preserve">· Sensitivity to intranasal oxytocin in adult men with early parental separation. PMID 17141739</w:t>
      </w:r>
    </w:p>
    <w:p>
      <w:pPr>
        <w:numPr>
          <w:ilvl w:val="0"/>
          <w:numId w:val="1419"/>
        </w:numPr>
        <w:pStyle w:val="Compact"/>
      </w:pPr>
      <w:r>
        <w:t xml:space="preserve">2004 · Heinrichs M ·</w:t>
      </w:r>
      <w:r>
        <w:t xml:space="preserve"> </w:t>
      </w:r>
      <w:r>
        <w:rPr>
          <w:iCs/>
          <w:i/>
        </w:rPr>
        <w:t xml:space="preserve">Physiol Behav</w:t>
      </w:r>
      <w:r>
        <w:t xml:space="preserve"> </w:t>
      </w:r>
      <w:r>
        <w:t xml:space="preserve">· Selective amnesic effects of oxytocin on human memory. PMID 15501488</w:t>
      </w:r>
    </w:p>
    <w:p>
      <w:pPr>
        <w:numPr>
          <w:ilvl w:val="0"/>
          <w:numId w:val="1419"/>
        </w:numPr>
        <w:pStyle w:val="Compact"/>
      </w:pPr>
      <w:r>
        <w:t xml:space="preserve">2003 · Heinrichs M ·</w:t>
      </w:r>
      <w:r>
        <w:t xml:space="preserve"> </w:t>
      </w:r>
      <w:r>
        <w:rPr>
          <w:iCs/>
          <w:i/>
        </w:rPr>
        <w:t xml:space="preserve">Biol Psychiatry</w:t>
      </w:r>
      <w:r>
        <w:t xml:space="preserve"> </w:t>
      </w:r>
      <w:r>
        <w:t xml:space="preserve">· Social support and oxytocin interact to suppress cortisol and subjective responses to psychosocial stress. PMID 14675803</w:t>
      </w:r>
    </w:p>
    <w:p>
      <w:pPr>
        <w:numPr>
          <w:ilvl w:val="0"/>
          <w:numId w:val="1419"/>
        </w:numPr>
        <w:pStyle w:val="Compact"/>
      </w:pPr>
      <w:r>
        <w:t xml:space="preserve">1996 · Epperson CN ·</w:t>
      </w:r>
      <w:r>
        <w:t xml:space="preserve"> </w:t>
      </w:r>
      <w:r>
        <w:rPr>
          <w:iCs/>
          <w:i/>
        </w:rPr>
        <w:t xml:space="preserve">Biol Psychiatry</w:t>
      </w:r>
      <w:r>
        <w:t xml:space="preserve"> </w:t>
      </w:r>
      <w:r>
        <w:t xml:space="preserve">· Intranasal oxytocin in obsessive-compulsive disorder. PMID 8879477</w:t>
      </w:r>
    </w:p>
    <w:p>
      <w:pPr>
        <w:numPr>
          <w:ilvl w:val="0"/>
          <w:numId w:val="1419"/>
        </w:numPr>
        <w:pStyle w:val="Compact"/>
      </w:pPr>
      <w:r>
        <w:t xml:space="preserve">1985 · Andreasson B ·</w:t>
      </w:r>
      <w:r>
        <w:t xml:space="preserve"> </w:t>
      </w:r>
      <w:r>
        <w:rPr>
          <w:iCs/>
          <w:i/>
        </w:rPr>
        <w:t xml:space="preserve">Acta Obstet Gynecol Scand</w:t>
      </w:r>
      <w:r>
        <w:t xml:space="preserve"> </w:t>
      </w:r>
      <w:r>
        <w:t xml:space="preserve">· Induction of labor. A double-blind randomized controlled study of prostaglandin E2 vaginal suppositories compared with intranasal oxytocin and with sequential treatment. PMID 3885670</w:t>
      </w:r>
    </w:p>
    <w:p>
      <w:pPr>
        <w:numPr>
          <w:ilvl w:val="0"/>
          <w:numId w:val="1419"/>
        </w:numPr>
        <w:pStyle w:val="Compact"/>
      </w:pPr>
      <w:r>
        <w:t xml:space="preserve">1983 · Larsen J ·</w:t>
      </w:r>
      <w:r>
        <w:t xml:space="preserve"> </w:t>
      </w:r>
      <w:r>
        <w:rPr>
          <w:iCs/>
          <w:i/>
        </w:rPr>
        <w:t xml:space="preserve">Ugeskr Laeger</w:t>
      </w:r>
      <w:r>
        <w:t xml:space="preserve"> </w:t>
      </w:r>
      <w:r>
        <w:t xml:space="preserve">· [Induction of labor. A double-blind randomized study of prostaglandin E2 vaginal suppositories compared with intranasal oxytocin]. PMID 6351397</w:t>
      </w:r>
    </w:p>
    <w:bookmarkEnd w:id="3063"/>
    <w:bookmarkStart w:id="3064" w:name="gonadoréline-9"/>
    <w:p>
      <w:pPr>
        <w:pStyle w:val="Heading2"/>
      </w:pPr>
      <w:r>
        <w:t xml:space="preserve">Gonadoréline (9)</w:t>
      </w:r>
    </w:p>
    <w:p>
      <w:pPr>
        <w:numPr>
          <w:ilvl w:val="0"/>
          <w:numId w:val="1420"/>
        </w:numPr>
        <w:pStyle w:val="Compact"/>
      </w:pPr>
      <w:r>
        <w:t xml:space="preserve">2022 · Fiala V ·</w:t>
      </w:r>
      <w:r>
        <w:t xml:space="preserve"> </w:t>
      </w:r>
      <w:r>
        <w:rPr>
          <w:iCs/>
          <w:i/>
        </w:rPr>
        <w:t xml:space="preserve">J Pediatr Urol</w:t>
      </w:r>
      <w:r>
        <w:t xml:space="preserve"> </w:t>
      </w:r>
      <w:r>
        <w:t xml:space="preserve">· The safety of neoadjuvant hormonal treatment in infants with cryptorchidism. PMID 35691791</w:t>
      </w:r>
    </w:p>
    <w:p>
      <w:pPr>
        <w:numPr>
          <w:ilvl w:val="0"/>
          <w:numId w:val="1420"/>
        </w:numPr>
        <w:pStyle w:val="Compact"/>
      </w:pPr>
      <w:r>
        <w:t xml:space="preserve">2014 · Spinelli C ·</w:t>
      </w:r>
      <w:r>
        <w:t xml:space="preserve"> </w:t>
      </w:r>
      <w:r>
        <w:rPr>
          <w:iCs/>
          <w:i/>
        </w:rPr>
        <w:t xml:space="preserve">Pediatr Surg Int</w:t>
      </w:r>
      <w:r>
        <w:t xml:space="preserve"> </w:t>
      </w:r>
      <w:r>
        <w:t xml:space="preserve">· Effects on normalized testicular atrophy index (TAIn) in cryptorchid infants treated with GnRHa pre and post-operative vs surgery alone: a prospective randomized trial and long-term follow-up on 62 cases. PMID 25106891</w:t>
      </w:r>
    </w:p>
    <w:p>
      <w:pPr>
        <w:numPr>
          <w:ilvl w:val="0"/>
          <w:numId w:val="1420"/>
        </w:numPr>
        <w:pStyle w:val="Compact"/>
      </w:pPr>
      <w:r>
        <w:t xml:space="preserve">2011 · Shamash J ·</w:t>
      </w:r>
      <w:r>
        <w:t xml:space="preserve"> </w:t>
      </w:r>
      <w:r>
        <w:rPr>
          <w:iCs/>
          <w:i/>
        </w:rPr>
        <w:t xml:space="preserve">Br J Cancer</w:t>
      </w:r>
      <w:r>
        <w:t xml:space="preserve"> </w:t>
      </w:r>
      <w:r>
        <w:t xml:space="preserve">· A multi-centre randomised phase III trial of Dexamethasone vs Dexamethasone and diethylstilbestrol in castration-resistant prostate cancer: immediate vs deferred Diethylstilbestrol. PMID 21285990</w:t>
      </w:r>
    </w:p>
    <w:p>
      <w:pPr>
        <w:numPr>
          <w:ilvl w:val="0"/>
          <w:numId w:val="1420"/>
        </w:numPr>
        <w:pStyle w:val="Compact"/>
      </w:pPr>
      <w:r>
        <w:t xml:space="preserve">1997 · Falkenbach A ·</w:t>
      </w:r>
      <w:r>
        <w:t xml:space="preserve"> </w:t>
      </w:r>
      <w:r>
        <w:rPr>
          <w:iCs/>
          <w:i/>
        </w:rPr>
        <w:t xml:space="preserve">Eur J Appl Physiol Occup Physiol</w:t>
      </w:r>
      <w:r>
        <w:t xml:space="preserve"> </w:t>
      </w:r>
      <w:r>
        <w:t xml:space="preserve">· Unchanged response to stimulation of pituitary hormone release after serial UV irradiation in men. PMID 9189734</w:t>
      </w:r>
    </w:p>
    <w:p>
      <w:pPr>
        <w:numPr>
          <w:ilvl w:val="0"/>
          <w:numId w:val="1420"/>
        </w:numPr>
        <w:pStyle w:val="Compact"/>
      </w:pPr>
      <w:r>
        <w:t xml:space="preserve">1996 · Segarra A ·</w:t>
      </w:r>
      <w:r>
        <w:t xml:space="preserve"> </w:t>
      </w:r>
      <w:r>
        <w:rPr>
          <w:iCs/>
          <w:i/>
        </w:rPr>
        <w:t xml:space="preserve">Nephron</w:t>
      </w:r>
      <w:r>
        <w:t xml:space="preserve"> </w:t>
      </w:r>
      <w:r>
        <w:t xml:space="preserve">· Prospective case control study to determine the effect of lovastatin on serum testosterone and cortisol concentrations in hyperlipidemic nephrotic patients with chronic renal failure. PMID 8773342</w:t>
      </w:r>
    </w:p>
    <w:p>
      <w:pPr>
        <w:numPr>
          <w:ilvl w:val="0"/>
          <w:numId w:val="1420"/>
        </w:numPr>
        <w:pStyle w:val="Compact"/>
      </w:pPr>
      <w:r>
        <w:t xml:space="preserve">1990 · Santoro N ·</w:t>
      </w:r>
      <w:r>
        <w:t xml:space="preserve"> </w:t>
      </w:r>
      <w:r>
        <w:rPr>
          <w:iCs/>
          <w:i/>
        </w:rPr>
        <w:t xml:space="preserve">Am J Obstet Gynecol</w:t>
      </w:r>
      <w:r>
        <w:t xml:space="preserve"> </w:t>
      </w:r>
      <w:r>
        <w:t xml:space="preserve">· Efficacy and safety of intravenous pulsatile gonadotropin-releasing hormone: Lutrepulse for injection. PMID 2122733</w:t>
      </w:r>
    </w:p>
    <w:p>
      <w:pPr>
        <w:numPr>
          <w:ilvl w:val="0"/>
          <w:numId w:val="1420"/>
        </w:numPr>
        <w:pStyle w:val="Compact"/>
      </w:pPr>
      <w:r>
        <w:t xml:space="preserve">1987 · Kadrnka-Lovrencić M ·</w:t>
      </w:r>
      <w:r>
        <w:t xml:space="preserve"> </w:t>
      </w:r>
      <w:r>
        <w:rPr>
          <w:iCs/>
          <w:i/>
        </w:rPr>
        <w:t xml:space="preserve">Lijec Vjesn</w:t>
      </w:r>
      <w:r>
        <w:t xml:space="preserve"> </w:t>
      </w:r>
      <w:r>
        <w:t xml:space="preserve">· [Comparative clinico-therapeutic study of gonadorelin and chorionic gonadotropin in boys with undescended testes]. PMID 2885699</w:t>
      </w:r>
    </w:p>
    <w:p>
      <w:pPr>
        <w:numPr>
          <w:ilvl w:val="0"/>
          <w:numId w:val="1420"/>
        </w:numPr>
        <w:pStyle w:val="Compact"/>
      </w:pPr>
      <w:r>
        <w:t xml:space="preserve">1986 · Lopes P ·</w:t>
      </w:r>
      <w:r>
        <w:t xml:space="preserve"> </w:t>
      </w:r>
      <w:r>
        <w:rPr>
          <w:iCs/>
          <w:i/>
        </w:rPr>
        <w:t xml:space="preserve">Presse Med</w:t>
      </w:r>
      <w:r>
        <w:t xml:space="preserve"> </w:t>
      </w:r>
      <w:r>
        <w:t xml:space="preserve">· [Value of short-term use of a gonadorelin analog in an in vitro fertilization program]. PMID 2949236</w:t>
      </w:r>
    </w:p>
    <w:p>
      <w:pPr>
        <w:numPr>
          <w:ilvl w:val="0"/>
          <w:numId w:val="1420"/>
        </w:numPr>
        <w:pStyle w:val="Compact"/>
      </w:pPr>
      <w:r>
        <w:t xml:space="preserve">1985 · Steg A ·</w:t>
      </w:r>
      <w:r>
        <w:t xml:space="preserve"> </w:t>
      </w:r>
      <w:r>
        <w:rPr>
          <w:iCs/>
          <w:i/>
        </w:rPr>
        <w:t xml:space="preserve">Presse Med</w:t>
      </w:r>
      <w:r>
        <w:t xml:space="preserve"> </w:t>
      </w:r>
      <w:r>
        <w:t xml:space="preserve">· [Treatment of advanced prostatic cancer with a gonadorelin agonist, dTrp6 LHRH. 41 cases]. PMID 2934695</w:t>
      </w:r>
    </w:p>
    <w:bookmarkEnd w:id="3064"/>
    <w:bookmarkStart w:id="3065" w:name="Xa3ec41ca6917fe1094a57b09f1d45e8d0c25c49"/>
    <w:p>
      <w:pPr>
        <w:pStyle w:val="Heading2"/>
      </w:pPr>
      <w:r>
        <w:t xml:space="preserve">Peptides de collagène (hydrolysat de collagène) (101)</w:t>
      </w:r>
    </w:p>
    <w:p>
      <w:pPr>
        <w:numPr>
          <w:ilvl w:val="0"/>
          <w:numId w:val="1421"/>
        </w:numPr>
        <w:pStyle w:val="Compact"/>
      </w:pPr>
      <w:r>
        <w:t xml:space="preserve">2026 · Hwang S ·</w:t>
      </w:r>
      <w:r>
        <w:t xml:space="preserve"> </w:t>
      </w:r>
      <w:r>
        <w:rPr>
          <w:iCs/>
          <w:i/>
        </w:rPr>
        <w:t xml:space="preserve">J Med Food</w:t>
      </w:r>
      <w:r>
        <w:t xml:space="preserve"> </w:t>
      </w:r>
      <w:r>
        <w:t xml:space="preserve">· Low-Molecular-Weight Collagen Peptide Supplementation Improves Cellulite Severity, Skin Elasticity, and Hair Shaft Diameter: A Clinical Study with Pharmacokinetic Evaluation. PMID 41788055</w:t>
      </w:r>
    </w:p>
    <w:p>
      <w:pPr>
        <w:numPr>
          <w:ilvl w:val="0"/>
          <w:numId w:val="1421"/>
        </w:numPr>
        <w:pStyle w:val="Compact"/>
      </w:pPr>
      <w:r>
        <w:t xml:space="preserve">2026 · Proksch E ·</w:t>
      </w:r>
      <w:r>
        <w:t xml:space="preserve"> </w:t>
      </w:r>
      <w:r>
        <w:rPr>
          <w:iCs/>
          <w:i/>
        </w:rPr>
        <w:t xml:space="preserve">Skin Pharmacol Physiol</w:t>
      </w:r>
      <w:r>
        <w:t xml:space="preserve"> </w:t>
      </w:r>
      <w:r>
        <w:t xml:space="preserve">· Oral Administration of Specific Bioactive Collagen Peptides in the Treatment of Moderate Forms of Atopic Dermatitis: A New Approach. PMID 41758763</w:t>
      </w:r>
    </w:p>
    <w:p>
      <w:pPr>
        <w:numPr>
          <w:ilvl w:val="0"/>
          <w:numId w:val="1421"/>
        </w:numPr>
        <w:pStyle w:val="Compact"/>
      </w:pPr>
      <w:r>
        <w:t xml:space="preserve">2025 · Aguilera JA ·</w:t>
      </w:r>
      <w:r>
        <w:t xml:space="preserve"> </w:t>
      </w:r>
      <w:r>
        <w:rPr>
          <w:iCs/>
          <w:i/>
        </w:rPr>
        <w:t xml:space="preserve">J Int Soc Sports Nutr</w:t>
      </w:r>
      <w:r>
        <w:t xml:space="preserve"> </w:t>
      </w:r>
      <w:r>
        <w:t xml:space="preserve">· Dileucine-supplemented essential amino acids support whole-body anabolism after resistance exercise and serum-stimulated cell-based anabolism. PMID 41321015</w:t>
      </w:r>
    </w:p>
    <w:p>
      <w:pPr>
        <w:numPr>
          <w:ilvl w:val="0"/>
          <w:numId w:val="1421"/>
        </w:numPr>
        <w:pStyle w:val="Compact"/>
      </w:pPr>
      <w:r>
        <w:t xml:space="preserve">2025 · Wang Y ·</w:t>
      </w:r>
      <w:r>
        <w:t xml:space="preserve"> </w:t>
      </w:r>
      <w:r>
        <w:rPr>
          <w:iCs/>
          <w:i/>
        </w:rPr>
        <w:t xml:space="preserve">J Cosmet Dermatol</w:t>
      </w:r>
      <w:r>
        <w:t xml:space="preserve"> </w:t>
      </w:r>
      <w:r>
        <w:t xml:space="preserve">· The Sustained Effects of Bioactive Collagen Peptides on Skin Health: A Randomized, Double-Blind, Placebo-Controlled Clinical Study. PMID 41311286</w:t>
      </w:r>
    </w:p>
    <w:p>
      <w:pPr>
        <w:numPr>
          <w:ilvl w:val="0"/>
          <w:numId w:val="1421"/>
        </w:numPr>
        <w:pStyle w:val="Compact"/>
      </w:pPr>
      <w:r>
        <w:t xml:space="preserve">2025 · Chavez-Alfaro MA ·</w:t>
      </w:r>
      <w:r>
        <w:t xml:space="preserve"> </w:t>
      </w:r>
      <w:r>
        <w:rPr>
          <w:iCs/>
          <w:i/>
        </w:rPr>
        <w:t xml:space="preserve">Food Funct</w:t>
      </w:r>
      <w:r>
        <w:t xml:space="preserve"> </w:t>
      </w:r>
      <w:r>
        <w:t xml:space="preserve">· Effects of porcine-derived collagen hydrolysates on 24 h blood pressure profiles, markers for endothelial dysfunction and low-grade inflammation and the retinal vasculature in adults with overweight/obesity: a randomized, controlled trial. PMID 41288414</w:t>
      </w:r>
    </w:p>
    <w:p>
      <w:pPr>
        <w:numPr>
          <w:ilvl w:val="0"/>
          <w:numId w:val="1421"/>
        </w:numPr>
        <w:pStyle w:val="Compact"/>
      </w:pPr>
      <w:r>
        <w:t xml:space="preserve">2025 · Lee E ·</w:t>
      </w:r>
      <w:r>
        <w:t xml:space="preserve"> </w:t>
      </w:r>
      <w:r>
        <w:rPr>
          <w:iCs/>
          <w:i/>
        </w:rPr>
        <w:t xml:space="preserve">J Microbiol Biotechnol</w:t>
      </w:r>
      <w:r>
        <w:t xml:space="preserve"> </w:t>
      </w:r>
      <w:r>
        <w:t xml:space="preserve">· Skin Anti-Aging and Moisturizing Effects of Low-Molecular-Weight Collagen Peptide Supplementation in Healthy Adults: A Randomized, Double-Blind, Placebo-Controlled Clinical Trial. PMID 40935395</w:t>
      </w:r>
    </w:p>
    <w:p>
      <w:pPr>
        <w:numPr>
          <w:ilvl w:val="0"/>
          <w:numId w:val="1421"/>
        </w:numPr>
        <w:pStyle w:val="Compact"/>
      </w:pPr>
      <w:r>
        <w:t xml:space="preserve">2025 · Reynolds KM ·</w:t>
      </w:r>
      <w:r>
        <w:t xml:space="preserve"> </w:t>
      </w:r>
      <w:r>
        <w:rPr>
          <w:iCs/>
          <w:i/>
        </w:rPr>
        <w:t xml:space="preserve">Br J Nutr</w:t>
      </w:r>
      <w:r>
        <w:t xml:space="preserve"> </w:t>
      </w:r>
      <w:r>
        <w:t xml:space="preserve">· The effects of collagen peptide supplementation on appetite and post-exercise energy intake in females: a randomised controlled trial. PMID 40685650</w:t>
      </w:r>
    </w:p>
    <w:p>
      <w:pPr>
        <w:numPr>
          <w:ilvl w:val="0"/>
          <w:numId w:val="1421"/>
        </w:numPr>
        <w:pStyle w:val="Compact"/>
      </w:pPr>
      <w:r>
        <w:t xml:space="preserve">2025 · Miyamoto N ·</w:t>
      </w:r>
      <w:r>
        <w:t xml:space="preserve"> </w:t>
      </w:r>
      <w:r>
        <w:rPr>
          <w:iCs/>
          <w:i/>
        </w:rPr>
        <w:t xml:space="preserve">Med Sci Sports Exerc</w:t>
      </w:r>
      <w:r>
        <w:t xml:space="preserve"> </w:t>
      </w:r>
      <w:r>
        <w:t xml:space="preserve">· Collagen Peptide Supplementation Enhances Muscle-Tendon Stiffness and Explosive Strength: A 16-wk Randomized Controlled Trial. PMID 40623147</w:t>
      </w:r>
    </w:p>
    <w:p>
      <w:pPr>
        <w:numPr>
          <w:ilvl w:val="0"/>
          <w:numId w:val="1421"/>
        </w:numPr>
        <w:pStyle w:val="Compact"/>
      </w:pPr>
      <w:r>
        <w:t xml:space="preserve">2025 · Aussieker T ·</w:t>
      </w:r>
      <w:r>
        <w:t xml:space="preserve"> </w:t>
      </w:r>
      <w:r>
        <w:rPr>
          <w:iCs/>
          <w:i/>
        </w:rPr>
        <w:t xml:space="preserve">Med Sci Sports Exerc</w:t>
      </w:r>
      <w:r>
        <w:t xml:space="preserve"> </w:t>
      </w:r>
      <w:r>
        <w:t xml:space="preserve">· The Effects of Ingesting a Single Bolus of Hydrolyzed Collagen versus Free Amino Acids on Muscle Connective Protein Synthesis Rates. PMID 40523226</w:t>
      </w:r>
    </w:p>
    <w:p>
      <w:pPr>
        <w:numPr>
          <w:ilvl w:val="0"/>
          <w:numId w:val="1421"/>
        </w:numPr>
        <w:pStyle w:val="Compact"/>
      </w:pPr>
      <w:r>
        <w:t xml:space="preserve">2025 · Zague V ·</w:t>
      </w:r>
      <w:r>
        <w:t xml:space="preserve"> </w:t>
      </w:r>
      <w:r>
        <w:rPr>
          <w:iCs/>
          <w:i/>
        </w:rPr>
        <w:t xml:space="preserve">J Med Food</w:t>
      </w:r>
      <w:r>
        <w:t xml:space="preserve"> </w:t>
      </w:r>
      <w:r>
        <w:t xml:space="preserve">· Oral Collagen Oligopeptides as a Modulator of Skin Health: A Comprehensive Evaluation of Clinical and Molecular Effects. PMID 40518844</w:t>
      </w:r>
    </w:p>
    <w:p>
      <w:pPr>
        <w:numPr>
          <w:ilvl w:val="0"/>
          <w:numId w:val="1421"/>
        </w:numPr>
        <w:pStyle w:val="Compact"/>
      </w:pPr>
      <w:r>
        <w:t xml:space="preserve">2025 · Bhardwaj V ·</w:t>
      </w:r>
      <w:r>
        <w:t xml:space="preserve"> </w:t>
      </w:r>
      <w:r>
        <w:rPr>
          <w:iCs/>
          <w:i/>
        </w:rPr>
        <w:t xml:space="preserve">J Drugs Dermatol</w:t>
      </w:r>
      <w:r>
        <w:t xml:space="preserve"> </w:t>
      </w:r>
      <w:r>
        <w:t xml:space="preserve">· Artificial Intelligence-Based Personalization of Treatment Regimen for Hair Loss: A 6-Month Clinical Trial. PMID 40043278</w:t>
      </w:r>
    </w:p>
    <w:p>
      <w:pPr>
        <w:numPr>
          <w:ilvl w:val="0"/>
          <w:numId w:val="1421"/>
        </w:numPr>
        <w:pStyle w:val="Compact"/>
      </w:pPr>
      <w:r>
        <w:t xml:space="preserve">2025 · Xing X ·</w:t>
      </w:r>
      <w:r>
        <w:t xml:space="preserve"> </w:t>
      </w:r>
      <w:r>
        <w:rPr>
          <w:iCs/>
          <w:i/>
        </w:rPr>
        <w:t xml:space="preserve">Food Funct</w:t>
      </w:r>
      <w:r>
        <w:t xml:space="preserve"> </w:t>
      </w:r>
      <w:r>
        <w:t xml:space="preserve">· Effects of protein-rich multi-nutrient intervention on bone mineralization and development: insights from a randomized controlled trial in prepubertal children and a zebrafish experiment. PMID 39991811</w:t>
      </w:r>
    </w:p>
    <w:p>
      <w:pPr>
        <w:numPr>
          <w:ilvl w:val="0"/>
          <w:numId w:val="1421"/>
        </w:numPr>
        <w:pStyle w:val="Compact"/>
      </w:pPr>
      <w:r>
        <w:t xml:space="preserve">2025 · Paulus MC ·</w:t>
      </w:r>
      <w:r>
        <w:t xml:space="preserve"> </w:t>
      </w:r>
      <w:r>
        <w:rPr>
          <w:iCs/>
          <w:i/>
        </w:rPr>
        <w:t xml:space="preserve">Clin Nutr</w:t>
      </w:r>
      <w:r>
        <w:t xml:space="preserve"> </w:t>
      </w:r>
      <w:r>
        <w:t xml:space="preserve">· Feasibility challenges in protein supplementation research: Insights from the convalescence of functional outcomes after intensive care unit stay in a Randomised Controlled Trial. PMID 39914233</w:t>
      </w:r>
    </w:p>
    <w:p>
      <w:pPr>
        <w:numPr>
          <w:ilvl w:val="0"/>
          <w:numId w:val="1421"/>
        </w:numPr>
        <w:pStyle w:val="Compact"/>
      </w:pPr>
      <w:r>
        <w:t xml:space="preserve">2025 · Genç AS ·</w:t>
      </w:r>
      <w:r>
        <w:t xml:space="preserve"> </w:t>
      </w:r>
      <w:r>
        <w:rPr>
          <w:iCs/>
          <w:i/>
        </w:rPr>
        <w:t xml:space="preserve">BMC Musculoskelet Disord</w:t>
      </w:r>
      <w:r>
        <w:t xml:space="preserve"> </w:t>
      </w:r>
      <w:r>
        <w:t xml:space="preserve">· The effect of supplementation with type I and type III collagen peptide and type II hydrolyzed collagen on pain, quality of life and physical function in patients with meniscopathy: a randomized, double-blind, placebo-controlled study. PMID 39755603</w:t>
      </w:r>
    </w:p>
    <w:p>
      <w:pPr>
        <w:numPr>
          <w:ilvl w:val="0"/>
          <w:numId w:val="1421"/>
        </w:numPr>
        <w:pStyle w:val="Compact"/>
      </w:pPr>
      <w:r>
        <w:t xml:space="preserve">2025 · Genç AS ·</w:t>
      </w:r>
      <w:r>
        <w:t xml:space="preserve"> </w:t>
      </w:r>
      <w:r>
        <w:rPr>
          <w:iCs/>
          <w:i/>
        </w:rPr>
        <w:t xml:space="preserve">Jt Dis Relat Surg</w:t>
      </w:r>
      <w:r>
        <w:t xml:space="preserve"> </w:t>
      </w:r>
      <w:r>
        <w:t xml:space="preserve">· Effect of supplementation with type 1 and type 3 collagen peptide and type 2 hydrolyzed collagen on osteoarthritis-related pain, quality of life, and physical function: A double-blind, randomized, placebo-controlled study. PMID 39719905</w:t>
      </w:r>
    </w:p>
    <w:p>
      <w:pPr>
        <w:numPr>
          <w:ilvl w:val="0"/>
          <w:numId w:val="1421"/>
        </w:numPr>
        <w:pStyle w:val="Compact"/>
      </w:pPr>
      <w:r>
        <w:t xml:space="preserve">2024 · Nilsson MI ·</w:t>
      </w:r>
      <w:r>
        <w:t xml:space="preserve"> </w:t>
      </w:r>
      <w:r>
        <w:rPr>
          <w:iCs/>
          <w:i/>
        </w:rPr>
        <w:t xml:space="preserve">Nutrients</w:t>
      </w:r>
      <w:r>
        <w:t xml:space="preserve"> </w:t>
      </w:r>
      <w:r>
        <w:t xml:space="preserve">· Obesity and Metabolic Disease Impair the Anabolic Response to Protein Supplementation and Resistance Exercise: A Retrospective Analysis of a Randomized Clinical Trial with Implications for Aging, Sarcopenic Obesity, and Weight Management. PMID 39771028</w:t>
      </w:r>
    </w:p>
    <w:p>
      <w:pPr>
        <w:numPr>
          <w:ilvl w:val="0"/>
          <w:numId w:val="1421"/>
        </w:numPr>
        <w:pStyle w:val="Compact"/>
      </w:pPr>
      <w:r>
        <w:t xml:space="preserve">2024 · Barclay R ·</w:t>
      </w:r>
      <w:r>
        <w:t xml:space="preserve"> </w:t>
      </w:r>
      <w:r>
        <w:rPr>
          <w:iCs/>
          <w:i/>
        </w:rPr>
        <w:t xml:space="preserve">Nutrients</w:t>
      </w:r>
      <w:r>
        <w:t xml:space="preserve"> </w:t>
      </w:r>
      <w:r>
        <w:t xml:space="preserve">· Comparing the Effects of Collagen Hydrolysate and Dairy Protein on Recovery from Eccentric Exercise: A Double Blind, Placebo-Controlled Study. PMID 39771010</w:t>
      </w:r>
    </w:p>
    <w:p>
      <w:pPr>
        <w:numPr>
          <w:ilvl w:val="0"/>
          <w:numId w:val="1421"/>
        </w:numPr>
        <w:pStyle w:val="Compact"/>
      </w:pPr>
      <w:r>
        <w:t xml:space="preserve">2024 · Vleminckx S ·</w:t>
      </w:r>
      <w:r>
        <w:t xml:space="preserve"> </w:t>
      </w:r>
      <w:r>
        <w:rPr>
          <w:iCs/>
          <w:i/>
        </w:rPr>
        <w:t xml:space="preserve">J Cosmet Dermatol</w:t>
      </w:r>
      <w:r>
        <w:t xml:space="preserve"> </w:t>
      </w:r>
      <w:r>
        <w:t xml:space="preserve">· Influence of collagen peptide supplementation on visible signs of skin and nail health and -aging in an East Asian population: A double blind, randomized, placebo-controlled trial. PMID 39143887</w:t>
      </w:r>
    </w:p>
    <w:p>
      <w:pPr>
        <w:numPr>
          <w:ilvl w:val="0"/>
          <w:numId w:val="1421"/>
        </w:numPr>
        <w:pStyle w:val="Compact"/>
      </w:pPr>
      <w:r>
        <w:t xml:space="preserve">2024 · Kirmse M ·</w:t>
      </w:r>
      <w:r>
        <w:t xml:space="preserve"> </w:t>
      </w:r>
      <w:r>
        <w:rPr>
          <w:iCs/>
          <w:i/>
        </w:rPr>
        <w:t xml:space="preserve">Med Sci Sports Exerc</w:t>
      </w:r>
      <w:r>
        <w:t xml:space="preserve"> </w:t>
      </w:r>
      <w:r>
        <w:t xml:space="preserve">· Collagen Peptide Supplementation during Training Does Not Further Increase Connective Tissue Protein Synthesis Rates. PMID 39086044</w:t>
      </w:r>
    </w:p>
    <w:p>
      <w:pPr>
        <w:numPr>
          <w:ilvl w:val="0"/>
          <w:numId w:val="1421"/>
        </w:numPr>
        <w:pStyle w:val="Compact"/>
      </w:pPr>
      <w:r>
        <w:t xml:space="preserve">2024 · Morakul B ·</w:t>
      </w:r>
      <w:r>
        <w:t xml:space="preserve"> </w:t>
      </w:r>
      <w:r>
        <w:rPr>
          <w:iCs/>
          <w:i/>
        </w:rPr>
        <w:t xml:space="preserve">J Cosmet Dermatol</w:t>
      </w:r>
      <w:r>
        <w:t xml:space="preserve"> </w:t>
      </w:r>
      <w:r>
        <w:t xml:space="preserve">· The evidence from in vitro primary fibroblasts and a randomized, double-blind, placebo-controlled clinical trial of tuna collagen peptides intake on skin health. PMID 39075819</w:t>
      </w:r>
    </w:p>
    <w:p>
      <w:pPr>
        <w:numPr>
          <w:ilvl w:val="0"/>
          <w:numId w:val="1421"/>
        </w:numPr>
        <w:pStyle w:val="Compact"/>
      </w:pPr>
      <w:r>
        <w:t xml:space="preserve">2024 · Schulze C ·</w:t>
      </w:r>
      <w:r>
        <w:t xml:space="preserve"> </w:t>
      </w:r>
      <w:r>
        <w:rPr>
          <w:iCs/>
          <w:i/>
        </w:rPr>
        <w:t xml:space="preserve">Int J Environ Res Public Health</w:t>
      </w:r>
      <w:r>
        <w:t xml:space="preserve"> </w:t>
      </w:r>
      <w:r>
        <w:t xml:space="preserve">· Impact of Specific Bioactive Collagen Peptides on Joint Discomforts in the Lower Extremity during Daily Activities: A Randomized Controlled Trial. PMID 38928934</w:t>
      </w:r>
    </w:p>
    <w:p>
      <w:pPr>
        <w:numPr>
          <w:ilvl w:val="0"/>
          <w:numId w:val="1421"/>
        </w:numPr>
        <w:pStyle w:val="Compact"/>
      </w:pPr>
      <w:r>
        <w:t xml:space="preserve">2024 · Devasia S ·</w:t>
      </w:r>
      <w:r>
        <w:t xml:space="preserve"> </w:t>
      </w:r>
      <w:r>
        <w:rPr>
          <w:iCs/>
          <w:i/>
        </w:rPr>
        <w:t xml:space="preserve">Cartilage</w:t>
      </w:r>
      <w:r>
        <w:t xml:space="preserve"> </w:t>
      </w:r>
      <w:r>
        <w:t xml:space="preserve">· Management and Amelioration of Knee Joint Osteoarthritis in Adults Using a Novel High-Functional Bovine Collagen Peptide as a Nutritional Therapy: A Double-Blind, Prospective, Multicentric, Randomized, Active and Placebo Controlled, Five-Arm, Clinical Study to Evaluate the Efficacy, Safety, and Tolerability. PMID 38235711</w:t>
      </w:r>
    </w:p>
    <w:p>
      <w:pPr>
        <w:numPr>
          <w:ilvl w:val="0"/>
          <w:numId w:val="1421"/>
        </w:numPr>
        <w:pStyle w:val="Compact"/>
      </w:pPr>
      <w:r>
        <w:t xml:space="preserve">2024 · Salehi S ·</w:t>
      </w:r>
      <w:r>
        <w:t xml:space="preserve"> </w:t>
      </w:r>
      <w:r>
        <w:rPr>
          <w:iCs/>
          <w:i/>
        </w:rPr>
        <w:t xml:space="preserve">Burns</w:t>
      </w:r>
      <w:r>
        <w:t xml:space="preserve"> </w:t>
      </w:r>
      <w:r>
        <w:t xml:space="preserve">· Effects of hydrolyzed collagen alone or in combination with fish oil on the gut microbiome in patients with major burns. PMID 38114377</w:t>
      </w:r>
    </w:p>
    <w:p>
      <w:pPr>
        <w:numPr>
          <w:ilvl w:val="0"/>
          <w:numId w:val="1421"/>
        </w:numPr>
        <w:pStyle w:val="Compact"/>
      </w:pPr>
      <w:r>
        <w:t xml:space="preserve">2024 · Robberechts R ·</w:t>
      </w:r>
      <w:r>
        <w:t xml:space="preserve"> </w:t>
      </w:r>
      <w:r>
        <w:rPr>
          <w:iCs/>
          <w:i/>
        </w:rPr>
        <w:t xml:space="preserve">Int J Sport Nutr Exerc Metab</w:t>
      </w:r>
      <w:r>
        <w:t xml:space="preserve"> </w:t>
      </w:r>
      <w:r>
        <w:t xml:space="preserve">· Partly Substituting Whey for Collagen Peptide Supplementation Improves Neither Indices of Muscle Damage Nor Recovery of Functional Capacity During Eccentric Exercise Training in Fit Males. PMID 37922892</w:t>
      </w:r>
    </w:p>
    <w:p>
      <w:pPr>
        <w:numPr>
          <w:ilvl w:val="0"/>
          <w:numId w:val="1421"/>
        </w:numPr>
        <w:pStyle w:val="Compact"/>
      </w:pPr>
      <w:r>
        <w:t xml:space="preserve">2024 · Thomas C ·</w:t>
      </w:r>
      <w:r>
        <w:t xml:space="preserve"> </w:t>
      </w:r>
      <w:r>
        <w:rPr>
          <w:iCs/>
          <w:i/>
        </w:rPr>
        <w:t xml:space="preserve">Eur J Nutr</w:t>
      </w:r>
      <w:r>
        <w:t xml:space="preserve"> </w:t>
      </w:r>
      <w:r>
        <w:t xml:space="preserve">· Collagen peptide supplementation before bedtime reduces sleep fragmentation and improves cognitive function in physically active males with sleep complaints. PMID 37874350</w:t>
      </w:r>
    </w:p>
    <w:p>
      <w:pPr>
        <w:numPr>
          <w:ilvl w:val="0"/>
          <w:numId w:val="1421"/>
        </w:numPr>
        <w:pStyle w:val="Compact"/>
      </w:pPr>
      <w:r>
        <w:t xml:space="preserve">2024 · Seong SH ·</w:t>
      </w:r>
      <w:r>
        <w:t xml:space="preserve"> </w:t>
      </w:r>
      <w:r>
        <w:rPr>
          <w:iCs/>
          <w:i/>
        </w:rPr>
        <w:t xml:space="preserve">J Cosmet Dermatol</w:t>
      </w:r>
      <w:r>
        <w:t xml:space="preserve"> </w:t>
      </w:r>
      <w:r>
        <w:t xml:space="preserve">· Low-molecular-weight collagen peptides supplement promotes a healthy skin: A randomized, double-blinded, placebo-controlled study. PMID 37822045</w:t>
      </w:r>
    </w:p>
    <w:p>
      <w:pPr>
        <w:numPr>
          <w:ilvl w:val="0"/>
          <w:numId w:val="1421"/>
        </w:numPr>
        <w:pStyle w:val="Compact"/>
      </w:pPr>
      <w:r>
        <w:t xml:space="preserve">2023 · Chen L ·</w:t>
      </w:r>
      <w:r>
        <w:t xml:space="preserve"> </w:t>
      </w:r>
      <w:r>
        <w:rPr>
          <w:iCs/>
          <w:i/>
        </w:rPr>
        <w:t xml:space="preserve">Food Funct</w:t>
      </w:r>
      <w:r>
        <w:t xml:space="preserve"> </w:t>
      </w:r>
      <w:r>
        <w:t xml:space="preserve">· The effect of oral supplements containing collagen peptides rich in X-Hyp or X-Hyp-Gly compared with normal collagen hydrolysates on skin elasticity and collagen holes: a randomised double-blind clinical study. PMID 37970760</w:t>
      </w:r>
    </w:p>
    <w:p>
      <w:pPr>
        <w:numPr>
          <w:ilvl w:val="0"/>
          <w:numId w:val="1421"/>
        </w:numPr>
        <w:pStyle w:val="Compact"/>
      </w:pPr>
      <w:r>
        <w:t xml:space="preserve">2023 · Kviatkovsky SA ·</w:t>
      </w:r>
      <w:r>
        <w:t xml:space="preserve"> </w:t>
      </w:r>
      <w:r>
        <w:rPr>
          <w:iCs/>
          <w:i/>
        </w:rPr>
        <w:t xml:space="preserve">J Int Soc Sports Nutr</w:t>
      </w:r>
      <w:r>
        <w:t xml:space="preserve"> </w:t>
      </w:r>
      <w:r>
        <w:t xml:space="preserve">· Collagen peptides supplementation improves function, pain, and physical and mental outcomes in active adults. PMID 37551682</w:t>
      </w:r>
    </w:p>
    <w:p>
      <w:pPr>
        <w:numPr>
          <w:ilvl w:val="0"/>
          <w:numId w:val="1421"/>
        </w:numPr>
        <w:pStyle w:val="Compact"/>
      </w:pPr>
      <w:r>
        <w:t xml:space="preserve">2023 · Balshaw TG ·</w:t>
      </w:r>
      <w:r>
        <w:t xml:space="preserve"> </w:t>
      </w:r>
      <w:r>
        <w:rPr>
          <w:iCs/>
          <w:i/>
        </w:rPr>
        <w:t xml:space="preserve">Med Sci Sports Exerc</w:t>
      </w:r>
      <w:r>
        <w:t xml:space="preserve"> </w:t>
      </w:r>
      <w:r>
        <w:t xml:space="preserve">· The Effect of Specific Bioactive Collagen Peptides on Tendon Remodeling during 15 wk of Lower Body Resistance Training. PMID 37436929</w:t>
      </w:r>
    </w:p>
    <w:p>
      <w:pPr>
        <w:numPr>
          <w:ilvl w:val="0"/>
          <w:numId w:val="1421"/>
        </w:numPr>
        <w:pStyle w:val="Compact"/>
      </w:pPr>
      <w:r>
        <w:t xml:space="preserve">2023 · Jerger S ·</w:t>
      </w:r>
      <w:r>
        <w:t xml:space="preserve"> </w:t>
      </w:r>
      <w:r>
        <w:rPr>
          <w:iCs/>
          <w:i/>
        </w:rPr>
        <w:t xml:space="preserve">Eur J Sport Sci</w:t>
      </w:r>
      <w:r>
        <w:t xml:space="preserve"> </w:t>
      </w:r>
      <w:r>
        <w:t xml:space="preserve">· Specific collagen peptides increase adaptions of patellar tendon morphology following 14-weeks of high-load resistance training: A randomized-controlled trial. PMID 37424319</w:t>
      </w:r>
    </w:p>
    <w:p>
      <w:pPr>
        <w:numPr>
          <w:ilvl w:val="0"/>
          <w:numId w:val="1421"/>
        </w:numPr>
        <w:pStyle w:val="Compact"/>
      </w:pPr>
      <w:r>
        <w:t xml:space="preserve">2023 · Koizumi S ·</w:t>
      </w:r>
      <w:r>
        <w:t xml:space="preserve"> </w:t>
      </w:r>
      <w:r>
        <w:rPr>
          <w:iCs/>
          <w:i/>
        </w:rPr>
        <w:t xml:space="preserve">Biosci Biotechnol Biochem</w:t>
      </w:r>
      <w:r>
        <w:t xml:space="preserve"> </w:t>
      </w:r>
      <w:r>
        <w:t xml:space="preserve">· Ingestion of a collagen peptide containing high concentrations of prolyl-hydroxyproline and hydroxyprolyl-glycine reduces advanced glycation end products levels in the skin and subcutaneous blood vessel walls: a randomized, double-blind, placebo-controlled study. PMID 37245058</w:t>
      </w:r>
    </w:p>
    <w:p>
      <w:pPr>
        <w:numPr>
          <w:ilvl w:val="0"/>
          <w:numId w:val="1421"/>
        </w:numPr>
        <w:pStyle w:val="Compact"/>
      </w:pPr>
      <w:r>
        <w:t xml:space="preserve">2023 · Chen CC ·</w:t>
      </w:r>
      <w:r>
        <w:t xml:space="preserve"> </w:t>
      </w:r>
      <w:r>
        <w:rPr>
          <w:iCs/>
          <w:i/>
        </w:rPr>
        <w:t xml:space="preserve">Nutr J</w:t>
      </w:r>
      <w:r>
        <w:t xml:space="preserve"> </w:t>
      </w:r>
      <w:r>
        <w:t xml:space="preserve">· Randomized, double-blind, four-arm pilot study on the effects of chicken essence and type II collagen hydrolysate on joint, bone, and muscle functions. PMID 36918892</w:t>
      </w:r>
    </w:p>
    <w:p>
      <w:pPr>
        <w:numPr>
          <w:ilvl w:val="0"/>
          <w:numId w:val="1421"/>
        </w:numPr>
        <w:pStyle w:val="Compact"/>
      </w:pPr>
      <w:r>
        <w:t xml:space="preserve">2023 · Lee M ·</w:t>
      </w:r>
      <w:r>
        <w:t xml:space="preserve"> </w:t>
      </w:r>
      <w:r>
        <w:rPr>
          <w:iCs/>
          <w:i/>
        </w:rPr>
        <w:t xml:space="preserve">Food Funct</w:t>
      </w:r>
      <w:r>
        <w:t xml:space="preserve"> </w:t>
      </w:r>
      <w:r>
        <w:t xml:space="preserve">· Oral intake of collagen peptide NS improves hydration, elasticity, desquamation, and wrinkling in human skin: a randomized, double-blinded, placebo-controlled study. PMID 36916504</w:t>
      </w:r>
    </w:p>
    <w:p>
      <w:pPr>
        <w:numPr>
          <w:ilvl w:val="0"/>
          <w:numId w:val="1421"/>
        </w:numPr>
        <w:pStyle w:val="Compact"/>
      </w:pPr>
      <w:r>
        <w:t xml:space="preserve">2023 · Balshaw TG ·</w:t>
      </w:r>
      <w:r>
        <w:t xml:space="preserve"> </w:t>
      </w:r>
      <w:r>
        <w:rPr>
          <w:iCs/>
          <w:i/>
        </w:rPr>
        <w:t xml:space="preserve">Acta Physiol (Oxf)</w:t>
      </w:r>
      <w:r>
        <w:t xml:space="preserve"> </w:t>
      </w:r>
      <w:r>
        <w:t xml:space="preserve">· The effect of specific bioactive collagen peptides on function and muscle remodeling during human resistance training. PMID 36433662</w:t>
      </w:r>
    </w:p>
    <w:p>
      <w:pPr>
        <w:numPr>
          <w:ilvl w:val="0"/>
          <w:numId w:val="1421"/>
        </w:numPr>
        <w:pStyle w:val="Compact"/>
      </w:pPr>
      <w:r>
        <w:t xml:space="preserve">2023 · Taylor G ·</w:t>
      </w:r>
      <w:r>
        <w:t xml:space="preserve"> </w:t>
      </w:r>
      <w:r>
        <w:rPr>
          <w:iCs/>
          <w:i/>
        </w:rPr>
        <w:t xml:space="preserve">Eur J Nutr</w:t>
      </w:r>
      <w:r>
        <w:t xml:space="preserve"> </w:t>
      </w:r>
      <w:r>
        <w:t xml:space="preserve">· The effects of collagen peptides on exercise-induced gastrointestinal stress: a randomized, controlled trial. PMID 36370176</w:t>
      </w:r>
    </w:p>
    <w:p>
      <w:pPr>
        <w:numPr>
          <w:ilvl w:val="0"/>
          <w:numId w:val="1421"/>
        </w:numPr>
        <w:pStyle w:val="Compact"/>
      </w:pPr>
      <w:r>
        <w:t xml:space="preserve">2022 · Kim J ·</w:t>
      </w:r>
      <w:r>
        <w:t xml:space="preserve"> </w:t>
      </w:r>
      <w:r>
        <w:rPr>
          <w:iCs/>
          <w:i/>
        </w:rPr>
        <w:t xml:space="preserve">J Med Food</w:t>
      </w:r>
      <w:r>
        <w:t xml:space="preserve"> </w:t>
      </w:r>
      <w:r>
        <w:t xml:space="preserve">· Oral Supplementation of Low-Molecular-Weight Collagen Peptides Reduces Skin Wrinkles and Improves Biophysical Properties of Skin: A Randomized, Double-Blinded, Placebo-Controlled Study. PMID 36516059</w:t>
      </w:r>
    </w:p>
    <w:p>
      <w:pPr>
        <w:numPr>
          <w:ilvl w:val="0"/>
          <w:numId w:val="1421"/>
        </w:numPr>
        <w:pStyle w:val="Compact"/>
      </w:pPr>
      <w:r>
        <w:t xml:space="preserve">2022 · Jockel-Schneider Y ·</w:t>
      </w:r>
      <w:r>
        <w:t xml:space="preserve"> </w:t>
      </w:r>
      <w:r>
        <w:rPr>
          <w:iCs/>
          <w:i/>
        </w:rPr>
        <w:t xml:space="preserve">Nutrients</w:t>
      </w:r>
      <w:r>
        <w:t xml:space="preserve"> </w:t>
      </w:r>
      <w:r>
        <w:t xml:space="preserve">· Impact of a Specific Collagen Peptide Food Supplement on Periodontal Inflammation in Aftercare Patients-A Randomised Controlled Trial. PMID 36364735</w:t>
      </w:r>
    </w:p>
    <w:p>
      <w:pPr>
        <w:numPr>
          <w:ilvl w:val="0"/>
          <w:numId w:val="1421"/>
        </w:numPr>
        <w:pStyle w:val="Compact"/>
      </w:pPr>
      <w:r>
        <w:t xml:space="preserve">2022 · Jerger S ·</w:t>
      </w:r>
      <w:r>
        <w:t xml:space="preserve"> </w:t>
      </w:r>
      <w:r>
        <w:rPr>
          <w:iCs/>
          <w:i/>
        </w:rPr>
        <w:t xml:space="preserve">Scand J Med Sci Sports</w:t>
      </w:r>
      <w:r>
        <w:t xml:space="preserve"> </w:t>
      </w:r>
      <w:r>
        <w:t xml:space="preserve">· Effects of specific collagen peptide supplementation combined with resistance training on Achilles tendon properties. PMID 35403756</w:t>
      </w:r>
    </w:p>
    <w:p>
      <w:pPr>
        <w:numPr>
          <w:ilvl w:val="0"/>
          <w:numId w:val="1421"/>
        </w:numPr>
        <w:pStyle w:val="Compact"/>
      </w:pPr>
      <w:r>
        <w:t xml:space="preserve">2022 · Jacinto JL ·</w:t>
      </w:r>
      <w:r>
        <w:t xml:space="preserve"> </w:t>
      </w:r>
      <w:r>
        <w:rPr>
          <w:iCs/>
          <w:i/>
        </w:rPr>
        <w:t xml:space="preserve">Int J Sport Nutr Exerc Metab</w:t>
      </w:r>
      <w:r>
        <w:t xml:space="preserve"> </w:t>
      </w:r>
      <w:r>
        <w:t xml:space="preserve">· Whey Protein Supplementation Is Superior to Leucine-Matched Collagen Peptides to Increase Muscle Thickness During a 10-Week Resistance Training Program in Untrained Young Adults. PMID 35042187</w:t>
      </w:r>
    </w:p>
    <w:p>
      <w:pPr>
        <w:numPr>
          <w:ilvl w:val="0"/>
          <w:numId w:val="1421"/>
        </w:numPr>
        <w:pStyle w:val="Compact"/>
      </w:pPr>
      <w:r>
        <w:t xml:space="preserve">2022 · Lampropoulou-Adamidou K ·</w:t>
      </w:r>
      <w:r>
        <w:t xml:space="preserve"> </w:t>
      </w:r>
      <w:r>
        <w:rPr>
          <w:iCs/>
          <w:i/>
        </w:rPr>
        <w:t xml:space="preserve">J Clin Densitom</w:t>
      </w:r>
      <w:r>
        <w:t xml:space="preserve"> </w:t>
      </w:r>
      <w:r>
        <w:t xml:space="preserve">· Effect of Calcium and Vitamin D Supplementation With and Without Collagen Peptides on Volumetric and Areal Bone Mineral Density, Bone Geometry and Bone Turnover in Postmenopausal Women With Osteopenia. PMID 34980546</w:t>
      </w:r>
    </w:p>
    <w:p>
      <w:pPr>
        <w:numPr>
          <w:ilvl w:val="0"/>
          <w:numId w:val="1421"/>
        </w:numPr>
        <w:pStyle w:val="Compact"/>
      </w:pPr>
      <w:r>
        <w:t xml:space="preserve">2022 · Farì G ·</w:t>
      </w:r>
      <w:r>
        <w:t xml:space="preserve"> </w:t>
      </w:r>
      <w:r>
        <w:rPr>
          <w:iCs/>
          <w:i/>
        </w:rPr>
        <w:t xml:space="preserve">Endocr Metab Immune Disord Drug Targets</w:t>
      </w:r>
      <w:r>
        <w:t xml:space="preserve"> </w:t>
      </w:r>
      <w:r>
        <w:t xml:space="preserve">· Collagen Peptides, in Association with Vitamin C, Sodium Hyaluronate, Manganese and Copper, as Part of the Rehabilitation Project in the Treatment of Chronic Low Back Pain. PMID 33568038</w:t>
      </w:r>
    </w:p>
    <w:p>
      <w:pPr>
        <w:numPr>
          <w:ilvl w:val="0"/>
          <w:numId w:val="1421"/>
        </w:numPr>
        <w:pStyle w:val="Compact"/>
      </w:pPr>
      <w:r>
        <w:t xml:space="preserve">2021 · Maia Campos PMBG ·</w:t>
      </w:r>
      <w:r>
        <w:t xml:space="preserve"> </w:t>
      </w:r>
      <w:r>
        <w:rPr>
          <w:iCs/>
          <w:i/>
        </w:rPr>
        <w:t xml:space="preserve">Molecules</w:t>
      </w:r>
      <w:r>
        <w:t xml:space="preserve"> </w:t>
      </w:r>
      <w:r>
        <w:t xml:space="preserve">· Oral Supplementation with Hydrolyzed Fish Cartilage Improves the Morphological and Structural Characteristics of the Skin: A Double-Blind, Placebo-Controlled Clinical Study. PMID 34443468</w:t>
      </w:r>
    </w:p>
    <w:p>
      <w:pPr>
        <w:numPr>
          <w:ilvl w:val="0"/>
          <w:numId w:val="1421"/>
        </w:numPr>
        <w:pStyle w:val="Compact"/>
      </w:pPr>
      <w:r>
        <w:t xml:space="preserve">2021 · Osawa Y ·</w:t>
      </w:r>
      <w:r>
        <w:t xml:space="preserve"> </w:t>
      </w:r>
      <w:r>
        <w:rPr>
          <w:iCs/>
          <w:i/>
        </w:rPr>
        <w:t xml:space="preserve">Sci Rep</w:t>
      </w:r>
      <w:r>
        <w:t xml:space="preserve"> </w:t>
      </w:r>
      <w:r>
        <w:t xml:space="preserve">· Monitoring urinary collagen metabolite changes following collagen peptide ingestion and physical activity using ELISA with anti active collagen oligopeptide antibody. PMID 34188133</w:t>
      </w:r>
    </w:p>
    <w:p>
      <w:pPr>
        <w:numPr>
          <w:ilvl w:val="0"/>
          <w:numId w:val="1421"/>
        </w:numPr>
        <w:pStyle w:val="Compact"/>
      </w:pPr>
      <w:r>
        <w:t xml:space="preserve">2021 · Zdzieblik D ·</w:t>
      </w:r>
      <w:r>
        <w:t xml:space="preserve"> </w:t>
      </w:r>
      <w:r>
        <w:rPr>
          <w:iCs/>
          <w:i/>
        </w:rPr>
        <w:t xml:space="preserve">Int J Environ Res Public Health</w:t>
      </w:r>
      <w:r>
        <w:t xml:space="preserve"> </w:t>
      </w:r>
      <w:r>
        <w:t xml:space="preserve">· The Influence of Specific Bioactive Collagen Peptides on Body Composition and Muscle Strength in Middle-Aged, Untrained Men: A Randomized Controlled Trial. PMID 33946565</w:t>
      </w:r>
    </w:p>
    <w:p>
      <w:pPr>
        <w:numPr>
          <w:ilvl w:val="0"/>
          <w:numId w:val="1421"/>
        </w:numPr>
        <w:pStyle w:val="Compact"/>
      </w:pPr>
      <w:r>
        <w:t xml:space="preserve">2021 · Miyanaga M ·</w:t>
      </w:r>
      <w:r>
        <w:t xml:space="preserve"> </w:t>
      </w:r>
      <w:r>
        <w:rPr>
          <w:iCs/>
          <w:i/>
        </w:rPr>
        <w:t xml:space="preserve">Skin Pharmacol Physiol</w:t>
      </w:r>
      <w:r>
        <w:t xml:space="preserve"> </w:t>
      </w:r>
      <w:r>
        <w:t xml:space="preserve">· Oral Supplementation of Collagen Peptides Improves Skin Hydration by Increasing the Natural Moisturizing Factor Content in the Stratum Corneum: A Randomized, Double-Blind, Placebo-Controlled Clinical Trial. PMID 33774639</w:t>
      </w:r>
    </w:p>
    <w:p>
      <w:pPr>
        <w:numPr>
          <w:ilvl w:val="0"/>
          <w:numId w:val="1421"/>
        </w:numPr>
        <w:pStyle w:val="Compact"/>
      </w:pPr>
      <w:r>
        <w:t xml:space="preserve">2021 · Wageh M ·</w:t>
      </w:r>
      <w:r>
        <w:t xml:space="preserve"> </w:t>
      </w:r>
      <w:r>
        <w:rPr>
          <w:iCs/>
          <w:i/>
        </w:rPr>
        <w:t xml:space="preserve">Med Sci Sports Exerc</w:t>
      </w:r>
      <w:r>
        <w:t xml:space="preserve"> </w:t>
      </w:r>
      <w:r>
        <w:t xml:space="preserve">· The Effect of a Multi-ingredient Supplement on Resistance Training-induced Adaptations. PMID 33756525</w:t>
      </w:r>
    </w:p>
    <w:p>
      <w:pPr>
        <w:numPr>
          <w:ilvl w:val="0"/>
          <w:numId w:val="1421"/>
        </w:numPr>
        <w:pStyle w:val="Compact"/>
      </w:pPr>
      <w:r>
        <w:t xml:space="preserve">2021 · Zdzieblik D ·</w:t>
      </w:r>
      <w:r>
        <w:t xml:space="preserve"> </w:t>
      </w:r>
      <w:r>
        <w:rPr>
          <w:iCs/>
          <w:i/>
        </w:rPr>
        <w:t xml:space="preserve">Nutrients</w:t>
      </w:r>
      <w:r>
        <w:t xml:space="preserve"> </w:t>
      </w:r>
      <w:r>
        <w:t xml:space="preserve">· The Influence of Specific Bioactive Collagen Peptides on Knee Joint Discomfort in Young Physically Active Adults: A Randomized Controlled Trial. PMID 33562729</w:t>
      </w:r>
    </w:p>
    <w:p>
      <w:pPr>
        <w:numPr>
          <w:ilvl w:val="0"/>
          <w:numId w:val="1421"/>
        </w:numPr>
        <w:pStyle w:val="Compact"/>
      </w:pPr>
      <w:r>
        <w:t xml:space="preserve">2021 · Brook MS ·</w:t>
      </w:r>
      <w:r>
        <w:t xml:space="preserve"> </w:t>
      </w:r>
      <w:r>
        <w:rPr>
          <w:iCs/>
          <w:i/>
        </w:rPr>
        <w:t xml:space="preserve">Clin Nutr</w:t>
      </w:r>
      <w:r>
        <w:t xml:space="preserve"> </w:t>
      </w:r>
      <w:r>
        <w:t xml:space="preserve">· A collagen hydrolysate/milk protein-blend stimulates muscle anabolism equivalently to an isoenergetic milk protein-blend containing a greater quantity of essential amino acids in older men. PMID 33487503</w:t>
      </w:r>
    </w:p>
    <w:p>
      <w:pPr>
        <w:numPr>
          <w:ilvl w:val="0"/>
          <w:numId w:val="1421"/>
        </w:numPr>
        <w:pStyle w:val="Compact"/>
      </w:pPr>
      <w:r>
        <w:t xml:space="preserve">2021 · Prowting JL ·</w:t>
      </w:r>
      <w:r>
        <w:t xml:space="preserve"> </w:t>
      </w:r>
      <w:r>
        <w:rPr>
          <w:iCs/>
          <w:i/>
        </w:rPr>
        <w:t xml:space="preserve">Int J Sport Nutr Exerc Metab</w:t>
      </w:r>
      <w:r>
        <w:t xml:space="preserve"> </w:t>
      </w:r>
      <w:r>
        <w:t xml:space="preserve">· Effects of Collagen Peptides on Recovery Following Eccentric Exercise in Resistance-Trained Males-A Pilot Study. PMID 33186897</w:t>
      </w:r>
    </w:p>
    <w:p>
      <w:pPr>
        <w:numPr>
          <w:ilvl w:val="0"/>
          <w:numId w:val="1421"/>
        </w:numPr>
        <w:pStyle w:val="Compact"/>
      </w:pPr>
      <w:r>
        <w:t xml:space="preserve">2021 · Sangsuwan W ·</w:t>
      </w:r>
      <w:r>
        <w:t xml:space="preserve"> </w:t>
      </w:r>
      <w:r>
        <w:rPr>
          <w:iCs/>
          <w:i/>
        </w:rPr>
        <w:t xml:space="preserve">J Dermatolog Treat</w:t>
      </w:r>
      <w:r>
        <w:t xml:space="preserve"> </w:t>
      </w:r>
      <w:r>
        <w:t xml:space="preserve">· Four-weeks daily intake of oral collagen hydrolysate results in improved skin elasticity, especially in sun-exposed areas: a randomized, double-blind, placebo-controlled trial. PMID 32009486</w:t>
      </w:r>
    </w:p>
    <w:p>
      <w:pPr>
        <w:numPr>
          <w:ilvl w:val="0"/>
          <w:numId w:val="1421"/>
        </w:numPr>
        <w:pStyle w:val="Compact"/>
      </w:pPr>
      <w:r>
        <w:t xml:space="preserve">2020 · MacInnis MJ ·</w:t>
      </w:r>
      <w:r>
        <w:t xml:space="preserve"> </w:t>
      </w:r>
      <w:r>
        <w:rPr>
          <w:iCs/>
          <w:i/>
        </w:rPr>
        <w:t xml:space="preserve">Int J Sport Nutr Exerc Metab</w:t>
      </w:r>
      <w:r>
        <w:t xml:space="preserve"> </w:t>
      </w:r>
      <w:r>
        <w:t xml:space="preserve">· Presleep α-Lactalbumin Consumption Does Not Improve Sleep Quality or Time-Trial Performance in Cyclists. PMID 32698123</w:t>
      </w:r>
    </w:p>
    <w:p>
      <w:pPr>
        <w:numPr>
          <w:ilvl w:val="0"/>
          <w:numId w:val="1421"/>
        </w:numPr>
        <w:pStyle w:val="Compact"/>
      </w:pPr>
      <w:r>
        <w:t xml:space="preserve">2020 · Nomoto T ·</w:t>
      </w:r>
      <w:r>
        <w:t xml:space="preserve"> </w:t>
      </w:r>
      <w:r>
        <w:rPr>
          <w:iCs/>
          <w:i/>
        </w:rPr>
        <w:t xml:space="preserve">Adv Skin Wound Care</w:t>
      </w:r>
      <w:r>
        <w:t xml:space="preserve"> </w:t>
      </w:r>
      <w:r>
        <w:t xml:space="preserve">· Effect of an Oral Nutrition Supplement Containing Collagen Peptides on Stratum Corneum Hydration and Skin Elasticity in Hospitalized Older Adults: A Multicenter Open-label Randomized Controlled Study. PMID 32195722</w:t>
      </w:r>
    </w:p>
    <w:p>
      <w:pPr>
        <w:numPr>
          <w:ilvl w:val="0"/>
          <w:numId w:val="1421"/>
        </w:numPr>
        <w:pStyle w:val="Compact"/>
      </w:pPr>
      <w:r>
        <w:t xml:space="preserve">2020 · Argyrou C ·</w:t>
      </w:r>
      <w:r>
        <w:t xml:space="preserve"> </w:t>
      </w:r>
      <w:r>
        <w:rPr>
          <w:iCs/>
          <w:i/>
        </w:rPr>
        <w:t xml:space="preserve">J Musculoskelet Neuronal Interact</w:t>
      </w:r>
      <w:r>
        <w:t xml:space="preserve"> </w:t>
      </w:r>
      <w:r>
        <w:t xml:space="preserve">· Effect of calcium and vitamin D supplementation with and without collagen peptides on bone turnover in postmenopausal women with osteopenia. PMID 32131366</w:t>
      </w:r>
    </w:p>
    <w:p>
      <w:pPr>
        <w:numPr>
          <w:ilvl w:val="0"/>
          <w:numId w:val="1421"/>
        </w:numPr>
        <w:pStyle w:val="Compact"/>
      </w:pPr>
      <w:r>
        <w:t xml:space="preserve">2020 · Žmitek K ·</w:t>
      </w:r>
      <w:r>
        <w:t xml:space="preserve"> </w:t>
      </w:r>
      <w:r>
        <w:rPr>
          <w:iCs/>
          <w:i/>
        </w:rPr>
        <w:t xml:space="preserve">Nutrients</w:t>
      </w:r>
      <w:r>
        <w:t xml:space="preserve"> </w:t>
      </w:r>
      <w:r>
        <w:t xml:space="preserve">· Effects of a Combination of Water-Soluble CoenzymeQ10 and Collagen on Skin Parameters and Condition:Results of a Randomised, Placebo-Controlled,Double-Blind Study. PMID 32120787</w:t>
      </w:r>
    </w:p>
    <w:p>
      <w:pPr>
        <w:numPr>
          <w:ilvl w:val="0"/>
          <w:numId w:val="1421"/>
        </w:numPr>
        <w:pStyle w:val="Compact"/>
      </w:pPr>
      <w:r>
        <w:t xml:space="preserve">2020 · Laing S ·</w:t>
      </w:r>
      <w:r>
        <w:t xml:space="preserve"> </w:t>
      </w:r>
      <w:r>
        <w:rPr>
          <w:iCs/>
          <w:i/>
        </w:rPr>
        <w:t xml:space="preserve">J Med Food</w:t>
      </w:r>
      <w:r>
        <w:t xml:space="preserve"> </w:t>
      </w:r>
      <w:r>
        <w:t xml:space="preserve">· A Dermonutrient Containing Special Collagen Peptides Improves Skin Structure and Function: A Randomized, Placebo-Controlled, Triple-Blind Trial Using Confocal Laser Scanning Microscopy on the Cosmetic Effects and Tolerance of a Drinkable Collagen Supplement. PMID 32017646</w:t>
      </w:r>
    </w:p>
    <w:p>
      <w:pPr>
        <w:numPr>
          <w:ilvl w:val="0"/>
          <w:numId w:val="1421"/>
        </w:numPr>
        <w:pStyle w:val="Compact"/>
      </w:pPr>
      <w:r>
        <w:t xml:space="preserve">2020 · Bongers CCWG ·</w:t>
      </w:r>
      <w:r>
        <w:t xml:space="preserve"> </w:t>
      </w:r>
      <w:r>
        <w:rPr>
          <w:iCs/>
          <w:i/>
        </w:rPr>
        <w:t xml:space="preserve">Appl Physiol Nutr Metab</w:t>
      </w:r>
      <w:r>
        <w:t xml:space="preserve"> </w:t>
      </w:r>
      <w:r>
        <w:t xml:space="preserve">· Effectiveness of collagen supplementation on pain scores in healthy individuals with self-reported knee pain: a randomized controlled trial. PMID 31990581</w:t>
      </w:r>
    </w:p>
    <w:p>
      <w:pPr>
        <w:numPr>
          <w:ilvl w:val="0"/>
          <w:numId w:val="1421"/>
        </w:numPr>
        <w:pStyle w:val="Compact"/>
      </w:pPr>
      <w:r>
        <w:t xml:space="preserve">2020 · Oikawa SY ·</w:t>
      </w:r>
      <w:r>
        <w:t xml:space="preserve"> </w:t>
      </w:r>
      <w:r>
        <w:rPr>
          <w:iCs/>
          <w:i/>
        </w:rPr>
        <w:t xml:space="preserve">Am J Clin Nutr</w:t>
      </w:r>
      <w:r>
        <w:t xml:space="preserve"> </w:t>
      </w:r>
      <w:r>
        <w:t xml:space="preserve">· Whey protein but not collagen peptides stimulate acute and longer-term muscle protein synthesis with and without resistance exercise in healthy older women: a randomized controlled trial. PMID 31919527</w:t>
      </w:r>
    </w:p>
    <w:p>
      <w:pPr>
        <w:numPr>
          <w:ilvl w:val="0"/>
          <w:numId w:val="1421"/>
        </w:numPr>
        <w:pStyle w:val="Compact"/>
      </w:pPr>
      <w:r>
        <w:t xml:space="preserve">2019 · Bolke L ·</w:t>
      </w:r>
      <w:r>
        <w:t xml:space="preserve"> </w:t>
      </w:r>
      <w:r>
        <w:rPr>
          <w:iCs/>
          <w:i/>
        </w:rPr>
        <w:t xml:space="preserve">Nutrients</w:t>
      </w:r>
      <w:r>
        <w:t xml:space="preserve"> </w:t>
      </w:r>
      <w:r>
        <w:t xml:space="preserve">· A Collagen Supplement Improves Skin Hydration, Elasticity, Roughness, and Density: Results of a Randomized, Placebo-Controlled, Blind Study. PMID 31627309</w:t>
      </w:r>
    </w:p>
    <w:p>
      <w:pPr>
        <w:numPr>
          <w:ilvl w:val="0"/>
          <w:numId w:val="1421"/>
        </w:numPr>
        <w:pStyle w:val="Compact"/>
      </w:pPr>
      <w:r>
        <w:t xml:space="preserve">2019 · Centner C ·</w:t>
      </w:r>
      <w:r>
        <w:t xml:space="preserve"> </w:t>
      </w:r>
      <w:r>
        <w:rPr>
          <w:iCs/>
          <w:i/>
        </w:rPr>
        <w:t xml:space="preserve">J Sports Sci Med</w:t>
      </w:r>
      <w:r>
        <w:t xml:space="preserve"> </w:t>
      </w:r>
      <w:r>
        <w:t xml:space="preserve">· Effects of Blood Flow Restriction Training with Protein Supplementation on Muscle Mass And Strength in Older Men. PMID 31427869</w:t>
      </w:r>
    </w:p>
    <w:p>
      <w:pPr>
        <w:numPr>
          <w:ilvl w:val="0"/>
          <w:numId w:val="1421"/>
        </w:numPr>
        <w:pStyle w:val="Compact"/>
      </w:pPr>
      <w:r>
        <w:t xml:space="preserve">2019 · Kirmse M ·</w:t>
      </w:r>
      <w:r>
        <w:t xml:space="preserve"> </w:t>
      </w:r>
      <w:r>
        <w:rPr>
          <w:iCs/>
          <w:i/>
        </w:rPr>
        <w:t xml:space="preserve">Nutrients</w:t>
      </w:r>
      <w:r>
        <w:t xml:space="preserve"> </w:t>
      </w:r>
      <w:r>
        <w:t xml:space="preserve">· Prolonged Collagen Peptide Supplementation and Resistance Exercise Training Affects Body Composition in Recreationally Active Men. PMID 31126103</w:t>
      </w:r>
    </w:p>
    <w:p>
      <w:pPr>
        <w:numPr>
          <w:ilvl w:val="0"/>
          <w:numId w:val="1421"/>
        </w:numPr>
        <w:pStyle w:val="Compact"/>
      </w:pPr>
      <w:r>
        <w:t xml:space="preserve">2019 · Oertzen-Hagemann V ·</w:t>
      </w:r>
      <w:r>
        <w:t xml:space="preserve"> </w:t>
      </w:r>
      <w:r>
        <w:rPr>
          <w:iCs/>
          <w:i/>
        </w:rPr>
        <w:t xml:space="preserve">Nutrients</w:t>
      </w:r>
      <w:r>
        <w:t xml:space="preserve"> </w:t>
      </w:r>
      <w:r>
        <w:t xml:space="preserve">· Effects of 12 Weeks of Hypertrophy Resistance Exercise Training Combined with Collagen Peptide Supplementation on the Skeletal Muscle Proteome in Recreationally Active Men. PMID 31091754</w:t>
      </w:r>
    </w:p>
    <w:p>
      <w:pPr>
        <w:numPr>
          <w:ilvl w:val="0"/>
          <w:numId w:val="1421"/>
        </w:numPr>
        <w:pStyle w:val="Compact"/>
      </w:pPr>
      <w:r>
        <w:t xml:space="preserve">2019 · Skov K ·</w:t>
      </w:r>
      <w:r>
        <w:t xml:space="preserve"> </w:t>
      </w:r>
      <w:r>
        <w:rPr>
          <w:iCs/>
          <w:i/>
        </w:rPr>
        <w:t xml:space="preserve">Nutrients</w:t>
      </w:r>
      <w:r>
        <w:t xml:space="preserve"> </w:t>
      </w:r>
      <w:r>
        <w:t xml:space="preserve">· Enzymatic Hydrolysis of a Collagen Hydrolysate Enhances Postprandial Absorption Rate-A Randomized Controlled Trial. PMID 31086034</w:t>
      </w:r>
    </w:p>
    <w:p>
      <w:pPr>
        <w:numPr>
          <w:ilvl w:val="0"/>
          <w:numId w:val="1421"/>
        </w:numPr>
        <w:pStyle w:val="Compact"/>
      </w:pPr>
      <w:r>
        <w:t xml:space="preserve">2019 · Jendricke P ·</w:t>
      </w:r>
      <w:r>
        <w:t xml:space="preserve"> </w:t>
      </w:r>
      <w:r>
        <w:rPr>
          <w:iCs/>
          <w:i/>
        </w:rPr>
        <w:t xml:space="preserve">Nutrients</w:t>
      </w:r>
      <w:r>
        <w:t xml:space="preserve"> </w:t>
      </w:r>
      <w:r>
        <w:t xml:space="preserve">· Specific Collagen Peptides in Combination with Resistance Training Improve Body Composition and Regional Muscle Strength in Premenopausal Women: A Randomized Controlled Trial. PMID 31010031</w:t>
      </w:r>
    </w:p>
    <w:p>
      <w:pPr>
        <w:numPr>
          <w:ilvl w:val="0"/>
          <w:numId w:val="1421"/>
        </w:numPr>
        <w:pStyle w:val="Compact"/>
      </w:pPr>
      <w:r>
        <w:t xml:space="preserve">2019 · Tak YJ ·</w:t>
      </w:r>
      <w:r>
        <w:t xml:space="preserve"> </w:t>
      </w:r>
      <w:r>
        <w:rPr>
          <w:iCs/>
          <w:i/>
        </w:rPr>
        <w:t xml:space="preserve">Mar Drugs</w:t>
      </w:r>
      <w:r>
        <w:t xml:space="preserve"> </w:t>
      </w:r>
      <w:r>
        <w:t xml:space="preserve">· Effect of Oral Ingestion of Low-Molecular Collagen Peptides Derived from Skate (Raja Kenojei) Skin on Body Fat in Overweight Adults: A Randomized, Double-Blind, Placebo-Controlled Trial. PMID 30866485</w:t>
      </w:r>
    </w:p>
    <w:p>
      <w:pPr>
        <w:numPr>
          <w:ilvl w:val="0"/>
          <w:numId w:val="1421"/>
        </w:numPr>
        <w:pStyle w:val="Compact"/>
      </w:pPr>
      <w:r>
        <w:t xml:space="preserve">2019 · Asai T ·</w:t>
      </w:r>
      <w:r>
        <w:t xml:space="preserve"> </w:t>
      </w:r>
      <w:r>
        <w:rPr>
          <w:iCs/>
          <w:i/>
        </w:rPr>
        <w:t xml:space="preserve">J Agric Food Chem</w:t>
      </w:r>
      <w:r>
        <w:t xml:space="preserve"> </w:t>
      </w:r>
      <w:r>
        <w:t xml:space="preserve">· Amount of Collagen in the Meat Contained in Japanese Daily Dishes and the Collagen Peptide Content in Human Blood after Ingestion of Cooked Fish Meat. PMID 30784272</w:t>
      </w:r>
    </w:p>
    <w:p>
      <w:pPr>
        <w:numPr>
          <w:ilvl w:val="0"/>
          <w:numId w:val="1421"/>
        </w:numPr>
        <w:pStyle w:val="Compact"/>
      </w:pPr>
      <w:r>
        <w:t xml:space="preserve">2019 · Clifford T ·</w:t>
      </w:r>
      <w:r>
        <w:t xml:space="preserve"> </w:t>
      </w:r>
      <w:r>
        <w:rPr>
          <w:iCs/>
          <w:i/>
        </w:rPr>
        <w:t xml:space="preserve">Amino Acids</w:t>
      </w:r>
      <w:r>
        <w:t xml:space="preserve"> </w:t>
      </w:r>
      <w:r>
        <w:t xml:space="preserve">· The effects of collagen peptides on muscle damage, inflammation and bone turnover following exercise: a randomized, controlled trial. PMID 30783776</w:t>
      </w:r>
    </w:p>
    <w:p>
      <w:pPr>
        <w:numPr>
          <w:ilvl w:val="0"/>
          <w:numId w:val="1421"/>
        </w:numPr>
        <w:pStyle w:val="Compact"/>
      </w:pPr>
      <w:r>
        <w:t xml:space="preserve">2019 · Praet SFE ·</w:t>
      </w:r>
      <w:r>
        <w:t xml:space="preserve"> </w:t>
      </w:r>
      <w:r>
        <w:rPr>
          <w:iCs/>
          <w:i/>
        </w:rPr>
        <w:t xml:space="preserve">Nutrients</w:t>
      </w:r>
      <w:r>
        <w:t xml:space="preserve"> </w:t>
      </w:r>
      <w:r>
        <w:t xml:space="preserve">· Oral Supplementation of Specific Collagen Peptides Combined with Calf-Strengthening Exercises Enhances Function and Reduces Pain in Achilles Tendinopathy Patients. PMID 30609761</w:t>
      </w:r>
    </w:p>
    <w:p>
      <w:pPr>
        <w:numPr>
          <w:ilvl w:val="0"/>
          <w:numId w:val="1421"/>
        </w:numPr>
        <w:pStyle w:val="Compact"/>
      </w:pPr>
      <w:r>
        <w:t xml:space="preserve">2018 · Ito N ·</w:t>
      </w:r>
      <w:r>
        <w:t xml:space="preserve"> </w:t>
      </w:r>
      <w:r>
        <w:rPr>
          <w:iCs/>
          <w:i/>
        </w:rPr>
        <w:t xml:space="preserve">Mar Drugs</w:t>
      </w:r>
      <w:r>
        <w:t xml:space="preserve"> </w:t>
      </w:r>
      <w:r>
        <w:t xml:space="preserve">· Effects of Composite Supplement Containing Collagen Peptide and Ornithine on Skin Conditions and Plasma IGF-1 Levels-A Randomized, Double-Blind, Placebo-Controlled Trial. PMID 30513923</w:t>
      </w:r>
    </w:p>
    <w:p>
      <w:pPr>
        <w:numPr>
          <w:ilvl w:val="0"/>
          <w:numId w:val="1421"/>
        </w:numPr>
        <w:pStyle w:val="Compact"/>
      </w:pPr>
      <w:r>
        <w:t xml:space="preserve">2018 · Oikawa SY ·</w:t>
      </w:r>
      <w:r>
        <w:t xml:space="preserve"> </w:t>
      </w:r>
      <w:r>
        <w:rPr>
          <w:iCs/>
          <w:i/>
        </w:rPr>
        <w:t xml:space="preserve">Am J Clin Nutr</w:t>
      </w:r>
      <w:r>
        <w:t xml:space="preserve"> </w:t>
      </w:r>
      <w:r>
        <w:t xml:space="preserve">· A randomized controlled trial of the impact of protein supplementation on leg lean mass and integrated muscle protein synthesis during inactivity and energy restriction in older persons. PMID 30289425</w:t>
      </w:r>
    </w:p>
    <w:p>
      <w:pPr>
        <w:numPr>
          <w:ilvl w:val="0"/>
          <w:numId w:val="1421"/>
        </w:numPr>
        <w:pStyle w:val="Compact"/>
      </w:pPr>
      <w:r>
        <w:t xml:space="preserve">2018 · Shigemura Y ·</w:t>
      </w:r>
      <w:r>
        <w:t xml:space="preserve"> </w:t>
      </w:r>
      <w:r>
        <w:rPr>
          <w:iCs/>
          <w:i/>
        </w:rPr>
        <w:t xml:space="preserve">Nutrients</w:t>
      </w:r>
      <w:r>
        <w:t xml:space="preserve"> </w:t>
      </w:r>
      <w:r>
        <w:t xml:space="preserve">· A Pilot Study for the Detection of Cyclic Prolyl-Hydroxyproline (Pro-Hyp) in Human Blood after Ingestion of Collagen Hydrolysate. PMID 30248982</w:t>
      </w:r>
    </w:p>
    <w:p>
      <w:pPr>
        <w:numPr>
          <w:ilvl w:val="0"/>
          <w:numId w:val="1421"/>
        </w:numPr>
        <w:pStyle w:val="Compact"/>
      </w:pPr>
      <w:r>
        <w:t xml:space="preserve">2018 · Czajka A ·</w:t>
      </w:r>
      <w:r>
        <w:t xml:space="preserve"> </w:t>
      </w:r>
      <w:r>
        <w:rPr>
          <w:iCs/>
          <w:i/>
        </w:rPr>
        <w:t xml:space="preserve">Nutr Res</w:t>
      </w:r>
      <w:r>
        <w:t xml:space="preserve"> </w:t>
      </w:r>
      <w:r>
        <w:t xml:space="preserve">· Daily oral supplementation with collagen peptides combined with vitamins and other bioactive compounds improves skin elasticity and has a beneficial effect on joint and general wellbeing. PMID 30122200</w:t>
      </w:r>
    </w:p>
    <w:p>
      <w:pPr>
        <w:numPr>
          <w:ilvl w:val="0"/>
          <w:numId w:val="1421"/>
        </w:numPr>
        <w:pStyle w:val="Compact"/>
      </w:pPr>
      <w:r>
        <w:t xml:space="preserve">2018 · Sugihara F ·</w:t>
      </w:r>
      <w:r>
        <w:t xml:space="preserve"> </w:t>
      </w:r>
      <w:r>
        <w:rPr>
          <w:iCs/>
          <w:i/>
        </w:rPr>
        <w:t xml:space="preserve">Sci Rep</w:t>
      </w:r>
      <w:r>
        <w:t xml:space="preserve"> </w:t>
      </w:r>
      <w:r>
        <w:t xml:space="preserve">· Ingestion of bioactive collagen hydrolysates enhanced pressure ulcer healing in a randomized double-blind placebo-controlled clinical study. PMID 30061579</w:t>
      </w:r>
    </w:p>
    <w:p>
      <w:pPr>
        <w:numPr>
          <w:ilvl w:val="0"/>
          <w:numId w:val="1421"/>
        </w:numPr>
        <w:pStyle w:val="Compact"/>
      </w:pPr>
      <w:r>
        <w:t xml:space="preserve">2018 · Kim DU ·</w:t>
      </w:r>
      <w:r>
        <w:t xml:space="preserve"> </w:t>
      </w:r>
      <w:r>
        <w:rPr>
          <w:iCs/>
          <w:i/>
        </w:rPr>
        <w:t xml:space="preserve">Nutrients</w:t>
      </w:r>
      <w:r>
        <w:t xml:space="preserve"> </w:t>
      </w:r>
      <w:r>
        <w:t xml:space="preserve">· Oral Intake of Low-Molecular-Weight Collagen Peptide Improves Hydration, Elasticity, and Wrinkling in Human Skin: A Randomized, Double-Blind, Placebo-Controlled Study. PMID 29949889</w:t>
      </w:r>
    </w:p>
    <w:p>
      <w:pPr>
        <w:numPr>
          <w:ilvl w:val="0"/>
          <w:numId w:val="1421"/>
        </w:numPr>
        <w:pStyle w:val="Compact"/>
      </w:pPr>
      <w:r>
        <w:t xml:space="preserve">2018 · Dressler P ·</w:t>
      </w:r>
      <w:r>
        <w:t xml:space="preserve"> </w:t>
      </w:r>
      <w:r>
        <w:rPr>
          <w:iCs/>
          <w:i/>
        </w:rPr>
        <w:t xml:space="preserve">J Sports Sci Med</w:t>
      </w:r>
      <w:r>
        <w:t xml:space="preserve"> </w:t>
      </w:r>
      <w:r>
        <w:t xml:space="preserve">· Improvement of Functional Ankle Properties Following Supplementation with Specific Collagen Peptides in Athletes with Chronic Ankle Instability. PMID 29769831</w:t>
      </w:r>
    </w:p>
    <w:p>
      <w:pPr>
        <w:numPr>
          <w:ilvl w:val="0"/>
          <w:numId w:val="1421"/>
        </w:numPr>
        <w:pStyle w:val="Compact"/>
      </w:pPr>
      <w:r>
        <w:t xml:space="preserve">2018 · König D ·</w:t>
      </w:r>
      <w:r>
        <w:t xml:space="preserve"> </w:t>
      </w:r>
      <w:r>
        <w:rPr>
          <w:iCs/>
          <w:i/>
        </w:rPr>
        <w:t xml:space="preserve">Nutrients</w:t>
      </w:r>
      <w:r>
        <w:t xml:space="preserve"> </w:t>
      </w:r>
      <w:r>
        <w:t xml:space="preserve">· Specific Collagen Peptides Improve Bone Mineral Density and Bone Markers in Postmenopausal Women-A Randomized Controlled Study. PMID 29337906</w:t>
      </w:r>
    </w:p>
    <w:p>
      <w:pPr>
        <w:numPr>
          <w:ilvl w:val="0"/>
          <w:numId w:val="1421"/>
        </w:numPr>
        <w:pStyle w:val="Compact"/>
      </w:pPr>
      <w:r>
        <w:t xml:space="preserve">2017 · Hakuta A ·</w:t>
      </w:r>
      <w:r>
        <w:t xml:space="preserve"> </w:t>
      </w:r>
      <w:r>
        <w:rPr>
          <w:iCs/>
          <w:i/>
        </w:rPr>
        <w:t xml:space="preserve">J Dermatol Sci</w:t>
      </w:r>
      <w:r>
        <w:t xml:space="preserve"> </w:t>
      </w:r>
      <w:r>
        <w:t xml:space="preserve">· Anti-inflammatory effect of collagen tripeptide in atopic dermatitis. PMID 29017796</w:t>
      </w:r>
    </w:p>
    <w:p>
      <w:pPr>
        <w:numPr>
          <w:ilvl w:val="0"/>
          <w:numId w:val="1421"/>
        </w:numPr>
        <w:pStyle w:val="Compact"/>
      </w:pPr>
      <w:r>
        <w:t xml:space="preserve">2017 · Hexsel D ·</w:t>
      </w:r>
      <w:r>
        <w:t xml:space="preserve"> </w:t>
      </w:r>
      <w:r>
        <w:rPr>
          <w:iCs/>
          <w:i/>
        </w:rPr>
        <w:t xml:space="preserve">J Cosmet Dermatol</w:t>
      </w:r>
      <w:r>
        <w:t xml:space="preserve"> </w:t>
      </w:r>
      <w:r>
        <w:t xml:space="preserve">· Oral supplementation with specific bioactive collagen peptides improves nail growth and reduces symptoms of brittle nails. PMID 28786550</w:t>
      </w:r>
    </w:p>
    <w:p>
      <w:pPr>
        <w:numPr>
          <w:ilvl w:val="0"/>
          <w:numId w:val="1421"/>
        </w:numPr>
        <w:pStyle w:val="Compact"/>
      </w:pPr>
      <w:r>
        <w:t xml:space="preserve">2017 · Genovese L ·</w:t>
      </w:r>
      <w:r>
        <w:t xml:space="preserve"> </w:t>
      </w:r>
      <w:r>
        <w:rPr>
          <w:iCs/>
          <w:i/>
        </w:rPr>
        <w:t xml:space="preserve">Skin Pharmacol Physiol</w:t>
      </w:r>
      <w:r>
        <w:t xml:space="preserve"> </w:t>
      </w:r>
      <w:r>
        <w:t xml:space="preserve">· An Insight into the Changes in Skin Texture and Properties following Dietary Intervention with a Nutricosmeceutical Containing a Blend of Collagen Bioactive Peptides and Antioxidants. PMID 28528342</w:t>
      </w:r>
    </w:p>
    <w:p>
      <w:pPr>
        <w:numPr>
          <w:ilvl w:val="0"/>
          <w:numId w:val="1421"/>
        </w:numPr>
        <w:pStyle w:val="Compact"/>
      </w:pPr>
      <w:r>
        <w:t xml:space="preserve">2017 · Zdzieblik D ·</w:t>
      </w:r>
      <w:r>
        <w:t xml:space="preserve"> </w:t>
      </w:r>
      <w:r>
        <w:rPr>
          <w:iCs/>
          <w:i/>
        </w:rPr>
        <w:t xml:space="preserve">Appl Physiol Nutr Metab</w:t>
      </w:r>
      <w:r>
        <w:t xml:space="preserve"> </w:t>
      </w:r>
      <w:r>
        <w:t xml:space="preserve">· Improvement of activity-related knee joint discomfort following supplementation of specific collagen peptides. PMID 28177710</w:t>
      </w:r>
    </w:p>
    <w:p>
      <w:pPr>
        <w:numPr>
          <w:ilvl w:val="0"/>
          <w:numId w:val="1421"/>
        </w:numPr>
        <w:pStyle w:val="Compact"/>
      </w:pPr>
      <w:r>
        <w:t xml:space="preserve">2016 · Yamamoto S ·</w:t>
      </w:r>
      <w:r>
        <w:t xml:space="preserve"> </w:t>
      </w:r>
      <w:r>
        <w:rPr>
          <w:iCs/>
          <w:i/>
        </w:rPr>
        <w:t xml:space="preserve">Biol Pharm Bull</w:t>
      </w:r>
      <w:r>
        <w:t xml:space="preserve"> </w:t>
      </w:r>
      <w:r>
        <w:t xml:space="preserve">· Absorption and Urinary Excretion of Peptides after Collagen Tripeptide Ingestion in Humans. PMID 26934933</w:t>
      </w:r>
    </w:p>
    <w:p>
      <w:pPr>
        <w:numPr>
          <w:ilvl w:val="0"/>
          <w:numId w:val="1421"/>
        </w:numPr>
        <w:pStyle w:val="Compact"/>
      </w:pPr>
      <w:r>
        <w:t xml:space="preserve">2016 · De Luca C ·</w:t>
      </w:r>
      <w:r>
        <w:t xml:space="preserve"> </w:t>
      </w:r>
      <w:r>
        <w:rPr>
          <w:iCs/>
          <w:i/>
        </w:rPr>
        <w:t xml:space="preserve">Oxid Med Cell Longev</w:t>
      </w:r>
      <w:r>
        <w:t xml:space="preserve"> </w:t>
      </w:r>
      <w:r>
        <w:t xml:space="preserve">· Skin Antiageing and Systemic Redox Effects of Supplementation with Marine Collagen Peptides and Plant-Derived Antioxidants: A Single-Blind Case-Control Clinical Study. PMID 26904164</w:t>
      </w:r>
    </w:p>
    <w:p>
      <w:pPr>
        <w:numPr>
          <w:ilvl w:val="0"/>
          <w:numId w:val="1421"/>
        </w:numPr>
        <w:pStyle w:val="Compact"/>
      </w:pPr>
      <w:r>
        <w:t xml:space="preserve">2016 · Inoue N ·</w:t>
      </w:r>
      <w:r>
        <w:t xml:space="preserve"> </w:t>
      </w:r>
      <w:r>
        <w:rPr>
          <w:iCs/>
          <w:i/>
        </w:rPr>
        <w:t xml:space="preserve">J Sci Food Agric</w:t>
      </w:r>
      <w:r>
        <w:t xml:space="preserve"> </w:t>
      </w:r>
      <w:r>
        <w:t xml:space="preserve">· Ingestion of bioactive collagen hydrolysates enhance facial skin moisture and elasticity and reduce facial ageing signs in a randomised double-blind placebo-controlled clinical study. PMID 26840887</w:t>
      </w:r>
    </w:p>
    <w:p>
      <w:pPr>
        <w:numPr>
          <w:ilvl w:val="0"/>
          <w:numId w:val="1421"/>
        </w:numPr>
        <w:pStyle w:val="Compact"/>
      </w:pPr>
      <w:r>
        <w:t xml:space="preserve">2016 · Stenbæk DS ·</w:t>
      </w:r>
      <w:r>
        <w:t xml:space="preserve"> </w:t>
      </w:r>
      <w:r>
        <w:rPr>
          <w:iCs/>
          <w:i/>
        </w:rPr>
        <w:t xml:space="preserve">Eur Neuropsychopharmacol</w:t>
      </w:r>
      <w:r>
        <w:t xml:space="preserve"> </w:t>
      </w:r>
      <w:r>
        <w:t xml:space="preserve">· Evaluation of acute tryptophan depletion and sham depletion with a gelatin-based collagen peptide protein mixture. PMID 26655163</w:t>
      </w:r>
    </w:p>
    <w:p>
      <w:pPr>
        <w:numPr>
          <w:ilvl w:val="0"/>
          <w:numId w:val="1421"/>
        </w:numPr>
        <w:pStyle w:val="Compact"/>
      </w:pPr>
      <w:r>
        <w:t xml:space="preserve">2015 · Kanzaki N ·</w:t>
      </w:r>
      <w:r>
        <w:t xml:space="preserve"> </w:t>
      </w:r>
      <w:r>
        <w:rPr>
          <w:iCs/>
          <w:i/>
        </w:rPr>
        <w:t xml:space="preserve">Clin Interv Aging</w:t>
      </w:r>
      <w:r>
        <w:t xml:space="preserve"> </w:t>
      </w:r>
      <w:r>
        <w:t xml:space="preserve">· Glucosamine-containing supplement improves locomotor functions in subjects with knee pain: a randomized, double-blind, placebo-controlled study. PMID 26604721</w:t>
      </w:r>
    </w:p>
    <w:p>
      <w:pPr>
        <w:numPr>
          <w:ilvl w:val="0"/>
          <w:numId w:val="1421"/>
        </w:numPr>
        <w:pStyle w:val="Compact"/>
      </w:pPr>
      <w:r>
        <w:t xml:space="preserve">2015 · Schunck M ·</w:t>
      </w:r>
      <w:r>
        <w:t xml:space="preserve"> </w:t>
      </w:r>
      <w:r>
        <w:rPr>
          <w:iCs/>
          <w:i/>
        </w:rPr>
        <w:t xml:space="preserve">J Med Food</w:t>
      </w:r>
      <w:r>
        <w:t xml:space="preserve"> </w:t>
      </w:r>
      <w:r>
        <w:t xml:space="preserve">· Dietary Supplementation with Specific Collagen Peptides Has a Body Mass Index-Dependent Beneficial Effect on Cellulite Morphology. PMID 26561784</w:t>
      </w:r>
    </w:p>
    <w:p>
      <w:pPr>
        <w:numPr>
          <w:ilvl w:val="0"/>
          <w:numId w:val="1421"/>
        </w:numPr>
        <w:pStyle w:val="Compact"/>
      </w:pPr>
      <w:r>
        <w:t xml:space="preserve">2015 · Asserin J ·</w:t>
      </w:r>
      <w:r>
        <w:t xml:space="preserve"> </w:t>
      </w:r>
      <w:r>
        <w:rPr>
          <w:iCs/>
          <w:i/>
        </w:rPr>
        <w:t xml:space="preserve">J Cosmet Dermatol</w:t>
      </w:r>
      <w:r>
        <w:t xml:space="preserve"> </w:t>
      </w:r>
      <w:r>
        <w:t xml:space="preserve">· The effect of oral collagen peptide supplementation on skin moisture and the dermal collagen network: evidence from an ex vivo model and randomized, placebo-controlled clinical trials. PMID 26362110</w:t>
      </w:r>
    </w:p>
    <w:p>
      <w:pPr>
        <w:numPr>
          <w:ilvl w:val="0"/>
          <w:numId w:val="1421"/>
        </w:numPr>
        <w:pStyle w:val="Compact"/>
      </w:pPr>
      <w:r>
        <w:t xml:space="preserve">2015 · Zdzieblik D ·</w:t>
      </w:r>
      <w:r>
        <w:t xml:space="preserve"> </w:t>
      </w:r>
      <w:r>
        <w:rPr>
          <w:iCs/>
          <w:i/>
        </w:rPr>
        <w:t xml:space="preserve">Br J Nutr</w:t>
      </w:r>
      <w:r>
        <w:t xml:space="preserve"> </w:t>
      </w:r>
      <w:r>
        <w:t xml:space="preserve">· Collagen peptide supplementation in combination with resistance training improves body composition and increases muscle strength in elderly sarcopenic men: a randomised controlled trial. PMID 26353786</w:t>
      </w:r>
    </w:p>
    <w:p>
      <w:pPr>
        <w:numPr>
          <w:ilvl w:val="0"/>
          <w:numId w:val="1421"/>
        </w:numPr>
        <w:pStyle w:val="Compact"/>
      </w:pPr>
      <w:r>
        <w:t xml:space="preserve">2015 · Elam ML ·</w:t>
      </w:r>
      <w:r>
        <w:t xml:space="preserve"> </w:t>
      </w:r>
      <w:r>
        <w:rPr>
          <w:iCs/>
          <w:i/>
        </w:rPr>
        <w:t xml:space="preserve">J Med Food</w:t>
      </w:r>
      <w:r>
        <w:t xml:space="preserve"> </w:t>
      </w:r>
      <w:r>
        <w:t xml:space="preserve">· A calcium-collagen chelate dietary supplement attenuates bone loss in postmenopausal women with osteopenia: a randomized controlled trial. PMID 25314004</w:t>
      </w:r>
    </w:p>
    <w:p>
      <w:pPr>
        <w:numPr>
          <w:ilvl w:val="0"/>
          <w:numId w:val="1421"/>
        </w:numPr>
        <w:pStyle w:val="Compact"/>
      </w:pPr>
      <w:r>
        <w:t xml:space="preserve">2015 · Kumar S ·</w:t>
      </w:r>
      <w:r>
        <w:t xml:space="preserve"> </w:t>
      </w:r>
      <w:r>
        <w:rPr>
          <w:iCs/>
          <w:i/>
        </w:rPr>
        <w:t xml:space="preserve">J Sci Food Agric</w:t>
      </w:r>
      <w:r>
        <w:t xml:space="preserve"> </w:t>
      </w:r>
      <w:r>
        <w:t xml:space="preserve">· A double-blind, placebo-controlled, randomised, clinical study on the effectiveness of collagen peptide on osteoarthritis. PMID 24852756</w:t>
      </w:r>
    </w:p>
    <w:p>
      <w:pPr>
        <w:numPr>
          <w:ilvl w:val="0"/>
          <w:numId w:val="1421"/>
        </w:numPr>
        <w:pStyle w:val="Compact"/>
      </w:pPr>
      <w:r>
        <w:t xml:space="preserve">2014 · Choi SY ·</w:t>
      </w:r>
      <w:r>
        <w:t xml:space="preserve"> </w:t>
      </w:r>
      <w:r>
        <w:rPr>
          <w:iCs/>
          <w:i/>
        </w:rPr>
        <w:t xml:space="preserve">Clin Exp Dermatol</w:t>
      </w:r>
      <w:r>
        <w:t xml:space="preserve"> </w:t>
      </w:r>
      <w:r>
        <w:t xml:space="preserve">· Effect of high advanced-collagen tripeptide on wound healing and skin recovery after fractional photothermolysis treatment. PMID 25283252</w:t>
      </w:r>
    </w:p>
    <w:p>
      <w:pPr>
        <w:numPr>
          <w:ilvl w:val="0"/>
          <w:numId w:val="1421"/>
        </w:numPr>
        <w:pStyle w:val="Compact"/>
      </w:pPr>
      <w:r>
        <w:t xml:space="preserve">2014 · Yoon HS ·</w:t>
      </w:r>
      <w:r>
        <w:t xml:space="preserve"> </w:t>
      </w:r>
      <w:r>
        <w:rPr>
          <w:iCs/>
          <w:i/>
        </w:rPr>
        <w:t xml:space="preserve">J Med Food</w:t>
      </w:r>
      <w:r>
        <w:t xml:space="preserve"> </w:t>
      </w:r>
      <w:r>
        <w:t xml:space="preserve">· Supplementating with dietary astaxanthin combined with collagen hydrolysate improves facial elasticity and decreases matrix metalloproteinase-1 and -12 expression: a comparative study with placebo. PMID 24955642</w:t>
      </w:r>
    </w:p>
    <w:p>
      <w:pPr>
        <w:numPr>
          <w:ilvl w:val="0"/>
          <w:numId w:val="1421"/>
        </w:numPr>
        <w:pStyle w:val="Compact"/>
      </w:pPr>
      <w:r>
        <w:t xml:space="preserve">2014 · Proksch E ·</w:t>
      </w:r>
      <w:r>
        <w:t xml:space="preserve"> </w:t>
      </w:r>
      <w:r>
        <w:rPr>
          <w:iCs/>
          <w:i/>
        </w:rPr>
        <w:t xml:space="preserve">Skin Pharmacol Physiol</w:t>
      </w:r>
      <w:r>
        <w:t xml:space="preserve"> </w:t>
      </w:r>
      <w:r>
        <w:t xml:space="preserve">· Oral intake of specific bioactive collagen peptides reduces skin wrinkles and increases dermal matrix synthesis. PMID 24401291</w:t>
      </w:r>
    </w:p>
    <w:p>
      <w:pPr>
        <w:numPr>
          <w:ilvl w:val="0"/>
          <w:numId w:val="1421"/>
        </w:numPr>
        <w:pStyle w:val="Compact"/>
      </w:pPr>
      <w:r>
        <w:t xml:space="preserve">2014 · Choi SY ·</w:t>
      </w:r>
      <w:r>
        <w:t xml:space="preserve"> </w:t>
      </w:r>
      <w:r>
        <w:rPr>
          <w:iCs/>
          <w:i/>
        </w:rPr>
        <w:t xml:space="preserve">J Cosmet Laser Ther</w:t>
      </w:r>
      <w:r>
        <w:t xml:space="preserve"> </w:t>
      </w:r>
      <w:r>
        <w:t xml:space="preserve">· Effects of collagen tripeptide supplement on skin properties: a prospective, randomized, controlled study. PMID 24131075</w:t>
      </w:r>
    </w:p>
    <w:p>
      <w:pPr>
        <w:numPr>
          <w:ilvl w:val="0"/>
          <w:numId w:val="1421"/>
        </w:numPr>
        <w:pStyle w:val="Compact"/>
      </w:pPr>
      <w:r>
        <w:t xml:space="preserve">2014 · Proksch E ·</w:t>
      </w:r>
      <w:r>
        <w:t xml:space="preserve"> </w:t>
      </w:r>
      <w:r>
        <w:rPr>
          <w:iCs/>
          <w:i/>
        </w:rPr>
        <w:t xml:space="preserve">Skin Pharmacol Physiol</w:t>
      </w:r>
      <w:r>
        <w:t xml:space="preserve"> </w:t>
      </w:r>
      <w:r>
        <w:t xml:space="preserve">· Oral supplementation of specific collagen peptides has beneficial effects on human skin physiology: a double-blind, placebo-controlled study. PMID 23949208</w:t>
      </w:r>
    </w:p>
    <w:p>
      <w:pPr>
        <w:numPr>
          <w:ilvl w:val="0"/>
          <w:numId w:val="1421"/>
        </w:numPr>
        <w:pStyle w:val="Compact"/>
      </w:pPr>
      <w:r>
        <w:t xml:space="preserve">2012 · Bruyère O ·</w:t>
      </w:r>
      <w:r>
        <w:t xml:space="preserve"> </w:t>
      </w:r>
      <w:r>
        <w:rPr>
          <w:iCs/>
          <w:i/>
        </w:rPr>
        <w:t xml:space="preserve">Complement Ther Med</w:t>
      </w:r>
      <w:r>
        <w:t xml:space="preserve"> </w:t>
      </w:r>
      <w:r>
        <w:t xml:space="preserve">· Effect of collagen hydrolysate in articular pain: a 6-month randomized, double-blind, placebo controlled study. PMID 22500661</w:t>
      </w:r>
    </w:p>
    <w:p>
      <w:pPr>
        <w:numPr>
          <w:ilvl w:val="0"/>
          <w:numId w:val="1421"/>
        </w:numPr>
        <w:pStyle w:val="Compact"/>
      </w:pPr>
      <w:r>
        <w:t xml:space="preserve">2010 · Zhu CF ·</w:t>
      </w:r>
      <w:r>
        <w:t xml:space="preserve"> </w:t>
      </w:r>
      <w:r>
        <w:rPr>
          <w:iCs/>
          <w:i/>
        </w:rPr>
        <w:t xml:space="preserve">Am J Med Sci</w:t>
      </w:r>
      <w:r>
        <w:t xml:space="preserve"> </w:t>
      </w:r>
      <w:r>
        <w:t xml:space="preserve">· Therapeutic effects of marine collagen peptides on Chinese patients with type 2 diabetes mellitus and primary hypertension. PMID 20739874</w:t>
      </w:r>
    </w:p>
    <w:p>
      <w:pPr>
        <w:numPr>
          <w:ilvl w:val="0"/>
          <w:numId w:val="1421"/>
        </w:numPr>
        <w:pStyle w:val="Compact"/>
      </w:pPr>
      <w:r>
        <w:t xml:space="preserve">2009 · Hays NP ·</w:t>
      </w:r>
      <w:r>
        <w:t xml:space="preserve"> </w:t>
      </w:r>
      <w:r>
        <w:rPr>
          <w:iCs/>
          <w:i/>
        </w:rPr>
        <w:t xml:space="preserve">J Am Diet Assoc</w:t>
      </w:r>
      <w:r>
        <w:t xml:space="preserve"> </w:t>
      </w:r>
      <w:r>
        <w:t xml:space="preserve">· Effects of whey and fortified collagen hydrolysate protein supplements on nitrogen balance and body composition in older women. PMID 19465192</w:t>
      </w:r>
    </w:p>
    <w:p>
      <w:pPr>
        <w:numPr>
          <w:ilvl w:val="0"/>
          <w:numId w:val="1421"/>
        </w:numPr>
        <w:pStyle w:val="Compact"/>
      </w:pPr>
      <w:r>
        <w:t xml:space="preserve">2008 · Clark KL ·</w:t>
      </w:r>
      <w:r>
        <w:t xml:space="preserve"> </w:t>
      </w:r>
      <w:r>
        <w:rPr>
          <w:iCs/>
          <w:i/>
        </w:rPr>
        <w:t xml:space="preserve">Curr Med Res Opin</w:t>
      </w:r>
      <w:r>
        <w:t xml:space="preserve"> </w:t>
      </w:r>
      <w:r>
        <w:t xml:space="preserve">· 24-Week study on the use of collagen hydrolysate as a dietary supplement in athletes with activity-related joint pain. PMID 18416885</w:t>
      </w:r>
    </w:p>
    <w:p>
      <w:pPr>
        <w:numPr>
          <w:ilvl w:val="0"/>
          <w:numId w:val="1421"/>
        </w:numPr>
        <w:pStyle w:val="Compact"/>
      </w:pPr>
      <w:r>
        <w:t xml:space="preserve">2001 · Peretz A ·</w:t>
      </w:r>
      <w:r>
        <w:t xml:space="preserve"> </w:t>
      </w:r>
      <w:r>
        <w:rPr>
          <w:iCs/>
          <w:i/>
        </w:rPr>
        <w:t xml:space="preserve">J Trace Elem Med Biol</w:t>
      </w:r>
      <w:r>
        <w:t xml:space="preserve"> </w:t>
      </w:r>
      <w:r>
        <w:t xml:space="preserve">· Zinc supplementation increases bone alkaline phosphatase in healthy men. PMID 11787985</w:t>
      </w:r>
    </w:p>
    <w:p>
      <w:pPr>
        <w:numPr>
          <w:ilvl w:val="0"/>
          <w:numId w:val="1421"/>
        </w:numPr>
        <w:pStyle w:val="Compact"/>
      </w:pPr>
      <w:r>
        <w:t xml:space="preserve">2000 · Moskowitz RW ·</w:t>
      </w:r>
      <w:r>
        <w:t xml:space="preserve"> </w:t>
      </w:r>
      <w:r>
        <w:rPr>
          <w:iCs/>
          <w:i/>
        </w:rPr>
        <w:t xml:space="preserve">Semin Arthritis Rheum</w:t>
      </w:r>
      <w:r>
        <w:t xml:space="preserve"> </w:t>
      </w:r>
      <w:r>
        <w:t xml:space="preserve">· Role of collagen hydrolysate in bone and joint disease. PMID 11071580</w:t>
      </w:r>
    </w:p>
    <w:p>
      <w:pPr>
        <w:numPr>
          <w:ilvl w:val="0"/>
          <w:numId w:val="1421"/>
        </w:numPr>
        <w:pStyle w:val="Compact"/>
      </w:pPr>
      <w:r>
        <w:t xml:space="preserve">1996 · Adam M ·</w:t>
      </w:r>
      <w:r>
        <w:t xml:space="preserve"> </w:t>
      </w:r>
      <w:r>
        <w:rPr>
          <w:iCs/>
          <w:i/>
        </w:rPr>
        <w:t xml:space="preserve">Cas Lek Cesk</w:t>
      </w:r>
      <w:r>
        <w:t xml:space="preserve"> </w:t>
      </w:r>
      <w:r>
        <w:t xml:space="preserve">· [Postmenopausal osteoporosis. Treatment with calcitonin and a diet rich in collagen proteins]. PMID 8625373</w:t>
      </w:r>
    </w:p>
    <w:bookmarkEnd w:id="3065"/>
    <w:bookmarkStart w:id="3066" w:name="lactotripeptides-vpp-et-ipp-21"/>
    <w:p>
      <w:pPr>
        <w:pStyle w:val="Heading2"/>
      </w:pPr>
      <w:r>
        <w:t xml:space="preserve">Lactotripeptides (VPP et IPP) (21)</w:t>
      </w:r>
    </w:p>
    <w:p>
      <w:pPr>
        <w:numPr>
          <w:ilvl w:val="0"/>
          <w:numId w:val="1422"/>
        </w:numPr>
        <w:pStyle w:val="Compact"/>
      </w:pPr>
      <w:r>
        <w:t xml:space="preserve">2023 · Yoshioka M ·</w:t>
      </w:r>
      <w:r>
        <w:t xml:space="preserve"> </w:t>
      </w:r>
      <w:r>
        <w:rPr>
          <w:iCs/>
          <w:i/>
        </w:rPr>
        <w:t xml:space="preserve">Sci Rep</w:t>
      </w:r>
      <w:r>
        <w:t xml:space="preserve"> </w:t>
      </w:r>
      <w:r>
        <w:t xml:space="preserve">· Effects of lactotripeptide ingestion and physical activity intervention on the fatigue status of middle-aged and older adults: a randomized controlled trial. PMID 37735182</w:t>
      </w:r>
    </w:p>
    <w:p>
      <w:pPr>
        <w:numPr>
          <w:ilvl w:val="0"/>
          <w:numId w:val="1422"/>
        </w:numPr>
        <w:pStyle w:val="Compact"/>
      </w:pPr>
      <w:r>
        <w:t xml:space="preserve">2019 · Hamasaki A ·</w:t>
      </w:r>
      <w:r>
        <w:t xml:space="preserve"> </w:t>
      </w:r>
      <w:r>
        <w:rPr>
          <w:iCs/>
          <w:i/>
        </w:rPr>
        <w:t xml:space="preserve">Am J Clin Nutr</w:t>
      </w:r>
      <w:r>
        <w:t xml:space="preserve"> </w:t>
      </w:r>
      <w:r>
        <w:t xml:space="preserve">· Combined effects of lactotripeptide and aerobic exercise on cognitive function and cerebral oxygenation in middle-aged and older adults. PMID 30624594</w:t>
      </w:r>
    </w:p>
    <w:p>
      <w:pPr>
        <w:numPr>
          <w:ilvl w:val="0"/>
          <w:numId w:val="1422"/>
        </w:numPr>
        <w:pStyle w:val="Compact"/>
      </w:pPr>
      <w:r>
        <w:t xml:space="preserve">2018 · Akazawa N ·</w:t>
      </w:r>
      <w:r>
        <w:t xml:space="preserve"> </w:t>
      </w:r>
      <w:r>
        <w:rPr>
          <w:iCs/>
          <w:i/>
        </w:rPr>
        <w:t xml:space="preserve">Nutr Res</w:t>
      </w:r>
      <w:r>
        <w:t xml:space="preserve"> </w:t>
      </w:r>
      <w:r>
        <w:t xml:space="preserve">· Lactotripeptide ingestion increases cerebral blood flow velocity in middle-aged and older adults. PMID 29703414</w:t>
      </w:r>
    </w:p>
    <w:p>
      <w:pPr>
        <w:numPr>
          <w:ilvl w:val="0"/>
          <w:numId w:val="1422"/>
        </w:numPr>
        <w:pStyle w:val="Compact"/>
      </w:pPr>
      <w:r>
        <w:t xml:space="preserve">2018 · Tagawa K ·</w:t>
      </w:r>
      <w:r>
        <w:t xml:space="preserve"> </w:t>
      </w:r>
      <w:r>
        <w:rPr>
          <w:iCs/>
          <w:i/>
        </w:rPr>
        <w:t xml:space="preserve">Am J Phys Med Rehabil</w:t>
      </w:r>
      <w:r>
        <w:t xml:space="preserve"> </w:t>
      </w:r>
      <w:r>
        <w:t xml:space="preserve">· Lactotripeptides Supplementations Alleviate the Decrease in Maximal Isometric Force After High-Intensity Eccentric Exercise: A Randomized, Placebo-Controlled, Double-Blind Clinical Trial. PMID 29189308</w:t>
      </w:r>
    </w:p>
    <w:p>
      <w:pPr>
        <w:numPr>
          <w:ilvl w:val="0"/>
          <w:numId w:val="1422"/>
        </w:numPr>
        <w:pStyle w:val="Compact"/>
      </w:pPr>
      <w:r>
        <w:t xml:space="preserve">2016 · Cicero AF ·</w:t>
      </w:r>
      <w:r>
        <w:t xml:space="preserve"> </w:t>
      </w:r>
      <w:r>
        <w:rPr>
          <w:iCs/>
          <w:i/>
        </w:rPr>
        <w:t xml:space="preserve">Metab Syndr Relat Disord</w:t>
      </w:r>
      <w:r>
        <w:t xml:space="preserve"> </w:t>
      </w:r>
      <w:r>
        <w:t xml:space="preserve">· Effect of Lactotripeptides (Isoleucine-Proline-Proline/Valine-Proline-Proline) on Blood Pressure and Arterial Stiffness Changes in Subjects with Suboptimal Blood Pressure Control and Metabolic Syndrome: A Double-Blind, Randomized, Crossover Clinical Trial. PMID 26683986</w:t>
      </w:r>
    </w:p>
    <w:p>
      <w:pPr>
        <w:numPr>
          <w:ilvl w:val="0"/>
          <w:numId w:val="1422"/>
        </w:numPr>
        <w:pStyle w:val="Compact"/>
      </w:pPr>
      <w:r>
        <w:t xml:space="preserve">2015 · Hautaniemi EJ ·</w:t>
      </w:r>
      <w:r>
        <w:t xml:space="preserve"> </w:t>
      </w:r>
      <w:r>
        <w:rPr>
          <w:iCs/>
          <w:i/>
        </w:rPr>
        <w:t xml:space="preserve">Br J Nutr</w:t>
      </w:r>
      <w:r>
        <w:t xml:space="preserve"> </w:t>
      </w:r>
      <w:r>
        <w:t xml:space="preserve">· Effect of fermented milk product containing lactotripeptides and plant sterol esters on haemodynamics in subjects with the metabolic syndrome–a randomised, double-blind, placebo-controlled study. PMID 26168857</w:t>
      </w:r>
    </w:p>
    <w:p>
      <w:pPr>
        <w:numPr>
          <w:ilvl w:val="0"/>
          <w:numId w:val="1422"/>
        </w:numPr>
        <w:pStyle w:val="Compact"/>
      </w:pPr>
      <w:r>
        <w:t xml:space="preserve">2012 · Jauhiainen T ·</w:t>
      </w:r>
      <w:r>
        <w:t xml:space="preserve"> </w:t>
      </w:r>
      <w:r>
        <w:rPr>
          <w:iCs/>
          <w:i/>
        </w:rPr>
        <w:t xml:space="preserve">Eur J Clin Nutr</w:t>
      </w:r>
      <w:r>
        <w:t xml:space="preserve"> </w:t>
      </w:r>
      <w:r>
        <w:t xml:space="preserve">· Effects of long-term intake of lactotripeptides on cardiovascular risk factors in hypertensive subjects. PMID 22617279</w:t>
      </w:r>
    </w:p>
    <w:p>
      <w:pPr>
        <w:numPr>
          <w:ilvl w:val="0"/>
          <w:numId w:val="1422"/>
        </w:numPr>
        <w:pStyle w:val="Compact"/>
      </w:pPr>
      <w:r>
        <w:t xml:space="preserve">2012 · Cicero AF ·</w:t>
      </w:r>
      <w:r>
        <w:t xml:space="preserve"> </w:t>
      </w:r>
      <w:r>
        <w:rPr>
          <w:iCs/>
          <w:i/>
        </w:rPr>
        <w:t xml:space="preserve">Clin Exp Hypertens</w:t>
      </w:r>
      <w:r>
        <w:t xml:space="preserve"> </w:t>
      </w:r>
      <w:r>
        <w:t xml:space="preserve">· Predictors of the short-term effect of isoleucine-proline-proline/valine-proline-proline lactotripeptides from casein on office and ambulatory blood pressure in subjects with pharmacologically untreated high-normal blood pressure or first-degree hypertension. PMID 22574612</w:t>
      </w:r>
    </w:p>
    <w:p>
      <w:pPr>
        <w:numPr>
          <w:ilvl w:val="0"/>
          <w:numId w:val="1422"/>
        </w:numPr>
        <w:pStyle w:val="Compact"/>
      </w:pPr>
      <w:r>
        <w:t xml:space="preserve">2011 · Cicero AF ·</w:t>
      </w:r>
      <w:r>
        <w:t xml:space="preserve"> </w:t>
      </w:r>
      <w:r>
        <w:rPr>
          <w:iCs/>
          <w:i/>
        </w:rPr>
        <w:t xml:space="preserve">Hypertens Res</w:t>
      </w:r>
      <w:r>
        <w:t xml:space="preserve"> </w:t>
      </w:r>
      <w:r>
        <w:t xml:space="preserve">· Lactotripeptides effect on office and 24-h ambulatory blood pressure, blood pressure stress response, pulse wave velocity and cardiac output in patients with high-normal blood pressure or first-degree hypertension: a randomized double-blind clinical trial. PMID 21753776</w:t>
      </w:r>
    </w:p>
    <w:p>
      <w:pPr>
        <w:numPr>
          <w:ilvl w:val="0"/>
          <w:numId w:val="1422"/>
        </w:numPr>
        <w:pStyle w:val="Compact"/>
      </w:pPr>
      <w:r>
        <w:t xml:space="preserve">2010 · Cicero AF ·</w:t>
      </w:r>
      <w:r>
        <w:t xml:space="preserve"> </w:t>
      </w:r>
      <w:r>
        <w:rPr>
          <w:iCs/>
          <w:i/>
        </w:rPr>
        <w:t xml:space="preserve">J Med Food</w:t>
      </w:r>
      <w:r>
        <w:t xml:space="preserve"> </w:t>
      </w:r>
      <w:r>
        <w:t xml:space="preserve">· Hemodynamic effects of lactotripeptides from casein hydrolysate in Mediterranean normotensive subjects and patients with high-normal blood pressure: a randomized, double-blind, crossover clinical trial. PMID 21091250</w:t>
      </w:r>
    </w:p>
    <w:p>
      <w:pPr>
        <w:numPr>
          <w:ilvl w:val="0"/>
          <w:numId w:val="1422"/>
        </w:numPr>
        <w:pStyle w:val="Compact"/>
      </w:pPr>
      <w:r>
        <w:t xml:space="preserve">2010 · Yamasue K ·</w:t>
      </w:r>
      <w:r>
        <w:t xml:space="preserve"> </w:t>
      </w:r>
      <w:r>
        <w:rPr>
          <w:iCs/>
          <w:i/>
        </w:rPr>
        <w:t xml:space="preserve">Clin Exp Hypertens</w:t>
      </w:r>
      <w:r>
        <w:t xml:space="preserve"> </w:t>
      </w:r>
      <w:r>
        <w:t xml:space="preserve">· The blood pressure lowering effect of lactotripeptides and salt intake in 24-h ambulatory blood pressure measurements. PMID 20608891</w:t>
      </w:r>
    </w:p>
    <w:p>
      <w:pPr>
        <w:numPr>
          <w:ilvl w:val="0"/>
          <w:numId w:val="1422"/>
        </w:numPr>
        <w:pStyle w:val="Compact"/>
      </w:pPr>
      <w:r>
        <w:t xml:space="preserve">2010 · Germino FW ·</w:t>
      </w:r>
      <w:r>
        <w:t xml:space="preserve"> </w:t>
      </w:r>
      <w:r>
        <w:rPr>
          <w:iCs/>
          <w:i/>
        </w:rPr>
        <w:t xml:space="preserve">J Clin Hypertens (Greenwich)</w:t>
      </w:r>
      <w:r>
        <w:t xml:space="preserve"> </w:t>
      </w:r>
      <w:r>
        <w:t xml:space="preserve">· The impact of lactotripeptides on blood pressure response in stage 1 and stage 2 hypertensives. PMID 20433527</w:t>
      </w:r>
    </w:p>
    <w:p>
      <w:pPr>
        <w:numPr>
          <w:ilvl w:val="0"/>
          <w:numId w:val="1422"/>
        </w:numPr>
        <w:pStyle w:val="Compact"/>
      </w:pPr>
      <w:r>
        <w:t xml:space="preserve">2010 · Jauhiainen T ·</w:t>
      </w:r>
      <w:r>
        <w:t xml:space="preserve"> </w:t>
      </w:r>
      <w:r>
        <w:rPr>
          <w:iCs/>
          <w:i/>
        </w:rPr>
        <w:t xml:space="preserve">Eur J Clin Nutr</w:t>
      </w:r>
      <w:r>
        <w:t xml:space="preserve"> </w:t>
      </w:r>
      <w:r>
        <w:t xml:space="preserve">· Long-term intervention with Lactobacillus helveticus fermented milk reduces augmentation index in hypertensive subjects. PMID 20145666</w:t>
      </w:r>
    </w:p>
    <w:p>
      <w:pPr>
        <w:numPr>
          <w:ilvl w:val="0"/>
          <w:numId w:val="1422"/>
        </w:numPr>
        <w:pStyle w:val="Compact"/>
      </w:pPr>
      <w:r>
        <w:t xml:space="preserve">2010 · Yoshizawa M ·</w:t>
      </w:r>
      <w:r>
        <w:t xml:space="preserve"> </w:t>
      </w:r>
      <w:r>
        <w:rPr>
          <w:iCs/>
          <w:i/>
        </w:rPr>
        <w:t xml:space="preserve">Am J Hypertens</w:t>
      </w:r>
      <w:r>
        <w:t xml:space="preserve"> </w:t>
      </w:r>
      <w:r>
        <w:t xml:space="preserve">· Additive beneficial effects of lactotripeptides intake with regular exercise on endothelium-dependent dilatation in postmenopausal women. PMID 20075849</w:t>
      </w:r>
    </w:p>
    <w:p>
      <w:pPr>
        <w:numPr>
          <w:ilvl w:val="0"/>
          <w:numId w:val="1422"/>
        </w:numPr>
        <w:pStyle w:val="Compact"/>
      </w:pPr>
      <w:r>
        <w:t xml:space="preserve">2009 · Nakamura T ·</w:t>
      </w:r>
      <w:r>
        <w:t xml:space="preserve"> </w:t>
      </w:r>
      <w:r>
        <w:rPr>
          <w:iCs/>
          <w:i/>
        </w:rPr>
        <w:t xml:space="preserve">J Med Food</w:t>
      </w:r>
      <w:r>
        <w:t xml:space="preserve"> </w:t>
      </w:r>
      <w:r>
        <w:t xml:space="preserve">· Beneficial potential of casein hydrolysate containing Val-Pro-Pro and Ile-Pro-Pro on central blood pressure and hemodynamic index: a preliminary study. PMID 19821692</w:t>
      </w:r>
    </w:p>
    <w:p>
      <w:pPr>
        <w:numPr>
          <w:ilvl w:val="0"/>
          <w:numId w:val="1422"/>
        </w:numPr>
        <w:pStyle w:val="Compact"/>
      </w:pPr>
      <w:r>
        <w:t xml:space="preserve">2009 · Yoshizawa M ·</w:t>
      </w:r>
      <w:r>
        <w:t xml:space="preserve"> </w:t>
      </w:r>
      <w:r>
        <w:rPr>
          <w:iCs/>
          <w:i/>
        </w:rPr>
        <w:t xml:space="preserve">Am J Physiol Heart Circ Physiol</w:t>
      </w:r>
      <w:r>
        <w:t xml:space="preserve"> </w:t>
      </w:r>
      <w:r>
        <w:t xml:space="preserve">· Additive beneficial effects of lactotripeptides and aerobic exercise on arterial compliance in postmenopausal women. PMID 19783777</w:t>
      </w:r>
    </w:p>
    <w:p>
      <w:pPr>
        <w:numPr>
          <w:ilvl w:val="0"/>
          <w:numId w:val="1422"/>
        </w:numPr>
        <w:pStyle w:val="Compact"/>
      </w:pPr>
      <w:r>
        <w:t xml:space="preserve">2009 · van Mierlo LA ·</w:t>
      </w:r>
      <w:r>
        <w:t xml:space="preserve"> </w:t>
      </w:r>
      <w:r>
        <w:rPr>
          <w:iCs/>
          <w:i/>
        </w:rPr>
        <w:t xml:space="preserve">Am J Clin Nutr</w:t>
      </w:r>
      <w:r>
        <w:t xml:space="preserve"> </w:t>
      </w:r>
      <w:r>
        <w:t xml:space="preserve">· Lactotripeptides do not lower ambulatory blood pressure in untreated whites: results from 2 controlled multicenter crossover studies. PMID 19106238</w:t>
      </w:r>
    </w:p>
    <w:p>
      <w:pPr>
        <w:numPr>
          <w:ilvl w:val="0"/>
          <w:numId w:val="1422"/>
        </w:numPr>
        <w:pStyle w:val="Compact"/>
      </w:pPr>
      <w:r>
        <w:t xml:space="preserve">2008 · van der Zander K ·</w:t>
      </w:r>
      <w:r>
        <w:t xml:space="preserve"> </w:t>
      </w:r>
      <w:r>
        <w:rPr>
          <w:iCs/>
          <w:i/>
        </w:rPr>
        <w:t xml:space="preserve">Am J Clin Nutr</w:t>
      </w:r>
      <w:r>
        <w:t xml:space="preserve"> </w:t>
      </w:r>
      <w:r>
        <w:t xml:space="preserve">· Enzymatically hydrolyzed lactotripeptides do not lower blood pressure in mildly hypertensive subjects. PMID 19064533</w:t>
      </w:r>
    </w:p>
    <w:p>
      <w:pPr>
        <w:numPr>
          <w:ilvl w:val="0"/>
          <w:numId w:val="1422"/>
        </w:numPr>
        <w:pStyle w:val="Compact"/>
      </w:pPr>
      <w:r>
        <w:t xml:space="preserve">2008 · Engberink MF ·</w:t>
      </w:r>
      <w:r>
        <w:t xml:space="preserve"> </w:t>
      </w:r>
      <w:r>
        <w:rPr>
          <w:iCs/>
          <w:i/>
        </w:rPr>
        <w:t xml:space="preserve">Hypertension</w:t>
      </w:r>
      <w:r>
        <w:t xml:space="preserve"> </w:t>
      </w:r>
      <w:r>
        <w:t xml:space="preserve">· Lactotripeptides show no effect on human blood pressure: results from a double-blind randomized controlled trial. PMID 18086944</w:t>
      </w:r>
    </w:p>
    <w:p>
      <w:pPr>
        <w:numPr>
          <w:ilvl w:val="0"/>
          <w:numId w:val="1422"/>
        </w:numPr>
        <w:pStyle w:val="Compact"/>
      </w:pPr>
      <w:r>
        <w:t xml:space="preserve">2007 · Foltz M ·</w:t>
      </w:r>
      <w:r>
        <w:t xml:space="preserve"> </w:t>
      </w:r>
      <w:r>
        <w:rPr>
          <w:iCs/>
          <w:i/>
        </w:rPr>
        <w:t xml:space="preserve">J Nutr</w:t>
      </w:r>
      <w:r>
        <w:t xml:space="preserve"> </w:t>
      </w:r>
      <w:r>
        <w:t xml:space="preserve">· Angiotensin converting enzyme inhibitory peptides from a lactotripeptide-enriched milk beverage are absorbed intact into the circulation. PMID 17374660</w:t>
      </w:r>
    </w:p>
    <w:p>
      <w:pPr>
        <w:numPr>
          <w:ilvl w:val="0"/>
          <w:numId w:val="1422"/>
        </w:numPr>
        <w:pStyle w:val="Compact"/>
      </w:pPr>
      <w:r>
        <w:t xml:space="preserve">2004 · Tuomilehto J ·</w:t>
      </w:r>
      <w:r>
        <w:t xml:space="preserve"> </w:t>
      </w:r>
      <w:r>
        <w:rPr>
          <w:iCs/>
          <w:i/>
        </w:rPr>
        <w:t xml:space="preserve">J Hum Hypertens</w:t>
      </w:r>
      <w:r>
        <w:t xml:space="preserve"> </w:t>
      </w:r>
      <w:r>
        <w:t xml:space="preserve">· Effect of ingesting sour milk fermented using Lactobacillus helveticus bacteria producing tripeptides on blood pressure in subjects with mild hypertension. PMID 15175633</w:t>
      </w:r>
    </w:p>
    <w:bookmarkEnd w:id="3066"/>
    <w:bookmarkStart w:id="3067" w:name="carnosine-57"/>
    <w:p>
      <w:pPr>
        <w:pStyle w:val="Heading2"/>
      </w:pPr>
      <w:r>
        <w:t xml:space="preserve">Carnosine (57)</w:t>
      </w:r>
    </w:p>
    <w:p>
      <w:pPr>
        <w:numPr>
          <w:ilvl w:val="0"/>
          <w:numId w:val="1423"/>
        </w:numPr>
        <w:pStyle w:val="Compact"/>
      </w:pPr>
      <w:r>
        <w:t xml:space="preserve">2026 · O’Toole TE ·</w:t>
      </w:r>
      <w:r>
        <w:t xml:space="preserve"> </w:t>
      </w:r>
      <w:r>
        <w:rPr>
          <w:iCs/>
          <w:i/>
        </w:rPr>
        <w:t xml:space="preserve">J Int Soc Sports Nutr</w:t>
      </w:r>
      <w:r>
        <w:t xml:space="preserve"> </w:t>
      </w:r>
      <w:r>
        <w:t xml:space="preserve">· Effects of carnosine supplementation on physical endurance: a placebo-controlled randomized clinical trial. PMID 42308284</w:t>
      </w:r>
    </w:p>
    <w:p>
      <w:pPr>
        <w:numPr>
          <w:ilvl w:val="0"/>
          <w:numId w:val="1423"/>
        </w:numPr>
        <w:pStyle w:val="Compact"/>
      </w:pPr>
      <w:r>
        <w:t xml:space="preserve">2026 · Togni L ·</w:t>
      </w:r>
      <w:r>
        <w:t xml:space="preserve"> </w:t>
      </w:r>
      <w:r>
        <w:rPr>
          <w:iCs/>
          <w:i/>
        </w:rPr>
        <w:t xml:space="preserve">Minerva Dent Oral Sci</w:t>
      </w:r>
      <w:r>
        <w:t xml:space="preserve"> </w:t>
      </w:r>
      <w:r>
        <w:t xml:space="preserve">· Zinc-L-carnosine mouthwash in oral mucositis patients: a single-blind, randomized, controlled trial. PMID 41855025</w:t>
      </w:r>
    </w:p>
    <w:p>
      <w:pPr>
        <w:numPr>
          <w:ilvl w:val="0"/>
          <w:numId w:val="1423"/>
        </w:numPr>
        <w:pStyle w:val="Compact"/>
      </w:pPr>
      <w:r>
        <w:t xml:space="preserve">2025 · Beaven CM ·</w:t>
      </w:r>
      <w:r>
        <w:t xml:space="preserve"> </w:t>
      </w:r>
      <w:r>
        <w:rPr>
          <w:iCs/>
          <w:i/>
        </w:rPr>
        <w:t xml:space="preserve">J Int Soc Sports Nutr</w:t>
      </w:r>
      <w:r>
        <w:t xml:space="preserve"> </w:t>
      </w:r>
      <w:r>
        <w:t xml:space="preserve">· Topical carnosine gel improves intermittent high-intensity exercise performance in world-class rugby sevens players. PMID 40859880</w:t>
      </w:r>
    </w:p>
    <w:p>
      <w:pPr>
        <w:numPr>
          <w:ilvl w:val="0"/>
          <w:numId w:val="1423"/>
        </w:numPr>
        <w:pStyle w:val="Compact"/>
      </w:pPr>
      <w:r>
        <w:t xml:space="preserve">2025 · Perić L ·</w:t>
      </w:r>
      <w:r>
        <w:t xml:space="preserve"> </w:t>
      </w:r>
      <w:r>
        <w:rPr>
          <w:iCs/>
          <w:i/>
        </w:rPr>
        <w:t xml:space="preserve">Appl Physiol Nutr Metab</w:t>
      </w:r>
      <w:r>
        <w:t xml:space="preserve"> </w:t>
      </w:r>
      <w:r>
        <w:t xml:space="preserve">· Carnosine-enriched functional food enhances micro- and macrovascular endothelium-independent vasodilation in competitive athletes-a randomized study. PMID 39983097</w:t>
      </w:r>
    </w:p>
    <w:p>
      <w:pPr>
        <w:numPr>
          <w:ilvl w:val="0"/>
          <w:numId w:val="1423"/>
        </w:numPr>
        <w:pStyle w:val="Compact"/>
      </w:pPr>
      <w:r>
        <w:t xml:space="preserve">2025 · O’Toole TE ·</w:t>
      </w:r>
      <w:r>
        <w:t xml:space="preserve"> </w:t>
      </w:r>
      <w:r>
        <w:rPr>
          <w:iCs/>
          <w:i/>
        </w:rPr>
        <w:t xml:space="preserve">Neurotherapeutics</w:t>
      </w:r>
      <w:r>
        <w:t xml:space="preserve"> </w:t>
      </w:r>
      <w:r>
        <w:t xml:space="preserve">· Carnosine supplementation improves cognitive outcomes in younger participants of the NEAT trial. PMID 39919936</w:t>
      </w:r>
    </w:p>
    <w:p>
      <w:pPr>
        <w:numPr>
          <w:ilvl w:val="0"/>
          <w:numId w:val="1423"/>
        </w:numPr>
        <w:pStyle w:val="Compact"/>
      </w:pPr>
      <w:r>
        <w:t xml:space="preserve">2024 · Saadati S ·</w:t>
      </w:r>
      <w:r>
        <w:t xml:space="preserve"> </w:t>
      </w:r>
      <w:r>
        <w:rPr>
          <w:iCs/>
          <w:i/>
        </w:rPr>
        <w:t xml:space="preserve">Nutrients</w:t>
      </w:r>
      <w:r>
        <w:t xml:space="preserve"> </w:t>
      </w:r>
      <w:r>
        <w:t xml:space="preserve">· The Effect of Carnosine Supplementation on Musculoskeletal Health in Adults with Prediabetes and Type 2 Diabetes: A Secondary Analysis of a Randomized Controlled Trial. PMID 39770949</w:t>
      </w:r>
    </w:p>
    <w:p>
      <w:pPr>
        <w:numPr>
          <w:ilvl w:val="0"/>
          <w:numId w:val="1423"/>
        </w:numPr>
        <w:pStyle w:val="Compact"/>
      </w:pPr>
      <w:r>
        <w:t xml:space="preserve">2024 · Saadati S ·</w:t>
      </w:r>
      <w:r>
        <w:t xml:space="preserve"> </w:t>
      </w:r>
      <w:r>
        <w:rPr>
          <w:iCs/>
          <w:i/>
        </w:rPr>
        <w:t xml:space="preserve">Nutrients</w:t>
      </w:r>
      <w:r>
        <w:t xml:space="preserve"> </w:t>
      </w:r>
      <w:r>
        <w:t xml:space="preserve">· Carnosine Supplementation Has No Effect on Inflammatory Markers in Adults with Prediabetes and Type 2 Diabetes: A Randomised Controlled Trial. PMID 39599686</w:t>
      </w:r>
    </w:p>
    <w:p>
      <w:pPr>
        <w:numPr>
          <w:ilvl w:val="0"/>
          <w:numId w:val="1423"/>
        </w:numPr>
        <w:pStyle w:val="Compact"/>
      </w:pPr>
      <w:r>
        <w:t xml:space="preserve">2024 · Abraham DA ·</w:t>
      </w:r>
      <w:r>
        <w:t xml:space="preserve"> </w:t>
      </w:r>
      <w:r>
        <w:rPr>
          <w:iCs/>
          <w:i/>
        </w:rPr>
        <w:t xml:space="preserve">Front Biosci (Landmark Ed)</w:t>
      </w:r>
      <w:r>
        <w:t xml:space="preserve"> </w:t>
      </w:r>
      <w:r>
        <w:t xml:space="preserve">· Estimation of Plasma Concentration of L-Carnosine and its Correlation with Core Symptoms of Autism Spectrum Disorder Children: A Pilot Clinical Trial. PMID 39473402</w:t>
      </w:r>
    </w:p>
    <w:p>
      <w:pPr>
        <w:numPr>
          <w:ilvl w:val="0"/>
          <w:numId w:val="1423"/>
        </w:numPr>
        <w:pStyle w:val="Compact"/>
      </w:pPr>
      <w:r>
        <w:t xml:space="preserve">2024 · Baba SP ·</w:t>
      </w:r>
      <w:r>
        <w:t xml:space="preserve"> </w:t>
      </w:r>
      <w:r>
        <w:rPr>
          <w:iCs/>
          <w:i/>
        </w:rPr>
        <w:t xml:space="preserve">Amino Acids</w:t>
      </w:r>
      <w:r>
        <w:t xml:space="preserve"> </w:t>
      </w:r>
      <w:r>
        <w:t xml:space="preserve">· Evaluation of supplementary carnosine accumulation and distribution: an initial analysis of participants in the Nucleophilic Defense Against PM Toxicity (NEAT) clinical trial. PMID 39215872</w:t>
      </w:r>
    </w:p>
    <w:p>
      <w:pPr>
        <w:numPr>
          <w:ilvl w:val="0"/>
          <w:numId w:val="1423"/>
        </w:numPr>
        <w:pStyle w:val="Compact"/>
      </w:pPr>
      <w:r>
        <w:t xml:space="preserve">2024 · Rondanelli M ·</w:t>
      </w:r>
      <w:r>
        <w:t xml:space="preserve"> </w:t>
      </w:r>
      <w:r>
        <w:rPr>
          <w:iCs/>
          <w:i/>
        </w:rPr>
        <w:t xml:space="preserve">Nutrients</w:t>
      </w:r>
      <w:r>
        <w:t xml:space="preserve"> </w:t>
      </w:r>
      <w:r>
        <w:t xml:space="preserve">· A Patented Dietary Supplement (Hydroxy-Methyl-Butyrate, Carnosine, Magnesium, Butyrate, Lactoferrin) Is a Promising Therapeutic Target for Age-Related Sarcopenia through the Regulation of Gut Permeability: A Randomized Controlled Trial. PMID 38732615</w:t>
      </w:r>
    </w:p>
    <w:p>
      <w:pPr>
        <w:numPr>
          <w:ilvl w:val="0"/>
          <w:numId w:val="1423"/>
        </w:numPr>
        <w:pStyle w:val="Compact"/>
      </w:pPr>
      <w:r>
        <w:t xml:space="preserve">2024 · Hariharan R ·</w:t>
      </w:r>
      <w:r>
        <w:t xml:space="preserve"> </w:t>
      </w:r>
      <w:r>
        <w:rPr>
          <w:iCs/>
          <w:i/>
        </w:rPr>
        <w:t xml:space="preserve">Nutr Metab Cardiovasc Dis</w:t>
      </w:r>
      <w:r>
        <w:t xml:space="preserve"> </w:t>
      </w:r>
      <w:r>
        <w:t xml:space="preserve">· Carnosine supplementation improves glucose control in adults with pre-diabetes and type 2 diabetes: A randomised controlled trial. PMID 38172006</w:t>
      </w:r>
    </w:p>
    <w:p>
      <w:pPr>
        <w:numPr>
          <w:ilvl w:val="0"/>
          <w:numId w:val="1423"/>
        </w:numPr>
        <w:pStyle w:val="Compact"/>
      </w:pPr>
      <w:r>
        <w:t xml:space="preserve">2023 · Saadati S ·</w:t>
      </w:r>
      <w:r>
        <w:t xml:space="preserve"> </w:t>
      </w:r>
      <w:r>
        <w:rPr>
          <w:iCs/>
          <w:i/>
        </w:rPr>
        <w:t xml:space="preserve">Nutrients</w:t>
      </w:r>
      <w:r>
        <w:t xml:space="preserve"> </w:t>
      </w:r>
      <w:r>
        <w:t xml:space="preserve">· Carnosine Did Not Affect Vascular and Metabolic Outcomes in Patients with Prediabetes and Type 2 Diabetes: A 14-Week Randomized Controlled Trial. PMID 38004228</w:t>
      </w:r>
    </w:p>
    <w:p>
      <w:pPr>
        <w:numPr>
          <w:ilvl w:val="0"/>
          <w:numId w:val="1423"/>
        </w:numPr>
        <w:pStyle w:val="Compact"/>
      </w:pPr>
      <w:r>
        <w:t xml:space="preserve">2021 · Siriwattanasit N ·</w:t>
      </w:r>
      <w:r>
        <w:t xml:space="preserve"> </w:t>
      </w:r>
      <w:r>
        <w:rPr>
          <w:iCs/>
          <w:i/>
        </w:rPr>
        <w:t xml:space="preserve">BMC Nephrol</w:t>
      </w:r>
      <w:r>
        <w:t xml:space="preserve"> </w:t>
      </w:r>
      <w:r>
        <w:t xml:space="preserve">· Effect of Oral carnosine supplementation on urinary TGF-β in diabetic nephropathy: a randomized controlled trial. PMID 34174842</w:t>
      </w:r>
    </w:p>
    <w:p>
      <w:pPr>
        <w:numPr>
          <w:ilvl w:val="0"/>
          <w:numId w:val="1423"/>
        </w:numPr>
        <w:pStyle w:val="Compact"/>
      </w:pPr>
      <w:r>
        <w:t xml:space="preserve">2021 · Blancquaert L ·</w:t>
      </w:r>
      <w:r>
        <w:t xml:space="preserve"> </w:t>
      </w:r>
      <w:r>
        <w:rPr>
          <w:iCs/>
          <w:i/>
        </w:rPr>
        <w:t xml:space="preserve">J Appl Physiol (1985)</w:t>
      </w:r>
      <w:r>
        <w:t xml:space="preserve"> </w:t>
      </w:r>
      <w:r>
        <w:t xml:space="preserve">· Acute preexercise supplementation of combined carnosine and anserine enhances initial maximal power of Wingate tests in humans. PMID 33914660</w:t>
      </w:r>
    </w:p>
    <w:p>
      <w:pPr>
        <w:numPr>
          <w:ilvl w:val="0"/>
          <w:numId w:val="1423"/>
        </w:numPr>
        <w:pStyle w:val="Compact"/>
      </w:pPr>
      <w:r>
        <w:t xml:space="preserve">2021 · Yamaguchi GC ·</w:t>
      </w:r>
      <w:r>
        <w:t xml:space="preserve"> </w:t>
      </w:r>
      <w:r>
        <w:rPr>
          <w:iCs/>
          <w:i/>
        </w:rPr>
        <w:t xml:space="preserve">Med Sci Sports Exerc</w:t>
      </w:r>
      <w:r>
        <w:t xml:space="preserve"> </w:t>
      </w:r>
      <w:r>
        <w:t xml:space="preserve">· Kinetics of Muscle Carnosine Decay after β-Alanine Supplementation: A 16-wk Washout Study. PMID 33148972</w:t>
      </w:r>
    </w:p>
    <w:p>
      <w:pPr>
        <w:numPr>
          <w:ilvl w:val="0"/>
          <w:numId w:val="1423"/>
        </w:numPr>
        <w:pStyle w:val="Compact"/>
      </w:pPr>
      <w:r>
        <w:t xml:space="preserve">2021 · Limonta E ·</w:t>
      </w:r>
      <w:r>
        <w:t xml:space="preserve"> </w:t>
      </w:r>
      <w:r>
        <w:rPr>
          <w:iCs/>
          <w:i/>
        </w:rPr>
        <w:t xml:space="preserve">J Sports Med Phys Fitness</w:t>
      </w:r>
      <w:r>
        <w:t xml:space="preserve"> </w:t>
      </w:r>
      <w:r>
        <w:t xml:space="preserve">· Acute carnosine and β-alanine supplementation increase the compensated part of the ventilation versus work rate relationship during a ramp incremental cycle test in physically active men. PMID 33092320</w:t>
      </w:r>
    </w:p>
    <w:p>
      <w:pPr>
        <w:numPr>
          <w:ilvl w:val="0"/>
          <w:numId w:val="1423"/>
        </w:numPr>
        <w:pStyle w:val="Compact"/>
      </w:pPr>
      <w:r>
        <w:t xml:space="preserve">2020 · Zanini D ·</w:t>
      </w:r>
      <w:r>
        <w:t xml:space="preserve"> </w:t>
      </w:r>
      <w:r>
        <w:rPr>
          <w:iCs/>
          <w:i/>
        </w:rPr>
        <w:t xml:space="preserve">Nutr Res</w:t>
      </w:r>
      <w:r>
        <w:t xml:space="preserve"> </w:t>
      </w:r>
      <w:r>
        <w:t xml:space="preserve">· Dietary supplementation with L-carnosine improves patient-reported outcomes, autonomic nervous system performance, and brain metabolism in 3 adult patients with multiple sclerosis. PMID 33189432</w:t>
      </w:r>
    </w:p>
    <w:p>
      <w:pPr>
        <w:numPr>
          <w:ilvl w:val="0"/>
          <w:numId w:val="1423"/>
        </w:numPr>
        <w:pStyle w:val="Compact"/>
      </w:pPr>
      <w:r>
        <w:t xml:space="preserve">2020 · Ann Abraham D ·</w:t>
      </w:r>
      <w:r>
        <w:t xml:space="preserve"> </w:t>
      </w:r>
      <w:r>
        <w:rPr>
          <w:iCs/>
          <w:i/>
        </w:rPr>
        <w:t xml:space="preserve">Amino Acids</w:t>
      </w:r>
      <w:r>
        <w:t xml:space="preserve"> </w:t>
      </w:r>
      <w:r>
        <w:t xml:space="preserve">· Effect of L-Carnosine as adjunctive therapy in the management of children with autism spectrum disorder: a randomized controlled study. PMID 33170378</w:t>
      </w:r>
    </w:p>
    <w:p>
      <w:pPr>
        <w:numPr>
          <w:ilvl w:val="0"/>
          <w:numId w:val="1423"/>
        </w:numPr>
        <w:pStyle w:val="Compact"/>
      </w:pPr>
      <w:r>
        <w:t xml:space="preserve">2019 · Masuoka N ·</w:t>
      </w:r>
      <w:r>
        <w:t xml:space="preserve"> </w:t>
      </w:r>
      <w:r>
        <w:rPr>
          <w:iCs/>
          <w:i/>
        </w:rPr>
        <w:t xml:space="preserve">Nutrients</w:t>
      </w:r>
      <w:r>
        <w:t xml:space="preserve"> </w:t>
      </w:r>
      <w:r>
        <w:t xml:space="preserve">· Effects of Anserine/Carnosine Supplementation on Mild Cognitive Impairment with APOE4. PMID 31319510</w:t>
      </w:r>
    </w:p>
    <w:p>
      <w:pPr>
        <w:numPr>
          <w:ilvl w:val="0"/>
          <w:numId w:val="1423"/>
        </w:numPr>
        <w:pStyle w:val="Compact"/>
      </w:pPr>
      <w:r>
        <w:t xml:space="preserve">2019 · Yehia R ·</w:t>
      </w:r>
      <w:r>
        <w:t xml:space="preserve"> </w:t>
      </w:r>
      <w:r>
        <w:rPr>
          <w:iCs/>
          <w:i/>
        </w:rPr>
        <w:t xml:space="preserve">Toxicol Appl Pharmacol</w:t>
      </w:r>
      <w:r>
        <w:t xml:space="preserve"> </w:t>
      </w:r>
      <w:r>
        <w:t xml:space="preserve">· L-Carnosine protects against Oxaliplatin-induced peripheral neuropathy in colorectal cancer patients: A perspective on targeting Nrf-2 and NF-κB pathways. PMID 30592963</w:t>
      </w:r>
    </w:p>
    <w:p>
      <w:pPr>
        <w:numPr>
          <w:ilvl w:val="0"/>
          <w:numId w:val="1423"/>
        </w:numPr>
        <w:pStyle w:val="Compact"/>
      </w:pPr>
      <w:r>
        <w:t xml:space="preserve">2019 · Baye E ·</w:t>
      </w:r>
      <w:r>
        <w:t xml:space="preserve"> </w:t>
      </w:r>
      <w:r>
        <w:rPr>
          <w:iCs/>
          <w:i/>
        </w:rPr>
        <w:t xml:space="preserve">Amino Acids</w:t>
      </w:r>
      <w:r>
        <w:t xml:space="preserve"> </w:t>
      </w:r>
      <w:r>
        <w:t xml:space="preserve">· Carnosine supplementation reduces plasma soluble transferrin receptor in healthy overweight or obese individuals: a pilot randomised trial. PMID 30136029</w:t>
      </w:r>
    </w:p>
    <w:p>
      <w:pPr>
        <w:numPr>
          <w:ilvl w:val="0"/>
          <w:numId w:val="1423"/>
        </w:numPr>
        <w:pStyle w:val="Compact"/>
      </w:pPr>
      <w:r>
        <w:t xml:space="preserve">2019 · Ghodsi R ·</w:t>
      </w:r>
      <w:r>
        <w:t xml:space="preserve"> </w:t>
      </w:r>
      <w:r>
        <w:rPr>
          <w:iCs/>
          <w:i/>
        </w:rPr>
        <w:t xml:space="preserve">Ann Clin Biochem</w:t>
      </w:r>
      <w:r>
        <w:t xml:space="preserve"> </w:t>
      </w:r>
      <w:r>
        <w:t xml:space="preserve">· Carnosine supplementation does not affect serum concentrations of advanced glycation and precursors of lipoxidation end products in autism: a randomized controlled clinical trial. PMID 30089410</w:t>
      </w:r>
    </w:p>
    <w:p>
      <w:pPr>
        <w:numPr>
          <w:ilvl w:val="0"/>
          <w:numId w:val="1423"/>
        </w:numPr>
        <w:pStyle w:val="Compact"/>
      </w:pPr>
      <w:r>
        <w:t xml:space="preserve">2018 · Karkabounas S ·</w:t>
      </w:r>
      <w:r>
        <w:t xml:space="preserve"> </w:t>
      </w:r>
      <w:r>
        <w:rPr>
          <w:iCs/>
          <w:i/>
        </w:rPr>
        <w:t xml:space="preserve">J Med Food</w:t>
      </w:r>
      <w:r>
        <w:t xml:space="preserve"> </w:t>
      </w:r>
      <w:r>
        <w:t xml:space="preserve">· Effects of α-Lipoic Acid, Carnosine, and Thiamine Supplementation in Obese Patients with Type 2 Diabetes Mellitus: A Randomized, Double-Blind Study. PMID 30311825</w:t>
      </w:r>
    </w:p>
    <w:p>
      <w:pPr>
        <w:numPr>
          <w:ilvl w:val="0"/>
          <w:numId w:val="1423"/>
        </w:numPr>
        <w:pStyle w:val="Compact"/>
      </w:pPr>
      <w:r>
        <w:t xml:space="preserve">2018 · Baye E ·</w:t>
      </w:r>
      <w:r>
        <w:t xml:space="preserve"> </w:t>
      </w:r>
      <w:r>
        <w:rPr>
          <w:iCs/>
          <w:i/>
        </w:rPr>
        <w:t xml:space="preserve">Nutrients</w:t>
      </w:r>
      <w:r>
        <w:t xml:space="preserve"> </w:t>
      </w:r>
      <w:r>
        <w:t xml:space="preserve">· Carnosine Supplementation Improves Serum Resistin Concentrations in Overweight or Obese Otherwise Healthy Adults: A Pilot Randomized Trial. PMID 30205427</w:t>
      </w:r>
    </w:p>
    <w:p>
      <w:pPr>
        <w:numPr>
          <w:ilvl w:val="0"/>
          <w:numId w:val="1423"/>
        </w:numPr>
        <w:pStyle w:val="Compact"/>
      </w:pPr>
      <w:r>
        <w:t xml:space="preserve">2018 · Blancquaert L ·</w:t>
      </w:r>
      <w:r>
        <w:t xml:space="preserve"> </w:t>
      </w:r>
      <w:r>
        <w:rPr>
          <w:iCs/>
          <w:i/>
        </w:rPr>
        <w:t xml:space="preserve">Br J Nutr</w:t>
      </w:r>
      <w:r>
        <w:t xml:space="preserve"> </w:t>
      </w:r>
      <w:r>
        <w:t xml:space="preserve">· Changing to a vegetarian diet reduces the body creatine pool in omnivorous women, but appears not to affect carnitine and carnosine homeostasis: a randomised trial. PMID 29569535</w:t>
      </w:r>
    </w:p>
    <w:p>
      <w:pPr>
        <w:numPr>
          <w:ilvl w:val="0"/>
          <w:numId w:val="1423"/>
        </w:numPr>
        <w:pStyle w:val="Compact"/>
      </w:pPr>
      <w:r>
        <w:t xml:space="preserve">2018 · Mehrazad-Saber Z ·</w:t>
      </w:r>
      <w:r>
        <w:t xml:space="preserve"> </w:t>
      </w:r>
      <w:r>
        <w:rPr>
          <w:iCs/>
          <w:i/>
        </w:rPr>
        <w:t xml:space="preserve">Basic Clin Pharmacol Toxicol</w:t>
      </w:r>
      <w:r>
        <w:t xml:space="preserve"> </w:t>
      </w:r>
      <w:r>
        <w:t xml:space="preserve">· Effects of l-Carnosine Supplementation on Sleep Disorders and Disease Severity in Autistic Children: A Randomized, Controlled Clinical Trial. PMID 29430839</w:t>
      </w:r>
    </w:p>
    <w:p>
      <w:pPr>
        <w:numPr>
          <w:ilvl w:val="0"/>
          <w:numId w:val="1423"/>
        </w:numPr>
        <w:pStyle w:val="Compact"/>
      </w:pPr>
      <w:r>
        <w:t xml:space="preserve">2018 · Houjeghani S ·</w:t>
      </w:r>
      <w:r>
        <w:t xml:space="preserve"> </w:t>
      </w:r>
      <w:r>
        <w:rPr>
          <w:iCs/>
          <w:i/>
        </w:rPr>
        <w:t xml:space="preserve">Nutr Res</w:t>
      </w:r>
      <w:r>
        <w:t xml:space="preserve"> </w:t>
      </w:r>
      <w:r>
        <w:t xml:space="preserve">· l-Carnosine supplementation attenuated fasting glucose, triglycerides, advanced glycation end products, and tumor necrosis factor-α levels in patients with type 2 diabetes: a double-blind placebo-controlled randomized clinical trial. PMID 29420997</w:t>
      </w:r>
    </w:p>
    <w:p>
      <w:pPr>
        <w:numPr>
          <w:ilvl w:val="0"/>
          <w:numId w:val="1423"/>
        </w:numPr>
        <w:pStyle w:val="Compact"/>
      </w:pPr>
      <w:r>
        <w:t xml:space="preserve">2018 · Elbarbary NS ·</w:t>
      </w:r>
      <w:r>
        <w:t xml:space="preserve"> </w:t>
      </w:r>
      <w:r>
        <w:rPr>
          <w:iCs/>
          <w:i/>
        </w:rPr>
        <w:t xml:space="preserve">Pediatr Diabetes</w:t>
      </w:r>
      <w:r>
        <w:t xml:space="preserve"> </w:t>
      </w:r>
      <w:r>
        <w:t xml:space="preserve">· The effect of 12 weeks carnosine supplementation on renal functional integrity and oxidative stress in pediatric patients with diabetic nephropathy: a randomized placebo-controlled trial. PMID 28744992</w:t>
      </w:r>
    </w:p>
    <w:p>
      <w:pPr>
        <w:numPr>
          <w:ilvl w:val="0"/>
          <w:numId w:val="1423"/>
        </w:numPr>
        <w:pStyle w:val="Compact"/>
      </w:pPr>
      <w:r>
        <w:t xml:space="preserve">2017 · Varanoske AN ·</w:t>
      </w:r>
      <w:r>
        <w:t xml:space="preserve"> </w:t>
      </w:r>
      <w:r>
        <w:rPr>
          <w:iCs/>
          <w:i/>
        </w:rPr>
        <w:t xml:space="preserve">Nutr Res</w:t>
      </w:r>
      <w:r>
        <w:t xml:space="preserve"> </w:t>
      </w:r>
      <w:r>
        <w:t xml:space="preserve">· β-Alanine supplementation elevates intramuscular carnosine content and attenuates fatigue in men and women similarly but does not change muscle l-histidine content. PMID 29246277</w:t>
      </w:r>
    </w:p>
    <w:p>
      <w:pPr>
        <w:numPr>
          <w:ilvl w:val="0"/>
          <w:numId w:val="1423"/>
        </w:numPr>
        <w:pStyle w:val="Compact"/>
      </w:pPr>
      <w:r>
        <w:t xml:space="preserve">2017 · Baye E ·</w:t>
      </w:r>
      <w:r>
        <w:t xml:space="preserve"> </w:t>
      </w:r>
      <w:r>
        <w:rPr>
          <w:iCs/>
          <w:i/>
        </w:rPr>
        <w:t xml:space="preserve">Sci Rep</w:t>
      </w:r>
      <w:r>
        <w:t xml:space="preserve"> </w:t>
      </w:r>
      <w:r>
        <w:t xml:space="preserve">· Effect of carnosine supplementation on the plasma lipidome in overweight and obese adults: a pilot randomised controlled trial. PMID 29234057</w:t>
      </w:r>
    </w:p>
    <w:p>
      <w:pPr>
        <w:numPr>
          <w:ilvl w:val="0"/>
          <w:numId w:val="1423"/>
        </w:numPr>
        <w:pStyle w:val="Compact"/>
      </w:pPr>
      <w:r>
        <w:t xml:space="preserve">2017 · Katakura Y ·</w:t>
      </w:r>
      <w:r>
        <w:t xml:space="preserve"> </w:t>
      </w:r>
      <w:r>
        <w:rPr>
          <w:iCs/>
          <w:i/>
        </w:rPr>
        <w:t xml:space="preserve">Nutrients</w:t>
      </w:r>
      <w:r>
        <w:t xml:space="preserve"> </w:t>
      </w:r>
      <w:r>
        <w:t xml:space="preserve">· Anserine/Carnosine Supplementation Suppresses the Expression of the Inflammatory Chemokine CCL24 in Peripheral Blood Mononuclear Cells from Elderly People. PMID 29088099</w:t>
      </w:r>
    </w:p>
    <w:p>
      <w:pPr>
        <w:numPr>
          <w:ilvl w:val="0"/>
          <w:numId w:val="1423"/>
        </w:numPr>
        <w:pStyle w:val="Compact"/>
      </w:pPr>
      <w:r>
        <w:t xml:space="preserve">2017 · Church DD ·</w:t>
      </w:r>
      <w:r>
        <w:t xml:space="preserve"> </w:t>
      </w:r>
      <w:r>
        <w:rPr>
          <w:iCs/>
          <w:i/>
        </w:rPr>
        <w:t xml:space="preserve">J Am Coll Nutr</w:t>
      </w:r>
      <w:r>
        <w:t xml:space="preserve"> </w:t>
      </w:r>
      <w:r>
        <w:t xml:space="preserve">· Comparison of Two β-Alanine Dosing Protocols on Muscle Carnosine Elevations. PMID 28910200</w:t>
      </w:r>
    </w:p>
    <w:p>
      <w:pPr>
        <w:numPr>
          <w:ilvl w:val="0"/>
          <w:numId w:val="1423"/>
        </w:numPr>
        <w:pStyle w:val="Compact"/>
      </w:pPr>
      <w:r>
        <w:t xml:space="preserve">2017 · Baye E ·</w:t>
      </w:r>
      <w:r>
        <w:t xml:space="preserve"> </w:t>
      </w:r>
      <w:r>
        <w:rPr>
          <w:iCs/>
          <w:i/>
        </w:rPr>
        <w:t xml:space="preserve">BMJ Open</w:t>
      </w:r>
      <w:r>
        <w:t xml:space="preserve"> </w:t>
      </w:r>
      <w:r>
        <w:t xml:space="preserve">· Does supplementation with carnosine improve cardiometabolic health and cognitive function in patients with pre-diabetes and type 2 diabetes? study protocol for a randomised, double-blind, placebo-controlled trial. PMID 28864708</w:t>
      </w:r>
    </w:p>
    <w:p>
      <w:pPr>
        <w:numPr>
          <w:ilvl w:val="0"/>
          <w:numId w:val="1423"/>
        </w:numPr>
        <w:pStyle w:val="Compact"/>
      </w:pPr>
      <w:r>
        <w:t xml:space="preserve">2017 · Saunders B ·</w:t>
      </w:r>
      <w:r>
        <w:t xml:space="preserve"> </w:t>
      </w:r>
      <w:r>
        <w:rPr>
          <w:iCs/>
          <w:i/>
        </w:rPr>
        <w:t xml:space="preserve">Med Sci Sports Exerc</w:t>
      </w:r>
      <w:r>
        <w:t xml:space="preserve"> </w:t>
      </w:r>
      <w:r>
        <w:t xml:space="preserve">· Twenty-four Weeks of β-Alanine Supplementation on Carnosine Content, Related Genes, and Exercise. PMID 28157726</w:t>
      </w:r>
    </w:p>
    <w:p>
      <w:pPr>
        <w:numPr>
          <w:ilvl w:val="0"/>
          <w:numId w:val="1423"/>
        </w:numPr>
        <w:pStyle w:val="Compact"/>
      </w:pPr>
      <w:r>
        <w:t xml:space="preserve">2016 · de Courten B ·</w:t>
      </w:r>
      <w:r>
        <w:t xml:space="preserve"> </w:t>
      </w:r>
      <w:r>
        <w:rPr>
          <w:iCs/>
          <w:i/>
        </w:rPr>
        <w:t xml:space="preserve">Obesity (Silver Spring)</w:t>
      </w:r>
      <w:r>
        <w:t xml:space="preserve"> </w:t>
      </w:r>
      <w:r>
        <w:t xml:space="preserve">· Effects of carnosine supplementation on glucose metabolism: Pilot clinical trial. PMID 27040154</w:t>
      </w:r>
    </w:p>
    <w:p>
      <w:pPr>
        <w:numPr>
          <w:ilvl w:val="0"/>
          <w:numId w:val="1423"/>
        </w:numPr>
        <w:pStyle w:val="Compact"/>
      </w:pPr>
      <w:r>
        <w:t xml:space="preserve">2016 · Mutolo MG ·</w:t>
      </w:r>
      <w:r>
        <w:t xml:space="preserve"> </w:t>
      </w:r>
      <w:r>
        <w:rPr>
          <w:iCs/>
          <w:i/>
        </w:rPr>
        <w:t xml:space="preserve">J Ocul Pharmacol Ther</w:t>
      </w:r>
      <w:r>
        <w:t xml:space="preserve"> </w:t>
      </w:r>
      <w:r>
        <w:t xml:space="preserve">· Oral Administration of Forskolin, Homotaurine, Carnosine, and Folic Acid in Patients with Primary Open Angle Glaucoma: Changes in Intraocular Pressure, Pattern Electroretinogram Amplitude, and Foveal Sensitivity. PMID 26771282</w:t>
      </w:r>
    </w:p>
    <w:p>
      <w:pPr>
        <w:numPr>
          <w:ilvl w:val="0"/>
          <w:numId w:val="1423"/>
        </w:numPr>
        <w:pStyle w:val="Compact"/>
      </w:pPr>
      <w:r>
        <w:t xml:space="preserve">2016 · Hisatsune T ·</w:t>
      </w:r>
      <w:r>
        <w:t xml:space="preserve"> </w:t>
      </w:r>
      <w:r>
        <w:rPr>
          <w:iCs/>
          <w:i/>
        </w:rPr>
        <w:t xml:space="preserve">J Alzheimers Dis</w:t>
      </w:r>
      <w:r>
        <w:t xml:space="preserve"> </w:t>
      </w:r>
      <w:r>
        <w:t xml:space="preserve">· Effect of Anserine/Carnosine Supplementation on Verbal Episodic Memory in Elderly People. PMID 26682691</w:t>
      </w:r>
    </w:p>
    <w:p>
      <w:pPr>
        <w:numPr>
          <w:ilvl w:val="0"/>
          <w:numId w:val="1423"/>
        </w:numPr>
        <w:pStyle w:val="Compact"/>
      </w:pPr>
      <w:r>
        <w:t xml:space="preserve">2016 · Invernizzi PL ·</w:t>
      </w:r>
      <w:r>
        <w:t xml:space="preserve"> </w:t>
      </w:r>
      <w:r>
        <w:rPr>
          <w:iCs/>
          <w:i/>
        </w:rPr>
        <w:t xml:space="preserve">Int J Sports Physiol Perform</w:t>
      </w:r>
      <w:r>
        <w:t xml:space="preserve"> </w:t>
      </w:r>
      <w:r>
        <w:t xml:space="preserve">· Effects of Acute Carnosine and β-Alanine on Isometric Force and Jumping Performance. PMID 26308179</w:t>
      </w:r>
    </w:p>
    <w:p>
      <w:pPr>
        <w:numPr>
          <w:ilvl w:val="0"/>
          <w:numId w:val="1423"/>
        </w:numPr>
        <w:pStyle w:val="Compact"/>
      </w:pPr>
      <w:r>
        <w:t xml:space="preserve">2015 · Hoffman JR ·</w:t>
      </w:r>
      <w:r>
        <w:t xml:space="preserve"> </w:t>
      </w:r>
      <w:r>
        <w:rPr>
          <w:iCs/>
          <w:i/>
        </w:rPr>
        <w:t xml:space="preserve">Amino Acids</w:t>
      </w:r>
      <w:r>
        <w:t xml:space="preserve"> </w:t>
      </w:r>
      <w:r>
        <w:t xml:space="preserve">· β-Alanine ingestion increases muscle carnosine content and combat specific performance in soldiers. PMID 25510839</w:t>
      </w:r>
    </w:p>
    <w:p>
      <w:pPr>
        <w:numPr>
          <w:ilvl w:val="0"/>
          <w:numId w:val="1423"/>
        </w:numPr>
        <w:pStyle w:val="Compact"/>
      </w:pPr>
      <w:r>
        <w:t xml:space="preserve">2015 · Lombardi C ·</w:t>
      </w:r>
      <w:r>
        <w:t xml:space="preserve"> </w:t>
      </w:r>
      <w:r>
        <w:rPr>
          <w:iCs/>
          <w:i/>
        </w:rPr>
        <w:t xml:space="preserve">Nutrition</w:t>
      </w:r>
      <w:r>
        <w:t xml:space="preserve"> </w:t>
      </w:r>
      <w:r>
        <w:t xml:space="preserve">· Effects of oral administration of orodispersible levo-carnosine on quality of life and exercise performance in patients with chronic heart failure. PMID 25287762</w:t>
      </w:r>
    </w:p>
    <w:p>
      <w:pPr>
        <w:numPr>
          <w:ilvl w:val="0"/>
          <w:numId w:val="1423"/>
        </w:numPr>
        <w:pStyle w:val="Compact"/>
      </w:pPr>
      <w:r>
        <w:t xml:space="preserve">2014 · Slowinska-Lisowska M ·</w:t>
      </w:r>
      <w:r>
        <w:t xml:space="preserve"> </w:t>
      </w:r>
      <w:r>
        <w:rPr>
          <w:iCs/>
          <w:i/>
        </w:rPr>
        <w:t xml:space="preserve">Acta Physiol Hung</w:t>
      </w:r>
      <w:r>
        <w:t xml:space="preserve"> </w:t>
      </w:r>
      <w:r>
        <w:t xml:space="preserve">· Influence of l-carnosine on pro-antioxidant status in elite kayakers and canoeists. PMID 25201708</w:t>
      </w:r>
    </w:p>
    <w:p>
      <w:pPr>
        <w:numPr>
          <w:ilvl w:val="0"/>
          <w:numId w:val="1423"/>
        </w:numPr>
        <w:pStyle w:val="Compact"/>
      </w:pPr>
      <w:r>
        <w:t xml:space="preserve">2014 · Sakae K ·</w:t>
      </w:r>
      <w:r>
        <w:t xml:space="preserve"> </w:t>
      </w:r>
      <w:r>
        <w:rPr>
          <w:iCs/>
          <w:i/>
        </w:rPr>
        <w:t xml:space="preserve">Biol Trace Elem Res</w:t>
      </w:r>
      <w:r>
        <w:t xml:space="preserve"> </w:t>
      </w:r>
      <w:r>
        <w:t xml:space="preserve">· Oral treatment of pressure ulcers with polaprezinc (zinc L-carnosine complex): 8-week open-label trial. PMID 24691900</w:t>
      </w:r>
    </w:p>
    <w:p>
      <w:pPr>
        <w:numPr>
          <w:ilvl w:val="0"/>
          <w:numId w:val="1423"/>
        </w:numPr>
        <w:pStyle w:val="Compact"/>
      </w:pPr>
      <w:r>
        <w:t xml:space="preserve">2014 · Chung W ·</w:t>
      </w:r>
      <w:r>
        <w:t xml:space="preserve"> </w:t>
      </w:r>
      <w:r>
        <w:rPr>
          <w:iCs/>
          <w:i/>
        </w:rPr>
        <w:t xml:space="preserve">Int J Sport Nutr Exerc Metab</w:t>
      </w:r>
      <w:r>
        <w:t xml:space="preserve"> </w:t>
      </w:r>
      <w:r>
        <w:t xml:space="preserve">· Doubling of muscle carnosine concentration does not improve laboratory 1-hr cycling time-trial performance. PMID 24457999</w:t>
      </w:r>
    </w:p>
    <w:p>
      <w:pPr>
        <w:numPr>
          <w:ilvl w:val="0"/>
          <w:numId w:val="1423"/>
        </w:numPr>
        <w:pStyle w:val="Compact"/>
      </w:pPr>
      <w:r>
        <w:t xml:space="preserve">2013 · Baraniuk JN ·</w:t>
      </w:r>
      <w:r>
        <w:t xml:space="preserve"> </w:t>
      </w:r>
      <w:r>
        <w:rPr>
          <w:iCs/>
          <w:i/>
        </w:rPr>
        <w:t xml:space="preserve">Glob J Health Sci</w:t>
      </w:r>
      <w:r>
        <w:t xml:space="preserve"> </w:t>
      </w:r>
      <w:r>
        <w:t xml:space="preserve">· Carnosine treatment for gulf war illness: a randomized controlled trial. PMID 23618477</w:t>
      </w:r>
    </w:p>
    <w:p>
      <w:pPr>
        <w:numPr>
          <w:ilvl w:val="0"/>
          <w:numId w:val="1423"/>
        </w:numPr>
        <w:pStyle w:val="Compact"/>
      </w:pPr>
      <w:r>
        <w:t xml:space="preserve">2012 · del Favero S ·</w:t>
      </w:r>
      <w:r>
        <w:t xml:space="preserve"> </w:t>
      </w:r>
      <w:r>
        <w:rPr>
          <w:iCs/>
          <w:i/>
        </w:rPr>
        <w:t xml:space="preserve">Amino Acids</w:t>
      </w:r>
      <w:r>
        <w:t xml:space="preserve"> </w:t>
      </w:r>
      <w:r>
        <w:t xml:space="preserve">· Beta-alanine (Carnosyn™) supplementation in elderly subjects (60-80 years): effects on muscle carnosine content and physical capacity. PMID 22143432</w:t>
      </w:r>
    </w:p>
    <w:p>
      <w:pPr>
        <w:numPr>
          <w:ilvl w:val="0"/>
          <w:numId w:val="1423"/>
        </w:numPr>
        <w:pStyle w:val="Compact"/>
      </w:pPr>
      <w:r>
        <w:t xml:space="preserve">2012 · Stellingwerff T ·</w:t>
      </w:r>
      <w:r>
        <w:t xml:space="preserve"> </w:t>
      </w:r>
      <w:r>
        <w:rPr>
          <w:iCs/>
          <w:i/>
        </w:rPr>
        <w:t xml:space="preserve">Amino Acids</w:t>
      </w:r>
      <w:r>
        <w:t xml:space="preserve"> </w:t>
      </w:r>
      <w:r>
        <w:t xml:space="preserve">· Effect of two β-alanine dosing protocols on muscle carnosine synthesis and washout. PMID 21847611</w:t>
      </w:r>
    </w:p>
    <w:p>
      <w:pPr>
        <w:numPr>
          <w:ilvl w:val="0"/>
          <w:numId w:val="1423"/>
        </w:numPr>
        <w:pStyle w:val="Compact"/>
      </w:pPr>
      <w:r>
        <w:t xml:space="preserve">2012 · Babizhayev MA ·</w:t>
      </w:r>
      <w:r>
        <w:t xml:space="preserve"> </w:t>
      </w:r>
      <w:r>
        <w:rPr>
          <w:iCs/>
          <w:i/>
        </w:rPr>
        <w:t xml:space="preserve">J Dermatolog Treat</w:t>
      </w:r>
      <w:r>
        <w:t xml:space="preserve"> </w:t>
      </w:r>
      <w:r>
        <w:t xml:space="preserve">· Skin beautification with oral non-hydrolized versions of carnosine and carcinine: Effective therapeutic management and cosmetic skincare solutions against oxidative glycation and free-radical production as a causal mechanism of diabetic complications and skin aging. PMID 21756141</w:t>
      </w:r>
    </w:p>
    <w:p>
      <w:pPr>
        <w:numPr>
          <w:ilvl w:val="0"/>
          <w:numId w:val="1423"/>
        </w:numPr>
        <w:pStyle w:val="Compact"/>
      </w:pPr>
      <w:r>
        <w:t xml:space="preserve">2011 · Gualano B ·</w:t>
      </w:r>
      <w:r>
        <w:t xml:space="preserve"> </w:t>
      </w:r>
      <w:r>
        <w:rPr>
          <w:iCs/>
          <w:i/>
        </w:rPr>
        <w:t xml:space="preserve">Appl Physiol Nutr Metab</w:t>
      </w:r>
      <w:r>
        <w:t xml:space="preserve"> </w:t>
      </w:r>
      <w:r>
        <w:t xml:space="preserve">· Creatine supplementation does not augment muscle carnosine content in type 2 diabetic patients. PMID 21999299</w:t>
      </w:r>
    </w:p>
    <w:p>
      <w:pPr>
        <w:numPr>
          <w:ilvl w:val="0"/>
          <w:numId w:val="1423"/>
        </w:numPr>
        <w:pStyle w:val="Compact"/>
      </w:pPr>
      <w:r>
        <w:t xml:space="preserve">2011 · Goto K ·</w:t>
      </w:r>
      <w:r>
        <w:t xml:space="preserve"> </w:t>
      </w:r>
      <w:r>
        <w:rPr>
          <w:iCs/>
          <w:i/>
        </w:rPr>
        <w:t xml:space="preserve">J Strength Cond Res</w:t>
      </w:r>
      <w:r>
        <w:t xml:space="preserve"> </w:t>
      </w:r>
      <w:r>
        <w:t xml:space="preserve">· Hormonal responses to resistance exercise after ingestion of carnosine and anserine. PMID 20224451</w:t>
      </w:r>
    </w:p>
    <w:p>
      <w:pPr>
        <w:numPr>
          <w:ilvl w:val="0"/>
          <w:numId w:val="1423"/>
        </w:numPr>
        <w:pStyle w:val="Compact"/>
      </w:pPr>
      <w:r>
        <w:t xml:space="preserve">2010 · Baguet A ·</w:t>
      </w:r>
      <w:r>
        <w:t xml:space="preserve"> </w:t>
      </w:r>
      <w:r>
        <w:rPr>
          <w:iCs/>
          <w:i/>
        </w:rPr>
        <w:t xml:space="preserve">J Appl Physiol (1985)</w:t>
      </w:r>
      <w:r>
        <w:t xml:space="preserve"> </w:t>
      </w:r>
      <w:r>
        <w:t xml:space="preserve">· Important role of muscle carnosine in rowing performance. PMID 20671038</w:t>
      </w:r>
    </w:p>
    <w:p>
      <w:pPr>
        <w:numPr>
          <w:ilvl w:val="0"/>
          <w:numId w:val="1423"/>
        </w:numPr>
        <w:pStyle w:val="Compact"/>
      </w:pPr>
      <w:r>
        <w:t xml:space="preserve">2009 · Kendrick IP ·</w:t>
      </w:r>
      <w:r>
        <w:t xml:space="preserve"> </w:t>
      </w:r>
      <w:r>
        <w:rPr>
          <w:iCs/>
          <w:i/>
        </w:rPr>
        <w:t xml:space="preserve">Eur J Appl Physiol</w:t>
      </w:r>
      <w:r>
        <w:t xml:space="preserve"> </w:t>
      </w:r>
      <w:r>
        <w:t xml:space="preserve">· The effect of 4 weeks beta-alanine supplementation and isokinetic training on carnosine concentrations in type I and II human skeletal muscle fibres. PMID 19214556</w:t>
      </w:r>
    </w:p>
    <w:p>
      <w:pPr>
        <w:numPr>
          <w:ilvl w:val="0"/>
          <w:numId w:val="1423"/>
        </w:numPr>
        <w:pStyle w:val="Compact"/>
      </w:pPr>
      <w:r>
        <w:t xml:space="preserve">2009 · Kairaluoma L ·</w:t>
      </w:r>
      <w:r>
        <w:t xml:space="preserve"> </w:t>
      </w:r>
      <w:r>
        <w:rPr>
          <w:iCs/>
          <w:i/>
        </w:rPr>
        <w:t xml:space="preserve">Child Care Health Dev</w:t>
      </w:r>
      <w:r>
        <w:t xml:space="preserve"> </w:t>
      </w:r>
      <w:r>
        <w:t xml:space="preserve">· Do fatty acids help in overcoming reading difficulties? A double-blind, placebo-controlled study of the effects of eicosapentaenoic acid and carnosine supplementation on children with dyslexia. PMID 18991979</w:t>
      </w:r>
    </w:p>
    <w:p>
      <w:pPr>
        <w:numPr>
          <w:ilvl w:val="0"/>
          <w:numId w:val="1423"/>
        </w:numPr>
        <w:pStyle w:val="Compact"/>
      </w:pPr>
      <w:r>
        <w:t xml:space="preserve">2007 · Derave W ·</w:t>
      </w:r>
      <w:r>
        <w:t xml:space="preserve"> </w:t>
      </w:r>
      <w:r>
        <w:rPr>
          <w:iCs/>
          <w:i/>
        </w:rPr>
        <w:t xml:space="preserve">J Appl Physiol (1985)</w:t>
      </w:r>
      <w:r>
        <w:t xml:space="preserve"> </w:t>
      </w:r>
      <w:r>
        <w:t xml:space="preserve">· beta-Alanine supplementation augments muscle carnosine content and attenuates fatigue during repeated isokinetic contraction bouts in trained sprinters. PMID 17690198</w:t>
      </w:r>
    </w:p>
    <w:p>
      <w:pPr>
        <w:numPr>
          <w:ilvl w:val="0"/>
          <w:numId w:val="1423"/>
        </w:numPr>
        <w:pStyle w:val="Compact"/>
      </w:pPr>
      <w:r>
        <w:t xml:space="preserve">2007 · Mahmood A ·</w:t>
      </w:r>
      <w:r>
        <w:t xml:space="preserve"> </w:t>
      </w:r>
      <w:r>
        <w:rPr>
          <w:iCs/>
          <w:i/>
        </w:rPr>
        <w:t xml:space="preserve">Gut</w:t>
      </w:r>
      <w:r>
        <w:t xml:space="preserve"> </w:t>
      </w:r>
      <w:r>
        <w:t xml:space="preserve">· Zinc carnosine, a health food supplement that stabilises small bowel integrity and stimulates gut repair processes. PMID 16777920</w:t>
      </w:r>
    </w:p>
    <w:p>
      <w:pPr>
        <w:numPr>
          <w:ilvl w:val="0"/>
          <w:numId w:val="1423"/>
        </w:numPr>
        <w:pStyle w:val="Compact"/>
      </w:pPr>
      <w:r>
        <w:t xml:space="preserve">2006 · Harris RC ·</w:t>
      </w:r>
      <w:r>
        <w:t xml:space="preserve"> </w:t>
      </w:r>
      <w:r>
        <w:rPr>
          <w:iCs/>
          <w:i/>
        </w:rPr>
        <w:t xml:space="preserve">Amino Acids</w:t>
      </w:r>
      <w:r>
        <w:t xml:space="preserve"> </w:t>
      </w:r>
      <w:r>
        <w:t xml:space="preserve">· The absorption of orally supplied beta-alanine and its effect on muscle carnosine synthesis in human vastus lateralis. PMID 16554972</w:t>
      </w:r>
    </w:p>
    <w:p>
      <w:pPr>
        <w:numPr>
          <w:ilvl w:val="0"/>
          <w:numId w:val="1423"/>
        </w:numPr>
        <w:pStyle w:val="Compact"/>
      </w:pPr>
      <w:r>
        <w:t xml:space="preserve">2006 · Suzuki Y ·</w:t>
      </w:r>
      <w:r>
        <w:t xml:space="preserve"> </w:t>
      </w:r>
      <w:r>
        <w:rPr>
          <w:iCs/>
          <w:i/>
        </w:rPr>
        <w:t xml:space="preserve">Med Sci Sports Exerc</w:t>
      </w:r>
      <w:r>
        <w:t xml:space="preserve"> </w:t>
      </w:r>
      <w:r>
        <w:t xml:space="preserve">· Carnosine and anserine ingestion enhances contribution of nonbicarbonate buffering. PMID 16531904</w:t>
      </w:r>
    </w:p>
    <w:p>
      <w:pPr>
        <w:numPr>
          <w:ilvl w:val="0"/>
          <w:numId w:val="1423"/>
        </w:numPr>
        <w:pStyle w:val="Compact"/>
      </w:pPr>
      <w:r>
        <w:t xml:space="preserve">2002 · Chez MG ·</w:t>
      </w:r>
      <w:r>
        <w:t xml:space="preserve"> </w:t>
      </w:r>
      <w:r>
        <w:rPr>
          <w:iCs/>
          <w:i/>
        </w:rPr>
        <w:t xml:space="preserve">J Child Neurol</w:t>
      </w:r>
      <w:r>
        <w:t xml:space="preserve"> </w:t>
      </w:r>
      <w:r>
        <w:t xml:space="preserve">· Double-blind, placebo-controlled study of L-carnosine supplementation in children with autistic spectrum disorders. PMID 12585724</w:t>
      </w:r>
    </w:p>
    <w:bookmarkEnd w:id="3067"/>
    <w:bookmarkStart w:id="3068" w:name="ghk-cu-peptide-de-cuivre-1"/>
    <w:p>
      <w:pPr>
        <w:pStyle w:val="Heading2"/>
      </w:pPr>
      <w:r>
        <w:t xml:space="preserve">GHK-Cu (peptide de cuivre) (1)</w:t>
      </w:r>
    </w:p>
    <w:p>
      <w:pPr>
        <w:numPr>
          <w:ilvl w:val="0"/>
          <w:numId w:val="1424"/>
        </w:numPr>
        <w:pStyle w:val="Compact"/>
      </w:pPr>
      <w:r>
        <w:t xml:space="preserve">2006 · Miller TR ·</w:t>
      </w:r>
      <w:r>
        <w:t xml:space="preserve"> </w:t>
      </w:r>
      <w:r>
        <w:rPr>
          <w:iCs/>
          <w:i/>
        </w:rPr>
        <w:t xml:space="preserve">Arch Facial Plast Surg</w:t>
      </w:r>
      <w:r>
        <w:t xml:space="preserve"> </w:t>
      </w:r>
      <w:r>
        <w:t xml:space="preserve">· Effects of topical copper tripeptide complex on CO2 laser-resurfaced skin. PMID 16847171</w:t>
      </w:r>
    </w:p>
    <w:bookmarkEnd w:id="3068"/>
    <w:bookmarkStart w:id="3069" w:name="palmitoyl-pentapeptide-4-matrixyl-1"/>
    <w:p>
      <w:pPr>
        <w:pStyle w:val="Heading2"/>
      </w:pPr>
      <w:r>
        <w:t xml:space="preserve">Palmitoyl pentapeptide-4 (Matrixyl) (1)</w:t>
      </w:r>
    </w:p>
    <w:p>
      <w:pPr>
        <w:numPr>
          <w:ilvl w:val="0"/>
          <w:numId w:val="1425"/>
        </w:numPr>
        <w:pStyle w:val="Compact"/>
      </w:pPr>
      <w:r>
        <w:t xml:space="preserve">2004 · Röper B ·</w:t>
      </w:r>
      <w:r>
        <w:t xml:space="preserve"> </w:t>
      </w:r>
      <w:r>
        <w:rPr>
          <w:iCs/>
          <w:i/>
        </w:rPr>
        <w:t xml:space="preserve">Strahlenther Onkol</w:t>
      </w:r>
      <w:r>
        <w:t xml:space="preserve"> </w:t>
      </w:r>
      <w:r>
        <w:t xml:space="preserve">· Thêta-Cream versus Bepanthol lotion in breast cancer patients under radiotherapy. A new prophylactic agent in skin care?. PMID 15127162</w:t>
      </w:r>
    </w:p>
    <w:bookmarkEnd w:id="3069"/>
    <w:bookmarkStart w:id="3070" w:name="acétyl-hexapeptide-8-argireline-3"/>
    <w:p>
      <w:pPr>
        <w:pStyle w:val="Heading2"/>
      </w:pPr>
      <w:r>
        <w:t xml:space="preserve">Acétyl hexapeptide-8 (Argireline) (3)</w:t>
      </w:r>
    </w:p>
    <w:p>
      <w:pPr>
        <w:numPr>
          <w:ilvl w:val="0"/>
          <w:numId w:val="1426"/>
        </w:numPr>
        <w:pStyle w:val="Compact"/>
      </w:pPr>
      <w:r>
        <w:t xml:space="preserve">2017 · Raikou V ·</w:t>
      </w:r>
      <w:r>
        <w:t xml:space="preserve"> </w:t>
      </w:r>
      <w:r>
        <w:rPr>
          <w:iCs/>
          <w:i/>
        </w:rPr>
        <w:t xml:space="preserve">J Cosmet Dermatol</w:t>
      </w:r>
      <w:r>
        <w:t xml:space="preserve"> </w:t>
      </w:r>
      <w:r>
        <w:t xml:space="preserve">· The efficacy study of the combination of tripeptide-10-citrulline and acetyl hexapeptide-3. A prospective, randomized controlled study. PMID 28150423</w:t>
      </w:r>
    </w:p>
    <w:p>
      <w:pPr>
        <w:numPr>
          <w:ilvl w:val="0"/>
          <w:numId w:val="1426"/>
        </w:numPr>
        <w:pStyle w:val="Compact"/>
      </w:pPr>
      <w:r>
        <w:t xml:space="preserve">2013 · Wang Y ·</w:t>
      </w:r>
      <w:r>
        <w:t xml:space="preserve"> </w:t>
      </w:r>
      <w:r>
        <w:rPr>
          <w:iCs/>
          <w:i/>
        </w:rPr>
        <w:t xml:space="preserve">Am J Clin Dermatol</w:t>
      </w:r>
      <w:r>
        <w:t xml:space="preserve"> </w:t>
      </w:r>
      <w:r>
        <w:t xml:space="preserve">· The anti-wrinkle efficacy of argireline, a synthetic hexapeptide, in Chinese subjects: a randomized, placebo-controlled study. PMID 23417317</w:t>
      </w:r>
    </w:p>
    <w:p>
      <w:pPr>
        <w:numPr>
          <w:ilvl w:val="0"/>
          <w:numId w:val="1426"/>
        </w:numPr>
        <w:pStyle w:val="Compact"/>
      </w:pPr>
      <w:r>
        <w:t xml:space="preserve">2013 · Lungu C ·</w:t>
      </w:r>
      <w:r>
        <w:t xml:space="preserve"> </w:t>
      </w:r>
      <w:r>
        <w:rPr>
          <w:iCs/>
          <w:i/>
        </w:rPr>
        <w:t xml:space="preserve">Eur J Neurol</w:t>
      </w:r>
      <w:r>
        <w:t xml:space="preserve"> </w:t>
      </w:r>
      <w:r>
        <w:t xml:space="preserve">· Pilot study of topical acetyl hexapeptide-8 in the treatment for blepharospasm in patients receiving botulinum toxin therapy. PMID 23146065</w:t>
      </w:r>
    </w:p>
    <w:bookmarkEnd w:id="3070"/>
    <w:bookmarkEnd w:id="30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9">
    <w:p>
      <w:pPr>
        <w:pStyle w:val="FootnoteText"/>
      </w:pPr>
      <w:r>
        <w:rPr>
          <w:rStyle w:val="FootnoteReference"/>
        </w:rPr>
        <w:footnoteRef/>
      </w:r>
      <w:r>
        <w:t xml:space="preserve"> </w:t>
      </w:r>
      <w:r>
        <w:t xml:space="preserve">Krug 2018, PMID 29864719.</w:t>
      </w:r>
    </w:p>
  </w:footnote>
  <w:footnote w:id="40">
    <w:p>
      <w:pPr>
        <w:pStyle w:val="FootnoteText"/>
      </w:pPr>
      <w:r>
        <w:rPr>
          <w:rStyle w:val="FootnoteReference"/>
        </w:rPr>
        <w:footnoteRef/>
      </w:r>
      <w:r>
        <w:t xml:space="preserve"> </w:t>
      </w:r>
      <w:r>
        <w:t xml:space="preserve">Eng 1992, PMID 1313797.</w:t>
      </w:r>
    </w:p>
  </w:footnote>
  <w:footnote w:id="42">
    <w:p>
      <w:pPr>
        <w:pStyle w:val="FootnoteText"/>
      </w:pPr>
      <w:r>
        <w:rPr>
          <w:rStyle w:val="FootnoteReference"/>
        </w:rPr>
        <w:footnoteRef/>
      </w:r>
      <w:r>
        <w:t xml:space="preserve"> </w:t>
      </w:r>
      <w:r>
        <w:t xml:space="preserve">Knudsen 2019, PMID 31031702.</w:t>
      </w:r>
    </w:p>
  </w:footnote>
  <w:footnote w:id="44">
    <w:p>
      <w:pPr>
        <w:pStyle w:val="FootnoteText"/>
      </w:pPr>
      <w:r>
        <w:rPr>
          <w:rStyle w:val="FootnoteReference"/>
        </w:rPr>
        <w:footnoteRef/>
      </w:r>
      <w:r>
        <w:t xml:space="preserve"> </w:t>
      </w:r>
      <w:r>
        <w:t xml:space="preserve">Deacon 1995, PMID 7883856.</w:t>
      </w:r>
    </w:p>
  </w:footnote>
  <w:footnote w:id="45">
    <w:p>
      <w:pPr>
        <w:pStyle w:val="FootnoteText"/>
      </w:pPr>
      <w:r>
        <w:rPr>
          <w:rStyle w:val="FootnoteReference"/>
        </w:rPr>
        <w:footnoteRef/>
      </w:r>
      <w:r>
        <w:t xml:space="preserve"> </w:t>
      </w:r>
      <w:r>
        <w:t xml:space="preserve">Lau 2015, PMID 26308095.</w:t>
      </w:r>
    </w:p>
  </w:footnote>
  <w:footnote w:id="46">
    <w:p>
      <w:pPr>
        <w:pStyle w:val="FootnoteText"/>
      </w:pPr>
      <w:r>
        <w:rPr>
          <w:rStyle w:val="FootnoteReference"/>
        </w:rPr>
        <w:footnoteRef/>
      </w:r>
      <w:r>
        <w:t xml:space="preserve"> </w:t>
      </w:r>
      <w:r>
        <w:t xml:space="preserve">Marso 2016, PMID 27633186.</w:t>
      </w:r>
    </w:p>
  </w:footnote>
  <w:footnote w:id="48">
    <w:p>
      <w:pPr>
        <w:pStyle w:val="FootnoteText"/>
      </w:pPr>
      <w:r>
        <w:rPr>
          <w:rStyle w:val="FootnoteReference"/>
        </w:rPr>
        <w:footnoteRef/>
      </w:r>
      <w:r>
        <w:t xml:space="preserve"> </w:t>
      </w:r>
      <w:r>
        <w:t xml:space="preserve">Merrifield 1969, PMID 4307033.</w:t>
      </w:r>
    </w:p>
  </w:footnote>
  <w:footnote w:id="49">
    <w:p>
      <w:pPr>
        <w:pStyle w:val="FootnoteText"/>
      </w:pPr>
      <w:r>
        <w:rPr>
          <w:rStyle w:val="FootnoteReference"/>
        </w:rPr>
        <w:footnoteRef/>
      </w:r>
      <w:r>
        <w:t xml:space="preserve"> </w:t>
      </w:r>
      <w:r>
        <w:t xml:space="preserve">The 1989, PMID 2690608.</w:t>
      </w:r>
    </w:p>
  </w:footnote>
  <w:footnote w:id="50">
    <w:p>
      <w:pPr>
        <w:pStyle w:val="FootnoteText"/>
      </w:pPr>
      <w:r>
        <w:rPr>
          <w:rStyle w:val="FootnoteReference"/>
        </w:rPr>
        <w:footnoteRef/>
      </w:r>
      <w:r>
        <w:t xml:space="preserve"> </w:t>
      </w:r>
      <w:r>
        <w:t xml:space="preserve">Hach 2024, PMID 39379664.</w:t>
      </w:r>
    </w:p>
  </w:footnote>
  <w:footnote w:id="52">
    <w:p>
      <w:pPr>
        <w:pStyle w:val="FootnoteText"/>
      </w:pPr>
      <w:r>
        <w:rPr>
          <w:rStyle w:val="FootnoteReference"/>
        </w:rPr>
        <w:footnoteRef/>
      </w:r>
      <w:r>
        <w:t xml:space="preserve"> </w:t>
      </w:r>
      <w:r>
        <w:t xml:space="preserve">Muttenthaler 2021, PMID 33536635.</w:t>
      </w:r>
    </w:p>
  </w:footnote>
  <w:footnote w:id="53">
    <w:p>
      <w:pPr>
        <w:pStyle w:val="FootnoteText"/>
      </w:pPr>
      <w:r>
        <w:rPr>
          <w:rStyle w:val="FootnoteReference"/>
        </w:rPr>
        <w:footnoteRef/>
      </w:r>
      <w:r>
        <w:t xml:space="preserve"> </w:t>
      </w:r>
      <w:r>
        <w:t xml:space="preserve">Lau 2018, PMID 28720325.</w:t>
      </w:r>
    </w:p>
  </w:footnote>
  <w:footnote w:id="55">
    <w:p>
      <w:pPr>
        <w:pStyle w:val="FootnoteText"/>
      </w:pPr>
      <w:r>
        <w:rPr>
          <w:rStyle w:val="FootnoteReference"/>
        </w:rPr>
        <w:footnoteRef/>
      </w:r>
      <w:r>
        <w:t xml:space="preserve"> </w:t>
      </w:r>
      <w:r>
        <w:t xml:space="preserve">Cox 2017, PMID 28035768.</w:t>
      </w:r>
    </w:p>
  </w:footnote>
  <w:footnote w:id="58">
    <w:p>
      <w:pPr>
        <w:pStyle w:val="FootnoteText"/>
      </w:pPr>
      <w:r>
        <w:rPr>
          <w:rStyle w:val="FootnoteReference"/>
        </w:rPr>
        <w:footnoteRef/>
      </w:r>
      <w:r>
        <w:t xml:space="preserve"> </w:t>
      </w:r>
      <w:r>
        <w:t xml:space="preserve">Wilding 2021, PMID 33567185.</w:t>
      </w:r>
    </w:p>
  </w:footnote>
  <w:footnote w:id="59">
    <w:p>
      <w:pPr>
        <w:pStyle w:val="FootnoteText"/>
      </w:pPr>
      <w:r>
        <w:rPr>
          <w:rStyle w:val="FootnoteReference"/>
        </w:rPr>
        <w:footnoteRef/>
      </w:r>
      <w:r>
        <w:t xml:space="preserve"> </w:t>
      </w:r>
      <w:r>
        <w:t xml:space="preserve">Hailu 2026, PMID 42437212.</w:t>
      </w:r>
    </w:p>
  </w:footnote>
  <w:footnote w:id="64">
    <w:p>
      <w:pPr>
        <w:pStyle w:val="FootnoteText"/>
      </w:pPr>
      <w:r>
        <w:rPr>
          <w:rStyle w:val="FootnoteReference"/>
        </w:rPr>
        <w:footnoteRef/>
      </w:r>
      <w:r>
        <w:t xml:space="preserve"> </w:t>
      </w:r>
      <w:r>
        <w:t xml:space="preserve">Banting 1922, PMID 20314060.</w:t>
      </w:r>
    </w:p>
  </w:footnote>
  <w:footnote w:id="65">
    <w:p>
      <w:pPr>
        <w:pStyle w:val="FootnoteText"/>
      </w:pPr>
      <w:r>
        <w:rPr>
          <w:rStyle w:val="FootnoteReference"/>
        </w:rPr>
        <w:footnoteRef/>
      </w:r>
      <w:r>
        <w:t xml:space="preserve"> </w:t>
      </w:r>
      <w:r>
        <w:t xml:space="preserve">Sims 2021, PMID 34267380.</w:t>
      </w:r>
    </w:p>
  </w:footnote>
  <w:footnote w:id="66">
    <w:p>
      <w:pPr>
        <w:pStyle w:val="FootnoteText"/>
      </w:pPr>
      <w:r>
        <w:rPr>
          <w:rStyle w:val="FootnoteReference"/>
        </w:rPr>
        <w:footnoteRef/>
      </w:r>
      <w:r>
        <w:t xml:space="preserve"> </w:t>
      </w:r>
      <w:r>
        <w:t xml:space="preserve">Owens 2022, PMID 34708913.</w:t>
      </w:r>
    </w:p>
  </w:footnote>
  <w:footnote w:id="68">
    <w:p>
      <w:pPr>
        <w:pStyle w:val="FootnoteText"/>
      </w:pPr>
      <w:r>
        <w:rPr>
          <w:rStyle w:val="FootnoteReference"/>
        </w:rPr>
        <w:footnoteRef/>
      </w:r>
      <w:r>
        <w:t xml:space="preserve"> </w:t>
      </w:r>
      <w:r>
        <w:t xml:space="preserve">Sanger 1952, PMID 13018185.</w:t>
      </w:r>
    </w:p>
  </w:footnote>
  <w:footnote w:id="69">
    <w:p>
      <w:pPr>
        <w:pStyle w:val="FootnoteText"/>
      </w:pPr>
      <w:r>
        <w:rPr>
          <w:rStyle w:val="FootnoteReference"/>
        </w:rPr>
        <w:footnoteRef/>
      </w:r>
      <w:r>
        <w:t xml:space="preserve"> </w:t>
      </w:r>
      <w:r>
        <w:t xml:space="preserve">Merrifield 1969, PMID 4307033.</w:t>
      </w:r>
    </w:p>
  </w:footnote>
  <w:footnote w:id="71">
    <w:p>
      <w:pPr>
        <w:pStyle w:val="FootnoteText"/>
      </w:pPr>
      <w:r>
        <w:rPr>
          <w:rStyle w:val="FootnoteReference"/>
        </w:rPr>
        <w:footnoteRef/>
      </w:r>
      <w:r>
        <w:t xml:space="preserve"> </w:t>
      </w:r>
      <w:r>
        <w:t xml:space="preserve">Yalow 1960, PMID 13846364.</w:t>
      </w:r>
    </w:p>
  </w:footnote>
  <w:footnote w:id="73">
    <w:p>
      <w:pPr>
        <w:pStyle w:val="FootnoteText"/>
      </w:pPr>
      <w:r>
        <w:rPr>
          <w:rStyle w:val="FootnoteReference"/>
        </w:rPr>
        <w:footnoteRef/>
      </w:r>
      <w:r>
        <w:t xml:space="preserve"> </w:t>
      </w:r>
      <w:r>
        <w:t xml:space="preserve">Ranke 2018, PMID 29546874.</w:t>
      </w:r>
    </w:p>
  </w:footnote>
  <w:footnote w:id="74">
    <w:p>
      <w:pPr>
        <w:pStyle w:val="FootnoteText"/>
      </w:pPr>
      <w:r>
        <w:rPr>
          <w:rStyle w:val="FootnoteReference"/>
        </w:rPr>
        <w:footnoteRef/>
      </w:r>
      <w:r>
        <w:t xml:space="preserve"> </w:t>
      </w:r>
      <w:r>
        <w:t xml:space="preserve">The 1989, PMID 2690608.</w:t>
      </w:r>
    </w:p>
  </w:footnote>
  <w:footnote w:id="75">
    <w:p>
      <w:pPr>
        <w:pStyle w:val="FootnoteText"/>
      </w:pPr>
      <w:r>
        <w:rPr>
          <w:rStyle w:val="FootnoteReference"/>
        </w:rPr>
        <w:footnoteRef/>
      </w:r>
      <w:r>
        <w:t xml:space="preserve"> </w:t>
      </w:r>
      <w:r>
        <w:t xml:space="preserve">Neer 2001, PMID 11346808.</w:t>
      </w:r>
    </w:p>
  </w:footnote>
  <w:footnote w:id="77">
    <w:p>
      <w:pPr>
        <w:pStyle w:val="FootnoteText"/>
      </w:pPr>
      <w:r>
        <w:rPr>
          <w:rStyle w:val="FootnoteReference"/>
        </w:rPr>
        <w:footnoteRef/>
      </w:r>
      <w:r>
        <w:t xml:space="preserve"> </w:t>
      </w:r>
      <w:r>
        <w:t xml:space="preserve">Kreymann 1987, PMID 2890903.</w:t>
      </w:r>
    </w:p>
  </w:footnote>
  <w:footnote w:id="78">
    <w:p>
      <w:pPr>
        <w:pStyle w:val="FootnoteText"/>
      </w:pPr>
      <w:r>
        <w:rPr>
          <w:rStyle w:val="FootnoteReference"/>
        </w:rPr>
        <w:footnoteRef/>
      </w:r>
      <w:r>
        <w:t xml:space="preserve"> </w:t>
      </w:r>
      <w:r>
        <w:t xml:space="preserve">Deacon 1995, PMID 7883856.</w:t>
      </w:r>
    </w:p>
  </w:footnote>
  <w:footnote w:id="80">
    <w:p>
      <w:pPr>
        <w:pStyle w:val="FootnoteText"/>
      </w:pPr>
      <w:r>
        <w:rPr>
          <w:rStyle w:val="FootnoteReference"/>
        </w:rPr>
        <w:footnoteRef/>
      </w:r>
      <w:r>
        <w:t xml:space="preserve"> </w:t>
      </w:r>
      <w:r>
        <w:t xml:space="preserve">Eng 1992, PMID 1313797.</w:t>
      </w:r>
    </w:p>
  </w:footnote>
  <w:footnote w:id="81">
    <w:p>
      <w:pPr>
        <w:pStyle w:val="FootnoteText"/>
      </w:pPr>
      <w:r>
        <w:rPr>
          <w:rStyle w:val="FootnoteReference"/>
        </w:rPr>
        <w:footnoteRef/>
      </w:r>
      <w:r>
        <w:t xml:space="preserve"> </w:t>
      </w:r>
      <w:r>
        <w:t xml:space="preserve">DeFronzo 2005, PMID 15855572.</w:t>
      </w:r>
    </w:p>
  </w:footnote>
  <w:footnote w:id="83">
    <w:p>
      <w:pPr>
        <w:pStyle w:val="FootnoteText"/>
      </w:pPr>
      <w:r>
        <w:rPr>
          <w:rStyle w:val="FootnoteReference"/>
        </w:rPr>
        <w:footnoteRef/>
      </w:r>
      <w:r>
        <w:t xml:space="preserve"> </w:t>
      </w:r>
      <w:r>
        <w:t xml:space="preserve">Knudsen 2019, PMID 31031702.</w:t>
      </w:r>
    </w:p>
  </w:footnote>
  <w:footnote w:id="84">
    <w:p>
      <w:pPr>
        <w:pStyle w:val="FootnoteText"/>
      </w:pPr>
      <w:r>
        <w:rPr>
          <w:rStyle w:val="FootnoteReference"/>
        </w:rPr>
        <w:footnoteRef/>
      </w:r>
      <w:r>
        <w:t xml:space="preserve"> </w:t>
      </w:r>
      <w:r>
        <w:t xml:space="preserve">Pi-Sunyer 2015, PMID 26132939.</w:t>
      </w:r>
    </w:p>
  </w:footnote>
  <w:footnote w:id="85">
    <w:p>
      <w:pPr>
        <w:pStyle w:val="FootnoteText"/>
      </w:pPr>
      <w:r>
        <w:rPr>
          <w:rStyle w:val="FootnoteReference"/>
        </w:rPr>
        <w:footnoteRef/>
      </w:r>
      <w:r>
        <w:t xml:space="preserve"> </w:t>
      </w:r>
      <w:r>
        <w:t xml:space="preserve">Lau 2015, PMID 26308095.</w:t>
      </w:r>
    </w:p>
  </w:footnote>
  <w:footnote w:id="86">
    <w:p>
      <w:pPr>
        <w:pStyle w:val="FootnoteText"/>
      </w:pPr>
      <w:r>
        <w:rPr>
          <w:rStyle w:val="FootnoteReference"/>
        </w:rPr>
        <w:footnoteRef/>
      </w:r>
      <w:r>
        <w:t xml:space="preserve"> </w:t>
      </w:r>
      <w:r>
        <w:t xml:space="preserve">Wilding 2021, PMID 33567185.</w:t>
      </w:r>
    </w:p>
  </w:footnote>
  <w:footnote w:id="88">
    <w:p>
      <w:pPr>
        <w:pStyle w:val="FootnoteText"/>
      </w:pPr>
      <w:r>
        <w:rPr>
          <w:rStyle w:val="FootnoteReference"/>
        </w:rPr>
        <w:footnoteRef/>
      </w:r>
      <w:r>
        <w:t xml:space="preserve"> </w:t>
      </w:r>
      <w:r>
        <w:t xml:space="preserve">Marso 2016, PMID 27295427.</w:t>
      </w:r>
    </w:p>
  </w:footnote>
  <w:footnote w:id="89">
    <w:p>
      <w:pPr>
        <w:pStyle w:val="FootnoteText"/>
      </w:pPr>
      <w:r>
        <w:rPr>
          <w:rStyle w:val="FootnoteReference"/>
        </w:rPr>
        <w:footnoteRef/>
      </w:r>
      <w:r>
        <w:t xml:space="preserve"> </w:t>
      </w:r>
      <w:r>
        <w:t xml:space="preserve">Marso 2016, PMID 27633186.</w:t>
      </w:r>
    </w:p>
  </w:footnote>
  <w:footnote w:id="90">
    <w:p>
      <w:pPr>
        <w:pStyle w:val="FootnoteText"/>
      </w:pPr>
      <w:r>
        <w:rPr>
          <w:rStyle w:val="FootnoteReference"/>
        </w:rPr>
        <w:footnoteRef/>
      </w:r>
      <w:r>
        <w:t xml:space="preserve"> </w:t>
      </w:r>
      <w:r>
        <w:t xml:space="preserve">Lincoff 2023, PMID 37952131.</w:t>
      </w:r>
    </w:p>
  </w:footnote>
  <w:footnote w:id="92">
    <w:p>
      <w:pPr>
        <w:pStyle w:val="FootnoteText"/>
      </w:pPr>
      <w:r>
        <w:rPr>
          <w:rStyle w:val="FootnoteReference"/>
        </w:rPr>
        <w:footnoteRef/>
      </w:r>
      <w:r>
        <w:t xml:space="preserve"> </w:t>
      </w:r>
      <w:r>
        <w:t xml:space="preserve">Aroda 2019, PMID 31186300.</w:t>
      </w:r>
    </w:p>
  </w:footnote>
  <w:footnote w:id="93">
    <w:p>
      <w:pPr>
        <w:pStyle w:val="FootnoteText"/>
      </w:pPr>
      <w:r>
        <w:rPr>
          <w:rStyle w:val="FootnoteReference"/>
        </w:rPr>
        <w:footnoteRef/>
      </w:r>
      <w:r>
        <w:t xml:space="preserve"> </w:t>
      </w:r>
      <w:r>
        <w:t xml:space="preserve">Jastreboff 2022, PMID 35658024.</w:t>
      </w:r>
    </w:p>
  </w:footnote>
  <w:footnote w:id="94">
    <w:p>
      <w:pPr>
        <w:pStyle w:val="FootnoteText"/>
      </w:pPr>
      <w:r>
        <w:rPr>
          <w:rStyle w:val="FootnoteReference"/>
        </w:rPr>
        <w:footnoteRef/>
      </w:r>
      <w:r>
        <w:t xml:space="preserve"> </w:t>
      </w:r>
      <w:r>
        <w:t xml:space="preserve">Kreymann 1987, PMID 2890903.</w:t>
      </w:r>
    </w:p>
  </w:footnote>
  <w:footnote w:id="100">
    <w:p>
      <w:pPr>
        <w:pStyle w:val="FootnoteText"/>
      </w:pPr>
      <w:r>
        <w:rPr>
          <w:rStyle w:val="FootnoteReference"/>
        </w:rPr>
        <w:footnoteRef/>
      </w:r>
      <w:r>
        <w:t xml:space="preserve"> </w:t>
      </w:r>
      <w:r>
        <w:t xml:space="preserve">Drucker 2020, PMID 31848464.</w:t>
      </w:r>
    </w:p>
  </w:footnote>
  <w:footnote w:id="102">
    <w:p>
      <w:pPr>
        <w:pStyle w:val="FootnoteText"/>
      </w:pPr>
      <w:r>
        <w:rPr>
          <w:rStyle w:val="FootnoteReference"/>
        </w:rPr>
        <w:footnoteRef/>
      </w:r>
      <w:r>
        <w:t xml:space="preserve"> </w:t>
      </w:r>
      <w:r>
        <w:t xml:space="preserve">Knudsen 2019, PMID 31031702.</w:t>
      </w:r>
    </w:p>
  </w:footnote>
  <w:footnote w:id="103">
    <w:p>
      <w:pPr>
        <w:pStyle w:val="FootnoteText"/>
      </w:pPr>
      <w:r>
        <w:rPr>
          <w:rStyle w:val="FootnoteReference"/>
        </w:rPr>
        <w:footnoteRef/>
      </w:r>
      <w:r>
        <w:t xml:space="preserve"> </w:t>
      </w:r>
      <w:r>
        <w:t xml:space="preserve">Marso 2016, PMID 27633186.</w:t>
      </w:r>
    </w:p>
  </w:footnote>
  <w:footnote w:id="104">
    <w:p>
      <w:pPr>
        <w:pStyle w:val="FootnoteText"/>
      </w:pPr>
      <w:r>
        <w:rPr>
          <w:rStyle w:val="FootnoteReference"/>
        </w:rPr>
        <w:footnoteRef/>
      </w:r>
      <w:r>
        <w:t xml:space="preserve"> </w:t>
      </w:r>
      <w:r>
        <w:t xml:space="preserve">Lambson 2023, PMID 37392810.</w:t>
      </w:r>
    </w:p>
  </w:footnote>
  <w:footnote w:id="106">
    <w:p>
      <w:pPr>
        <w:pStyle w:val="FootnoteText"/>
      </w:pPr>
      <w:r>
        <w:rPr>
          <w:rStyle w:val="FootnoteReference"/>
        </w:rPr>
        <w:footnoteRef/>
      </w:r>
      <w:r>
        <w:t xml:space="preserve"> </w:t>
      </w:r>
      <w:r>
        <w:t xml:space="preserve">Drucker 2020, PMID 31848464.</w:t>
      </w:r>
    </w:p>
  </w:footnote>
  <w:footnote w:id="108">
    <w:p>
      <w:pPr>
        <w:pStyle w:val="FootnoteText"/>
      </w:pPr>
      <w:r>
        <w:rPr>
          <w:rStyle w:val="FootnoteReference"/>
        </w:rPr>
        <w:footnoteRef/>
      </w:r>
      <w:r>
        <w:t xml:space="preserve"> </w:t>
      </w:r>
      <w:r>
        <w:t xml:space="preserve">Buckley 2018, PMID 30429357.</w:t>
      </w:r>
    </w:p>
  </w:footnote>
  <w:footnote w:id="109">
    <w:p>
      <w:pPr>
        <w:pStyle w:val="FootnoteText"/>
      </w:pPr>
      <w:r>
        <w:rPr>
          <w:rStyle w:val="FootnoteReference"/>
        </w:rPr>
        <w:footnoteRef/>
      </w:r>
      <w:r>
        <w:t xml:space="preserve"> </w:t>
      </w:r>
      <w:r>
        <w:t xml:space="preserve">Vahora 2026, PMID 42687069.</w:t>
      </w:r>
    </w:p>
  </w:footnote>
  <w:footnote w:id="110">
    <w:p>
      <w:pPr>
        <w:pStyle w:val="FootnoteText"/>
      </w:pPr>
      <w:r>
        <w:rPr>
          <w:rStyle w:val="FootnoteReference"/>
        </w:rPr>
        <w:footnoteRef/>
      </w:r>
      <w:r>
        <w:t xml:space="preserve"> </w:t>
      </w:r>
      <w:r>
        <w:t xml:space="preserve">Vahora 2026, PMID 42687069.</w:t>
      </w:r>
    </w:p>
  </w:footnote>
  <w:footnote w:id="111">
    <w:p>
      <w:pPr>
        <w:pStyle w:val="FootnoteText"/>
      </w:pPr>
      <w:r>
        <w:rPr>
          <w:rStyle w:val="FootnoteReference"/>
        </w:rPr>
        <w:footnoteRef/>
      </w:r>
      <w:r>
        <w:t xml:space="preserve"> </w:t>
      </w:r>
      <w:r>
        <w:t xml:space="preserve">Marso 2016, PMID 27633186.</w:t>
      </w:r>
    </w:p>
  </w:footnote>
  <w:footnote w:id="112">
    <w:p>
      <w:pPr>
        <w:pStyle w:val="FootnoteText"/>
      </w:pPr>
      <w:r>
        <w:rPr>
          <w:rStyle w:val="FootnoteReference"/>
        </w:rPr>
        <w:footnoteRef/>
      </w:r>
      <w:r>
        <w:t xml:space="preserve"> </w:t>
      </w:r>
      <w:r>
        <w:t xml:space="preserve">Aroda 2019, PMID 31186300.</w:t>
      </w:r>
    </w:p>
  </w:footnote>
  <w:footnote w:id="113">
    <w:p>
      <w:pPr>
        <w:pStyle w:val="FootnoteText"/>
      </w:pPr>
      <w:r>
        <w:rPr>
          <w:rStyle w:val="FootnoteReference"/>
        </w:rPr>
        <w:footnoteRef/>
      </w:r>
      <w:r>
        <w:t xml:space="preserve"> </w:t>
      </w:r>
      <w:r>
        <w:t xml:space="preserve">Vahora 2026, PMID 42687069.</w:t>
      </w:r>
    </w:p>
  </w:footnote>
  <w:footnote w:id="114">
    <w:p>
      <w:pPr>
        <w:pStyle w:val="FootnoteText"/>
      </w:pPr>
      <w:r>
        <w:rPr>
          <w:rStyle w:val="FootnoteReference"/>
        </w:rPr>
        <w:footnoteRef/>
      </w:r>
      <w:r>
        <w:t xml:space="preserve"> </w:t>
      </w:r>
      <w:r>
        <w:t xml:space="preserve">Aroda 2019, PMID 31186300.</w:t>
      </w:r>
    </w:p>
  </w:footnote>
  <w:footnote w:id="115">
    <w:p>
      <w:pPr>
        <w:pStyle w:val="FootnoteText"/>
      </w:pPr>
      <w:r>
        <w:rPr>
          <w:rStyle w:val="FootnoteReference"/>
        </w:rPr>
        <w:footnoteRef/>
      </w:r>
      <w:r>
        <w:t xml:space="preserve"> </w:t>
      </w:r>
      <w:r>
        <w:t xml:space="preserve">Knop 2023, PMID 37385278.</w:t>
      </w:r>
    </w:p>
  </w:footnote>
  <w:footnote w:id="116">
    <w:p>
      <w:pPr>
        <w:pStyle w:val="FootnoteText"/>
      </w:pPr>
      <w:r>
        <w:rPr>
          <w:rStyle w:val="FootnoteReference"/>
        </w:rPr>
        <w:footnoteRef/>
      </w:r>
      <w:r>
        <w:t xml:space="preserve"> </w:t>
      </w:r>
      <w:r>
        <w:t xml:space="preserve">Hach 2024, PMID 39379664.</w:t>
      </w:r>
    </w:p>
  </w:footnote>
  <w:footnote w:id="118">
    <w:p>
      <w:pPr>
        <w:pStyle w:val="FootnoteText"/>
      </w:pPr>
      <w:r>
        <w:rPr>
          <w:rStyle w:val="FootnoteReference"/>
        </w:rPr>
        <w:footnoteRef/>
      </w:r>
      <w:r>
        <w:t xml:space="preserve"> </w:t>
      </w:r>
      <w:r>
        <w:t xml:space="preserve">Sugihara 2012, PMID 22040651.</w:t>
      </w:r>
    </w:p>
  </w:footnote>
  <w:footnote w:id="120">
    <w:p>
      <w:pPr>
        <w:pStyle w:val="FootnoteText"/>
      </w:pPr>
      <w:r>
        <w:rPr>
          <w:rStyle w:val="FootnoteReference"/>
        </w:rPr>
        <w:footnoteRef/>
      </w:r>
      <w:r>
        <w:t xml:space="preserve"> </w:t>
      </w:r>
      <w:r>
        <w:t xml:space="preserve">Belcourt 2026, PMID 41689811.</w:t>
      </w:r>
    </w:p>
  </w:footnote>
  <w:footnote w:id="122">
    <w:p>
      <w:pPr>
        <w:pStyle w:val="FootnoteText"/>
      </w:pPr>
      <w:r>
        <w:rPr>
          <w:rStyle w:val="FootnoteReference"/>
        </w:rPr>
        <w:footnoteRef/>
      </w:r>
      <w:r>
        <w:t xml:space="preserve"> </w:t>
      </w:r>
      <w:r>
        <w:t xml:space="preserve">Leng 2016, PMID 26049207.</w:t>
      </w:r>
    </w:p>
  </w:footnote>
  <w:footnote w:id="124">
    <w:p>
      <w:pPr>
        <w:pStyle w:val="FootnoteText"/>
      </w:pPr>
      <w:r>
        <w:rPr>
          <w:rStyle w:val="FootnoteReference"/>
        </w:rPr>
        <w:footnoteRef/>
      </w:r>
      <w:r>
        <w:t xml:space="preserve"> </w:t>
      </w:r>
      <w:r>
        <w:t xml:space="preserve">Heinemann 2008, PMID 19885220.</w:t>
      </w:r>
    </w:p>
  </w:footnote>
  <w:footnote w:id="126">
    <w:p>
      <w:pPr>
        <w:pStyle w:val="FootnoteText"/>
      </w:pPr>
      <w:r>
        <w:rPr>
          <w:rStyle w:val="FootnoteReference"/>
        </w:rPr>
        <w:footnoteRef/>
      </w:r>
      <w:r>
        <w:t xml:space="preserve"> </w:t>
      </w:r>
      <w:r>
        <w:t xml:space="preserve">Bos 2000, PMID 10839713.</w:t>
      </w:r>
    </w:p>
  </w:footnote>
  <w:footnote w:id="128">
    <w:p>
      <w:pPr>
        <w:pStyle w:val="FootnoteText"/>
      </w:pPr>
      <w:r>
        <w:rPr>
          <w:rStyle w:val="FootnoteReference"/>
        </w:rPr>
        <w:footnoteRef/>
      </w:r>
      <w:r>
        <w:t xml:space="preserve"> </w:t>
      </w:r>
      <w:r>
        <w:t xml:space="preserve">Hach 2024, PMID 39379664.</w:t>
      </w:r>
    </w:p>
  </w:footnote>
  <w:footnote w:id="130">
    <w:p>
      <w:pPr>
        <w:pStyle w:val="FootnoteText"/>
      </w:pPr>
      <w:r>
        <w:rPr>
          <w:rStyle w:val="FootnoteReference"/>
        </w:rPr>
        <w:footnoteRef/>
      </w:r>
      <w:r>
        <w:t xml:space="preserve"> </w:t>
      </w:r>
      <w:r>
        <w:t xml:space="preserve">Hach 2024, PMID 39379664.</w:t>
      </w:r>
    </w:p>
  </w:footnote>
  <w:footnote w:id="137">
    <w:p>
      <w:pPr>
        <w:pStyle w:val="FootnoteText"/>
      </w:pPr>
      <w:r>
        <w:rPr>
          <w:rStyle w:val="FootnoteReference"/>
        </w:rPr>
        <w:footnoteRef/>
      </w:r>
      <w:r>
        <w:t xml:space="preserve"> </w:t>
      </w:r>
      <w:r>
        <w:t xml:space="preserve">Perel 2007, PMID 17175568.</w:t>
      </w:r>
    </w:p>
  </w:footnote>
  <w:footnote w:id="141">
    <w:p>
      <w:pPr>
        <w:pStyle w:val="FootnoteText"/>
      </w:pPr>
      <w:r>
        <w:rPr>
          <w:rStyle w:val="FootnoteReference"/>
        </w:rPr>
        <w:footnoteRef/>
      </w:r>
      <w:r>
        <w:t xml:space="preserve"> </w:t>
      </w:r>
      <w:r>
        <w:t xml:space="preserve">Wilding 2021, PMID 33567185.</w:t>
      </w:r>
    </w:p>
  </w:footnote>
  <w:footnote w:id="142">
    <w:p>
      <w:pPr>
        <w:pStyle w:val="FootnoteText"/>
      </w:pPr>
      <w:r>
        <w:rPr>
          <w:rStyle w:val="FootnoteReference"/>
        </w:rPr>
        <w:footnoteRef/>
      </w:r>
      <w:r>
        <w:t xml:space="preserve"> </w:t>
      </w:r>
      <w:r>
        <w:t xml:space="preserve">Mendias 2026, PMID 41966639.</w:t>
      </w:r>
    </w:p>
  </w:footnote>
  <w:footnote w:id="145">
    <w:p>
      <w:pPr>
        <w:pStyle w:val="FootnoteText"/>
      </w:pPr>
      <w:r>
        <w:rPr>
          <w:rStyle w:val="FootnoteReference"/>
        </w:rPr>
        <w:footnoteRef/>
      </w:r>
      <w:r>
        <w:t xml:space="preserve"> </w:t>
      </w:r>
      <w:r>
        <w:t xml:space="preserve">Echt 1991, PMID 1900101.</w:t>
      </w:r>
    </w:p>
  </w:footnote>
  <w:footnote w:id="147">
    <w:p>
      <w:pPr>
        <w:pStyle w:val="FootnoteText"/>
      </w:pPr>
      <w:r>
        <w:rPr>
          <w:rStyle w:val="FootnoteReference"/>
        </w:rPr>
        <w:footnoteRef/>
      </w:r>
      <w:r>
        <w:t xml:space="preserve"> </w:t>
      </w:r>
      <w:r>
        <w:t xml:space="preserve">Lincoff 2023, PMID 37952131.</w:t>
      </w:r>
    </w:p>
  </w:footnote>
  <w:footnote w:id="148">
    <w:p>
      <w:pPr>
        <w:pStyle w:val="FootnoteText"/>
      </w:pPr>
      <w:r>
        <w:rPr>
          <w:rStyle w:val="FootnoteReference"/>
        </w:rPr>
        <w:footnoteRef/>
      </w:r>
      <w:r>
        <w:t xml:space="preserve"> </w:t>
      </w:r>
      <w:r>
        <w:t xml:space="preserve">Lincoff 2023, PMID 37952131.</w:t>
      </w:r>
    </w:p>
  </w:footnote>
  <w:footnote w:id="150">
    <w:p>
      <w:pPr>
        <w:pStyle w:val="FootnoteText"/>
      </w:pPr>
      <w:r>
        <w:rPr>
          <w:rStyle w:val="FootnoteReference"/>
        </w:rPr>
        <w:footnoteRef/>
      </w:r>
      <w:r>
        <w:t xml:space="preserve"> </w:t>
      </w:r>
      <w:r>
        <w:t xml:space="preserve">Wilding 2021, PMID 33567185.</w:t>
      </w:r>
    </w:p>
  </w:footnote>
  <w:footnote w:id="152">
    <w:p>
      <w:pPr>
        <w:pStyle w:val="FootnoteText"/>
      </w:pPr>
      <w:r>
        <w:rPr>
          <w:rStyle w:val="FootnoteReference"/>
        </w:rPr>
        <w:footnoteRef/>
      </w:r>
      <w:r>
        <w:t xml:space="preserve"> </w:t>
      </w:r>
      <w:r>
        <w:t xml:space="preserve">Aroda 2019, PMID 31186300.</w:t>
      </w:r>
    </w:p>
  </w:footnote>
  <w:footnote w:id="154">
    <w:p>
      <w:pPr>
        <w:pStyle w:val="FootnoteText"/>
      </w:pPr>
      <w:r>
        <w:rPr>
          <w:rStyle w:val="FootnoteReference"/>
        </w:rPr>
        <w:footnoteRef/>
      </w:r>
      <w:r>
        <w:t xml:space="preserve"> </w:t>
      </w:r>
      <w:r>
        <w:t xml:space="preserve">Ioannidis 2005, PMID 16060722.</w:t>
      </w:r>
    </w:p>
  </w:footnote>
  <w:footnote w:id="156">
    <w:p>
      <w:pPr>
        <w:pStyle w:val="FootnoteText"/>
      </w:pPr>
      <w:r>
        <w:rPr>
          <w:rStyle w:val="FootnoteReference"/>
        </w:rPr>
        <w:footnoteRef/>
      </w:r>
      <w:r>
        <w:t xml:space="preserve"> </w:t>
      </w:r>
      <w:r>
        <w:t xml:space="preserve">Lundh 2017, PMID 28207928.</w:t>
      </w:r>
    </w:p>
  </w:footnote>
  <w:footnote w:id="158">
    <w:p>
      <w:pPr>
        <w:pStyle w:val="FootnoteText"/>
      </w:pPr>
      <w:r>
        <w:rPr>
          <w:rStyle w:val="FootnoteReference"/>
        </w:rPr>
        <w:footnoteRef/>
      </w:r>
      <w:r>
        <w:t xml:space="preserve"> </w:t>
      </w:r>
      <w:r>
        <w:t xml:space="preserve">Turner 2008, PMID 18199864.</w:t>
      </w:r>
    </w:p>
  </w:footnote>
  <w:footnote w:id="160">
    <w:p>
      <w:pPr>
        <w:pStyle w:val="FootnoteText"/>
      </w:pPr>
      <w:r>
        <w:rPr>
          <w:rStyle w:val="FootnoteReference"/>
        </w:rPr>
        <w:footnoteRef/>
      </w:r>
      <w:r>
        <w:t xml:space="preserve"> </w:t>
      </w:r>
      <w:r>
        <w:t xml:space="preserve">DeAngelis 2004, PMID 15355936.</w:t>
      </w:r>
    </w:p>
  </w:footnote>
  <w:footnote w:id="167">
    <w:p>
      <w:pPr>
        <w:pStyle w:val="FootnoteText"/>
      </w:pPr>
      <w:r>
        <w:rPr>
          <w:rStyle w:val="FootnoteReference"/>
        </w:rPr>
        <w:footnoteRef/>
      </w:r>
      <w:r>
        <w:t xml:space="preserve"> </w:t>
      </w:r>
      <w:r>
        <w:t xml:space="preserve">Belcourt 2025, PMID 39285774.</w:t>
      </w:r>
    </w:p>
  </w:footnote>
  <w:footnote w:id="168">
    <w:p>
      <w:pPr>
        <w:pStyle w:val="FootnoteText"/>
      </w:pPr>
      <w:r>
        <w:rPr>
          <w:rStyle w:val="FootnoteReference"/>
        </w:rPr>
        <w:footnoteRef/>
      </w:r>
      <w:r>
        <w:t xml:space="preserve"> </w:t>
      </w:r>
      <w:r>
        <w:t xml:space="preserve">Sedensky 2026, PMID 42541373.</w:t>
      </w:r>
    </w:p>
  </w:footnote>
  <w:footnote w:id="170">
    <w:p>
      <w:pPr>
        <w:pStyle w:val="FootnoteText"/>
      </w:pPr>
      <w:r>
        <w:rPr>
          <w:rStyle w:val="FootnoteReference"/>
        </w:rPr>
        <w:footnoteRef/>
      </w:r>
      <w:r>
        <w:t xml:space="preserve"> </w:t>
      </w:r>
      <w:r>
        <w:t xml:space="preserve">Ashraf 2024, PMID 39509151.</w:t>
      </w:r>
    </w:p>
  </w:footnote>
  <w:footnote w:id="172">
    <w:p>
      <w:pPr>
        <w:pStyle w:val="FootnoteText"/>
      </w:pPr>
      <w:r>
        <w:rPr>
          <w:rStyle w:val="FootnoteReference"/>
        </w:rPr>
        <w:footnoteRef/>
      </w:r>
      <w:r>
        <w:t xml:space="preserve"> </w:t>
      </w:r>
      <w:r>
        <w:t xml:space="preserve">Hach 2024, PMID 39379664.</w:t>
      </w:r>
    </w:p>
  </w:footnote>
  <w:footnote w:id="174">
    <w:p>
      <w:pPr>
        <w:pStyle w:val="FootnoteText"/>
      </w:pPr>
      <w:r>
        <w:rPr>
          <w:rStyle w:val="FootnoteReference"/>
        </w:rPr>
        <w:footnoteRef/>
      </w:r>
      <w:r>
        <w:t xml:space="preserve"> </w:t>
      </w:r>
      <w:r>
        <w:t xml:space="preserve">Breindahl 2015, PMID 24771717.</w:t>
      </w:r>
    </w:p>
  </w:footnote>
  <w:footnote w:id="176">
    <w:p>
      <w:pPr>
        <w:pStyle w:val="FootnoteText"/>
      </w:pPr>
      <w:r>
        <w:rPr>
          <w:rStyle w:val="FootnoteReference"/>
        </w:rPr>
        <w:footnoteRef/>
      </w:r>
      <w:r>
        <w:t xml:space="preserve"> </w:t>
      </w:r>
      <w:r>
        <w:t xml:space="preserve">Kohler 2010, PMID 21204286.</w:t>
      </w:r>
    </w:p>
  </w:footnote>
  <w:footnote w:id="177">
    <w:p>
      <w:pPr>
        <w:pStyle w:val="FootnoteText"/>
      </w:pPr>
      <w:r>
        <w:rPr>
          <w:rStyle w:val="FootnoteReference"/>
        </w:rPr>
        <w:footnoteRef/>
      </w:r>
      <w:r>
        <w:t xml:space="preserve"> </w:t>
      </w:r>
      <w:r>
        <w:t xml:space="preserve">Thomas 2010, PMID 20878896.</w:t>
      </w:r>
    </w:p>
  </w:footnote>
  <w:footnote w:id="178">
    <w:p>
      <w:pPr>
        <w:pStyle w:val="FootnoteText"/>
      </w:pPr>
      <w:r>
        <w:rPr>
          <w:rStyle w:val="FootnoteReference"/>
        </w:rPr>
        <w:footnoteRef/>
      </w:r>
      <w:r>
        <w:t xml:space="preserve"> </w:t>
      </w:r>
      <w:r>
        <w:t xml:space="preserve">Krug 2014, PMID 25168622.</w:t>
      </w:r>
    </w:p>
  </w:footnote>
  <w:footnote w:id="179">
    <w:p>
      <w:pPr>
        <w:pStyle w:val="FootnoteText"/>
      </w:pPr>
      <w:r>
        <w:rPr>
          <w:rStyle w:val="FootnoteReference"/>
        </w:rPr>
        <w:footnoteRef/>
      </w:r>
      <w:r>
        <w:t xml:space="preserve"> </w:t>
      </w:r>
      <w:r>
        <w:t xml:space="preserve">Hullstein 2015, PMID 26607218.</w:t>
      </w:r>
    </w:p>
  </w:footnote>
  <w:footnote w:id="180">
    <w:p>
      <w:pPr>
        <w:pStyle w:val="FootnoteText"/>
      </w:pPr>
      <w:r>
        <w:rPr>
          <w:rStyle w:val="FootnoteReference"/>
        </w:rPr>
        <w:footnoteRef/>
      </w:r>
      <w:r>
        <w:t xml:space="preserve"> </w:t>
      </w:r>
      <w:r>
        <w:t xml:space="preserve">Krug 2018, PMID 29864719.</w:t>
      </w:r>
    </w:p>
  </w:footnote>
  <w:footnote w:id="181">
    <w:p>
      <w:pPr>
        <w:pStyle w:val="FootnoteText"/>
      </w:pPr>
      <w:r>
        <w:rPr>
          <w:rStyle w:val="FootnoteReference"/>
        </w:rPr>
        <w:footnoteRef/>
      </w:r>
      <w:r>
        <w:t xml:space="preserve"> </w:t>
      </w:r>
      <w:r>
        <w:t xml:space="preserve">Cox 2017, PMID 28035768.</w:t>
      </w:r>
    </w:p>
  </w:footnote>
  <w:footnote w:id="182">
    <w:p>
      <w:pPr>
        <w:pStyle w:val="FootnoteText"/>
      </w:pPr>
      <w:r>
        <w:rPr>
          <w:rStyle w:val="FootnoteReference"/>
        </w:rPr>
        <w:footnoteRef/>
      </w:r>
      <w:r>
        <w:t xml:space="preserve"> </w:t>
      </w:r>
      <w:r>
        <w:t xml:space="preserve">Janvier 2018, PMID 30165334.</w:t>
      </w:r>
    </w:p>
  </w:footnote>
  <w:footnote w:id="186">
    <w:p>
      <w:pPr>
        <w:pStyle w:val="FootnoteText"/>
      </w:pPr>
      <w:r>
        <w:rPr>
          <w:rStyle w:val="FootnoteReference"/>
        </w:rPr>
        <w:footnoteRef/>
      </w:r>
      <w:r>
        <w:t xml:space="preserve"> </w:t>
      </w:r>
      <w:r>
        <w:t xml:space="preserve">Ashraf 2024, PMID 39509151.</w:t>
      </w:r>
    </w:p>
  </w:footnote>
  <w:footnote w:id="188">
    <w:p>
      <w:pPr>
        <w:pStyle w:val="FootnoteText"/>
      </w:pPr>
      <w:r>
        <w:rPr>
          <w:rStyle w:val="FootnoteReference"/>
        </w:rPr>
        <w:footnoteRef/>
      </w:r>
      <w:r>
        <w:t xml:space="preserve"> </w:t>
      </w:r>
      <w:r>
        <w:t xml:space="preserve">Ashraf 2024, PMID 39509151.</w:t>
      </w:r>
    </w:p>
  </w:footnote>
  <w:footnote w:id="190">
    <w:p>
      <w:pPr>
        <w:pStyle w:val="FootnoteText"/>
      </w:pPr>
      <w:r>
        <w:rPr>
          <w:rStyle w:val="FootnoteReference"/>
        </w:rPr>
        <w:footnoteRef/>
      </w:r>
      <w:r>
        <w:t xml:space="preserve"> </w:t>
      </w:r>
      <w:r>
        <w:t xml:space="preserve">Lambson 2023, PMID 37392810.</w:t>
      </w:r>
    </w:p>
  </w:footnote>
  <w:footnote w:id="192">
    <w:p>
      <w:pPr>
        <w:pStyle w:val="FootnoteText"/>
      </w:pPr>
      <w:r>
        <w:rPr>
          <w:rStyle w:val="FootnoteReference"/>
        </w:rPr>
        <w:footnoteRef/>
      </w:r>
      <w:r>
        <w:t xml:space="preserve"> </w:t>
      </w:r>
      <w:r>
        <w:t xml:space="preserve">Ruder 2024, PMID 39028647.</w:t>
      </w:r>
    </w:p>
  </w:footnote>
  <w:footnote w:id="193">
    <w:p>
      <w:pPr>
        <w:pStyle w:val="FootnoteText"/>
      </w:pPr>
      <w:r>
        <w:rPr>
          <w:rStyle w:val="FootnoteReference"/>
        </w:rPr>
        <w:footnoteRef/>
      </w:r>
      <w:r>
        <w:t xml:space="preserve"> </w:t>
      </w:r>
      <w:r>
        <w:t xml:space="preserve">Antonacci 2026, PMID 41125326.</w:t>
      </w:r>
    </w:p>
  </w:footnote>
  <w:footnote w:id="194">
    <w:p>
      <w:pPr>
        <w:pStyle w:val="FootnoteText"/>
      </w:pPr>
      <w:r>
        <w:rPr>
          <w:rStyle w:val="FootnoteReference"/>
        </w:rPr>
        <w:footnoteRef/>
      </w:r>
      <w:r>
        <w:t xml:space="preserve"> </w:t>
      </w:r>
      <w:r>
        <w:t xml:space="preserve">Stammers 2026, PMID 42390457.</w:t>
      </w:r>
    </w:p>
  </w:footnote>
  <w:footnote w:id="195">
    <w:p>
      <w:pPr>
        <w:pStyle w:val="FootnoteText"/>
      </w:pPr>
      <w:r>
        <w:rPr>
          <w:rStyle w:val="FootnoteReference"/>
        </w:rPr>
        <w:footnoteRef/>
      </w:r>
      <w:r>
        <w:t xml:space="preserve"> </w:t>
      </w:r>
      <w:r>
        <w:t xml:space="preserve">Zinzi 2026, PMID 42137313.</w:t>
      </w:r>
    </w:p>
  </w:footnote>
  <w:footnote w:id="197">
    <w:p>
      <w:pPr>
        <w:pStyle w:val="FootnoteText"/>
      </w:pPr>
      <w:r>
        <w:rPr>
          <w:rStyle w:val="FootnoteReference"/>
        </w:rPr>
        <w:footnoteRef/>
      </w:r>
      <w:r>
        <w:t xml:space="preserve"> </w:t>
      </w:r>
      <w:r>
        <w:t xml:space="preserve">Rubin 2026, PMID 42853576.</w:t>
      </w:r>
    </w:p>
  </w:footnote>
  <w:footnote w:id="198">
    <w:p>
      <w:pPr>
        <w:pStyle w:val="FootnoteText"/>
      </w:pPr>
      <w:r>
        <w:rPr>
          <w:rStyle w:val="FootnoteReference"/>
        </w:rPr>
        <w:footnoteRef/>
      </w:r>
      <w:r>
        <w:t xml:space="preserve"> </w:t>
      </w:r>
      <w:r>
        <w:t xml:space="preserve">Buzzi 2026, PMID 42843917.</w:t>
      </w:r>
    </w:p>
  </w:footnote>
  <w:footnote w:id="200">
    <w:p>
      <w:pPr>
        <w:pStyle w:val="FootnoteText"/>
      </w:pPr>
      <w:r>
        <w:rPr>
          <w:rStyle w:val="FootnoteReference"/>
        </w:rPr>
        <w:footnoteRef/>
      </w:r>
      <w:r>
        <w:t xml:space="preserve"> </w:t>
      </w:r>
      <w:r>
        <w:t xml:space="preserve">Nelson 2012, PMID 23121206.</w:t>
      </w:r>
    </w:p>
  </w:footnote>
  <w:footnote w:id="201">
    <w:p>
      <w:pPr>
        <w:pStyle w:val="FootnoteText"/>
      </w:pPr>
      <w:r>
        <w:rPr>
          <w:rStyle w:val="FootnoteReference"/>
        </w:rPr>
        <w:footnoteRef/>
      </w:r>
      <w:r>
        <w:t xml:space="preserve"> </w:t>
      </w:r>
      <w:r>
        <w:t xml:space="preserve">Moiz 2026, PMID 42757290.</w:t>
      </w:r>
    </w:p>
  </w:footnote>
  <w:footnote w:id="202">
    <w:p>
      <w:pPr>
        <w:pStyle w:val="FootnoteText"/>
      </w:pPr>
      <w:r>
        <w:rPr>
          <w:rStyle w:val="FootnoteReference"/>
        </w:rPr>
        <w:footnoteRef/>
      </w:r>
      <w:r>
        <w:t xml:space="preserve"> </w:t>
      </w:r>
      <w:r>
        <w:t xml:space="preserve">Mendias 2026, PMID 41966639.</w:t>
      </w:r>
    </w:p>
  </w:footnote>
  <w:footnote w:id="204">
    <w:p>
      <w:pPr>
        <w:pStyle w:val="FootnoteText"/>
      </w:pPr>
      <w:r>
        <w:rPr>
          <w:rStyle w:val="FootnoteReference"/>
        </w:rPr>
        <w:footnoteRef/>
      </w:r>
      <w:r>
        <w:t xml:space="preserve"> </w:t>
      </w:r>
      <w:r>
        <w:t xml:space="preserve">McCall 2026, PMID 40285721.</w:t>
      </w:r>
    </w:p>
  </w:footnote>
  <w:footnote w:id="205">
    <w:p>
      <w:pPr>
        <w:pStyle w:val="FootnoteText"/>
      </w:pPr>
      <w:r>
        <w:rPr>
          <w:rStyle w:val="FootnoteReference"/>
        </w:rPr>
        <w:footnoteRef/>
      </w:r>
      <w:r>
        <w:t xml:space="preserve"> </w:t>
      </w:r>
      <w:r>
        <w:t xml:space="preserve">Belcourt 2026, PMID 41689811.</w:t>
      </w:r>
    </w:p>
  </w:footnote>
  <w:footnote w:id="207">
    <w:p>
      <w:pPr>
        <w:pStyle w:val="FootnoteText"/>
      </w:pPr>
      <w:r>
        <w:rPr>
          <w:rStyle w:val="FootnoteReference"/>
        </w:rPr>
        <w:footnoteRef/>
      </w:r>
      <w:r>
        <w:t xml:space="preserve"> </w:t>
      </w:r>
      <w:r>
        <w:t xml:space="preserve">Hailu 2026, PMID 42437212.</w:t>
      </w:r>
    </w:p>
  </w:footnote>
  <w:footnote w:id="215">
    <w:p>
      <w:pPr>
        <w:pStyle w:val="FootnoteText"/>
      </w:pPr>
      <w:r>
        <w:rPr>
          <w:rStyle w:val="FootnoteReference"/>
        </w:rPr>
        <w:footnoteRef/>
      </w:r>
      <w:r>
        <w:t xml:space="preserve"> </w:t>
      </w:r>
      <w:r>
        <w:t xml:space="preserve">Thomas 2010, PMID 20878896.</w:t>
      </w:r>
    </w:p>
  </w:footnote>
  <w:footnote w:id="221">
    <w:p>
      <w:pPr>
        <w:pStyle w:val="FootnoteText"/>
      </w:pPr>
      <w:r>
        <w:rPr>
          <w:rStyle w:val="FootnoteReference"/>
        </w:rPr>
        <w:footnoteRef/>
      </w:r>
      <w:r>
        <w:t xml:space="preserve"> </w:t>
      </w:r>
      <w:r>
        <w:t xml:space="preserve">Belcourt 2026, PMID 41689811.</w:t>
      </w:r>
    </w:p>
  </w:footnote>
  <w:footnote w:id="222">
    <w:p>
      <w:pPr>
        <w:pStyle w:val="FootnoteText"/>
      </w:pPr>
      <w:r>
        <w:rPr>
          <w:rStyle w:val="FootnoteReference"/>
        </w:rPr>
        <w:footnoteRef/>
      </w:r>
      <w:r>
        <w:t xml:space="preserve"> </w:t>
      </w:r>
      <w:r>
        <w:t xml:space="preserve">Belcourt 2025, PMID 39285774.</w:t>
      </w:r>
    </w:p>
  </w:footnote>
  <w:footnote w:id="224">
    <w:p>
      <w:pPr>
        <w:pStyle w:val="FootnoteText"/>
      </w:pPr>
      <w:r>
        <w:rPr>
          <w:rStyle w:val="FootnoteReference"/>
        </w:rPr>
        <w:footnoteRef/>
      </w:r>
      <w:r>
        <w:t xml:space="preserve"> </w:t>
      </w:r>
      <w:r>
        <w:t xml:space="preserve">Cox 2017, PMID 28035768.</w:t>
      </w:r>
    </w:p>
  </w:footnote>
  <w:footnote w:id="234">
    <w:p>
      <w:pPr>
        <w:pStyle w:val="FootnoteText"/>
      </w:pPr>
      <w:r>
        <w:rPr>
          <w:rStyle w:val="FootnoteReference"/>
        </w:rPr>
        <w:footnoteRef/>
      </w:r>
      <w:r>
        <w:t xml:space="preserve"> </w:t>
      </w:r>
      <w:r>
        <w:t xml:space="preserve">Eng 1992, PMID 1313797.</w:t>
      </w:r>
    </w:p>
  </w:footnote>
  <w:footnote w:id="237">
    <w:p>
      <w:pPr>
        <w:pStyle w:val="FootnoteText"/>
      </w:pPr>
      <w:r>
        <w:rPr>
          <w:rStyle w:val="FootnoteReference"/>
        </w:rPr>
        <w:footnoteRef/>
      </w:r>
      <w:r>
        <w:t xml:space="preserve"> </w:t>
      </w:r>
      <w:r>
        <w:t xml:space="preserve">Heine 2005, PMID 16230722.</w:t>
      </w:r>
    </w:p>
  </w:footnote>
  <w:footnote w:id="239">
    <w:p>
      <w:pPr>
        <w:pStyle w:val="FootnoteText"/>
      </w:pPr>
      <w:r>
        <w:rPr>
          <w:rStyle w:val="FootnoteReference"/>
        </w:rPr>
        <w:footnoteRef/>
      </w:r>
      <w:r>
        <w:t xml:space="preserve"> </w:t>
      </w:r>
      <w:r>
        <w:t xml:space="preserve">Wysham 2015, PMID 25744115.</w:t>
      </w:r>
    </w:p>
  </w:footnote>
  <w:footnote w:id="240">
    <w:p>
      <w:pPr>
        <w:pStyle w:val="FootnoteText"/>
      </w:pPr>
      <w:r>
        <w:rPr>
          <w:rStyle w:val="FootnoteReference"/>
        </w:rPr>
        <w:footnoteRef/>
      </w:r>
      <w:r>
        <w:t xml:space="preserve"> </w:t>
      </w:r>
      <w:r>
        <w:t xml:space="preserve">Bergenstal 2010, PMID 20580422.</w:t>
      </w:r>
    </w:p>
  </w:footnote>
  <w:footnote w:id="241">
    <w:p>
      <w:pPr>
        <w:pStyle w:val="FootnoteText"/>
      </w:pPr>
      <w:r>
        <w:rPr>
          <w:rStyle w:val="FootnoteReference"/>
        </w:rPr>
        <w:footnoteRef/>
      </w:r>
      <w:r>
        <w:t xml:space="preserve"> </w:t>
      </w:r>
      <w:r>
        <w:t xml:space="preserve">Diamant 2010, PMID 20609969.</w:t>
      </w:r>
    </w:p>
  </w:footnote>
  <w:footnote w:id="243">
    <w:p>
      <w:pPr>
        <w:pStyle w:val="FootnoteText"/>
      </w:pPr>
      <w:r>
        <w:rPr>
          <w:rStyle w:val="FootnoteReference"/>
        </w:rPr>
        <w:footnoteRef/>
      </w:r>
      <w:r>
        <w:t xml:space="preserve"> </w:t>
      </w:r>
      <w:r>
        <w:t xml:space="preserve">Buse 2013, PMID 23141817.</w:t>
      </w:r>
    </w:p>
  </w:footnote>
  <w:footnote w:id="244">
    <w:p>
      <w:pPr>
        <w:pStyle w:val="FootnoteText"/>
      </w:pPr>
      <w:r>
        <w:rPr>
          <w:rStyle w:val="FootnoteReference"/>
        </w:rPr>
        <w:footnoteRef/>
      </w:r>
      <w:r>
        <w:t xml:space="preserve"> </w:t>
      </w:r>
      <w:r>
        <w:t xml:space="preserve">Ahmann 2018, PMID 29246950.</w:t>
      </w:r>
    </w:p>
  </w:footnote>
  <w:footnote w:id="246">
    <w:p>
      <w:pPr>
        <w:pStyle w:val="FootnoteText"/>
      </w:pPr>
      <w:r>
        <w:rPr>
          <w:rStyle w:val="FootnoteReference"/>
        </w:rPr>
        <w:footnoteRef/>
      </w:r>
      <w:r>
        <w:t xml:space="preserve"> </w:t>
      </w:r>
      <w:r>
        <w:t xml:space="preserve">Holman 2017, PMID 28910237.</w:t>
      </w:r>
    </w:p>
  </w:footnote>
  <w:footnote w:id="247">
    <w:p>
      <w:pPr>
        <w:pStyle w:val="FootnoteText"/>
      </w:pPr>
      <w:r>
        <w:rPr>
          <w:rStyle w:val="FootnoteReference"/>
        </w:rPr>
        <w:footnoteRef/>
      </w:r>
      <w:r>
        <w:t xml:space="preserve"> </w:t>
      </w:r>
      <w:r>
        <w:t xml:space="preserve">Kristensen 2019, PMID 31422062.</w:t>
      </w:r>
    </w:p>
  </w:footnote>
  <w:footnote w:id="248">
    <w:p>
      <w:pPr>
        <w:pStyle w:val="FootnoteText"/>
      </w:pPr>
      <w:r>
        <w:rPr>
          <w:rStyle w:val="FootnoteReference"/>
        </w:rPr>
        <w:footnoteRef/>
      </w:r>
      <w:r>
        <w:t xml:space="preserve"> </w:t>
      </w:r>
      <w:r>
        <w:t xml:space="preserve">Ruff 2022, PMID 34873344.</w:t>
      </w:r>
    </w:p>
  </w:footnote>
  <w:footnote w:id="250">
    <w:p>
      <w:pPr>
        <w:pStyle w:val="FootnoteText"/>
      </w:pPr>
      <w:r>
        <w:rPr>
          <w:rStyle w:val="FootnoteReference"/>
        </w:rPr>
        <w:footnoteRef/>
      </w:r>
      <w:r>
        <w:t xml:space="preserve"> </w:t>
      </w:r>
      <w:r>
        <w:t xml:space="preserve">Rosenstock 2010, PMID 20332357.</w:t>
      </w:r>
    </w:p>
  </w:footnote>
  <w:footnote w:id="251">
    <w:p>
      <w:pPr>
        <w:pStyle w:val="FootnoteText"/>
      </w:pPr>
      <w:r>
        <w:rPr>
          <w:rStyle w:val="FootnoteReference"/>
        </w:rPr>
        <w:footnoteRef/>
      </w:r>
      <w:r>
        <w:t xml:space="preserve"> </w:t>
      </w:r>
      <w:r>
        <w:t xml:space="preserve">Su 2016, PMID 27343423.</w:t>
      </w:r>
    </w:p>
  </w:footnote>
  <w:footnote w:id="252">
    <w:p>
      <w:pPr>
        <w:pStyle w:val="FootnoteText"/>
      </w:pPr>
      <w:r>
        <w:rPr>
          <w:rStyle w:val="FootnoteReference"/>
        </w:rPr>
        <w:footnoteRef/>
      </w:r>
      <w:r>
        <w:t xml:space="preserve"> </w:t>
      </w:r>
      <w:r>
        <w:t xml:space="preserve">Tamborlane 2022, PMID 35679098.</w:t>
      </w:r>
    </w:p>
  </w:footnote>
  <w:footnote w:id="254">
    <w:p>
      <w:pPr>
        <w:pStyle w:val="FootnoteText"/>
      </w:pPr>
      <w:r>
        <w:rPr>
          <w:rStyle w:val="FootnoteReference"/>
        </w:rPr>
        <w:footnoteRef/>
      </w:r>
      <w:r>
        <w:t xml:space="preserve"> </w:t>
      </w:r>
      <w:r>
        <w:t xml:space="preserve">PMID 28781108.</w:t>
      </w:r>
    </w:p>
  </w:footnote>
  <w:footnote w:id="255">
    <w:p>
      <w:pPr>
        <w:pStyle w:val="FootnoteText"/>
      </w:pPr>
      <w:r>
        <w:rPr>
          <w:rStyle w:val="FootnoteReference"/>
        </w:rPr>
        <w:footnoteRef/>
      </w:r>
      <w:r>
        <w:t xml:space="preserve"> </w:t>
      </w:r>
      <w:r>
        <w:t xml:space="preserve">Vijiaratnam 2025, PMID 39919773.</w:t>
      </w:r>
    </w:p>
  </w:footnote>
  <w:footnote w:id="256">
    <w:p>
      <w:pPr>
        <w:pStyle w:val="FootnoteText"/>
      </w:pPr>
      <w:r>
        <w:rPr>
          <w:rStyle w:val="FootnoteReference"/>
        </w:rPr>
        <w:footnoteRef/>
      </w:r>
      <w:r>
        <w:t xml:space="preserve"> </w:t>
      </w:r>
      <w:r>
        <w:t xml:space="preserve">McGarry 2024, PMID 38101901.</w:t>
      </w:r>
    </w:p>
  </w:footnote>
  <w:footnote w:id="257">
    <w:p>
      <w:pPr>
        <w:pStyle w:val="FootnoteText"/>
      </w:pPr>
      <w:r>
        <w:rPr>
          <w:rStyle w:val="FootnoteReference"/>
        </w:rPr>
        <w:footnoteRef/>
      </w:r>
      <w:r>
        <w:t xml:space="preserve"> </w:t>
      </w:r>
      <w:r>
        <w:t xml:space="preserve">Vijiaratnam 2025, PMID 40727970.</w:t>
      </w:r>
    </w:p>
  </w:footnote>
  <w:footnote w:id="259">
    <w:p>
      <w:pPr>
        <w:pStyle w:val="FootnoteText"/>
      </w:pPr>
      <w:r>
        <w:rPr>
          <w:rStyle w:val="FootnoteReference"/>
        </w:rPr>
        <w:footnoteRef/>
      </w:r>
      <w:r>
        <w:t xml:space="preserve"> </w:t>
      </w:r>
      <w:r>
        <w:t xml:space="preserve">Mullins 2019, PMID 31518224.</w:t>
      </w:r>
    </w:p>
  </w:footnote>
  <w:footnote w:id="260">
    <w:p>
      <w:pPr>
        <w:pStyle w:val="FootnoteText"/>
      </w:pPr>
      <w:r>
        <w:rPr>
          <w:rStyle w:val="FootnoteReference"/>
        </w:rPr>
        <w:footnoteRef/>
      </w:r>
      <w:r>
        <w:t xml:space="preserve"> </w:t>
      </w:r>
      <w:r>
        <w:t xml:space="preserve">Dei Cas 2024, PMID 38565814.</w:t>
      </w:r>
    </w:p>
  </w:footnote>
  <w:footnote w:id="261">
    <w:p>
      <w:pPr>
        <w:pStyle w:val="FootnoteText"/>
      </w:pPr>
      <w:r>
        <w:rPr>
          <w:rStyle w:val="FootnoteReference"/>
        </w:rPr>
        <w:footnoteRef/>
      </w:r>
      <w:r>
        <w:t xml:space="preserve"> </w:t>
      </w:r>
      <w:r>
        <w:t xml:space="preserve">Klausen 2022, PMID 36066977.</w:t>
      </w:r>
    </w:p>
  </w:footnote>
  <w:footnote w:id="262">
    <w:p>
      <w:pPr>
        <w:pStyle w:val="FootnoteText"/>
      </w:pPr>
      <w:r>
        <w:rPr>
          <w:rStyle w:val="FootnoteReference"/>
        </w:rPr>
        <w:footnoteRef/>
      </w:r>
      <w:r>
        <w:t xml:space="preserve"> </w:t>
      </w:r>
      <w:r>
        <w:t xml:space="preserve">Mitchell 2023, PMID 36907221.</w:t>
      </w:r>
    </w:p>
  </w:footnote>
  <w:footnote w:id="265">
    <w:p>
      <w:pPr>
        <w:pStyle w:val="FootnoteText"/>
      </w:pPr>
      <w:r>
        <w:rPr>
          <w:rStyle w:val="FootnoteReference"/>
        </w:rPr>
        <w:footnoteRef/>
      </w:r>
      <w:r>
        <w:t xml:space="preserve"> </w:t>
      </w:r>
      <w:r>
        <w:t xml:space="preserve">Eng 1992, PMID 1313797.</w:t>
      </w:r>
    </w:p>
  </w:footnote>
  <w:footnote w:id="266">
    <w:p>
      <w:pPr>
        <w:pStyle w:val="FootnoteText"/>
      </w:pPr>
      <w:r>
        <w:rPr>
          <w:rStyle w:val="FootnoteReference"/>
        </w:rPr>
        <w:footnoteRef/>
      </w:r>
      <w:r>
        <w:t xml:space="preserve"> </w:t>
      </w:r>
      <w:r>
        <w:t xml:space="preserve">Xu 1999, PMID 10580413.</w:t>
      </w:r>
    </w:p>
  </w:footnote>
  <w:footnote w:id="267">
    <w:p>
      <w:pPr>
        <w:pStyle w:val="FootnoteText"/>
      </w:pPr>
      <w:r>
        <w:rPr>
          <w:rStyle w:val="FootnoteReference"/>
        </w:rPr>
        <w:footnoteRef/>
      </w:r>
      <w:r>
        <w:t xml:space="preserve"> </w:t>
      </w:r>
      <w:r>
        <w:t xml:space="preserve">Bjerre Knudsen 2010, PMID 20203154.</w:t>
      </w:r>
    </w:p>
  </w:footnote>
  <w:footnote w:id="269">
    <w:p>
      <w:pPr>
        <w:pStyle w:val="FootnoteText"/>
      </w:pPr>
      <w:r>
        <w:rPr>
          <w:rStyle w:val="FootnoteReference"/>
        </w:rPr>
        <w:footnoteRef/>
      </w:r>
      <w:r>
        <w:t xml:space="preserve"> </w:t>
      </w:r>
      <w:r>
        <w:t xml:space="preserve">Heine 2005, PMID 16230722.</w:t>
      </w:r>
    </w:p>
  </w:footnote>
  <w:footnote w:id="270">
    <w:p>
      <w:pPr>
        <w:pStyle w:val="FootnoteText"/>
      </w:pPr>
      <w:r>
        <w:rPr>
          <w:rStyle w:val="FootnoteReference"/>
        </w:rPr>
        <w:footnoteRef/>
      </w:r>
      <w:r>
        <w:t xml:space="preserve"> </w:t>
      </w:r>
      <w:r>
        <w:t xml:space="preserve">Buse 2013, PMID 23141817.</w:t>
      </w:r>
    </w:p>
  </w:footnote>
  <w:footnote w:id="271">
    <w:p>
      <w:pPr>
        <w:pStyle w:val="FootnoteText"/>
      </w:pPr>
      <w:r>
        <w:rPr>
          <w:rStyle w:val="FootnoteReference"/>
        </w:rPr>
        <w:footnoteRef/>
      </w:r>
      <w:r>
        <w:t xml:space="preserve"> </w:t>
      </w:r>
      <w:r>
        <w:t xml:space="preserve">Kendall 2005, PMID 15855571.</w:t>
      </w:r>
    </w:p>
  </w:footnote>
  <w:footnote w:id="272">
    <w:p>
      <w:pPr>
        <w:pStyle w:val="FootnoteText"/>
      </w:pPr>
      <w:r>
        <w:rPr>
          <w:rStyle w:val="FootnoteReference"/>
        </w:rPr>
        <w:footnoteRef/>
      </w:r>
      <w:r>
        <w:t xml:space="preserve"> </w:t>
      </w:r>
      <w:r>
        <w:t xml:space="preserve">Wysham 2015, PMID 25744115.</w:t>
      </w:r>
    </w:p>
  </w:footnote>
  <w:footnote w:id="273">
    <w:p>
      <w:pPr>
        <w:pStyle w:val="FootnoteText"/>
      </w:pPr>
      <w:r>
        <w:rPr>
          <w:rStyle w:val="FootnoteReference"/>
        </w:rPr>
        <w:footnoteRef/>
      </w:r>
      <w:r>
        <w:t xml:space="preserve"> </w:t>
      </w:r>
      <w:r>
        <w:t xml:space="preserve">Dore 2013, PMID 23981106.</w:t>
      </w:r>
    </w:p>
  </w:footnote>
  <w:footnote w:id="274">
    <w:p>
      <w:pPr>
        <w:pStyle w:val="FootnoteText"/>
      </w:pPr>
      <w:r>
        <w:rPr>
          <w:rStyle w:val="FootnoteReference"/>
        </w:rPr>
        <w:footnoteRef/>
      </w:r>
      <w:r>
        <w:t xml:space="preserve"> </w:t>
      </w:r>
      <w:r>
        <w:t xml:space="preserve">Holman 2017, PMID 28910237.</w:t>
      </w:r>
    </w:p>
  </w:footnote>
  <w:footnote w:id="275">
    <w:p>
      <w:pPr>
        <w:pStyle w:val="FootnoteText"/>
      </w:pPr>
      <w:r>
        <w:rPr>
          <w:rStyle w:val="FootnoteReference"/>
        </w:rPr>
        <w:footnoteRef/>
      </w:r>
      <w:r>
        <w:t xml:space="preserve"> </w:t>
      </w:r>
      <w:r>
        <w:t xml:space="preserve">Liang 2019, PMID 30474347.</w:t>
      </w:r>
    </w:p>
  </w:footnote>
  <w:footnote w:id="276">
    <w:p>
      <w:pPr>
        <w:pStyle w:val="FootnoteText"/>
      </w:pPr>
      <w:r>
        <w:rPr>
          <w:rStyle w:val="FootnoteReference"/>
        </w:rPr>
        <w:footnoteRef/>
      </w:r>
      <w:r>
        <w:t xml:space="preserve"> </w:t>
      </w:r>
      <w:r>
        <w:t xml:space="preserve">Silverii 2025, PMID 40437949.</w:t>
      </w:r>
    </w:p>
  </w:footnote>
  <w:footnote w:id="277">
    <w:p>
      <w:pPr>
        <w:pStyle w:val="FootnoteText"/>
      </w:pPr>
      <w:r>
        <w:rPr>
          <w:rStyle w:val="FootnoteReference"/>
        </w:rPr>
        <w:footnoteRef/>
      </w:r>
      <w:r>
        <w:t xml:space="preserve"> </w:t>
      </w:r>
      <w:r>
        <w:t xml:space="preserve">NCT05663515.</w:t>
      </w:r>
    </w:p>
  </w:footnote>
  <w:footnote w:id="280">
    <w:p>
      <w:pPr>
        <w:pStyle w:val="FootnoteText"/>
      </w:pPr>
      <w:r>
        <w:rPr>
          <w:rStyle w:val="FootnoteReference"/>
        </w:rPr>
        <w:footnoteRef/>
      </w:r>
      <w:r>
        <w:t xml:space="preserve"> </w:t>
      </w:r>
      <w:r>
        <w:t xml:space="preserve">Ji 2021, PMID 33687487.</w:t>
      </w:r>
    </w:p>
  </w:footnote>
  <w:footnote w:id="281">
    <w:p>
      <w:pPr>
        <w:pStyle w:val="FootnoteText"/>
      </w:pPr>
      <w:r>
        <w:rPr>
          <w:rStyle w:val="FootnoteReference"/>
        </w:rPr>
        <w:footnoteRef/>
      </w:r>
      <w:r>
        <w:t xml:space="preserve"> </w:t>
      </w:r>
      <w:r>
        <w:t xml:space="preserve">NCT06254014, NCT06257966.</w:t>
      </w:r>
    </w:p>
  </w:footnote>
  <w:footnote w:id="282">
    <w:p>
      <w:pPr>
        <w:pStyle w:val="FootnoteText"/>
      </w:pPr>
      <w:r>
        <w:rPr>
          <w:rStyle w:val="FootnoteReference"/>
        </w:rPr>
        <w:footnoteRef/>
      </w:r>
      <w:r>
        <w:t xml:space="preserve"> </w:t>
      </w:r>
      <w:r>
        <w:t xml:space="preserve">NCT07497399.</w:t>
      </w:r>
    </w:p>
  </w:footnote>
  <w:footnote w:id="283">
    <w:p>
      <w:pPr>
        <w:pStyle w:val="FootnoteText"/>
      </w:pPr>
      <w:r>
        <w:rPr>
          <w:rStyle w:val="FootnoteReference"/>
        </w:rPr>
        <w:footnoteRef/>
      </w:r>
      <w:r>
        <w:t xml:space="preserve"> </w:t>
      </w:r>
      <w:r>
        <w:t xml:space="preserve">NCT05663515.</w:t>
      </w:r>
    </w:p>
  </w:footnote>
  <w:footnote w:id="284">
    <w:p>
      <w:pPr>
        <w:pStyle w:val="FootnoteText"/>
      </w:pPr>
      <w:r>
        <w:rPr>
          <w:rStyle w:val="FootnoteReference"/>
        </w:rPr>
        <w:footnoteRef/>
      </w:r>
      <w:r>
        <w:t xml:space="preserve"> </w:t>
      </w:r>
      <w:r>
        <w:t xml:space="preserve">NCT01511393.</w:t>
      </w:r>
    </w:p>
  </w:footnote>
  <w:footnote w:id="285">
    <w:p>
      <w:pPr>
        <w:pStyle w:val="FootnoteText"/>
      </w:pPr>
      <w:r>
        <w:rPr>
          <w:rStyle w:val="FootnoteReference"/>
        </w:rPr>
        <w:footnoteRef/>
      </w:r>
      <w:r>
        <w:t xml:space="preserve"> </w:t>
      </w:r>
      <w:r>
        <w:t xml:space="preserve">NCT07808879.</w:t>
      </w:r>
    </w:p>
  </w:footnote>
  <w:footnote w:id="289">
    <w:p>
      <w:pPr>
        <w:pStyle w:val="FootnoteText"/>
      </w:pPr>
      <w:r>
        <w:rPr>
          <w:rStyle w:val="FootnoteReference"/>
        </w:rPr>
        <w:footnoteRef/>
      </w:r>
      <w:r>
        <w:t xml:space="preserve"> </w:t>
      </w:r>
      <w:r>
        <w:t xml:space="preserve">Knudsen 2019, PMID 31031702.</w:t>
      </w:r>
    </w:p>
  </w:footnote>
  <w:footnote w:id="291">
    <w:p>
      <w:pPr>
        <w:pStyle w:val="FootnoteText"/>
      </w:pPr>
      <w:r>
        <w:rPr>
          <w:rStyle w:val="FootnoteReference"/>
        </w:rPr>
        <w:footnoteRef/>
      </w:r>
      <w:r>
        <w:t xml:space="preserve"> </w:t>
      </w:r>
      <w:r>
        <w:t xml:space="preserve">Secher 2014, PMID 25202980.</w:t>
      </w:r>
    </w:p>
  </w:footnote>
  <w:footnote w:id="292">
    <w:p>
      <w:pPr>
        <w:pStyle w:val="FootnoteText"/>
      </w:pPr>
      <w:r>
        <w:rPr>
          <w:rStyle w:val="FootnoteReference"/>
        </w:rPr>
        <w:footnoteRef/>
      </w:r>
      <w:r>
        <w:t xml:space="preserve"> </w:t>
      </w:r>
      <w:r>
        <w:t xml:space="preserve">Knudsen 2019, PMID 31031702.</w:t>
      </w:r>
    </w:p>
  </w:footnote>
  <w:footnote w:id="294">
    <w:p>
      <w:pPr>
        <w:pStyle w:val="FootnoteText"/>
      </w:pPr>
      <w:r>
        <w:rPr>
          <w:rStyle w:val="FootnoteReference"/>
        </w:rPr>
        <w:footnoteRef/>
      </w:r>
      <w:r>
        <w:t xml:space="preserve"> </w:t>
      </w:r>
      <w:r>
        <w:t xml:space="preserve">Garber 2009, PMID 18819705.</w:t>
      </w:r>
    </w:p>
  </w:footnote>
  <w:footnote w:id="295">
    <w:p>
      <w:pPr>
        <w:pStyle w:val="FootnoteText"/>
      </w:pPr>
      <w:r>
        <w:rPr>
          <w:rStyle w:val="FootnoteReference"/>
        </w:rPr>
        <w:footnoteRef/>
      </w:r>
      <w:r>
        <w:t xml:space="preserve"> </w:t>
      </w:r>
      <w:r>
        <w:t xml:space="preserve">Pratley 2010, PMID 20417856.</w:t>
      </w:r>
    </w:p>
  </w:footnote>
  <w:footnote w:id="297">
    <w:p>
      <w:pPr>
        <w:pStyle w:val="FootnoteText"/>
      </w:pPr>
      <w:r>
        <w:rPr>
          <w:rStyle w:val="FootnoteReference"/>
        </w:rPr>
        <w:footnoteRef/>
      </w:r>
      <w:r>
        <w:t xml:space="preserve"> </w:t>
      </w:r>
      <w:r>
        <w:t xml:space="preserve">Buse 2009, PMID 19515413.</w:t>
      </w:r>
    </w:p>
  </w:footnote>
  <w:footnote w:id="298">
    <w:p>
      <w:pPr>
        <w:pStyle w:val="FootnoteText"/>
      </w:pPr>
      <w:r>
        <w:rPr>
          <w:rStyle w:val="FootnoteReference"/>
        </w:rPr>
        <w:footnoteRef/>
      </w:r>
      <w:r>
        <w:t xml:space="preserve"> </w:t>
      </w:r>
      <w:r>
        <w:t xml:space="preserve">Dungan 2014, PMID 25018121.</w:t>
      </w:r>
    </w:p>
  </w:footnote>
  <w:footnote w:id="299">
    <w:p>
      <w:pPr>
        <w:pStyle w:val="FootnoteText"/>
      </w:pPr>
      <w:r>
        <w:rPr>
          <w:rStyle w:val="FootnoteReference"/>
        </w:rPr>
        <w:footnoteRef/>
      </w:r>
      <w:r>
        <w:t xml:space="preserve"> </w:t>
      </w:r>
      <w:r>
        <w:t xml:space="preserve">Rubino 2022, PMID 35015037.</w:t>
      </w:r>
    </w:p>
  </w:footnote>
  <w:footnote w:id="300">
    <w:p>
      <w:pPr>
        <w:pStyle w:val="FootnoteText"/>
      </w:pPr>
      <w:r>
        <w:rPr>
          <w:rStyle w:val="FootnoteReference"/>
        </w:rPr>
        <w:footnoteRef/>
      </w:r>
      <w:r>
        <w:t xml:space="preserve"> </w:t>
      </w:r>
      <w:r>
        <w:t xml:space="preserve">Pratley 2019, PMID 31186120.</w:t>
      </w:r>
    </w:p>
  </w:footnote>
  <w:footnote w:id="302">
    <w:p>
      <w:pPr>
        <w:pStyle w:val="FootnoteText"/>
      </w:pPr>
      <w:r>
        <w:rPr>
          <w:rStyle w:val="FootnoteReference"/>
        </w:rPr>
        <w:footnoteRef/>
      </w:r>
      <w:r>
        <w:t xml:space="preserve"> </w:t>
      </w:r>
      <w:r>
        <w:t xml:space="preserve">Marso 2016, PMID 27295427.</w:t>
      </w:r>
    </w:p>
  </w:footnote>
  <w:footnote w:id="303">
    <w:p>
      <w:pPr>
        <w:pStyle w:val="FootnoteText"/>
      </w:pPr>
      <w:r>
        <w:rPr>
          <w:rStyle w:val="FootnoteReference"/>
        </w:rPr>
        <w:footnoteRef/>
      </w:r>
      <w:r>
        <w:t xml:space="preserve"> </w:t>
      </w:r>
      <w:r>
        <w:t xml:space="preserve">Mann 2017, PMID 28854085.</w:t>
      </w:r>
    </w:p>
  </w:footnote>
  <w:footnote w:id="304">
    <w:p>
      <w:pPr>
        <w:pStyle w:val="FootnoteText"/>
      </w:pPr>
      <w:r>
        <w:rPr>
          <w:rStyle w:val="FootnoteReference"/>
        </w:rPr>
        <w:footnoteRef/>
      </w:r>
      <w:r>
        <w:t xml:space="preserve"> </w:t>
      </w:r>
      <w:r>
        <w:t xml:space="preserve">Margulies 2016, PMID 27483064.</w:t>
      </w:r>
    </w:p>
  </w:footnote>
  <w:footnote w:id="306">
    <w:p>
      <w:pPr>
        <w:pStyle w:val="FootnoteText"/>
      </w:pPr>
      <w:r>
        <w:rPr>
          <w:rStyle w:val="FootnoteReference"/>
        </w:rPr>
        <w:footnoteRef/>
      </w:r>
      <w:r>
        <w:t xml:space="preserve"> </w:t>
      </w:r>
      <w:r>
        <w:t xml:space="preserve">Pi-Sunyer 2015, PMID 26132939.</w:t>
      </w:r>
    </w:p>
  </w:footnote>
  <w:footnote w:id="307">
    <w:p>
      <w:pPr>
        <w:pStyle w:val="FootnoteText"/>
      </w:pPr>
      <w:r>
        <w:rPr>
          <w:rStyle w:val="FootnoteReference"/>
        </w:rPr>
        <w:footnoteRef/>
      </w:r>
      <w:r>
        <w:t xml:space="preserve"> </w:t>
      </w:r>
      <w:r>
        <w:t xml:space="preserve">le Roux 2017, PMID 28237263.</w:t>
      </w:r>
    </w:p>
  </w:footnote>
  <w:footnote w:id="308">
    <w:p>
      <w:pPr>
        <w:pStyle w:val="FootnoteText"/>
      </w:pPr>
      <w:r>
        <w:rPr>
          <w:rStyle w:val="FootnoteReference"/>
        </w:rPr>
        <w:footnoteRef/>
      </w:r>
      <w:r>
        <w:t xml:space="preserve"> </w:t>
      </w:r>
      <w:r>
        <w:t xml:space="preserve">Davies 2015, PMID 26284720.</w:t>
      </w:r>
    </w:p>
  </w:footnote>
  <w:footnote w:id="309">
    <w:p>
      <w:pPr>
        <w:pStyle w:val="FootnoteText"/>
      </w:pPr>
      <w:r>
        <w:rPr>
          <w:rStyle w:val="FootnoteReference"/>
        </w:rPr>
        <w:footnoteRef/>
      </w:r>
      <w:r>
        <w:t xml:space="preserve"> </w:t>
      </w:r>
      <w:r>
        <w:t xml:space="preserve">Wadden 2013, PMID 23812094.</w:t>
      </w:r>
    </w:p>
  </w:footnote>
  <w:footnote w:id="311">
    <w:p>
      <w:pPr>
        <w:pStyle w:val="FootnoteText"/>
      </w:pPr>
      <w:r>
        <w:rPr>
          <w:rStyle w:val="FootnoteReference"/>
        </w:rPr>
        <w:footnoteRef/>
      </w:r>
      <w:r>
        <w:t xml:space="preserve"> </w:t>
      </w:r>
      <w:r>
        <w:t xml:space="preserve">Kelly 2020, PMID 32233338.</w:t>
      </w:r>
    </w:p>
  </w:footnote>
  <w:footnote w:id="312">
    <w:p>
      <w:pPr>
        <w:pStyle w:val="FootnoteText"/>
      </w:pPr>
      <w:r>
        <w:rPr>
          <w:rStyle w:val="FootnoteReference"/>
        </w:rPr>
        <w:footnoteRef/>
      </w:r>
      <w:r>
        <w:t xml:space="preserve"> </w:t>
      </w:r>
      <w:r>
        <w:t xml:space="preserve">Fox 2025, PMID 39258838.</w:t>
      </w:r>
    </w:p>
  </w:footnote>
  <w:footnote w:id="313">
    <w:p>
      <w:pPr>
        <w:pStyle w:val="FootnoteText"/>
      </w:pPr>
      <w:r>
        <w:rPr>
          <w:rStyle w:val="FootnoteReference"/>
        </w:rPr>
        <w:footnoteRef/>
      </w:r>
      <w:r>
        <w:t xml:space="preserve"> </w:t>
      </w:r>
      <w:r>
        <w:t xml:space="preserve">NCT06903923.</w:t>
      </w:r>
    </w:p>
  </w:footnote>
  <w:footnote w:id="315">
    <w:p>
      <w:pPr>
        <w:pStyle w:val="FootnoteText"/>
      </w:pPr>
      <w:r>
        <w:rPr>
          <w:rStyle w:val="FootnoteReference"/>
        </w:rPr>
        <w:footnoteRef/>
      </w:r>
      <w:r>
        <w:t xml:space="preserve"> </w:t>
      </w:r>
      <w:r>
        <w:t xml:space="preserve">Armstrong 2016, PMID 26608256.</w:t>
      </w:r>
    </w:p>
  </w:footnote>
  <w:footnote w:id="316">
    <w:p>
      <w:pPr>
        <w:pStyle w:val="FootnoteText"/>
      </w:pPr>
      <w:r>
        <w:rPr>
          <w:rStyle w:val="FootnoteReference"/>
        </w:rPr>
        <w:footnoteRef/>
      </w:r>
      <w:r>
        <w:t xml:space="preserve"> </w:t>
      </w:r>
      <w:r>
        <w:t xml:space="preserve">Edison 2026, PMID 41326666.</w:t>
      </w:r>
    </w:p>
  </w:footnote>
  <w:footnote w:id="317">
    <w:p>
      <w:pPr>
        <w:pStyle w:val="FootnoteText"/>
      </w:pPr>
      <w:r>
        <w:rPr>
          <w:rStyle w:val="FootnoteReference"/>
        </w:rPr>
        <w:footnoteRef/>
      </w:r>
      <w:r>
        <w:t xml:space="preserve"> </w:t>
      </w:r>
      <w:r>
        <w:t xml:space="preserve">Lähteenvuo 2025, PMID 39535805.</w:t>
      </w:r>
    </w:p>
  </w:footnote>
  <w:footnote w:id="320">
    <w:p>
      <w:pPr>
        <w:pStyle w:val="FootnoteText"/>
      </w:pPr>
      <w:r>
        <w:rPr>
          <w:rStyle w:val="FootnoteReference"/>
        </w:rPr>
        <w:footnoteRef/>
      </w:r>
      <w:r>
        <w:t xml:space="preserve"> </w:t>
      </w:r>
      <w:r>
        <w:t xml:space="preserve">Secher 2014, PMID 25202980.</w:t>
      </w:r>
    </w:p>
  </w:footnote>
  <w:footnote w:id="321">
    <w:p>
      <w:pPr>
        <w:pStyle w:val="FootnoteText"/>
      </w:pPr>
      <w:r>
        <w:rPr>
          <w:rStyle w:val="FootnoteReference"/>
        </w:rPr>
        <w:footnoteRef/>
      </w:r>
      <w:r>
        <w:t xml:space="preserve"> </w:t>
      </w:r>
      <w:r>
        <w:t xml:space="preserve">Bjerre Knudsen 2010, PMID 20203154.</w:t>
      </w:r>
    </w:p>
  </w:footnote>
  <w:footnote w:id="323">
    <w:p>
      <w:pPr>
        <w:pStyle w:val="FootnoteText"/>
      </w:pPr>
      <w:r>
        <w:rPr>
          <w:rStyle w:val="FootnoteReference"/>
        </w:rPr>
        <w:footnoteRef/>
      </w:r>
      <w:r>
        <w:t xml:space="preserve"> </w:t>
      </w:r>
      <w:r>
        <w:t xml:space="preserve">Marso 2016, PMID 27295427.</w:t>
      </w:r>
    </w:p>
  </w:footnote>
  <w:footnote w:id="324">
    <w:p>
      <w:pPr>
        <w:pStyle w:val="FootnoteText"/>
      </w:pPr>
      <w:r>
        <w:rPr>
          <w:rStyle w:val="FootnoteReference"/>
        </w:rPr>
        <w:footnoteRef/>
      </w:r>
      <w:r>
        <w:t xml:space="preserve"> </w:t>
      </w:r>
      <w:r>
        <w:t xml:space="preserve">Davies 2015, PMID 26284720.</w:t>
      </w:r>
    </w:p>
  </w:footnote>
  <w:footnote w:id="325">
    <w:p>
      <w:pPr>
        <w:pStyle w:val="FootnoteText"/>
      </w:pPr>
      <w:r>
        <w:rPr>
          <w:rStyle w:val="FootnoteReference"/>
        </w:rPr>
        <w:footnoteRef/>
      </w:r>
      <w:r>
        <w:t xml:space="preserve"> </w:t>
      </w:r>
      <w:r>
        <w:t xml:space="preserve">He 2022, PMID 35344001.</w:t>
      </w:r>
    </w:p>
  </w:footnote>
  <w:footnote w:id="326">
    <w:p>
      <w:pPr>
        <w:pStyle w:val="FootnoteText"/>
      </w:pPr>
      <w:r>
        <w:rPr>
          <w:rStyle w:val="FootnoteReference"/>
        </w:rPr>
        <w:footnoteRef/>
      </w:r>
      <w:r>
        <w:t xml:space="preserve"> </w:t>
      </w:r>
      <w:r>
        <w:t xml:space="preserve">Marso 2016, PMID 27295427.</w:t>
      </w:r>
    </w:p>
  </w:footnote>
  <w:footnote w:id="327">
    <w:p>
      <w:pPr>
        <w:pStyle w:val="FootnoteText"/>
      </w:pPr>
      <w:r>
        <w:rPr>
          <w:rStyle w:val="FootnoteReference"/>
        </w:rPr>
        <w:footnoteRef/>
      </w:r>
      <w:r>
        <w:t xml:space="preserve"> </w:t>
      </w:r>
      <w:r>
        <w:t xml:space="preserve">Alves 2012, PMID 23010561.</w:t>
      </w:r>
    </w:p>
  </w:footnote>
  <w:footnote w:id="328">
    <w:p>
      <w:pPr>
        <w:pStyle w:val="FootnoteText"/>
      </w:pPr>
      <w:r>
        <w:rPr>
          <w:rStyle w:val="FootnoteReference"/>
        </w:rPr>
        <w:footnoteRef/>
      </w:r>
      <w:r>
        <w:t xml:space="preserve"> </w:t>
      </w:r>
      <w:r>
        <w:t xml:space="preserve">Bezin 2023, PMID 36356111.</w:t>
      </w:r>
    </w:p>
  </w:footnote>
  <w:footnote w:id="329">
    <w:p>
      <w:pPr>
        <w:pStyle w:val="FootnoteText"/>
      </w:pPr>
      <w:r>
        <w:rPr>
          <w:rStyle w:val="FootnoteReference"/>
        </w:rPr>
        <w:footnoteRef/>
      </w:r>
      <w:r>
        <w:t xml:space="preserve"> </w:t>
      </w:r>
      <w:r>
        <w:t xml:space="preserve">Silverii 2025, PMID 40437949.</w:t>
      </w:r>
    </w:p>
  </w:footnote>
  <w:footnote w:id="330">
    <w:p>
      <w:pPr>
        <w:pStyle w:val="FootnoteText"/>
      </w:pPr>
      <w:r>
        <w:rPr>
          <w:rStyle w:val="FootnoteReference"/>
        </w:rPr>
        <w:footnoteRef/>
      </w:r>
      <w:r>
        <w:t xml:space="preserve"> </w:t>
      </w:r>
      <w:r>
        <w:t xml:space="preserve">Ueda 2024, PMID 39226030.</w:t>
      </w:r>
    </w:p>
  </w:footnote>
  <w:footnote w:id="331">
    <w:p>
      <w:pPr>
        <w:pStyle w:val="FootnoteText"/>
      </w:pPr>
      <w:r>
        <w:rPr>
          <w:rStyle w:val="FootnoteReference"/>
        </w:rPr>
        <w:footnoteRef/>
      </w:r>
      <w:r>
        <w:t xml:space="preserve"> </w:t>
      </w:r>
      <w:r>
        <w:t xml:space="preserve">Choudhury 2026, PMID 41862354.</w:t>
      </w:r>
    </w:p>
  </w:footnote>
  <w:footnote w:id="334">
    <w:p>
      <w:pPr>
        <w:pStyle w:val="FootnoteText"/>
      </w:pPr>
      <w:r>
        <w:rPr>
          <w:rStyle w:val="FootnoteReference"/>
        </w:rPr>
        <w:footnoteRef/>
      </w:r>
      <w:r>
        <w:t xml:space="preserve"> </w:t>
      </w:r>
      <w:r>
        <w:t xml:space="preserve">NCT06742710.</w:t>
      </w:r>
    </w:p>
  </w:footnote>
  <w:footnote w:id="335">
    <w:p>
      <w:pPr>
        <w:pStyle w:val="FootnoteText"/>
      </w:pPr>
      <w:r>
        <w:rPr>
          <w:rStyle w:val="FootnoteReference"/>
        </w:rPr>
        <w:footnoteRef/>
      </w:r>
      <w:r>
        <w:t xml:space="preserve"> </w:t>
      </w:r>
      <w:r>
        <w:t xml:space="preserve">NCT06361238.</w:t>
      </w:r>
    </w:p>
  </w:footnote>
  <w:footnote w:id="336">
    <w:p>
      <w:pPr>
        <w:pStyle w:val="FootnoteText"/>
      </w:pPr>
      <w:r>
        <w:rPr>
          <w:rStyle w:val="FootnoteReference"/>
        </w:rPr>
        <w:footnoteRef/>
      </w:r>
      <w:r>
        <w:t xml:space="preserve"> </w:t>
      </w:r>
      <w:r>
        <w:t xml:space="preserve">NCT07029009.</w:t>
      </w:r>
    </w:p>
  </w:footnote>
  <w:footnote w:id="337">
    <w:p>
      <w:pPr>
        <w:pStyle w:val="FootnoteText"/>
      </w:pPr>
      <w:r>
        <w:rPr>
          <w:rStyle w:val="FootnoteReference"/>
        </w:rPr>
        <w:footnoteRef/>
      </w:r>
      <w:r>
        <w:t xml:space="preserve"> </w:t>
      </w:r>
      <w:r>
        <w:t xml:space="preserve">NCT05390892.</w:t>
      </w:r>
    </w:p>
  </w:footnote>
  <w:footnote w:id="338">
    <w:p>
      <w:pPr>
        <w:pStyle w:val="FootnoteText"/>
      </w:pPr>
      <w:r>
        <w:rPr>
          <w:rStyle w:val="FootnoteReference"/>
        </w:rPr>
        <w:footnoteRef/>
      </w:r>
      <w:r>
        <w:t xml:space="preserve"> </w:t>
      </w:r>
      <w:r>
        <w:t xml:space="preserve">NCT04775082.</w:t>
      </w:r>
    </w:p>
  </w:footnote>
  <w:footnote w:id="342">
    <w:p>
      <w:pPr>
        <w:pStyle w:val="FootnoteText"/>
      </w:pPr>
      <w:r>
        <w:rPr>
          <w:rStyle w:val="FootnoteReference"/>
        </w:rPr>
        <w:footnoteRef/>
      </w:r>
      <w:r>
        <w:t xml:space="preserve"> </w:t>
      </w:r>
      <w:r>
        <w:t xml:space="preserve">Glaesner 2010, PMID 20503261.</w:t>
      </w:r>
    </w:p>
  </w:footnote>
  <w:footnote w:id="344">
    <w:p>
      <w:pPr>
        <w:pStyle w:val="FootnoteText"/>
      </w:pPr>
      <w:r>
        <w:rPr>
          <w:rStyle w:val="FootnoteReference"/>
        </w:rPr>
        <w:footnoteRef/>
      </w:r>
      <w:r>
        <w:t xml:space="preserve"> </w:t>
      </w:r>
      <w:r>
        <w:t xml:space="preserve">Glaesner 2010, PMID 20503261.</w:t>
      </w:r>
    </w:p>
  </w:footnote>
  <w:footnote w:id="345">
    <w:p>
      <w:pPr>
        <w:pStyle w:val="FootnoteText"/>
      </w:pPr>
      <w:r>
        <w:rPr>
          <w:rStyle w:val="FootnoteReference"/>
        </w:rPr>
        <w:footnoteRef/>
      </w:r>
      <w:r>
        <w:t xml:space="preserve"> </w:t>
      </w:r>
      <w:r>
        <w:t xml:space="preserve">Milicevic 2016, PMID 26847401.</w:t>
      </w:r>
    </w:p>
  </w:footnote>
  <w:footnote w:id="347">
    <w:p>
      <w:pPr>
        <w:pStyle w:val="FootnoteText"/>
      </w:pPr>
      <w:r>
        <w:rPr>
          <w:rStyle w:val="FootnoteReference"/>
        </w:rPr>
        <w:footnoteRef/>
      </w:r>
      <w:r>
        <w:t xml:space="preserve"> </w:t>
      </w:r>
      <w:r>
        <w:t xml:space="preserve">Giorgino 2015, PMID 26089386 ; Blonde 2015, PMID 26009229.</w:t>
      </w:r>
    </w:p>
  </w:footnote>
  <w:footnote w:id="348">
    <w:p>
      <w:pPr>
        <w:pStyle w:val="FootnoteText"/>
      </w:pPr>
      <w:r>
        <w:rPr>
          <w:rStyle w:val="FootnoteReference"/>
        </w:rPr>
        <w:footnoteRef/>
      </w:r>
      <w:r>
        <w:t xml:space="preserve"> </w:t>
      </w:r>
      <w:r>
        <w:t xml:space="preserve">Tuttle 2018, PMID 29910024.</w:t>
      </w:r>
    </w:p>
  </w:footnote>
  <w:footnote w:id="349">
    <w:p>
      <w:pPr>
        <w:pStyle w:val="FootnoteText"/>
      </w:pPr>
      <w:r>
        <w:rPr>
          <w:rStyle w:val="FootnoteReference"/>
        </w:rPr>
        <w:footnoteRef/>
      </w:r>
      <w:r>
        <w:t xml:space="preserve"> </w:t>
      </w:r>
      <w:r>
        <w:t xml:space="preserve">Dungan 2016, PMID 26799540.</w:t>
      </w:r>
    </w:p>
  </w:footnote>
  <w:footnote w:id="350">
    <w:p>
      <w:pPr>
        <w:pStyle w:val="FootnoteText"/>
      </w:pPr>
      <w:r>
        <w:rPr>
          <w:rStyle w:val="FootnoteReference"/>
        </w:rPr>
        <w:footnoteRef/>
      </w:r>
      <w:r>
        <w:t xml:space="preserve"> </w:t>
      </w:r>
      <w:r>
        <w:t xml:space="preserve">Frias 2021, PMID 33397768.</w:t>
      </w:r>
    </w:p>
  </w:footnote>
  <w:footnote w:id="352">
    <w:p>
      <w:pPr>
        <w:pStyle w:val="FootnoteText"/>
      </w:pPr>
      <w:r>
        <w:rPr>
          <w:rStyle w:val="FootnoteReference"/>
        </w:rPr>
        <w:footnoteRef/>
      </w:r>
      <w:r>
        <w:t xml:space="preserve"> </w:t>
      </w:r>
      <w:r>
        <w:t xml:space="preserve">Wysham 2014, PMID 24879836.</w:t>
      </w:r>
    </w:p>
  </w:footnote>
  <w:footnote w:id="353">
    <w:p>
      <w:pPr>
        <w:pStyle w:val="FootnoteText"/>
      </w:pPr>
      <w:r>
        <w:rPr>
          <w:rStyle w:val="FootnoteReference"/>
        </w:rPr>
        <w:footnoteRef/>
      </w:r>
      <w:r>
        <w:t xml:space="preserve"> </w:t>
      </w:r>
      <w:r>
        <w:t xml:space="preserve">Dungan 2014, PMID 25018121.</w:t>
      </w:r>
    </w:p>
  </w:footnote>
  <w:footnote w:id="354">
    <w:p>
      <w:pPr>
        <w:pStyle w:val="FootnoteText"/>
      </w:pPr>
      <w:r>
        <w:rPr>
          <w:rStyle w:val="FootnoteReference"/>
        </w:rPr>
        <w:footnoteRef/>
      </w:r>
      <w:r>
        <w:t xml:space="preserve"> </w:t>
      </w:r>
      <w:r>
        <w:t xml:space="preserve">Pratley 2018, PMID 29397376.</w:t>
      </w:r>
    </w:p>
  </w:footnote>
  <w:footnote w:id="356">
    <w:p>
      <w:pPr>
        <w:pStyle w:val="FootnoteText"/>
      </w:pPr>
      <w:r>
        <w:rPr>
          <w:rStyle w:val="FootnoteReference"/>
        </w:rPr>
        <w:footnoteRef/>
      </w:r>
      <w:r>
        <w:t xml:space="preserve"> </w:t>
      </w:r>
      <w:r>
        <w:t xml:space="preserve">Gerstein 2019, PMID 31189511.</w:t>
      </w:r>
    </w:p>
  </w:footnote>
  <w:footnote w:id="357">
    <w:p>
      <w:pPr>
        <w:pStyle w:val="FootnoteText"/>
      </w:pPr>
      <w:r>
        <w:rPr>
          <w:rStyle w:val="FootnoteReference"/>
        </w:rPr>
        <w:footnoteRef/>
      </w:r>
      <w:r>
        <w:t xml:space="preserve"> </w:t>
      </w:r>
      <w:r>
        <w:t xml:space="preserve">Gerstein 2019, PMID 31189509.</w:t>
      </w:r>
    </w:p>
  </w:footnote>
  <w:footnote w:id="358">
    <w:p>
      <w:pPr>
        <w:pStyle w:val="FootnoteText"/>
      </w:pPr>
      <w:r>
        <w:rPr>
          <w:rStyle w:val="FootnoteReference"/>
        </w:rPr>
        <w:footnoteRef/>
      </w:r>
      <w:r>
        <w:t xml:space="preserve"> </w:t>
      </w:r>
      <w:r>
        <w:t xml:space="preserve">Cukierman-Yaffe 2020, PMID 32562683.</w:t>
      </w:r>
    </w:p>
  </w:footnote>
  <w:footnote w:id="359">
    <w:p>
      <w:pPr>
        <w:pStyle w:val="FootnoteText"/>
      </w:pPr>
      <w:r>
        <w:rPr>
          <w:rStyle w:val="FootnoteReference"/>
        </w:rPr>
        <w:footnoteRef/>
      </w:r>
      <w:r>
        <w:t xml:space="preserve"> </w:t>
      </w:r>
      <w:r>
        <w:t xml:space="preserve">Kristensen 2019, PMID 31422062.</w:t>
      </w:r>
    </w:p>
  </w:footnote>
  <w:footnote w:id="361">
    <w:p>
      <w:pPr>
        <w:pStyle w:val="FootnoteText"/>
      </w:pPr>
      <w:r>
        <w:rPr>
          <w:rStyle w:val="FootnoteReference"/>
        </w:rPr>
        <w:footnoteRef/>
      </w:r>
      <w:r>
        <w:t xml:space="preserve"> </w:t>
      </w:r>
      <w:r>
        <w:t xml:space="preserve">Raubenheimer 2022, PMID 34984808.</w:t>
      </w:r>
    </w:p>
  </w:footnote>
  <w:footnote w:id="362">
    <w:p>
      <w:pPr>
        <w:pStyle w:val="FootnoteText"/>
      </w:pPr>
      <w:r>
        <w:rPr>
          <w:rStyle w:val="FootnoteReference"/>
        </w:rPr>
        <w:footnoteRef/>
      </w:r>
      <w:r>
        <w:t xml:space="preserve"> </w:t>
      </w:r>
      <w:r>
        <w:t xml:space="preserve">PMID 34563178.</w:t>
      </w:r>
    </w:p>
  </w:footnote>
  <w:footnote w:id="363">
    <w:p>
      <w:pPr>
        <w:pStyle w:val="FootnoteText"/>
      </w:pPr>
      <w:r>
        <w:rPr>
          <w:rStyle w:val="FootnoteReference"/>
        </w:rPr>
        <w:footnoteRef/>
      </w:r>
      <w:r>
        <w:t xml:space="preserve"> </w:t>
      </w:r>
      <w:r>
        <w:t xml:space="preserve">Branch 2022, PMID 36073143.</w:t>
      </w:r>
    </w:p>
  </w:footnote>
  <w:footnote w:id="364">
    <w:p>
      <w:pPr>
        <w:pStyle w:val="FootnoteText"/>
      </w:pPr>
      <w:r>
        <w:rPr>
          <w:rStyle w:val="FootnoteReference"/>
        </w:rPr>
        <w:footnoteRef/>
      </w:r>
      <w:r>
        <w:t xml:space="preserve"> </w:t>
      </w:r>
      <w:r>
        <w:t xml:space="preserve">Raubenheimer 2022, PMID 34984808.</w:t>
      </w:r>
    </w:p>
  </w:footnote>
  <w:footnote w:id="366">
    <w:p>
      <w:pPr>
        <w:pStyle w:val="FootnoteText"/>
      </w:pPr>
      <w:r>
        <w:rPr>
          <w:rStyle w:val="FootnoteReference"/>
        </w:rPr>
        <w:footnoteRef/>
      </w:r>
      <w:r>
        <w:t xml:space="preserve"> </w:t>
      </w:r>
      <w:r>
        <w:t xml:space="preserve">Nicholls 2025, PMID 41406444.</w:t>
      </w:r>
    </w:p>
  </w:footnote>
  <w:footnote w:id="367">
    <w:p>
      <w:pPr>
        <w:pStyle w:val="FootnoteText"/>
      </w:pPr>
      <w:r>
        <w:rPr>
          <w:rStyle w:val="FootnoteReference"/>
        </w:rPr>
        <w:footnoteRef/>
      </w:r>
      <w:r>
        <w:t xml:space="preserve"> </w:t>
      </w:r>
      <w:r>
        <w:t xml:space="preserve">Nissen 2026, PMID 41903177.</w:t>
      </w:r>
    </w:p>
  </w:footnote>
  <w:footnote w:id="369">
    <w:p>
      <w:pPr>
        <w:pStyle w:val="FootnoteText"/>
      </w:pPr>
      <w:r>
        <w:rPr>
          <w:rStyle w:val="FootnoteReference"/>
        </w:rPr>
        <w:footnoteRef/>
      </w:r>
      <w:r>
        <w:t xml:space="preserve"> </w:t>
      </w:r>
      <w:r>
        <w:t xml:space="preserve">Matfin 2015, PMID 25901022.</w:t>
      </w:r>
    </w:p>
  </w:footnote>
  <w:footnote w:id="370">
    <w:p>
      <w:pPr>
        <w:pStyle w:val="FootnoteText"/>
      </w:pPr>
      <w:r>
        <w:rPr>
          <w:rStyle w:val="FootnoteReference"/>
        </w:rPr>
        <w:footnoteRef/>
      </w:r>
      <w:r>
        <w:t xml:space="preserve"> </w:t>
      </w:r>
      <w:r>
        <w:t xml:space="preserve">Matza 2020, PMID 31646727.</w:t>
      </w:r>
    </w:p>
  </w:footnote>
  <w:footnote w:id="372">
    <w:p>
      <w:pPr>
        <w:pStyle w:val="FootnoteText"/>
      </w:pPr>
      <w:r>
        <w:rPr>
          <w:rStyle w:val="FootnoteReference"/>
        </w:rPr>
        <w:footnoteRef/>
      </w:r>
      <w:r>
        <w:t xml:space="preserve"> </w:t>
      </w:r>
      <w:r>
        <w:t xml:space="preserve">Arslanian 2022, PMID 35658022.</w:t>
      </w:r>
    </w:p>
  </w:footnote>
  <w:footnote w:id="374">
    <w:p>
      <w:pPr>
        <w:pStyle w:val="FootnoteText"/>
      </w:pPr>
      <w:r>
        <w:rPr>
          <w:rStyle w:val="FootnoteReference"/>
        </w:rPr>
        <w:footnoteRef/>
      </w:r>
      <w:r>
        <w:t xml:space="preserve"> </w:t>
      </w:r>
      <w:r>
        <w:t xml:space="preserve">Lüthi 2024, PMID 38371479.</w:t>
      </w:r>
    </w:p>
  </w:footnote>
  <w:footnote w:id="375">
    <w:p>
      <w:pPr>
        <w:pStyle w:val="FootnoteText"/>
      </w:pPr>
      <w:r>
        <w:rPr>
          <w:rStyle w:val="FootnoteReference"/>
        </w:rPr>
        <w:footnoteRef/>
      </w:r>
      <w:r>
        <w:t xml:space="preserve"> </w:t>
      </w:r>
      <w:r>
        <w:t xml:space="preserve">Probst 2023, PMID 37991022.</w:t>
      </w:r>
    </w:p>
  </w:footnote>
  <w:footnote w:id="376">
    <w:p>
      <w:pPr>
        <w:pStyle w:val="FootnoteText"/>
      </w:pPr>
      <w:r>
        <w:rPr>
          <w:rStyle w:val="FootnoteReference"/>
        </w:rPr>
        <w:footnoteRef/>
      </w:r>
      <w:r>
        <w:t xml:space="preserve"> </w:t>
      </w:r>
      <w:r>
        <w:t xml:space="preserve">Winzeler 2021, PMID 34473645.</w:t>
      </w:r>
    </w:p>
  </w:footnote>
  <w:footnote w:id="379">
    <w:p>
      <w:pPr>
        <w:pStyle w:val="FootnoteText"/>
      </w:pPr>
      <w:r>
        <w:rPr>
          <w:rStyle w:val="FootnoteReference"/>
        </w:rPr>
        <w:footnoteRef/>
      </w:r>
      <w:r>
        <w:t xml:space="preserve"> </w:t>
      </w:r>
      <w:r>
        <w:t xml:space="preserve">Glaesner 2010, PMID 20503261.</w:t>
      </w:r>
    </w:p>
  </w:footnote>
  <w:footnote w:id="380">
    <w:p>
      <w:pPr>
        <w:pStyle w:val="FootnoteText"/>
      </w:pPr>
      <w:r>
        <w:rPr>
          <w:rStyle w:val="FootnoteReference"/>
        </w:rPr>
        <w:footnoteRef/>
      </w:r>
      <w:r>
        <w:t xml:space="preserve"> </w:t>
      </w:r>
      <w:r>
        <w:t xml:space="preserve">Bjerre Knudsen 2010, PMID 20203154.</w:t>
      </w:r>
    </w:p>
  </w:footnote>
  <w:footnote w:id="382">
    <w:p>
      <w:pPr>
        <w:pStyle w:val="FootnoteText"/>
      </w:pPr>
      <w:r>
        <w:rPr>
          <w:rStyle w:val="FootnoteReference"/>
        </w:rPr>
        <w:footnoteRef/>
      </w:r>
      <w:r>
        <w:t xml:space="preserve"> </w:t>
      </w:r>
      <w:r>
        <w:t xml:space="preserve">Gerstein 2019, PMID 31189511.</w:t>
      </w:r>
    </w:p>
  </w:footnote>
  <w:footnote w:id="383">
    <w:p>
      <w:pPr>
        <w:pStyle w:val="FootnoteText"/>
      </w:pPr>
      <w:r>
        <w:rPr>
          <w:rStyle w:val="FootnoteReference"/>
        </w:rPr>
        <w:footnoteRef/>
      </w:r>
      <w:r>
        <w:t xml:space="preserve"> </w:t>
      </w:r>
      <w:r>
        <w:t xml:space="preserve">Frias 2021, PMID 33397768.</w:t>
      </w:r>
    </w:p>
  </w:footnote>
  <w:footnote w:id="384">
    <w:p>
      <w:pPr>
        <w:pStyle w:val="FootnoteText"/>
      </w:pPr>
      <w:r>
        <w:rPr>
          <w:rStyle w:val="FootnoteReference"/>
        </w:rPr>
        <w:footnoteRef/>
      </w:r>
      <w:r>
        <w:t xml:space="preserve"> </w:t>
      </w:r>
      <w:r>
        <w:t xml:space="preserve">Giorgino 2015, PMID 26089386.</w:t>
      </w:r>
    </w:p>
  </w:footnote>
  <w:footnote w:id="385">
    <w:p>
      <w:pPr>
        <w:pStyle w:val="FootnoteText"/>
      </w:pPr>
      <w:r>
        <w:rPr>
          <w:rStyle w:val="FootnoteReference"/>
        </w:rPr>
        <w:footnoteRef/>
      </w:r>
      <w:r>
        <w:t xml:space="preserve"> </w:t>
      </w:r>
      <w:r>
        <w:t xml:space="preserve">Giorgino 2015, PMID 26089386.</w:t>
      </w:r>
    </w:p>
  </w:footnote>
  <w:footnote w:id="386">
    <w:p>
      <w:pPr>
        <w:pStyle w:val="FootnoteText"/>
      </w:pPr>
      <w:r>
        <w:rPr>
          <w:rStyle w:val="FootnoteReference"/>
        </w:rPr>
        <w:footnoteRef/>
      </w:r>
      <w:r>
        <w:t xml:space="preserve"> </w:t>
      </w:r>
      <w:r>
        <w:t xml:space="preserve">Milicevic 2016, PMID 26847401.</w:t>
      </w:r>
    </w:p>
  </w:footnote>
  <w:footnote w:id="387">
    <w:p>
      <w:pPr>
        <w:pStyle w:val="FootnoteText"/>
      </w:pPr>
      <w:r>
        <w:rPr>
          <w:rStyle w:val="FootnoteReference"/>
        </w:rPr>
        <w:footnoteRef/>
      </w:r>
      <w:r>
        <w:t xml:space="preserve"> </w:t>
      </w:r>
      <w:r>
        <w:t xml:space="preserve">He 2022, PMID 35344001.</w:t>
      </w:r>
    </w:p>
  </w:footnote>
  <w:footnote w:id="388">
    <w:p>
      <w:pPr>
        <w:pStyle w:val="FootnoteText"/>
      </w:pPr>
      <w:r>
        <w:rPr>
          <w:rStyle w:val="FootnoteReference"/>
        </w:rPr>
        <w:footnoteRef/>
      </w:r>
      <w:r>
        <w:t xml:space="preserve"> </w:t>
      </w:r>
      <w:r>
        <w:t xml:space="preserve">Kristensen 2019, PMID 31422062.</w:t>
      </w:r>
    </w:p>
  </w:footnote>
  <w:footnote w:id="389">
    <w:p>
      <w:pPr>
        <w:pStyle w:val="FootnoteText"/>
      </w:pPr>
      <w:r>
        <w:rPr>
          <w:rStyle w:val="FootnoteReference"/>
        </w:rPr>
        <w:footnoteRef/>
      </w:r>
      <w:r>
        <w:t xml:space="preserve"> </w:t>
      </w:r>
      <w:r>
        <w:t xml:space="preserve">Silverii 2025, PMID 40437949.</w:t>
      </w:r>
    </w:p>
  </w:footnote>
  <w:footnote w:id="390">
    <w:p>
      <w:pPr>
        <w:pStyle w:val="FootnoteText"/>
      </w:pPr>
      <w:r>
        <w:rPr>
          <w:rStyle w:val="FootnoteReference"/>
        </w:rPr>
        <w:footnoteRef/>
      </w:r>
      <w:r>
        <w:t xml:space="preserve"> </w:t>
      </w:r>
      <w:r>
        <w:t xml:space="preserve">NCT07276763.</w:t>
      </w:r>
    </w:p>
  </w:footnote>
  <w:footnote w:id="393">
    <w:p>
      <w:pPr>
        <w:pStyle w:val="FootnoteText"/>
      </w:pPr>
      <w:r>
        <w:rPr>
          <w:rStyle w:val="FootnoteReference"/>
        </w:rPr>
        <w:footnoteRef/>
      </w:r>
      <w:r>
        <w:t xml:space="preserve"> </w:t>
      </w:r>
      <w:r>
        <w:t xml:space="preserve">NCT06739122.</w:t>
      </w:r>
    </w:p>
  </w:footnote>
  <w:footnote w:id="394">
    <w:p>
      <w:pPr>
        <w:pStyle w:val="FootnoteText"/>
      </w:pPr>
      <w:r>
        <w:rPr>
          <w:rStyle w:val="FootnoteReference"/>
        </w:rPr>
        <w:footnoteRef/>
      </w:r>
      <w:r>
        <w:t xml:space="preserve"> </w:t>
      </w:r>
      <w:r>
        <w:t xml:space="preserve">NCT07668336.</w:t>
      </w:r>
    </w:p>
  </w:footnote>
  <w:footnote w:id="395">
    <w:p>
      <w:pPr>
        <w:pStyle w:val="FootnoteText"/>
      </w:pPr>
      <w:r>
        <w:rPr>
          <w:rStyle w:val="FootnoteReference"/>
        </w:rPr>
        <w:footnoteRef/>
      </w:r>
      <w:r>
        <w:t xml:space="preserve"> </w:t>
      </w:r>
      <w:r>
        <w:t xml:space="preserve">NCT07282041.</w:t>
      </w:r>
    </w:p>
  </w:footnote>
  <w:footnote w:id="396">
    <w:p>
      <w:pPr>
        <w:pStyle w:val="FootnoteText"/>
      </w:pPr>
      <w:r>
        <w:rPr>
          <w:rStyle w:val="FootnoteReference"/>
        </w:rPr>
        <w:footnoteRef/>
      </w:r>
      <w:r>
        <w:t xml:space="preserve"> </w:t>
      </w:r>
      <w:r>
        <w:t xml:space="preserve">NCT06324461.</w:t>
      </w:r>
    </w:p>
  </w:footnote>
  <w:footnote w:id="397">
    <w:p>
      <w:pPr>
        <w:pStyle w:val="FootnoteText"/>
      </w:pPr>
      <w:r>
        <w:rPr>
          <w:rStyle w:val="FootnoteReference"/>
        </w:rPr>
        <w:footnoteRef/>
      </w:r>
      <w:r>
        <w:t xml:space="preserve"> </w:t>
      </w:r>
      <w:r>
        <w:t xml:space="preserve">NCT04731272.</w:t>
      </w:r>
    </w:p>
  </w:footnote>
  <w:footnote w:id="398">
    <w:p>
      <w:pPr>
        <w:pStyle w:val="FootnoteText"/>
      </w:pPr>
      <w:r>
        <w:rPr>
          <w:rStyle w:val="FootnoteReference"/>
        </w:rPr>
        <w:footnoteRef/>
      </w:r>
      <w:r>
        <w:t xml:space="preserve"> </w:t>
      </w:r>
      <w:r>
        <w:t xml:space="preserve">NCT06257966.</w:t>
      </w:r>
    </w:p>
  </w:footnote>
  <w:footnote w:id="402">
    <w:p>
      <w:pPr>
        <w:pStyle w:val="FootnoteText"/>
      </w:pPr>
      <w:r>
        <w:rPr>
          <w:rStyle w:val="FootnoteReference"/>
        </w:rPr>
        <w:footnoteRef/>
      </w:r>
      <w:r>
        <w:t xml:space="preserve"> </w:t>
      </w:r>
      <w:r>
        <w:t xml:space="preserve">Lau 2015, PMID 26308095.</w:t>
      </w:r>
    </w:p>
  </w:footnote>
  <w:footnote w:id="404">
    <w:p>
      <w:pPr>
        <w:pStyle w:val="FootnoteText"/>
      </w:pPr>
      <w:r>
        <w:rPr>
          <w:rStyle w:val="FootnoteReference"/>
        </w:rPr>
        <w:footnoteRef/>
      </w:r>
      <w:r>
        <w:t xml:space="preserve"> </w:t>
      </w:r>
      <w:r>
        <w:t xml:space="preserve">Lau 2015, PMID 26308095.</w:t>
      </w:r>
    </w:p>
  </w:footnote>
  <w:footnote w:id="405">
    <w:p>
      <w:pPr>
        <w:pStyle w:val="FootnoteText"/>
      </w:pPr>
      <w:r>
        <w:rPr>
          <w:rStyle w:val="FootnoteReference"/>
        </w:rPr>
        <w:footnoteRef/>
      </w:r>
      <w:r>
        <w:t xml:space="preserve"> </w:t>
      </w:r>
      <w:r>
        <w:t xml:space="preserve">Buckley 2018, PMID 30429357.</w:t>
      </w:r>
    </w:p>
  </w:footnote>
  <w:footnote w:id="407">
    <w:p>
      <w:pPr>
        <w:pStyle w:val="FootnoteText"/>
      </w:pPr>
      <w:r>
        <w:rPr>
          <w:rStyle w:val="FootnoteReference"/>
        </w:rPr>
        <w:footnoteRef/>
      </w:r>
      <w:r>
        <w:t xml:space="preserve"> </w:t>
      </w:r>
      <w:r>
        <w:t xml:space="preserve">Sorli 2017, PMID 28110911.</w:t>
      </w:r>
    </w:p>
  </w:footnote>
  <w:footnote w:id="408">
    <w:p>
      <w:pPr>
        <w:pStyle w:val="FootnoteText"/>
      </w:pPr>
      <w:r>
        <w:rPr>
          <w:rStyle w:val="FootnoteReference"/>
        </w:rPr>
        <w:footnoteRef/>
      </w:r>
      <w:r>
        <w:t xml:space="preserve"> </w:t>
      </w:r>
      <w:r>
        <w:t xml:space="preserve">Frías 2021, PMID 34293304.</w:t>
      </w:r>
    </w:p>
  </w:footnote>
  <w:footnote w:id="409">
    <w:p>
      <w:pPr>
        <w:pStyle w:val="FootnoteText"/>
      </w:pPr>
      <w:r>
        <w:rPr>
          <w:rStyle w:val="FootnoteReference"/>
        </w:rPr>
        <w:footnoteRef/>
      </w:r>
      <w:r>
        <w:t xml:space="preserve"> </w:t>
      </w:r>
      <w:r>
        <w:t xml:space="preserve">Marso 2016, PMID 27633186.</w:t>
      </w:r>
    </w:p>
  </w:footnote>
  <w:footnote w:id="411">
    <w:p>
      <w:pPr>
        <w:pStyle w:val="FootnoteText"/>
      </w:pPr>
      <w:r>
        <w:rPr>
          <w:rStyle w:val="FootnoteReference"/>
        </w:rPr>
        <w:footnoteRef/>
      </w:r>
      <w:r>
        <w:t xml:space="preserve"> </w:t>
      </w:r>
      <w:r>
        <w:t xml:space="preserve">Rubino 2022, PMID 35015037.</w:t>
      </w:r>
    </w:p>
  </w:footnote>
  <w:footnote w:id="412">
    <w:p>
      <w:pPr>
        <w:pStyle w:val="FootnoteText"/>
      </w:pPr>
      <w:r>
        <w:rPr>
          <w:rStyle w:val="FootnoteReference"/>
        </w:rPr>
        <w:footnoteRef/>
      </w:r>
      <w:r>
        <w:t xml:space="preserve"> </w:t>
      </w:r>
      <w:r>
        <w:t xml:space="preserve">Capehorn 2020, PMID 31539622.</w:t>
      </w:r>
    </w:p>
  </w:footnote>
  <w:footnote w:id="413">
    <w:p>
      <w:pPr>
        <w:pStyle w:val="FootnoteText"/>
      </w:pPr>
      <w:r>
        <w:rPr>
          <w:rStyle w:val="FootnoteReference"/>
        </w:rPr>
        <w:footnoteRef/>
      </w:r>
      <w:r>
        <w:t xml:space="preserve"> </w:t>
      </w:r>
      <w:r>
        <w:t xml:space="preserve">Ahmann 2018, PMID 29246950.</w:t>
      </w:r>
    </w:p>
  </w:footnote>
  <w:footnote w:id="414">
    <w:p>
      <w:pPr>
        <w:pStyle w:val="FootnoteText"/>
      </w:pPr>
      <w:r>
        <w:rPr>
          <w:rStyle w:val="FootnoteReference"/>
        </w:rPr>
        <w:footnoteRef/>
      </w:r>
      <w:r>
        <w:t xml:space="preserve"> </w:t>
      </w:r>
      <w:r>
        <w:t xml:space="preserve">Pratley 2019, PMID 31186120.</w:t>
      </w:r>
    </w:p>
  </w:footnote>
  <w:footnote w:id="415">
    <w:p>
      <w:pPr>
        <w:pStyle w:val="FootnoteText"/>
      </w:pPr>
      <w:r>
        <w:rPr>
          <w:rStyle w:val="FootnoteReference"/>
        </w:rPr>
        <w:footnoteRef/>
      </w:r>
      <w:r>
        <w:t xml:space="preserve"> </w:t>
      </w:r>
      <w:r>
        <w:t xml:space="preserve">Aronne 2025, PMID 40353578.</w:t>
      </w:r>
    </w:p>
  </w:footnote>
  <w:footnote w:id="417">
    <w:p>
      <w:pPr>
        <w:pStyle w:val="FootnoteText"/>
      </w:pPr>
      <w:r>
        <w:rPr>
          <w:rStyle w:val="FootnoteReference"/>
        </w:rPr>
        <w:footnoteRef/>
      </w:r>
      <w:r>
        <w:t xml:space="preserve"> </w:t>
      </w:r>
      <w:r>
        <w:t xml:space="preserve">Aroda 2023, PMID 37385279.</w:t>
      </w:r>
    </w:p>
  </w:footnote>
  <w:footnote w:id="418">
    <w:p>
      <w:pPr>
        <w:pStyle w:val="FootnoteText"/>
      </w:pPr>
      <w:r>
        <w:rPr>
          <w:rStyle w:val="FootnoteReference"/>
        </w:rPr>
        <w:footnoteRef/>
      </w:r>
      <w:r>
        <w:t xml:space="preserve"> </w:t>
      </w:r>
      <w:r>
        <w:t xml:space="preserve">Husain 2019, PMID 31185157.</w:t>
      </w:r>
    </w:p>
  </w:footnote>
  <w:footnote w:id="419">
    <w:p>
      <w:pPr>
        <w:pStyle w:val="FootnoteText"/>
      </w:pPr>
      <w:r>
        <w:rPr>
          <w:rStyle w:val="FootnoteReference"/>
        </w:rPr>
        <w:footnoteRef/>
      </w:r>
      <w:r>
        <w:t xml:space="preserve"> </w:t>
      </w:r>
      <w:r>
        <w:t xml:space="preserve">McGuire 2025, PMID 40162642.</w:t>
      </w:r>
    </w:p>
  </w:footnote>
  <w:footnote w:id="421">
    <w:p>
      <w:pPr>
        <w:pStyle w:val="FootnoteText"/>
      </w:pPr>
      <w:r>
        <w:rPr>
          <w:rStyle w:val="FootnoteReference"/>
        </w:rPr>
        <w:footnoteRef/>
      </w:r>
      <w:r>
        <w:t xml:space="preserve"> </w:t>
      </w:r>
      <w:r>
        <w:t xml:space="preserve">Wilding 2021, PMID 33567185.</w:t>
      </w:r>
    </w:p>
  </w:footnote>
  <w:footnote w:id="422">
    <w:p>
      <w:pPr>
        <w:pStyle w:val="FootnoteText"/>
      </w:pPr>
      <w:r>
        <w:rPr>
          <w:rStyle w:val="FootnoteReference"/>
        </w:rPr>
        <w:footnoteRef/>
      </w:r>
      <w:r>
        <w:t xml:space="preserve"> </w:t>
      </w:r>
      <w:r>
        <w:t xml:space="preserve">Garvey 2022, PMID 36216945.</w:t>
      </w:r>
    </w:p>
  </w:footnote>
  <w:footnote w:id="423">
    <w:p>
      <w:pPr>
        <w:pStyle w:val="FootnoteText"/>
      </w:pPr>
      <w:r>
        <w:rPr>
          <w:rStyle w:val="FootnoteReference"/>
        </w:rPr>
        <w:footnoteRef/>
      </w:r>
      <w:r>
        <w:t xml:space="preserve"> </w:t>
      </w:r>
      <w:r>
        <w:t xml:space="preserve">Rubino 2021, PMID 33755728.</w:t>
      </w:r>
    </w:p>
  </w:footnote>
  <w:footnote w:id="424">
    <w:p>
      <w:pPr>
        <w:pStyle w:val="FootnoteText"/>
      </w:pPr>
      <w:r>
        <w:rPr>
          <w:rStyle w:val="FootnoteReference"/>
        </w:rPr>
        <w:footnoteRef/>
      </w:r>
      <w:r>
        <w:t xml:space="preserve"> </w:t>
      </w:r>
      <w:r>
        <w:t xml:space="preserve">Wilding 2022, PMID 35441470.</w:t>
      </w:r>
    </w:p>
  </w:footnote>
  <w:footnote w:id="425">
    <w:p>
      <w:pPr>
        <w:pStyle w:val="FootnoteText"/>
      </w:pPr>
      <w:r>
        <w:rPr>
          <w:rStyle w:val="FootnoteReference"/>
        </w:rPr>
        <w:footnoteRef/>
      </w:r>
      <w:r>
        <w:t xml:space="preserve"> </w:t>
      </w:r>
      <w:r>
        <w:t xml:space="preserve">Wharton 2025, PMID 40961952.</w:t>
      </w:r>
    </w:p>
  </w:footnote>
  <w:footnote w:id="427">
    <w:p>
      <w:pPr>
        <w:pStyle w:val="FootnoteText"/>
      </w:pPr>
      <w:r>
        <w:rPr>
          <w:rStyle w:val="FootnoteReference"/>
        </w:rPr>
        <w:footnoteRef/>
      </w:r>
      <w:r>
        <w:t xml:space="preserve"> </w:t>
      </w:r>
      <w:r>
        <w:t xml:space="preserve">Knop 2023, PMID 37385278 ; Wharton 2025, PMID 40934115.</w:t>
      </w:r>
    </w:p>
  </w:footnote>
  <w:footnote w:id="429">
    <w:p>
      <w:pPr>
        <w:pStyle w:val="FootnoteText"/>
      </w:pPr>
      <w:r>
        <w:rPr>
          <w:rStyle w:val="FootnoteReference"/>
        </w:rPr>
        <w:footnoteRef/>
      </w:r>
      <w:r>
        <w:t xml:space="preserve"> </w:t>
      </w:r>
      <w:r>
        <w:t xml:space="preserve">Weghuber 2022, PMID 36322838.</w:t>
      </w:r>
    </w:p>
  </w:footnote>
  <w:footnote w:id="430">
    <w:p>
      <w:pPr>
        <w:pStyle w:val="FootnoteText"/>
      </w:pPr>
      <w:r>
        <w:rPr>
          <w:rStyle w:val="FootnoteReference"/>
        </w:rPr>
        <w:footnoteRef/>
      </w:r>
      <w:r>
        <w:t xml:space="preserve"> </w:t>
      </w:r>
      <w:r>
        <w:t xml:space="preserve">NCT05726227.</w:t>
      </w:r>
    </w:p>
  </w:footnote>
  <w:footnote w:id="432">
    <w:p>
      <w:pPr>
        <w:pStyle w:val="FootnoteText"/>
      </w:pPr>
      <w:r>
        <w:rPr>
          <w:rStyle w:val="FootnoteReference"/>
        </w:rPr>
        <w:footnoteRef/>
      </w:r>
      <w:r>
        <w:t xml:space="preserve"> </w:t>
      </w:r>
      <w:r>
        <w:t xml:space="preserve">Lincoff 2023, PMID 37952131.</w:t>
      </w:r>
    </w:p>
  </w:footnote>
  <w:footnote w:id="434">
    <w:p>
      <w:pPr>
        <w:pStyle w:val="FootnoteText"/>
      </w:pPr>
      <w:r>
        <w:rPr>
          <w:rStyle w:val="FootnoteReference"/>
        </w:rPr>
        <w:footnoteRef/>
      </w:r>
      <w:r>
        <w:t xml:space="preserve"> </w:t>
      </w:r>
      <w:r>
        <w:t xml:space="preserve">Perkovic 2024, PMID 38785209.</w:t>
      </w:r>
    </w:p>
  </w:footnote>
  <w:footnote w:id="436">
    <w:p>
      <w:pPr>
        <w:pStyle w:val="FootnoteText"/>
      </w:pPr>
      <w:r>
        <w:rPr>
          <w:rStyle w:val="FootnoteReference"/>
        </w:rPr>
        <w:footnoteRef/>
      </w:r>
      <w:r>
        <w:t xml:space="preserve"> </w:t>
      </w:r>
      <w:r>
        <w:t xml:space="preserve">Sanyal 2025, PMID 40305708.</w:t>
      </w:r>
    </w:p>
  </w:footnote>
  <w:footnote w:id="437">
    <w:p>
      <w:pPr>
        <w:pStyle w:val="FootnoteText"/>
      </w:pPr>
      <w:r>
        <w:rPr>
          <w:rStyle w:val="FootnoteReference"/>
        </w:rPr>
        <w:footnoteRef/>
      </w:r>
      <w:r>
        <w:t xml:space="preserve"> </w:t>
      </w:r>
      <w:r>
        <w:t xml:space="preserve">NCT04822181.</w:t>
      </w:r>
    </w:p>
  </w:footnote>
  <w:footnote w:id="438">
    <w:p>
      <w:pPr>
        <w:pStyle w:val="FootnoteText"/>
      </w:pPr>
      <w:r>
        <w:rPr>
          <w:rStyle w:val="FootnoteReference"/>
        </w:rPr>
        <w:footnoteRef/>
      </w:r>
      <w:r>
        <w:t xml:space="preserve"> </w:t>
      </w:r>
      <w:r>
        <w:t xml:space="preserve">Kosiborod 2023, PMID 37622681.</w:t>
      </w:r>
    </w:p>
  </w:footnote>
  <w:footnote w:id="439">
    <w:p>
      <w:pPr>
        <w:pStyle w:val="FootnoteText"/>
      </w:pPr>
      <w:r>
        <w:rPr>
          <w:rStyle w:val="FootnoteReference"/>
        </w:rPr>
        <w:footnoteRef/>
      </w:r>
      <w:r>
        <w:t xml:space="preserve"> </w:t>
      </w:r>
      <w:r>
        <w:t xml:space="preserve">Bonaca 2025, PMID 40169145.</w:t>
      </w:r>
    </w:p>
  </w:footnote>
  <w:footnote w:id="440">
    <w:p>
      <w:pPr>
        <w:pStyle w:val="FootnoteText"/>
      </w:pPr>
      <w:r>
        <w:rPr>
          <w:rStyle w:val="FootnoteReference"/>
        </w:rPr>
        <w:footnoteRef/>
      </w:r>
      <w:r>
        <w:t xml:space="preserve"> </w:t>
      </w:r>
      <w:r>
        <w:t xml:space="preserve">Bliddal 2024, PMID 39476339.</w:t>
      </w:r>
    </w:p>
  </w:footnote>
  <w:footnote w:id="442">
    <w:p>
      <w:pPr>
        <w:pStyle w:val="FootnoteText"/>
      </w:pPr>
      <w:r>
        <w:rPr>
          <w:rStyle w:val="FootnoteReference"/>
        </w:rPr>
        <w:footnoteRef/>
      </w:r>
      <w:r>
        <w:t xml:space="preserve"> </w:t>
      </w:r>
      <w:r>
        <w:t xml:space="preserve">Cummings 2026, PMID 41865758.</w:t>
      </w:r>
    </w:p>
  </w:footnote>
  <w:footnote w:id="443">
    <w:p>
      <w:pPr>
        <w:pStyle w:val="FootnoteText"/>
      </w:pPr>
      <w:r>
        <w:rPr>
          <w:rStyle w:val="FootnoteReference"/>
        </w:rPr>
        <w:footnoteRef/>
      </w:r>
      <w:r>
        <w:t xml:space="preserve"> </w:t>
      </w:r>
      <w:r>
        <w:t xml:space="preserve">Schneider 2026, PMID 41865757.</w:t>
      </w:r>
    </w:p>
  </w:footnote>
  <w:footnote w:id="444">
    <w:p>
      <w:pPr>
        <w:pStyle w:val="FootnoteText"/>
      </w:pPr>
      <w:r>
        <w:rPr>
          <w:rStyle w:val="FootnoteReference"/>
        </w:rPr>
        <w:footnoteRef/>
      </w:r>
      <w:r>
        <w:t xml:space="preserve"> </w:t>
      </w:r>
      <w:r>
        <w:t xml:space="preserve">Hendershot 2025, PMID 39937469.</w:t>
      </w:r>
    </w:p>
  </w:footnote>
  <w:footnote w:id="445">
    <w:p>
      <w:pPr>
        <w:pStyle w:val="FootnoteText"/>
      </w:pPr>
      <w:r>
        <w:rPr>
          <w:rStyle w:val="FootnoteReference"/>
        </w:rPr>
        <w:footnoteRef/>
      </w:r>
      <w:r>
        <w:t xml:space="preserve"> </w:t>
      </w:r>
      <w:r>
        <w:t xml:space="preserve">Lähteenvuo 2025, PMID 39535805.</w:t>
      </w:r>
    </w:p>
  </w:footnote>
  <w:footnote w:id="448">
    <w:p>
      <w:pPr>
        <w:pStyle w:val="FootnoteText"/>
      </w:pPr>
      <w:r>
        <w:rPr>
          <w:rStyle w:val="FootnoteReference"/>
        </w:rPr>
        <w:footnoteRef/>
      </w:r>
      <w:r>
        <w:t xml:space="preserve"> </w:t>
      </w:r>
      <w:r>
        <w:t xml:space="preserve">Lau 2015, PMID 26308095.</w:t>
      </w:r>
    </w:p>
  </w:footnote>
  <w:footnote w:id="449">
    <w:p>
      <w:pPr>
        <w:pStyle w:val="FootnoteText"/>
      </w:pPr>
      <w:r>
        <w:rPr>
          <w:rStyle w:val="FootnoteReference"/>
        </w:rPr>
        <w:footnoteRef/>
      </w:r>
      <w:r>
        <w:t xml:space="preserve"> </w:t>
      </w:r>
      <w:r>
        <w:t xml:space="preserve">Buckley 2018, PMID 30429357.</w:t>
      </w:r>
    </w:p>
  </w:footnote>
  <w:footnote w:id="450">
    <w:p>
      <w:pPr>
        <w:pStyle w:val="FootnoteText"/>
      </w:pPr>
      <w:r>
        <w:rPr>
          <w:rStyle w:val="FootnoteReference"/>
        </w:rPr>
        <w:footnoteRef/>
      </w:r>
      <w:r>
        <w:t xml:space="preserve"> </w:t>
      </w:r>
      <w:r>
        <w:t xml:space="preserve">Bjerre Knudsen 2010, PMID 20203154.</w:t>
      </w:r>
    </w:p>
  </w:footnote>
  <w:footnote w:id="452">
    <w:p>
      <w:pPr>
        <w:pStyle w:val="FootnoteText"/>
      </w:pPr>
      <w:r>
        <w:rPr>
          <w:rStyle w:val="FootnoteReference"/>
        </w:rPr>
        <w:footnoteRef/>
      </w:r>
      <w:r>
        <w:t xml:space="preserve"> </w:t>
      </w:r>
      <w:r>
        <w:t xml:space="preserve">Wilding 2021, PMID 33567185.</w:t>
      </w:r>
    </w:p>
  </w:footnote>
  <w:footnote w:id="453">
    <w:p>
      <w:pPr>
        <w:pStyle w:val="FootnoteText"/>
      </w:pPr>
      <w:r>
        <w:rPr>
          <w:rStyle w:val="FootnoteReference"/>
        </w:rPr>
        <w:footnoteRef/>
      </w:r>
      <w:r>
        <w:t xml:space="preserve"> </w:t>
      </w:r>
      <w:r>
        <w:t xml:space="preserve">He 2022, PMID 35344001.</w:t>
      </w:r>
    </w:p>
  </w:footnote>
  <w:footnote w:id="454">
    <w:p>
      <w:pPr>
        <w:pStyle w:val="FootnoteText"/>
      </w:pPr>
      <w:r>
        <w:rPr>
          <w:rStyle w:val="FootnoteReference"/>
        </w:rPr>
        <w:footnoteRef/>
      </w:r>
      <w:r>
        <w:t xml:space="preserve"> </w:t>
      </w:r>
      <w:r>
        <w:t xml:space="preserve">Weghuber 2022, PMID 36322838.</w:t>
      </w:r>
    </w:p>
  </w:footnote>
  <w:footnote w:id="455">
    <w:p>
      <w:pPr>
        <w:pStyle w:val="FootnoteText"/>
      </w:pPr>
      <w:r>
        <w:rPr>
          <w:rStyle w:val="FootnoteReference"/>
        </w:rPr>
        <w:footnoteRef/>
      </w:r>
      <w:r>
        <w:t xml:space="preserve"> </w:t>
      </w:r>
      <w:r>
        <w:t xml:space="preserve">Marso 2016, PMID 27633186.</w:t>
      </w:r>
    </w:p>
  </w:footnote>
  <w:footnote w:id="456">
    <w:p>
      <w:pPr>
        <w:pStyle w:val="FootnoteText"/>
      </w:pPr>
      <w:r>
        <w:rPr>
          <w:rStyle w:val="FootnoteReference"/>
        </w:rPr>
        <w:footnoteRef/>
      </w:r>
      <w:r>
        <w:t xml:space="preserve"> </w:t>
      </w:r>
      <w:r>
        <w:t xml:space="preserve">NCT03811561.</w:t>
      </w:r>
    </w:p>
  </w:footnote>
  <w:footnote w:id="457">
    <w:p>
      <w:pPr>
        <w:pStyle w:val="FootnoteText"/>
      </w:pPr>
      <w:r>
        <w:rPr>
          <w:rStyle w:val="FootnoteReference"/>
        </w:rPr>
        <w:footnoteRef/>
      </w:r>
      <w:r>
        <w:t xml:space="preserve"> </w:t>
      </w:r>
      <w:r>
        <w:t xml:space="preserve">Hathaway 2024, PMID 38958939.</w:t>
      </w:r>
    </w:p>
  </w:footnote>
  <w:footnote w:id="458">
    <w:p>
      <w:pPr>
        <w:pStyle w:val="FootnoteText"/>
      </w:pPr>
      <w:r>
        <w:rPr>
          <w:rStyle w:val="FootnoteReference"/>
        </w:rPr>
        <w:footnoteRef/>
      </w:r>
      <w:r>
        <w:t xml:space="preserve"> </w:t>
      </w:r>
      <w:r>
        <w:t xml:space="preserve">Simonsen 2025, PMID 40098249.</w:t>
      </w:r>
    </w:p>
  </w:footnote>
  <w:footnote w:id="459">
    <w:p>
      <w:pPr>
        <w:pStyle w:val="FootnoteText"/>
      </w:pPr>
      <w:r>
        <w:rPr>
          <w:rStyle w:val="FootnoteReference"/>
        </w:rPr>
        <w:footnoteRef/>
      </w:r>
      <w:r>
        <w:t xml:space="preserve"> </w:t>
      </w:r>
      <w:r>
        <w:t xml:space="preserve">Liu 2026, PMID 41475544.</w:t>
      </w:r>
    </w:p>
  </w:footnote>
  <w:footnote w:id="460">
    <w:p>
      <w:pPr>
        <w:pStyle w:val="FootnoteText"/>
      </w:pPr>
      <w:r>
        <w:rPr>
          <w:rStyle w:val="FootnoteReference"/>
        </w:rPr>
        <w:footnoteRef/>
      </w:r>
      <w:r>
        <w:t xml:space="preserve"> </w:t>
      </w:r>
      <w:r>
        <w:t xml:space="preserve">Sodhi 2023, PMID 37796527.</w:t>
      </w:r>
    </w:p>
  </w:footnote>
  <w:footnote w:id="461">
    <w:p>
      <w:pPr>
        <w:pStyle w:val="FootnoteText"/>
      </w:pPr>
      <w:r>
        <w:rPr>
          <w:rStyle w:val="FootnoteReference"/>
        </w:rPr>
        <w:footnoteRef/>
      </w:r>
      <w:r>
        <w:t xml:space="preserve"> </w:t>
      </w:r>
      <w:r>
        <w:t xml:space="preserve">Bezin 2023, PMID 36356111 ; Silverii 2025, PMID 40437949.</w:t>
      </w:r>
    </w:p>
  </w:footnote>
  <w:footnote w:id="462">
    <w:p>
      <w:pPr>
        <w:pStyle w:val="FootnoteText"/>
      </w:pPr>
      <w:r>
        <w:rPr>
          <w:rStyle w:val="FootnoteReference"/>
        </w:rPr>
        <w:footnoteRef/>
      </w:r>
      <w:r>
        <w:t xml:space="preserve"> </w:t>
      </w:r>
      <w:r>
        <w:t xml:space="preserve">Wang 2024, PMID 38182782.</w:t>
      </w:r>
    </w:p>
  </w:footnote>
  <w:footnote w:id="464">
    <w:p>
      <w:pPr>
        <w:pStyle w:val="FootnoteText"/>
      </w:pPr>
      <w:r>
        <w:rPr>
          <w:rStyle w:val="FootnoteReference"/>
        </w:rPr>
        <w:footnoteRef/>
      </w:r>
      <w:r>
        <w:t xml:space="preserve"> </w:t>
      </w:r>
      <w:r>
        <w:t xml:space="preserve">Lambson 2023, PMID 37392810.</w:t>
      </w:r>
    </w:p>
  </w:footnote>
  <w:footnote w:id="465">
    <w:p>
      <w:pPr>
        <w:pStyle w:val="FootnoteText"/>
      </w:pPr>
      <w:r>
        <w:rPr>
          <w:rStyle w:val="FootnoteReference"/>
        </w:rPr>
        <w:footnoteRef/>
      </w:r>
      <w:r>
        <w:t xml:space="preserve"> </w:t>
      </w:r>
      <w:r>
        <w:t xml:space="preserve">McCall 2026, PMID 40285721.</w:t>
      </w:r>
    </w:p>
  </w:footnote>
  <w:footnote w:id="466">
    <w:p>
      <w:pPr>
        <w:pStyle w:val="FootnoteText"/>
      </w:pPr>
      <w:r>
        <w:rPr>
          <w:rStyle w:val="FootnoteReference"/>
        </w:rPr>
        <w:footnoteRef/>
      </w:r>
      <w:r>
        <w:t xml:space="preserve"> </w:t>
      </w:r>
      <w:r>
        <w:t xml:space="preserve">Ashraf 2024, PMID 39509151.</w:t>
      </w:r>
    </w:p>
  </w:footnote>
  <w:footnote w:id="469">
    <w:p>
      <w:pPr>
        <w:pStyle w:val="FootnoteText"/>
      </w:pPr>
      <w:r>
        <w:rPr>
          <w:rStyle w:val="FootnoteReference"/>
        </w:rPr>
        <w:footnoteRef/>
      </w:r>
      <w:r>
        <w:t xml:space="preserve"> </w:t>
      </w:r>
      <w:r>
        <w:t xml:space="preserve">NCT03811561.</w:t>
      </w:r>
    </w:p>
  </w:footnote>
  <w:footnote w:id="470">
    <w:p>
      <w:pPr>
        <w:pStyle w:val="FootnoteText"/>
      </w:pPr>
      <w:r>
        <w:rPr>
          <w:rStyle w:val="FootnoteReference"/>
        </w:rPr>
        <w:footnoteRef/>
      </w:r>
      <w:r>
        <w:t xml:space="preserve"> </w:t>
      </w:r>
      <w:r>
        <w:t xml:space="preserve">NCT04822181.</w:t>
      </w:r>
    </w:p>
  </w:footnote>
  <w:footnote w:id="471">
    <w:p>
      <w:pPr>
        <w:pStyle w:val="FootnoteText"/>
      </w:pPr>
      <w:r>
        <w:rPr>
          <w:rStyle w:val="FootnoteReference"/>
        </w:rPr>
        <w:footnoteRef/>
      </w:r>
      <w:r>
        <w:t xml:space="preserve"> </w:t>
      </w:r>
      <w:r>
        <w:t xml:space="preserve">NCT05726227.</w:t>
      </w:r>
    </w:p>
  </w:footnote>
  <w:footnote w:id="472">
    <w:p>
      <w:pPr>
        <w:pStyle w:val="FootnoteText"/>
      </w:pPr>
      <w:r>
        <w:rPr>
          <w:rStyle w:val="FootnoteReference"/>
        </w:rPr>
        <w:footnoteRef/>
      </w:r>
      <w:r>
        <w:t xml:space="preserve"> </w:t>
      </w:r>
      <w:r>
        <w:t xml:space="preserve">NCT07770841.</w:t>
      </w:r>
    </w:p>
  </w:footnote>
  <w:footnote w:id="473">
    <w:p>
      <w:pPr>
        <w:pStyle w:val="FootnoteText"/>
      </w:pPr>
      <w:r>
        <w:rPr>
          <w:rStyle w:val="FootnoteReference"/>
        </w:rPr>
        <w:footnoteRef/>
      </w:r>
      <w:r>
        <w:t xml:space="preserve"> </w:t>
      </w:r>
      <w:r>
        <w:t xml:space="preserve">NCT05669755.</w:t>
      </w:r>
    </w:p>
  </w:footnote>
  <w:footnote w:id="478">
    <w:p>
      <w:pPr>
        <w:pStyle w:val="FootnoteText"/>
      </w:pPr>
      <w:r>
        <w:rPr>
          <w:rStyle w:val="FootnoteReference"/>
        </w:rPr>
        <w:footnoteRef/>
      </w:r>
      <w:r>
        <w:t xml:space="preserve"> </w:t>
      </w:r>
      <w:r>
        <w:t xml:space="preserve">Willard 2020, PMID 32730231.</w:t>
      </w:r>
    </w:p>
  </w:footnote>
  <w:footnote w:id="479">
    <w:p>
      <w:pPr>
        <w:pStyle w:val="FootnoteText"/>
      </w:pPr>
      <w:r>
        <w:rPr>
          <w:rStyle w:val="FootnoteReference"/>
        </w:rPr>
        <w:footnoteRef/>
      </w:r>
      <w:r>
        <w:t xml:space="preserve"> </w:t>
      </w:r>
      <w:r>
        <w:t xml:space="preserve">Samms 2021, PMID 34003802.</w:t>
      </w:r>
    </w:p>
  </w:footnote>
  <w:footnote w:id="480">
    <w:p>
      <w:pPr>
        <w:pStyle w:val="FootnoteText"/>
      </w:pPr>
      <w:r>
        <w:rPr>
          <w:rStyle w:val="FootnoteReference"/>
        </w:rPr>
        <w:footnoteRef/>
      </w:r>
      <w:r>
        <w:t xml:space="preserve"> </w:t>
      </w:r>
      <w:r>
        <w:t xml:space="preserve">Heise 2023, PMID 36857477.</w:t>
      </w:r>
    </w:p>
  </w:footnote>
  <w:footnote w:id="482">
    <w:p>
      <w:pPr>
        <w:pStyle w:val="FootnoteText"/>
      </w:pPr>
      <w:r>
        <w:rPr>
          <w:rStyle w:val="FootnoteReference"/>
        </w:rPr>
        <w:footnoteRef/>
      </w:r>
      <w:r>
        <w:t xml:space="preserve"> </w:t>
      </w:r>
      <w:r>
        <w:t xml:space="preserve">Coskun 2018, PMID 30473097.</w:t>
      </w:r>
    </w:p>
  </w:footnote>
  <w:footnote w:id="483">
    <w:p>
      <w:pPr>
        <w:pStyle w:val="FootnoteText"/>
      </w:pPr>
      <w:r>
        <w:rPr>
          <w:rStyle w:val="FootnoteReference"/>
        </w:rPr>
        <w:footnoteRef/>
      </w:r>
      <w:r>
        <w:t xml:space="preserve"> </w:t>
      </w:r>
      <w:r>
        <w:t xml:space="preserve">Frias 2018, PMID 30293770.</w:t>
      </w:r>
    </w:p>
  </w:footnote>
  <w:footnote w:id="485">
    <w:p>
      <w:pPr>
        <w:pStyle w:val="FootnoteText"/>
      </w:pPr>
      <w:r>
        <w:rPr>
          <w:rStyle w:val="FootnoteReference"/>
        </w:rPr>
        <w:footnoteRef/>
      </w:r>
      <w:r>
        <w:t xml:space="preserve"> </w:t>
      </w:r>
      <w:r>
        <w:t xml:space="preserve">Frías 2021, PMID 34170647.</w:t>
      </w:r>
    </w:p>
  </w:footnote>
  <w:footnote w:id="486">
    <w:p>
      <w:pPr>
        <w:pStyle w:val="FootnoteText"/>
      </w:pPr>
      <w:r>
        <w:rPr>
          <w:rStyle w:val="FootnoteReference"/>
        </w:rPr>
        <w:footnoteRef/>
      </w:r>
      <w:r>
        <w:t xml:space="preserve"> </w:t>
      </w:r>
      <w:r>
        <w:t xml:space="preserve">Ludvik 2021, PMID 34370970.</w:t>
      </w:r>
    </w:p>
  </w:footnote>
  <w:footnote w:id="487">
    <w:p>
      <w:pPr>
        <w:pStyle w:val="FootnoteText"/>
      </w:pPr>
      <w:r>
        <w:rPr>
          <w:rStyle w:val="FootnoteReference"/>
        </w:rPr>
        <w:footnoteRef/>
      </w:r>
      <w:r>
        <w:t xml:space="preserve"> </w:t>
      </w:r>
      <w:r>
        <w:t xml:space="preserve">Hannon 2025, PMID 40975112.</w:t>
      </w:r>
    </w:p>
  </w:footnote>
  <w:footnote w:id="488">
    <w:p>
      <w:pPr>
        <w:pStyle w:val="FootnoteText"/>
      </w:pPr>
      <w:r>
        <w:rPr>
          <w:rStyle w:val="FootnoteReference"/>
        </w:rPr>
        <w:footnoteRef/>
      </w:r>
      <w:r>
        <w:t xml:space="preserve"> </w:t>
      </w:r>
      <w:r>
        <w:t xml:space="preserve">Snaith 2026, PMID 41264593.</w:t>
      </w:r>
    </w:p>
  </w:footnote>
  <w:footnote w:id="489">
    <w:p>
      <w:pPr>
        <w:pStyle w:val="FootnoteText"/>
      </w:pPr>
      <w:r>
        <w:rPr>
          <w:rStyle w:val="FootnoteReference"/>
        </w:rPr>
        <w:footnoteRef/>
      </w:r>
      <w:r>
        <w:t xml:space="preserve"> </w:t>
      </w:r>
      <w:r>
        <w:t xml:space="preserve">Sattar 2022, PMID 35210595.</w:t>
      </w:r>
    </w:p>
  </w:footnote>
  <w:footnote w:id="491">
    <w:p>
      <w:pPr>
        <w:pStyle w:val="FootnoteText"/>
      </w:pPr>
      <w:r>
        <w:rPr>
          <w:rStyle w:val="FootnoteReference"/>
        </w:rPr>
        <w:footnoteRef/>
      </w:r>
      <w:r>
        <w:t xml:space="preserve"> </w:t>
      </w:r>
      <w:r>
        <w:t xml:space="preserve">Nicholls 2025, PMID 41406444.</w:t>
      </w:r>
    </w:p>
  </w:footnote>
  <w:footnote w:id="492">
    <w:p>
      <w:pPr>
        <w:pStyle w:val="FootnoteText"/>
      </w:pPr>
      <w:r>
        <w:rPr>
          <w:rStyle w:val="FootnoteReference"/>
        </w:rPr>
        <w:footnoteRef/>
      </w:r>
      <w:r>
        <w:t xml:space="preserve"> </w:t>
      </w:r>
      <w:r>
        <w:t xml:space="preserve">Nissen 2026, PMID 41903177.</w:t>
      </w:r>
    </w:p>
  </w:footnote>
  <w:footnote w:id="493">
    <w:p>
      <w:pPr>
        <w:pStyle w:val="FootnoteText"/>
      </w:pPr>
      <w:r>
        <w:rPr>
          <w:rStyle w:val="FootnoteReference"/>
        </w:rPr>
        <w:footnoteRef/>
      </w:r>
      <w:r>
        <w:t xml:space="preserve"> </w:t>
      </w:r>
      <w:r>
        <w:t xml:space="preserve">Sattar 2026, PMID 41940793.</w:t>
      </w:r>
    </w:p>
  </w:footnote>
  <w:footnote w:id="495">
    <w:p>
      <w:pPr>
        <w:pStyle w:val="FootnoteText"/>
      </w:pPr>
      <w:r>
        <w:rPr>
          <w:rStyle w:val="FootnoteReference"/>
        </w:rPr>
        <w:footnoteRef/>
      </w:r>
      <w:r>
        <w:t xml:space="preserve"> </w:t>
      </w:r>
      <w:r>
        <w:t xml:space="preserve">Jastreboff 2022, PMID 35658024.</w:t>
      </w:r>
    </w:p>
  </w:footnote>
  <w:footnote w:id="496">
    <w:p>
      <w:pPr>
        <w:pStyle w:val="FootnoteText"/>
      </w:pPr>
      <w:r>
        <w:rPr>
          <w:rStyle w:val="FootnoteReference"/>
        </w:rPr>
        <w:footnoteRef/>
      </w:r>
      <w:r>
        <w:t xml:space="preserve"> </w:t>
      </w:r>
      <w:r>
        <w:t xml:space="preserve">Garvey 2023, PMID 37385275.</w:t>
      </w:r>
    </w:p>
  </w:footnote>
  <w:footnote w:id="497">
    <w:p>
      <w:pPr>
        <w:pStyle w:val="FootnoteText"/>
      </w:pPr>
      <w:r>
        <w:rPr>
          <w:rStyle w:val="FootnoteReference"/>
        </w:rPr>
        <w:footnoteRef/>
      </w:r>
      <w:r>
        <w:t xml:space="preserve"> </w:t>
      </w:r>
      <w:r>
        <w:t xml:space="preserve">Aronne 2024, PMID 38078870.</w:t>
      </w:r>
    </w:p>
  </w:footnote>
  <w:footnote w:id="498">
    <w:p>
      <w:pPr>
        <w:pStyle w:val="FootnoteText"/>
      </w:pPr>
      <w:r>
        <w:rPr>
          <w:rStyle w:val="FootnoteReference"/>
        </w:rPr>
        <w:footnoteRef/>
      </w:r>
      <w:r>
        <w:t xml:space="preserve"> </w:t>
      </w:r>
      <w:r>
        <w:t xml:space="preserve">Horn 2026, PMID 42119587.</w:t>
      </w:r>
    </w:p>
  </w:footnote>
  <w:footnote w:id="499">
    <w:p>
      <w:pPr>
        <w:pStyle w:val="FootnoteText"/>
      </w:pPr>
      <w:r>
        <w:rPr>
          <w:rStyle w:val="FootnoteReference"/>
        </w:rPr>
        <w:footnoteRef/>
      </w:r>
      <w:r>
        <w:t xml:space="preserve"> </w:t>
      </w:r>
      <w:r>
        <w:t xml:space="preserve">Jastreboff 2025, PMID 39536238.</w:t>
      </w:r>
    </w:p>
  </w:footnote>
  <w:footnote w:id="501">
    <w:p>
      <w:pPr>
        <w:pStyle w:val="FootnoteText"/>
      </w:pPr>
      <w:r>
        <w:rPr>
          <w:rStyle w:val="FootnoteReference"/>
        </w:rPr>
        <w:footnoteRef/>
      </w:r>
      <w:r>
        <w:t xml:space="preserve"> </w:t>
      </w:r>
      <w:r>
        <w:t xml:space="preserve">Aronne 2025, PMID 40353578.</w:t>
      </w:r>
    </w:p>
  </w:footnote>
  <w:footnote w:id="502">
    <w:p>
      <w:pPr>
        <w:pStyle w:val="FootnoteText"/>
      </w:pPr>
      <w:r>
        <w:rPr>
          <w:rStyle w:val="FootnoteReference"/>
        </w:rPr>
        <w:footnoteRef/>
      </w:r>
      <w:r>
        <w:t xml:space="preserve"> </w:t>
      </w:r>
      <w:r>
        <w:t xml:space="preserve">Aronne 2026, PMID 41865857.</w:t>
      </w:r>
    </w:p>
  </w:footnote>
  <w:footnote w:id="504">
    <w:p>
      <w:pPr>
        <w:pStyle w:val="FootnoteText"/>
      </w:pPr>
      <w:r>
        <w:rPr>
          <w:rStyle w:val="FootnoteReference"/>
        </w:rPr>
        <w:footnoteRef/>
      </w:r>
      <w:r>
        <w:t xml:space="preserve"> </w:t>
      </w:r>
      <w:r>
        <w:t xml:space="preserve">Packer 2025, PMID 39555826.</w:t>
      </w:r>
    </w:p>
  </w:footnote>
  <w:footnote w:id="505">
    <w:p>
      <w:pPr>
        <w:pStyle w:val="FootnoteText"/>
      </w:pPr>
      <w:r>
        <w:rPr>
          <w:rStyle w:val="FootnoteReference"/>
        </w:rPr>
        <w:footnoteRef/>
      </w:r>
      <w:r>
        <w:t xml:space="preserve"> </w:t>
      </w:r>
      <w:r>
        <w:t xml:space="preserve">Kramer 2025, PMID 39566869.</w:t>
      </w:r>
    </w:p>
  </w:footnote>
  <w:footnote w:id="507">
    <w:p>
      <w:pPr>
        <w:pStyle w:val="FootnoteText"/>
      </w:pPr>
      <w:r>
        <w:rPr>
          <w:rStyle w:val="FootnoteReference"/>
        </w:rPr>
        <w:footnoteRef/>
      </w:r>
      <w:r>
        <w:t xml:space="preserve"> </w:t>
      </w:r>
      <w:r>
        <w:t xml:space="preserve">Malhotra 2024, PMID 38912654.</w:t>
      </w:r>
    </w:p>
  </w:footnote>
  <w:footnote w:id="509">
    <w:p>
      <w:pPr>
        <w:pStyle w:val="FootnoteText"/>
      </w:pPr>
      <w:r>
        <w:rPr>
          <w:rStyle w:val="FootnoteReference"/>
        </w:rPr>
        <w:footnoteRef/>
      </w:r>
      <w:r>
        <w:t xml:space="preserve"> </w:t>
      </w:r>
      <w:r>
        <w:t xml:space="preserve">Loomba 2024, PMID 38856224.</w:t>
      </w:r>
    </w:p>
  </w:footnote>
  <w:footnote w:id="511">
    <w:p>
      <w:pPr>
        <w:pStyle w:val="FootnoteText"/>
      </w:pPr>
      <w:r>
        <w:rPr>
          <w:rStyle w:val="FootnoteReference"/>
        </w:rPr>
        <w:footnoteRef/>
      </w:r>
      <w:r>
        <w:t xml:space="preserve"> </w:t>
      </w:r>
      <w:r>
        <w:t xml:space="preserve">Lebwohl 2026, PMID 42139049.</w:t>
      </w:r>
    </w:p>
  </w:footnote>
  <w:footnote w:id="512">
    <w:p>
      <w:pPr>
        <w:pStyle w:val="FootnoteText"/>
      </w:pPr>
      <w:r>
        <w:rPr>
          <w:rStyle w:val="FootnoteReference"/>
        </w:rPr>
        <w:footnoteRef/>
      </w:r>
      <w:r>
        <w:t xml:space="preserve"> </w:t>
      </w:r>
      <w:r>
        <w:t xml:space="preserve">Look 2025, PMID 39996356.</w:t>
      </w:r>
    </w:p>
  </w:footnote>
  <w:footnote w:id="515">
    <w:p>
      <w:pPr>
        <w:pStyle w:val="FootnoteText"/>
      </w:pPr>
      <w:r>
        <w:rPr>
          <w:rStyle w:val="FootnoteReference"/>
        </w:rPr>
        <w:footnoteRef/>
      </w:r>
      <w:r>
        <w:t xml:space="preserve"> </w:t>
      </w:r>
      <w:r>
        <w:t xml:space="preserve">Coskun 2018, PMID 30473097.</w:t>
      </w:r>
    </w:p>
  </w:footnote>
  <w:footnote w:id="516">
    <w:p>
      <w:pPr>
        <w:pStyle w:val="FootnoteText"/>
      </w:pPr>
      <w:r>
        <w:rPr>
          <w:rStyle w:val="FootnoteReference"/>
        </w:rPr>
        <w:footnoteRef/>
      </w:r>
      <w:r>
        <w:t xml:space="preserve"> </w:t>
      </w:r>
      <w:r>
        <w:t xml:space="preserve">Samms 2021, PMID 34003802.</w:t>
      </w:r>
    </w:p>
  </w:footnote>
  <w:footnote w:id="517">
    <w:p>
      <w:pPr>
        <w:pStyle w:val="FootnoteText"/>
      </w:pPr>
      <w:r>
        <w:rPr>
          <w:rStyle w:val="FootnoteReference"/>
        </w:rPr>
        <w:footnoteRef/>
      </w:r>
      <w:r>
        <w:t xml:space="preserve"> </w:t>
      </w:r>
      <w:r>
        <w:t xml:space="preserve">Martin 2024, PMID 39243911.</w:t>
      </w:r>
    </w:p>
  </w:footnote>
  <w:footnote w:id="519">
    <w:p>
      <w:pPr>
        <w:pStyle w:val="FootnoteText"/>
      </w:pPr>
      <w:r>
        <w:rPr>
          <w:rStyle w:val="FootnoteReference"/>
        </w:rPr>
        <w:footnoteRef/>
      </w:r>
      <w:r>
        <w:t xml:space="preserve"> </w:t>
      </w:r>
      <w:r>
        <w:t xml:space="preserve">Ludvik 2021, PMID 34370970.</w:t>
      </w:r>
    </w:p>
  </w:footnote>
  <w:footnote w:id="520">
    <w:p>
      <w:pPr>
        <w:pStyle w:val="FootnoteText"/>
      </w:pPr>
      <w:r>
        <w:rPr>
          <w:rStyle w:val="FootnoteReference"/>
        </w:rPr>
        <w:footnoteRef/>
      </w:r>
      <w:r>
        <w:t xml:space="preserve"> </w:t>
      </w:r>
      <w:r>
        <w:t xml:space="preserve">Zeng 2023, PMID 37908750.</w:t>
      </w:r>
    </w:p>
  </w:footnote>
  <w:footnote w:id="521">
    <w:p>
      <w:pPr>
        <w:pStyle w:val="FootnoteText"/>
      </w:pPr>
      <w:r>
        <w:rPr>
          <w:rStyle w:val="FootnoteReference"/>
        </w:rPr>
        <w:footnoteRef/>
      </w:r>
      <w:r>
        <w:t xml:space="preserve"> </w:t>
      </w:r>
      <w:r>
        <w:t xml:space="preserve">Del Prato 2021, PMID 34672967.</w:t>
      </w:r>
    </w:p>
  </w:footnote>
  <w:footnote w:id="522">
    <w:p>
      <w:pPr>
        <w:pStyle w:val="FootnoteText"/>
      </w:pPr>
      <w:r>
        <w:rPr>
          <w:rStyle w:val="FootnoteReference"/>
        </w:rPr>
        <w:footnoteRef/>
      </w:r>
      <w:r>
        <w:t xml:space="preserve"> </w:t>
      </w:r>
      <w:r>
        <w:t xml:space="preserve">Wadden 2026, PMID 41537305.</w:t>
      </w:r>
    </w:p>
  </w:footnote>
  <w:footnote w:id="523">
    <w:p>
      <w:pPr>
        <w:pStyle w:val="FootnoteText"/>
      </w:pPr>
      <w:r>
        <w:rPr>
          <w:rStyle w:val="FootnoteReference"/>
        </w:rPr>
        <w:footnoteRef/>
      </w:r>
      <w:r>
        <w:t xml:space="preserve"> </w:t>
      </w:r>
      <w:r>
        <w:t xml:space="preserve">Look 2025, PMID 39996356.</w:t>
      </w:r>
    </w:p>
  </w:footnote>
  <w:footnote w:id="524">
    <w:p>
      <w:pPr>
        <w:pStyle w:val="FootnoteText"/>
      </w:pPr>
      <w:r>
        <w:rPr>
          <w:rStyle w:val="FootnoteReference"/>
        </w:rPr>
        <w:footnoteRef/>
      </w:r>
      <w:r>
        <w:t xml:space="preserve"> </w:t>
      </w:r>
      <w:r>
        <w:t xml:space="preserve">Caruso 2024, PMID 39141075.</w:t>
      </w:r>
    </w:p>
  </w:footnote>
  <w:footnote w:id="525">
    <w:p>
      <w:pPr>
        <w:pStyle w:val="FootnoteText"/>
      </w:pPr>
      <w:r>
        <w:rPr>
          <w:rStyle w:val="FootnoteReference"/>
        </w:rPr>
        <w:footnoteRef/>
      </w:r>
      <w:r>
        <w:t xml:space="preserve"> </w:t>
      </w:r>
      <w:r>
        <w:t xml:space="preserve">Crisafulli 2026, PMID 41183330.</w:t>
      </w:r>
    </w:p>
  </w:footnote>
  <w:footnote w:id="526">
    <w:p>
      <w:pPr>
        <w:pStyle w:val="FootnoteText"/>
      </w:pPr>
      <w:r>
        <w:rPr>
          <w:rStyle w:val="FootnoteReference"/>
        </w:rPr>
        <w:footnoteRef/>
      </w:r>
      <w:r>
        <w:t xml:space="preserve"> </w:t>
      </w:r>
      <w:r>
        <w:t xml:space="preserve">Belcourt 2026, PMID 41689811.</w:t>
      </w:r>
    </w:p>
  </w:footnote>
  <w:footnote w:id="529">
    <w:p>
      <w:pPr>
        <w:pStyle w:val="FootnoteText"/>
      </w:pPr>
      <w:r>
        <w:rPr>
          <w:rStyle w:val="FootnoteReference"/>
        </w:rPr>
        <w:footnoteRef/>
      </w:r>
      <w:r>
        <w:t xml:space="preserve"> </w:t>
      </w:r>
      <w:r>
        <w:t xml:space="preserve">NCT05556512.</w:t>
      </w:r>
    </w:p>
  </w:footnote>
  <w:footnote w:id="530">
    <w:p>
      <w:pPr>
        <w:pStyle w:val="FootnoteText"/>
      </w:pPr>
      <w:r>
        <w:rPr>
          <w:rStyle w:val="FootnoteReference"/>
        </w:rPr>
        <w:footnoteRef/>
      </w:r>
      <w:r>
        <w:t xml:space="preserve"> </w:t>
      </w:r>
      <w:r>
        <w:t xml:space="preserve">Lam 2025, PMID 40545827.</w:t>
      </w:r>
    </w:p>
  </w:footnote>
  <w:footnote w:id="531">
    <w:p>
      <w:pPr>
        <w:pStyle w:val="FootnoteText"/>
      </w:pPr>
      <w:r>
        <w:rPr>
          <w:rStyle w:val="FootnoteReference"/>
        </w:rPr>
        <w:footnoteRef/>
      </w:r>
      <w:r>
        <w:t xml:space="preserve"> </w:t>
      </w:r>
      <w:r>
        <w:t xml:space="preserve">NCT07165028.</w:t>
      </w:r>
    </w:p>
  </w:footnote>
  <w:footnote w:id="532">
    <w:p>
      <w:pPr>
        <w:pStyle w:val="FootnoteText"/>
      </w:pPr>
      <w:r>
        <w:rPr>
          <w:rStyle w:val="FootnoteReference"/>
        </w:rPr>
        <w:footnoteRef/>
      </w:r>
      <w:r>
        <w:t xml:space="preserve"> </w:t>
      </w:r>
      <w:r>
        <w:t xml:space="preserve">NCT06914895, NCT06962280.</w:t>
      </w:r>
    </w:p>
  </w:footnote>
  <w:footnote w:id="533">
    <w:p>
      <w:pPr>
        <w:pStyle w:val="FootnoteText"/>
      </w:pPr>
      <w:r>
        <w:rPr>
          <w:rStyle w:val="FootnoteReference"/>
        </w:rPr>
        <w:footnoteRef/>
      </w:r>
      <w:r>
        <w:t xml:space="preserve"> </w:t>
      </w:r>
      <w:r>
        <w:t xml:space="preserve">NCT07817875.</w:t>
      </w:r>
    </w:p>
  </w:footnote>
  <w:footnote w:id="538">
    <w:p>
      <w:pPr>
        <w:pStyle w:val="FootnoteText"/>
      </w:pPr>
      <w:r>
        <w:rPr>
          <w:rStyle w:val="FootnoteReference"/>
        </w:rPr>
        <w:footnoteRef/>
      </w:r>
      <w:r>
        <w:t xml:space="preserve"> </w:t>
      </w:r>
      <w:r>
        <w:t xml:space="preserve">Coskun 2022, PMID 35985340.</w:t>
      </w:r>
    </w:p>
  </w:footnote>
  <w:footnote w:id="539">
    <w:p>
      <w:pPr>
        <w:pStyle w:val="FootnoteText"/>
      </w:pPr>
      <w:r>
        <w:rPr>
          <w:rStyle w:val="FootnoteReference"/>
        </w:rPr>
        <w:footnoteRef/>
      </w:r>
      <w:r>
        <w:t xml:space="preserve"> </w:t>
      </w:r>
      <w:r>
        <w:t xml:space="preserve">NCT06313528.</w:t>
      </w:r>
    </w:p>
  </w:footnote>
  <w:footnote w:id="540">
    <w:p>
      <w:pPr>
        <w:pStyle w:val="FootnoteText"/>
      </w:pPr>
      <w:r>
        <w:rPr>
          <w:rStyle w:val="FootnoteReference"/>
        </w:rPr>
        <w:footnoteRef/>
      </w:r>
      <w:r>
        <w:t xml:space="preserve"> </w:t>
      </w:r>
      <w:r>
        <w:t xml:space="preserve">Kanu 2025, PMID 40916752.</w:t>
      </w:r>
    </w:p>
  </w:footnote>
  <w:footnote w:id="542">
    <w:p>
      <w:pPr>
        <w:pStyle w:val="FootnoteText"/>
      </w:pPr>
      <w:r>
        <w:rPr>
          <w:rStyle w:val="FootnoteReference"/>
        </w:rPr>
        <w:footnoteRef/>
      </w:r>
      <w:r>
        <w:t xml:space="preserve"> </w:t>
      </w:r>
      <w:r>
        <w:t xml:space="preserve">Coskun 2022, PMID 35985340.</w:t>
      </w:r>
    </w:p>
  </w:footnote>
  <w:footnote w:id="543">
    <w:p>
      <w:pPr>
        <w:pStyle w:val="FootnoteText"/>
      </w:pPr>
      <w:r>
        <w:rPr>
          <w:rStyle w:val="FootnoteReference"/>
        </w:rPr>
        <w:footnoteRef/>
      </w:r>
      <w:r>
        <w:t xml:space="preserve"> </w:t>
      </w:r>
      <w:r>
        <w:t xml:space="preserve">Urva 2022, PMID 36354040.</w:t>
      </w:r>
    </w:p>
  </w:footnote>
  <w:footnote w:id="545">
    <w:p>
      <w:pPr>
        <w:pStyle w:val="FootnoteText"/>
      </w:pPr>
      <w:r>
        <w:rPr>
          <w:rStyle w:val="FootnoteReference"/>
        </w:rPr>
        <w:footnoteRef/>
      </w:r>
      <w:r>
        <w:t xml:space="preserve"> </w:t>
      </w:r>
      <w:r>
        <w:t xml:space="preserve">Jastreboff 2023, PMID 37366315.</w:t>
      </w:r>
    </w:p>
  </w:footnote>
  <w:footnote w:id="546">
    <w:p>
      <w:pPr>
        <w:pStyle w:val="FootnoteText"/>
      </w:pPr>
      <w:r>
        <w:rPr>
          <w:rStyle w:val="FootnoteReference"/>
        </w:rPr>
        <w:footnoteRef/>
      </w:r>
      <w:r>
        <w:t xml:space="preserve"> </w:t>
      </w:r>
      <w:r>
        <w:t xml:space="preserve">Rosenstock 2023, PMID 37385280.</w:t>
      </w:r>
    </w:p>
  </w:footnote>
  <w:footnote w:id="547">
    <w:p>
      <w:pPr>
        <w:pStyle w:val="FootnoteText"/>
      </w:pPr>
      <w:r>
        <w:rPr>
          <w:rStyle w:val="FootnoteReference"/>
        </w:rPr>
        <w:footnoteRef/>
      </w:r>
      <w:r>
        <w:t xml:space="preserve"> </w:t>
      </w:r>
      <w:r>
        <w:t xml:space="preserve">Coskun 2025, PMID 40609566.</w:t>
      </w:r>
    </w:p>
  </w:footnote>
  <w:footnote w:id="548">
    <w:p>
      <w:pPr>
        <w:pStyle w:val="FootnoteText"/>
      </w:pPr>
      <w:r>
        <w:rPr>
          <w:rStyle w:val="FootnoteReference"/>
        </w:rPr>
        <w:footnoteRef/>
      </w:r>
      <w:r>
        <w:t xml:space="preserve"> </w:t>
      </w:r>
      <w:r>
        <w:t xml:space="preserve">Sanyal 2024, PMID 38858523.</w:t>
      </w:r>
    </w:p>
  </w:footnote>
  <w:footnote w:id="549">
    <w:p>
      <w:pPr>
        <w:pStyle w:val="FootnoteText"/>
      </w:pPr>
      <w:r>
        <w:rPr>
          <w:rStyle w:val="FootnoteReference"/>
        </w:rPr>
        <w:footnoteRef/>
      </w:r>
      <w:r>
        <w:t xml:space="preserve"> </w:t>
      </w:r>
      <w:r>
        <w:t xml:space="preserve">Ruotolo 2026, PMID 42608321.</w:t>
      </w:r>
    </w:p>
  </w:footnote>
  <w:footnote w:id="551">
    <w:p>
      <w:pPr>
        <w:pStyle w:val="FootnoteText"/>
      </w:pPr>
      <w:r>
        <w:rPr>
          <w:rStyle w:val="FootnoteReference"/>
        </w:rPr>
        <w:footnoteRef/>
      </w:r>
      <w:r>
        <w:t xml:space="preserve"> </w:t>
      </w:r>
      <w:r>
        <w:t xml:space="preserve">Giblin 2026, PMID 41090431.</w:t>
      </w:r>
    </w:p>
  </w:footnote>
  <w:footnote w:id="552">
    <w:p>
      <w:pPr>
        <w:pStyle w:val="FootnoteText"/>
      </w:pPr>
      <w:r>
        <w:rPr>
          <w:rStyle w:val="FootnoteReference"/>
        </w:rPr>
        <w:footnoteRef/>
      </w:r>
      <w:r>
        <w:t xml:space="preserve"> </w:t>
      </w:r>
      <w:r>
        <w:t xml:space="preserve">Jastreboff 2026, PMID 42814954.</w:t>
      </w:r>
    </w:p>
  </w:footnote>
  <w:footnote w:id="553">
    <w:p>
      <w:pPr>
        <w:pStyle w:val="FootnoteText"/>
      </w:pPr>
      <w:r>
        <w:rPr>
          <w:rStyle w:val="FootnoteReference"/>
        </w:rPr>
        <w:footnoteRef/>
      </w:r>
      <w:r>
        <w:t xml:space="preserve"> </w:t>
      </w:r>
      <w:r>
        <w:t xml:space="preserve">Bellido 2026, PMID 42810372.</w:t>
      </w:r>
    </w:p>
  </w:footnote>
  <w:footnote w:id="554">
    <w:p>
      <w:pPr>
        <w:pStyle w:val="FootnoteText"/>
      </w:pPr>
      <w:r>
        <w:rPr>
          <w:rStyle w:val="FootnoteReference"/>
        </w:rPr>
        <w:footnoteRef/>
      </w:r>
      <w:r>
        <w:t xml:space="preserve"> </w:t>
      </w:r>
      <w:r>
        <w:t xml:space="preserve">Bajaj 2026, PMID 42250575.</w:t>
      </w:r>
    </w:p>
  </w:footnote>
  <w:footnote w:id="557">
    <w:p>
      <w:pPr>
        <w:pStyle w:val="FootnoteText"/>
      </w:pPr>
      <w:r>
        <w:rPr>
          <w:rStyle w:val="FootnoteReference"/>
        </w:rPr>
        <w:footnoteRef/>
      </w:r>
      <w:r>
        <w:t xml:space="preserve"> </w:t>
      </w:r>
      <w:r>
        <w:t xml:space="preserve">Coskun 2022, PMID 35985340.</w:t>
      </w:r>
    </w:p>
  </w:footnote>
  <w:footnote w:id="558">
    <w:p>
      <w:pPr>
        <w:pStyle w:val="FootnoteText"/>
      </w:pPr>
      <w:r>
        <w:rPr>
          <w:rStyle w:val="FootnoteReference"/>
        </w:rPr>
        <w:footnoteRef/>
      </w:r>
      <w:r>
        <w:t xml:space="preserve"> </w:t>
      </w:r>
      <w:r>
        <w:t xml:space="preserve">Marathe 2025, PMID 40094000.</w:t>
      </w:r>
    </w:p>
  </w:footnote>
  <w:footnote w:id="559">
    <w:p>
      <w:pPr>
        <w:pStyle w:val="FootnoteText"/>
      </w:pPr>
      <w:r>
        <w:rPr>
          <w:rStyle w:val="FootnoteReference"/>
        </w:rPr>
        <w:footnoteRef/>
      </w:r>
      <w:r>
        <w:t xml:space="preserve"> </w:t>
      </w:r>
      <w:r>
        <w:t xml:space="preserve">Carneiro 2026, PMID 42745421.</w:t>
      </w:r>
    </w:p>
  </w:footnote>
  <w:footnote w:id="561">
    <w:p>
      <w:pPr>
        <w:pStyle w:val="FootnoteText"/>
      </w:pPr>
      <w:r>
        <w:rPr>
          <w:rStyle w:val="FootnoteReference"/>
        </w:rPr>
        <w:footnoteRef/>
      </w:r>
      <w:r>
        <w:t xml:space="preserve"> </w:t>
      </w:r>
      <w:r>
        <w:t xml:space="preserve">Bellido 2026, PMID 42810372.</w:t>
      </w:r>
    </w:p>
  </w:footnote>
  <w:footnote w:id="562">
    <w:p>
      <w:pPr>
        <w:pStyle w:val="FootnoteText"/>
      </w:pPr>
      <w:r>
        <w:rPr>
          <w:rStyle w:val="FootnoteReference"/>
        </w:rPr>
        <w:footnoteRef/>
      </w:r>
      <w:r>
        <w:t xml:space="preserve"> </w:t>
      </w:r>
      <w:r>
        <w:t xml:space="preserve">Jastreboff 2023, PMID 37366315.</w:t>
      </w:r>
    </w:p>
  </w:footnote>
  <w:footnote w:id="563">
    <w:p>
      <w:pPr>
        <w:pStyle w:val="FootnoteText"/>
      </w:pPr>
      <w:r>
        <w:rPr>
          <w:rStyle w:val="FootnoteReference"/>
        </w:rPr>
        <w:footnoteRef/>
      </w:r>
      <w:r>
        <w:t xml:space="preserve"> </w:t>
      </w:r>
      <w:r>
        <w:t xml:space="preserve">Rubin 2026, PMID 42853576.</w:t>
      </w:r>
    </w:p>
  </w:footnote>
  <w:footnote w:id="565">
    <w:p>
      <w:pPr>
        <w:pStyle w:val="FootnoteText"/>
      </w:pPr>
      <w:r>
        <w:rPr>
          <w:rStyle w:val="FootnoteReference"/>
        </w:rPr>
        <w:footnoteRef/>
      </w:r>
      <w:r>
        <w:t xml:space="preserve"> </w:t>
      </w:r>
      <w:r>
        <w:t xml:space="preserve">NCT07629401.</w:t>
      </w:r>
    </w:p>
  </w:footnote>
  <w:footnote w:id="567">
    <w:p>
      <w:pPr>
        <w:pStyle w:val="FootnoteText"/>
      </w:pPr>
      <w:r>
        <w:rPr>
          <w:rStyle w:val="FootnoteReference"/>
        </w:rPr>
        <w:footnoteRef/>
      </w:r>
      <w:r>
        <w:t xml:space="preserve"> </w:t>
      </w:r>
      <w:r>
        <w:t xml:space="preserve">NCT06383390.</w:t>
      </w:r>
    </w:p>
  </w:footnote>
  <w:footnote w:id="568">
    <w:p>
      <w:pPr>
        <w:pStyle w:val="FootnoteText"/>
      </w:pPr>
      <w:r>
        <w:rPr>
          <w:rStyle w:val="FootnoteReference"/>
        </w:rPr>
        <w:footnoteRef/>
      </w:r>
      <w:r>
        <w:t xml:space="preserve"> </w:t>
      </w:r>
      <w:r>
        <w:t xml:space="preserve">NCT06662383.</w:t>
      </w:r>
    </w:p>
  </w:footnote>
  <w:footnote w:id="569">
    <w:p>
      <w:pPr>
        <w:pStyle w:val="FootnoteText"/>
      </w:pPr>
      <w:r>
        <w:rPr>
          <w:rStyle w:val="FootnoteReference"/>
        </w:rPr>
        <w:footnoteRef/>
      </w:r>
      <w:r>
        <w:t xml:space="preserve"> </w:t>
      </w:r>
      <w:r>
        <w:t xml:space="preserve">NCT06260722.</w:t>
      </w:r>
    </w:p>
  </w:footnote>
  <w:footnote w:id="570">
    <w:p>
      <w:pPr>
        <w:pStyle w:val="FootnoteText"/>
      </w:pPr>
      <w:r>
        <w:rPr>
          <w:rStyle w:val="FootnoteReference"/>
        </w:rPr>
        <w:footnoteRef/>
      </w:r>
      <w:r>
        <w:t xml:space="preserve"> </w:t>
      </w:r>
      <w:r>
        <w:t xml:space="preserve">NCT06859268.</w:t>
      </w:r>
    </w:p>
  </w:footnote>
  <w:footnote w:id="571">
    <w:p>
      <w:pPr>
        <w:pStyle w:val="FootnoteText"/>
      </w:pPr>
      <w:r>
        <w:rPr>
          <w:rStyle w:val="FootnoteReference"/>
        </w:rPr>
        <w:footnoteRef/>
      </w:r>
      <w:r>
        <w:t xml:space="preserve"> </w:t>
      </w:r>
      <w:r>
        <w:t xml:space="preserve">NCT06297603.</w:t>
      </w:r>
    </w:p>
  </w:footnote>
  <w:footnote w:id="572">
    <w:p>
      <w:pPr>
        <w:pStyle w:val="FootnoteText"/>
      </w:pPr>
      <w:r>
        <w:rPr>
          <w:rStyle w:val="FootnoteReference"/>
        </w:rPr>
        <w:footnoteRef/>
      </w:r>
      <w:r>
        <w:t xml:space="preserve"> </w:t>
      </w:r>
      <w:r>
        <w:t xml:space="preserve">NCT07035093.</w:t>
      </w:r>
    </w:p>
  </w:footnote>
  <w:footnote w:id="573">
    <w:p>
      <w:pPr>
        <w:pStyle w:val="FootnoteText"/>
      </w:pPr>
      <w:r>
        <w:rPr>
          <w:rStyle w:val="FootnoteReference"/>
        </w:rPr>
        <w:footnoteRef/>
      </w:r>
      <w:r>
        <w:t xml:space="preserve"> </w:t>
      </w:r>
      <w:r>
        <w:t xml:space="preserve">NCT07165028.</w:t>
      </w:r>
    </w:p>
  </w:footnote>
  <w:footnote w:id="578">
    <w:p>
      <w:pPr>
        <w:pStyle w:val="FootnoteText"/>
      </w:pPr>
      <w:r>
        <w:rPr>
          <w:rStyle w:val="FootnoteReference"/>
        </w:rPr>
        <w:footnoteRef/>
      </w:r>
      <w:r>
        <w:t xml:space="preserve"> </w:t>
      </w:r>
      <w:r>
        <w:t xml:space="preserve">Thomas 2024, PMID 38560764.</w:t>
      </w:r>
    </w:p>
  </w:footnote>
  <w:footnote w:id="579">
    <w:p>
      <w:pPr>
        <w:pStyle w:val="FootnoteText"/>
      </w:pPr>
      <w:r>
        <w:rPr>
          <w:rStyle w:val="FootnoteReference"/>
        </w:rPr>
        <w:footnoteRef/>
      </w:r>
      <w:r>
        <w:t xml:space="preserve"> </w:t>
      </w:r>
      <w:r>
        <w:t xml:space="preserve">Zimmermann 2026, PMID 41638399.</w:t>
      </w:r>
    </w:p>
  </w:footnote>
  <w:footnote w:id="580">
    <w:p>
      <w:pPr>
        <w:pStyle w:val="FootnoteText"/>
      </w:pPr>
      <w:r>
        <w:rPr>
          <w:rStyle w:val="FootnoteReference"/>
        </w:rPr>
        <w:footnoteRef/>
      </w:r>
      <w:r>
        <w:t xml:space="preserve"> </w:t>
      </w:r>
      <w:r>
        <w:t xml:space="preserve">NCT06745284.</w:t>
      </w:r>
    </w:p>
  </w:footnote>
  <w:footnote w:id="582">
    <w:p>
      <w:pPr>
        <w:pStyle w:val="FootnoteText"/>
      </w:pPr>
      <w:r>
        <w:rPr>
          <w:rStyle w:val="FootnoteReference"/>
        </w:rPr>
        <w:footnoteRef/>
      </w:r>
      <w:r>
        <w:t xml:space="preserve"> </w:t>
      </w:r>
      <w:r>
        <w:t xml:space="preserve">le Roux 2024, PMID 38330987.</w:t>
      </w:r>
    </w:p>
  </w:footnote>
  <w:footnote w:id="583">
    <w:p>
      <w:pPr>
        <w:pStyle w:val="FootnoteText"/>
      </w:pPr>
      <w:r>
        <w:rPr>
          <w:rStyle w:val="FootnoteReference"/>
        </w:rPr>
        <w:footnoteRef/>
      </w:r>
      <w:r>
        <w:t xml:space="preserve"> </w:t>
      </w:r>
      <w:r>
        <w:t xml:space="preserve">le Roux 2026, PMID 42253238.</w:t>
      </w:r>
    </w:p>
  </w:footnote>
  <w:footnote w:id="584">
    <w:p>
      <w:pPr>
        <w:pStyle w:val="FootnoteText"/>
      </w:pPr>
      <w:r>
        <w:rPr>
          <w:rStyle w:val="FootnoteReference"/>
        </w:rPr>
        <w:footnoteRef/>
      </w:r>
      <w:r>
        <w:t xml:space="preserve"> </w:t>
      </w:r>
      <w:r>
        <w:t xml:space="preserve">Wharton 2026, PMID 42820639.</w:t>
      </w:r>
    </w:p>
  </w:footnote>
  <w:footnote w:id="585">
    <w:p>
      <w:pPr>
        <w:pStyle w:val="FootnoteText"/>
      </w:pPr>
      <w:r>
        <w:rPr>
          <w:rStyle w:val="FootnoteReference"/>
        </w:rPr>
        <w:footnoteRef/>
      </w:r>
      <w:r>
        <w:t xml:space="preserve"> </w:t>
      </w:r>
      <w:r>
        <w:t xml:space="preserve">Blüher 2024, PMID 38095657.</w:t>
      </w:r>
    </w:p>
  </w:footnote>
  <w:footnote w:id="587">
    <w:p>
      <w:pPr>
        <w:pStyle w:val="FootnoteText"/>
      </w:pPr>
      <w:r>
        <w:rPr>
          <w:rStyle w:val="FootnoteReference"/>
        </w:rPr>
        <w:footnoteRef/>
      </w:r>
      <w:r>
        <w:t xml:space="preserve"> </w:t>
      </w:r>
      <w:r>
        <w:t xml:space="preserve">Sanyal 2024, PMID 38847460.</w:t>
      </w:r>
    </w:p>
  </w:footnote>
  <w:footnote w:id="588">
    <w:p>
      <w:pPr>
        <w:pStyle w:val="FootnoteText"/>
      </w:pPr>
      <w:r>
        <w:rPr>
          <w:rStyle w:val="FootnoteReference"/>
        </w:rPr>
        <w:footnoteRef/>
      </w:r>
      <w:r>
        <w:t xml:space="preserve"> </w:t>
      </w:r>
      <w:r>
        <w:t xml:space="preserve">Kaplan 2026, PMID 42252333.</w:t>
      </w:r>
    </w:p>
  </w:footnote>
  <w:footnote w:id="589">
    <w:p>
      <w:pPr>
        <w:pStyle w:val="FootnoteText"/>
      </w:pPr>
      <w:r>
        <w:rPr>
          <w:rStyle w:val="FootnoteReference"/>
        </w:rPr>
        <w:footnoteRef/>
      </w:r>
      <w:r>
        <w:t xml:space="preserve"> </w:t>
      </w:r>
      <w:r>
        <w:t xml:space="preserve">Lawitz 2024, PMID 38857788.</w:t>
      </w:r>
    </w:p>
  </w:footnote>
  <w:footnote w:id="592">
    <w:p>
      <w:pPr>
        <w:pStyle w:val="FootnoteText"/>
      </w:pPr>
      <w:r>
        <w:rPr>
          <w:rStyle w:val="FootnoteReference"/>
        </w:rPr>
        <w:footnoteRef/>
      </w:r>
      <w:r>
        <w:t xml:space="preserve"> </w:t>
      </w:r>
      <w:r>
        <w:t xml:space="preserve">Thomas 2024, PMID 38560764.</w:t>
      </w:r>
    </w:p>
  </w:footnote>
  <w:footnote w:id="593">
    <w:p>
      <w:pPr>
        <w:pStyle w:val="FootnoteText"/>
      </w:pPr>
      <w:r>
        <w:rPr>
          <w:rStyle w:val="FootnoteReference"/>
        </w:rPr>
        <w:footnoteRef/>
      </w:r>
      <w:r>
        <w:t xml:space="preserve"> </w:t>
      </w:r>
      <w:r>
        <w:t xml:space="preserve">Zimmermann 2026, PMID 41638399.</w:t>
      </w:r>
    </w:p>
  </w:footnote>
  <w:footnote w:id="595">
    <w:p>
      <w:pPr>
        <w:pStyle w:val="FootnoteText"/>
      </w:pPr>
      <w:r>
        <w:rPr>
          <w:rStyle w:val="FootnoteReference"/>
        </w:rPr>
        <w:footnoteRef/>
      </w:r>
      <w:r>
        <w:t xml:space="preserve"> </w:t>
      </w:r>
      <w:r>
        <w:t xml:space="preserve">Sanyal 2024, PMID 38847460.</w:t>
      </w:r>
    </w:p>
  </w:footnote>
  <w:footnote w:id="596">
    <w:p>
      <w:pPr>
        <w:pStyle w:val="FootnoteText"/>
      </w:pPr>
      <w:r>
        <w:rPr>
          <w:rStyle w:val="FootnoteReference"/>
        </w:rPr>
        <w:footnoteRef/>
      </w:r>
      <w:r>
        <w:t xml:space="preserve"> </w:t>
      </w:r>
      <w:r>
        <w:t xml:space="preserve">le Roux 2026, PMID 42253238.</w:t>
      </w:r>
    </w:p>
  </w:footnote>
  <w:footnote w:id="597">
    <w:p>
      <w:pPr>
        <w:pStyle w:val="FootnoteText"/>
      </w:pPr>
      <w:r>
        <w:rPr>
          <w:rStyle w:val="FootnoteReference"/>
        </w:rPr>
        <w:footnoteRef/>
      </w:r>
      <w:r>
        <w:t xml:space="preserve"> </w:t>
      </w:r>
      <w:r>
        <w:t xml:space="preserve">NCT06200467.</w:t>
      </w:r>
    </w:p>
  </w:footnote>
  <w:footnote w:id="600">
    <w:p>
      <w:pPr>
        <w:pStyle w:val="FootnoteText"/>
      </w:pPr>
      <w:r>
        <w:rPr>
          <w:rStyle w:val="FootnoteReference"/>
        </w:rPr>
        <w:footnoteRef/>
      </w:r>
      <w:r>
        <w:t xml:space="preserve"> </w:t>
      </w:r>
      <w:r>
        <w:t xml:space="preserve">NCT06077864.</w:t>
      </w:r>
    </w:p>
  </w:footnote>
  <w:footnote w:id="601">
    <w:p>
      <w:pPr>
        <w:pStyle w:val="FootnoteText"/>
      </w:pPr>
      <w:r>
        <w:rPr>
          <w:rStyle w:val="FootnoteReference"/>
        </w:rPr>
        <w:footnoteRef/>
      </w:r>
      <w:r>
        <w:t xml:space="preserve"> </w:t>
      </w:r>
      <w:r>
        <w:t xml:space="preserve">PMID 39453356.</w:t>
      </w:r>
    </w:p>
  </w:footnote>
  <w:footnote w:id="602">
    <w:p>
      <w:pPr>
        <w:pStyle w:val="FootnoteText"/>
      </w:pPr>
      <w:r>
        <w:rPr>
          <w:rStyle w:val="FootnoteReference"/>
        </w:rPr>
        <w:footnoteRef/>
      </w:r>
      <w:r>
        <w:t xml:space="preserve"> </w:t>
      </w:r>
      <w:r>
        <w:t xml:space="preserve">NCT06632444.</w:t>
      </w:r>
    </w:p>
  </w:footnote>
  <w:footnote w:id="603">
    <w:p>
      <w:pPr>
        <w:pStyle w:val="FootnoteText"/>
      </w:pPr>
      <w:r>
        <w:rPr>
          <w:rStyle w:val="FootnoteReference"/>
        </w:rPr>
        <w:footnoteRef/>
      </w:r>
      <w:r>
        <w:t xml:space="preserve"> </w:t>
      </w:r>
      <w:r>
        <w:t xml:space="preserve">NCT06632457.</w:t>
      </w:r>
    </w:p>
  </w:footnote>
  <w:footnote w:id="604">
    <w:p>
      <w:pPr>
        <w:pStyle w:val="FootnoteText"/>
      </w:pPr>
      <w:r>
        <w:rPr>
          <w:rStyle w:val="FootnoteReference"/>
        </w:rPr>
        <w:footnoteRef/>
      </w:r>
      <w:r>
        <w:t xml:space="preserve"> </w:t>
      </w:r>
      <w:r>
        <w:t xml:space="preserve">NCT07754461.</w:t>
      </w:r>
    </w:p>
  </w:footnote>
  <w:footnote w:id="605">
    <w:p>
      <w:pPr>
        <w:pStyle w:val="FootnoteText"/>
      </w:pPr>
      <w:r>
        <w:rPr>
          <w:rStyle w:val="FootnoteReference"/>
        </w:rPr>
        <w:footnoteRef/>
      </w:r>
      <w:r>
        <w:t xml:space="preserve"> </w:t>
      </w:r>
      <w:r>
        <w:t xml:space="preserve">NCT07850050.</w:t>
      </w:r>
    </w:p>
  </w:footnote>
  <w:footnote w:id="606">
    <w:p>
      <w:pPr>
        <w:pStyle w:val="FootnoteText"/>
      </w:pPr>
      <w:r>
        <w:rPr>
          <w:rStyle w:val="FootnoteReference"/>
        </w:rPr>
        <w:footnoteRef/>
      </w:r>
      <w:r>
        <w:t xml:space="preserve"> </w:t>
      </w:r>
      <w:r>
        <w:t xml:space="preserve">NCT07850063.</w:t>
      </w:r>
    </w:p>
  </w:footnote>
  <w:footnote w:id="607">
    <w:p>
      <w:pPr>
        <w:pStyle w:val="FootnoteText"/>
      </w:pPr>
      <w:r>
        <w:rPr>
          <w:rStyle w:val="FootnoteReference"/>
        </w:rPr>
        <w:footnoteRef/>
      </w:r>
      <w:r>
        <w:t xml:space="preserve"> </w:t>
      </w:r>
      <w:r>
        <w:t xml:space="preserve">NCT07855900.</w:t>
      </w:r>
    </w:p>
  </w:footnote>
  <w:footnote w:id="608">
    <w:p>
      <w:pPr>
        <w:pStyle w:val="FootnoteText"/>
      </w:pPr>
      <w:r>
        <w:rPr>
          <w:rStyle w:val="FootnoteReference"/>
        </w:rPr>
        <w:footnoteRef/>
      </w:r>
      <w:r>
        <w:t xml:space="preserve"> </w:t>
      </w:r>
      <w:r>
        <w:t xml:space="preserve">NCT06214741.</w:t>
      </w:r>
    </w:p>
  </w:footnote>
  <w:footnote w:id="609">
    <w:p>
      <w:pPr>
        <w:pStyle w:val="FootnoteText"/>
      </w:pPr>
      <w:r>
        <w:rPr>
          <w:rStyle w:val="FootnoteReference"/>
        </w:rPr>
        <w:footnoteRef/>
      </w:r>
      <w:r>
        <w:t xml:space="preserve"> </w:t>
      </w:r>
      <w:r>
        <w:t xml:space="preserve">NCT06176365.</w:t>
      </w:r>
    </w:p>
  </w:footnote>
  <w:footnote w:id="615">
    <w:p>
      <w:pPr>
        <w:pStyle w:val="FootnoteText"/>
      </w:pPr>
      <w:r>
        <w:rPr>
          <w:rStyle w:val="FootnoteReference"/>
        </w:rPr>
        <w:footnoteRef/>
      </w:r>
      <w:r>
        <w:t xml:space="preserve"> </w:t>
      </w:r>
      <w:r>
        <w:t xml:space="preserve">Ji 2025, PMID 40421736.</w:t>
      </w:r>
    </w:p>
  </w:footnote>
  <w:footnote w:id="616">
    <w:p>
      <w:pPr>
        <w:pStyle w:val="FootnoteText"/>
      </w:pPr>
      <w:r>
        <w:rPr>
          <w:rStyle w:val="FootnoteReference"/>
        </w:rPr>
        <w:footnoteRef/>
      </w:r>
      <w:r>
        <w:t xml:space="preserve"> </w:t>
      </w:r>
      <w:r>
        <w:t xml:space="preserve">Gao 2026, PMID 42251595.</w:t>
      </w:r>
    </w:p>
  </w:footnote>
  <w:footnote w:id="618">
    <w:p>
      <w:pPr>
        <w:pStyle w:val="FootnoteText"/>
      </w:pPr>
      <w:r>
        <w:rPr>
          <w:rStyle w:val="FootnoteReference"/>
        </w:rPr>
        <w:footnoteRef/>
      </w:r>
      <w:r>
        <w:t xml:space="preserve"> </w:t>
      </w:r>
      <w:r>
        <w:t xml:space="preserve">Zhu 2026, PMID 41407859.</w:t>
      </w:r>
    </w:p>
  </w:footnote>
  <w:footnote w:id="619">
    <w:p>
      <w:pPr>
        <w:pStyle w:val="FootnoteText"/>
      </w:pPr>
      <w:r>
        <w:rPr>
          <w:rStyle w:val="FootnoteReference"/>
        </w:rPr>
        <w:footnoteRef/>
      </w:r>
      <w:r>
        <w:t xml:space="preserve"> </w:t>
      </w:r>
      <w:r>
        <w:t xml:space="preserve">Guo 2026, PMID 41407860.</w:t>
      </w:r>
    </w:p>
  </w:footnote>
  <w:footnote w:id="620">
    <w:p>
      <w:pPr>
        <w:pStyle w:val="FootnoteText"/>
      </w:pPr>
      <w:r>
        <w:rPr>
          <w:rStyle w:val="FootnoteReference"/>
        </w:rPr>
        <w:footnoteRef/>
      </w:r>
      <w:r>
        <w:t xml:space="preserve"> </w:t>
      </w:r>
      <w:r>
        <w:t xml:space="preserve">NCT06184568.</w:t>
      </w:r>
    </w:p>
  </w:footnote>
  <w:footnote w:id="621">
    <w:p>
      <w:pPr>
        <w:pStyle w:val="FootnoteText"/>
      </w:pPr>
      <w:r>
        <w:rPr>
          <w:rStyle w:val="FootnoteReference"/>
        </w:rPr>
        <w:footnoteRef/>
      </w:r>
      <w:r>
        <w:t xml:space="preserve"> </w:t>
      </w:r>
      <w:r>
        <w:t xml:space="preserve">Luo 2026, PMID 41260459.</w:t>
      </w:r>
    </w:p>
  </w:footnote>
  <w:footnote w:id="623">
    <w:p>
      <w:pPr>
        <w:pStyle w:val="FootnoteText"/>
      </w:pPr>
      <w:r>
        <w:rPr>
          <w:rStyle w:val="FootnoteReference"/>
        </w:rPr>
        <w:footnoteRef/>
      </w:r>
      <w:r>
        <w:t xml:space="preserve"> </w:t>
      </w:r>
      <w:r>
        <w:t xml:space="preserve">Bhattachar 2025, PMID 40832785.</w:t>
      </w:r>
    </w:p>
  </w:footnote>
  <w:footnote w:id="624">
    <w:p>
      <w:pPr>
        <w:pStyle w:val="FootnoteText"/>
      </w:pPr>
      <w:r>
        <w:rPr>
          <w:rStyle w:val="FootnoteReference"/>
        </w:rPr>
        <w:footnoteRef/>
      </w:r>
      <w:r>
        <w:t xml:space="preserve"> </w:t>
      </w:r>
      <w:r>
        <w:t xml:space="preserve">Hsia 2026, PMID 42628555.</w:t>
      </w:r>
    </w:p>
  </w:footnote>
  <w:footnote w:id="626">
    <w:p>
      <w:pPr>
        <w:pStyle w:val="FootnoteText"/>
      </w:pPr>
      <w:r>
        <w:rPr>
          <w:rStyle w:val="FootnoteReference"/>
        </w:rPr>
        <w:footnoteRef/>
      </w:r>
      <w:r>
        <w:t xml:space="preserve"> </w:t>
      </w:r>
      <w:r>
        <w:t xml:space="preserve">Cheng 2025, PMID 41030857.</w:t>
      </w:r>
    </w:p>
  </w:footnote>
  <w:footnote w:id="627">
    <w:p>
      <w:pPr>
        <w:pStyle w:val="FootnoteText"/>
      </w:pPr>
      <w:r>
        <w:rPr>
          <w:rStyle w:val="FootnoteReference"/>
        </w:rPr>
        <w:footnoteRef/>
      </w:r>
      <w:r>
        <w:t xml:space="preserve"> </w:t>
      </w:r>
      <w:r>
        <w:t xml:space="preserve">NCT07255209.</w:t>
      </w:r>
    </w:p>
  </w:footnote>
  <w:footnote w:id="630">
    <w:p>
      <w:pPr>
        <w:pStyle w:val="FootnoteText"/>
      </w:pPr>
      <w:r>
        <w:rPr>
          <w:rStyle w:val="FootnoteReference"/>
        </w:rPr>
        <w:footnoteRef/>
      </w:r>
      <w:r>
        <w:t xml:space="preserve"> </w:t>
      </w:r>
      <w:r>
        <w:t xml:space="preserve">Dong 2025, PMID 40479843.</w:t>
      </w:r>
    </w:p>
  </w:footnote>
  <w:footnote w:id="631">
    <w:p>
      <w:pPr>
        <w:pStyle w:val="FootnoteText"/>
      </w:pPr>
      <w:r>
        <w:rPr>
          <w:rStyle w:val="FootnoteReference"/>
        </w:rPr>
        <w:footnoteRef/>
      </w:r>
      <w:r>
        <w:t xml:space="preserve"> </w:t>
      </w:r>
      <w:r>
        <w:t xml:space="preserve">Gan 2026, PMID 41901218.</w:t>
      </w:r>
    </w:p>
  </w:footnote>
  <w:footnote w:id="632">
    <w:p>
      <w:pPr>
        <w:pStyle w:val="FootnoteText"/>
      </w:pPr>
      <w:r>
        <w:rPr>
          <w:rStyle w:val="FootnoteReference"/>
        </w:rPr>
        <w:footnoteRef/>
      </w:r>
      <w:r>
        <w:t xml:space="preserve"> </w:t>
      </w:r>
      <w:r>
        <w:t xml:space="preserve">NCT07083154.</w:t>
      </w:r>
    </w:p>
  </w:footnote>
  <w:footnote w:id="634">
    <w:p>
      <w:pPr>
        <w:pStyle w:val="FootnoteText"/>
      </w:pPr>
      <w:r>
        <w:rPr>
          <w:rStyle w:val="FootnoteReference"/>
        </w:rPr>
        <w:footnoteRef/>
      </w:r>
      <w:r>
        <w:t xml:space="preserve"> </w:t>
      </w:r>
      <w:r>
        <w:t xml:space="preserve">Zhang 2024, PMID 37943529.</w:t>
      </w:r>
    </w:p>
  </w:footnote>
  <w:footnote w:id="635">
    <w:p>
      <w:pPr>
        <w:pStyle w:val="FootnoteText"/>
      </w:pPr>
      <w:r>
        <w:rPr>
          <w:rStyle w:val="FootnoteReference"/>
        </w:rPr>
        <w:footnoteRef/>
      </w:r>
      <w:r>
        <w:t xml:space="preserve"> </w:t>
      </w:r>
      <w:r>
        <w:t xml:space="preserve">Gao 2026, PMID 42251595.</w:t>
      </w:r>
    </w:p>
  </w:footnote>
  <w:footnote w:id="636">
    <w:p>
      <w:pPr>
        <w:pStyle w:val="FootnoteText"/>
      </w:pPr>
      <w:r>
        <w:rPr>
          <w:rStyle w:val="FootnoteReference"/>
        </w:rPr>
        <w:footnoteRef/>
      </w:r>
      <w:r>
        <w:t xml:space="preserve"> </w:t>
      </w:r>
      <w:r>
        <w:t xml:space="preserve">Zhang 2024, PMID 37943529.</w:t>
      </w:r>
    </w:p>
  </w:footnote>
  <w:footnote w:id="637">
    <w:p>
      <w:pPr>
        <w:pStyle w:val="FootnoteText"/>
      </w:pPr>
      <w:r>
        <w:rPr>
          <w:rStyle w:val="FootnoteReference"/>
        </w:rPr>
        <w:footnoteRef/>
      </w:r>
      <w:r>
        <w:t xml:space="preserve"> </w:t>
      </w:r>
      <w:r>
        <w:t xml:space="preserve">Hsia 2026, PMID 42628555.</w:t>
      </w:r>
    </w:p>
  </w:footnote>
  <w:footnote w:id="639">
    <w:p>
      <w:pPr>
        <w:pStyle w:val="FootnoteText"/>
      </w:pPr>
      <w:r>
        <w:rPr>
          <w:rStyle w:val="FootnoteReference"/>
        </w:rPr>
        <w:footnoteRef/>
      </w:r>
      <w:r>
        <w:t xml:space="preserve"> </w:t>
      </w:r>
      <w:r>
        <w:t xml:space="preserve">Shirley 2025, PMID 41028652.</w:t>
      </w:r>
    </w:p>
  </w:footnote>
  <w:footnote w:id="641">
    <w:p>
      <w:pPr>
        <w:pStyle w:val="FootnoteText"/>
      </w:pPr>
      <w:r>
        <w:rPr>
          <w:rStyle w:val="FootnoteReference"/>
        </w:rPr>
        <w:footnoteRef/>
      </w:r>
      <w:r>
        <w:t xml:space="preserve"> </w:t>
      </w:r>
      <w:r>
        <w:t xml:space="preserve">NCT06884293.</w:t>
      </w:r>
    </w:p>
  </w:footnote>
  <w:footnote w:id="642">
    <w:p>
      <w:pPr>
        <w:pStyle w:val="FootnoteText"/>
      </w:pPr>
      <w:r>
        <w:rPr>
          <w:rStyle w:val="FootnoteReference"/>
        </w:rPr>
        <w:footnoteRef/>
      </w:r>
      <w:r>
        <w:t xml:space="preserve"> </w:t>
      </w:r>
      <w:r>
        <w:t xml:space="preserve">NCT06931028.</w:t>
      </w:r>
    </w:p>
  </w:footnote>
  <w:footnote w:id="643">
    <w:p>
      <w:pPr>
        <w:pStyle w:val="FootnoteText"/>
      </w:pPr>
      <w:r>
        <w:rPr>
          <w:rStyle w:val="FootnoteReference"/>
        </w:rPr>
        <w:footnoteRef/>
      </w:r>
      <w:r>
        <w:t xml:space="preserve"> </w:t>
      </w:r>
      <w:r>
        <w:t xml:space="preserve">NCT07469800.</w:t>
      </w:r>
    </w:p>
  </w:footnote>
  <w:footnote w:id="644">
    <w:p>
      <w:pPr>
        <w:pStyle w:val="FootnoteText"/>
      </w:pPr>
      <w:r>
        <w:rPr>
          <w:rStyle w:val="FootnoteReference"/>
        </w:rPr>
        <w:footnoteRef/>
      </w:r>
      <w:r>
        <w:t xml:space="preserve"> </w:t>
      </w:r>
      <w:r>
        <w:t xml:space="preserve">NCT07255209.</w:t>
      </w:r>
    </w:p>
  </w:footnote>
  <w:footnote w:id="645">
    <w:p>
      <w:pPr>
        <w:pStyle w:val="FootnoteText"/>
      </w:pPr>
      <w:r>
        <w:rPr>
          <w:rStyle w:val="FootnoteReference"/>
        </w:rPr>
        <w:footnoteRef/>
      </w:r>
      <w:r>
        <w:t xml:space="preserve"> </w:t>
      </w:r>
      <w:r>
        <w:t xml:space="preserve">NCT06937749.</w:t>
      </w:r>
    </w:p>
  </w:footnote>
  <w:footnote w:id="646">
    <w:p>
      <w:pPr>
        <w:pStyle w:val="FootnoteText"/>
      </w:pPr>
      <w:r>
        <w:rPr>
          <w:rStyle w:val="FootnoteReference"/>
        </w:rPr>
        <w:footnoteRef/>
      </w:r>
      <w:r>
        <w:t xml:space="preserve"> </w:t>
      </w:r>
      <w:r>
        <w:t xml:space="preserve">NCT06862908.</w:t>
      </w:r>
    </w:p>
  </w:footnote>
  <w:footnote w:id="647">
    <w:p>
      <w:pPr>
        <w:pStyle w:val="FootnoteText"/>
      </w:pPr>
      <w:r>
        <w:rPr>
          <w:rStyle w:val="FootnoteReference"/>
        </w:rPr>
        <w:footnoteRef/>
      </w:r>
      <w:r>
        <w:t xml:space="preserve"> </w:t>
      </w:r>
      <w:r>
        <w:t xml:space="preserve">NCT06143956.</w:t>
      </w:r>
    </w:p>
  </w:footnote>
  <w:footnote w:id="652">
    <w:p>
      <w:pPr>
        <w:pStyle w:val="FootnoteText"/>
      </w:pPr>
      <w:r>
        <w:rPr>
          <w:rStyle w:val="FootnoteReference"/>
        </w:rPr>
        <w:footnoteRef/>
      </w:r>
      <w:r>
        <w:t xml:space="preserve"> </w:t>
      </w:r>
      <w:r>
        <w:t xml:space="preserve">Kruse 2021, PMID 34288673.</w:t>
      </w:r>
    </w:p>
  </w:footnote>
  <w:footnote w:id="653">
    <w:p>
      <w:pPr>
        <w:pStyle w:val="FootnoteText"/>
      </w:pPr>
      <w:r>
        <w:rPr>
          <w:rStyle w:val="FootnoteReference"/>
        </w:rPr>
        <w:footnoteRef/>
      </w:r>
      <w:r>
        <w:t xml:space="preserve"> </w:t>
      </w:r>
      <w:r>
        <w:t xml:space="preserve">Enebo 2021, PMID 33894838.</w:t>
      </w:r>
    </w:p>
  </w:footnote>
  <w:footnote w:id="654">
    <w:p>
      <w:pPr>
        <w:pStyle w:val="FootnoteText"/>
      </w:pPr>
      <w:r>
        <w:rPr>
          <w:rStyle w:val="FootnoteReference"/>
        </w:rPr>
        <w:footnoteRef/>
      </w:r>
      <w:r>
        <w:t xml:space="preserve"> </w:t>
      </w:r>
      <w:r>
        <w:t xml:space="preserve">Carvas 2025, PMID 40609154.</w:t>
      </w:r>
    </w:p>
  </w:footnote>
  <w:footnote w:id="655">
    <w:p>
      <w:pPr>
        <w:pStyle w:val="FootnoteText"/>
      </w:pPr>
      <w:r>
        <w:rPr>
          <w:rStyle w:val="FootnoteReference"/>
        </w:rPr>
        <w:footnoteRef/>
      </w:r>
      <w:r>
        <w:t xml:space="preserve"> </w:t>
      </w:r>
      <w:r>
        <w:t xml:space="preserve">Jacobsen 2025, PMID 40629149.</w:t>
      </w:r>
    </w:p>
  </w:footnote>
  <w:footnote w:id="657">
    <w:p>
      <w:pPr>
        <w:pStyle w:val="FootnoteText"/>
      </w:pPr>
      <w:r>
        <w:rPr>
          <w:rStyle w:val="FootnoteReference"/>
        </w:rPr>
        <w:footnoteRef/>
      </w:r>
      <w:r>
        <w:t xml:space="preserve"> </w:t>
      </w:r>
      <w:r>
        <w:t xml:space="preserve">Lau 2021, PMID 34798060.</w:t>
      </w:r>
    </w:p>
  </w:footnote>
  <w:footnote w:id="658">
    <w:p>
      <w:pPr>
        <w:pStyle w:val="FootnoteText"/>
      </w:pPr>
      <w:r>
        <w:rPr>
          <w:rStyle w:val="FootnoteReference"/>
        </w:rPr>
        <w:footnoteRef/>
      </w:r>
      <w:r>
        <w:t xml:space="preserve"> </w:t>
      </w:r>
      <w:r>
        <w:t xml:space="preserve">NCT07220642.</w:t>
      </w:r>
    </w:p>
  </w:footnote>
  <w:footnote w:id="660">
    <w:p>
      <w:pPr>
        <w:pStyle w:val="FootnoteText"/>
      </w:pPr>
      <w:r>
        <w:rPr>
          <w:rStyle w:val="FootnoteReference"/>
        </w:rPr>
        <w:footnoteRef/>
      </w:r>
      <w:r>
        <w:t xml:space="preserve"> </w:t>
      </w:r>
      <w:r>
        <w:t xml:space="preserve">Enebo 2021, PMID 33894838.</w:t>
      </w:r>
    </w:p>
  </w:footnote>
  <w:footnote w:id="661">
    <w:p>
      <w:pPr>
        <w:pStyle w:val="FootnoteText"/>
      </w:pPr>
      <w:r>
        <w:rPr>
          <w:rStyle w:val="FootnoteReference"/>
        </w:rPr>
        <w:footnoteRef/>
      </w:r>
      <w:r>
        <w:t xml:space="preserve"> </w:t>
      </w:r>
      <w:r>
        <w:t xml:space="preserve">Frias 2023, PMID 37364590.</w:t>
      </w:r>
    </w:p>
  </w:footnote>
  <w:footnote w:id="663">
    <w:p>
      <w:pPr>
        <w:pStyle w:val="FootnoteText"/>
      </w:pPr>
      <w:r>
        <w:rPr>
          <w:rStyle w:val="FootnoteReference"/>
        </w:rPr>
        <w:footnoteRef/>
      </w:r>
      <w:r>
        <w:t xml:space="preserve"> </w:t>
      </w:r>
      <w:r>
        <w:t xml:space="preserve">Garvey 2025, PMID 40544433.</w:t>
      </w:r>
    </w:p>
  </w:footnote>
  <w:footnote w:id="664">
    <w:p>
      <w:pPr>
        <w:pStyle w:val="FootnoteText"/>
      </w:pPr>
      <w:r>
        <w:rPr>
          <w:rStyle w:val="FootnoteReference"/>
        </w:rPr>
        <w:footnoteRef/>
      </w:r>
      <w:r>
        <w:t xml:space="preserve"> </w:t>
      </w:r>
      <w:r>
        <w:t xml:space="preserve">Busetto 2026, PMID 42503495.</w:t>
      </w:r>
    </w:p>
  </w:footnote>
  <w:footnote w:id="665">
    <w:p>
      <w:pPr>
        <w:pStyle w:val="FootnoteText"/>
      </w:pPr>
      <w:r>
        <w:rPr>
          <w:rStyle w:val="FootnoteReference"/>
        </w:rPr>
        <w:footnoteRef/>
      </w:r>
      <w:r>
        <w:t xml:space="preserve"> </w:t>
      </w:r>
      <w:r>
        <w:t xml:space="preserve">Verma 2026, PMID 41328546.</w:t>
      </w:r>
    </w:p>
  </w:footnote>
  <w:footnote w:id="666">
    <w:p>
      <w:pPr>
        <w:pStyle w:val="FootnoteText"/>
      </w:pPr>
      <w:r>
        <w:rPr>
          <w:rStyle w:val="FootnoteReference"/>
        </w:rPr>
        <w:footnoteRef/>
      </w:r>
      <w:r>
        <w:t xml:space="preserve"> </w:t>
      </w:r>
      <w:r>
        <w:t xml:space="preserve">Davies 2025, PMID 40544432.</w:t>
      </w:r>
    </w:p>
  </w:footnote>
  <w:footnote w:id="667">
    <w:p>
      <w:pPr>
        <w:pStyle w:val="FootnoteText"/>
      </w:pPr>
      <w:r>
        <w:rPr>
          <w:rStyle w:val="FootnoteReference"/>
        </w:rPr>
        <w:footnoteRef/>
      </w:r>
      <w:r>
        <w:t xml:space="preserve"> </w:t>
      </w:r>
      <w:r>
        <w:t xml:space="preserve">Yamauchi 2026, PMID 42009015.</w:t>
      </w:r>
    </w:p>
  </w:footnote>
  <w:footnote w:id="668">
    <w:p>
      <w:pPr>
        <w:pStyle w:val="FootnoteText"/>
      </w:pPr>
      <w:r>
        <w:rPr>
          <w:rStyle w:val="FootnoteReference"/>
        </w:rPr>
        <w:footnoteRef/>
      </w:r>
      <w:r>
        <w:t xml:space="preserve"> </w:t>
      </w:r>
      <w:r>
        <w:t xml:space="preserve">Buse 2026, PMID 42251859.</w:t>
      </w:r>
    </w:p>
  </w:footnote>
  <w:footnote w:id="669">
    <w:p>
      <w:pPr>
        <w:pStyle w:val="FootnoteText"/>
      </w:pPr>
      <w:r>
        <w:rPr>
          <w:rStyle w:val="FootnoteReference"/>
        </w:rPr>
        <w:footnoteRef/>
      </w:r>
      <w:r>
        <w:t xml:space="preserve"> </w:t>
      </w:r>
      <w:r>
        <w:t xml:space="preserve">NCT06221969, NCT06534411.</w:t>
      </w:r>
    </w:p>
  </w:footnote>
  <w:footnote w:id="672">
    <w:p>
      <w:pPr>
        <w:pStyle w:val="FootnoteText"/>
      </w:pPr>
      <w:r>
        <w:rPr>
          <w:rStyle w:val="FootnoteReference"/>
        </w:rPr>
        <w:footnoteRef/>
      </w:r>
      <w:r>
        <w:t xml:space="preserve"> </w:t>
      </w:r>
      <w:r>
        <w:t xml:space="preserve">Cao 2025, PMID 40204768.</w:t>
      </w:r>
    </w:p>
  </w:footnote>
  <w:footnote w:id="673">
    <w:p>
      <w:pPr>
        <w:pStyle w:val="FootnoteText"/>
      </w:pPr>
      <w:r>
        <w:rPr>
          <w:rStyle w:val="FootnoteReference"/>
        </w:rPr>
        <w:footnoteRef/>
      </w:r>
      <w:r>
        <w:t xml:space="preserve"> </w:t>
      </w:r>
      <w:r>
        <w:t xml:space="preserve">Carvas 2025, PMID 40609154.</w:t>
      </w:r>
    </w:p>
  </w:footnote>
  <w:footnote w:id="674">
    <w:p>
      <w:pPr>
        <w:pStyle w:val="FootnoteText"/>
      </w:pPr>
      <w:r>
        <w:rPr>
          <w:rStyle w:val="FootnoteReference"/>
        </w:rPr>
        <w:footnoteRef/>
      </w:r>
      <w:r>
        <w:t xml:space="preserve"> </w:t>
      </w:r>
      <w:r>
        <w:t xml:space="preserve">Jacobsen 2025, PMID 40629149.</w:t>
      </w:r>
    </w:p>
  </w:footnote>
  <w:footnote w:id="675">
    <w:p>
      <w:pPr>
        <w:pStyle w:val="FootnoteText"/>
      </w:pPr>
      <w:r>
        <w:rPr>
          <w:rStyle w:val="FootnoteReference"/>
        </w:rPr>
        <w:footnoteRef/>
      </w:r>
      <w:r>
        <w:t xml:space="preserve"> </w:t>
      </w:r>
      <w:r>
        <w:t xml:space="preserve">Petersen 2026, PMID 42744908.</w:t>
      </w:r>
    </w:p>
  </w:footnote>
  <w:footnote w:id="677">
    <w:p>
      <w:pPr>
        <w:pStyle w:val="FootnoteText"/>
      </w:pPr>
      <w:r>
        <w:rPr>
          <w:rStyle w:val="FootnoteReference"/>
        </w:rPr>
        <w:footnoteRef/>
      </w:r>
      <w:r>
        <w:t xml:space="preserve"> </w:t>
      </w:r>
      <w:r>
        <w:t xml:space="preserve">Garvey 2025, PMID 40544433.</w:t>
      </w:r>
    </w:p>
  </w:footnote>
  <w:footnote w:id="678">
    <w:p>
      <w:pPr>
        <w:pStyle w:val="FootnoteText"/>
      </w:pPr>
      <w:r>
        <w:rPr>
          <w:rStyle w:val="FootnoteReference"/>
        </w:rPr>
        <w:footnoteRef/>
      </w:r>
      <w:r>
        <w:t xml:space="preserve"> </w:t>
      </w:r>
      <w:r>
        <w:t xml:space="preserve">Davies 2025, PMID 40544432.</w:t>
      </w:r>
    </w:p>
  </w:footnote>
  <w:footnote w:id="679">
    <w:p>
      <w:pPr>
        <w:pStyle w:val="FootnoteText"/>
      </w:pPr>
      <w:r>
        <w:rPr>
          <w:rStyle w:val="FootnoteReference"/>
        </w:rPr>
        <w:footnoteRef/>
      </w:r>
      <w:r>
        <w:t xml:space="preserve"> </w:t>
      </w:r>
      <w:r>
        <w:t xml:space="preserve">Rosenstock 2026, PMID 42251856.</w:t>
      </w:r>
    </w:p>
  </w:footnote>
  <w:footnote w:id="680">
    <w:p>
      <w:pPr>
        <w:pStyle w:val="FootnoteText"/>
      </w:pPr>
      <w:r>
        <w:rPr>
          <w:rStyle w:val="FootnoteReference"/>
        </w:rPr>
        <w:footnoteRef/>
      </w:r>
      <w:r>
        <w:t xml:space="preserve"> </w:t>
      </w:r>
      <w:r>
        <w:t xml:space="preserve">Gabe 2024, PMID 39279639.</w:t>
      </w:r>
    </w:p>
  </w:footnote>
  <w:footnote w:id="681">
    <w:p>
      <w:pPr>
        <w:pStyle w:val="FootnoteText"/>
      </w:pPr>
      <w:r>
        <w:rPr>
          <w:rStyle w:val="FootnoteReference"/>
        </w:rPr>
        <w:footnoteRef/>
      </w:r>
      <w:r>
        <w:t xml:space="preserve"> </w:t>
      </w:r>
      <w:r>
        <w:t xml:space="preserve">Nielsen 2026, PMID 42228334.</w:t>
      </w:r>
    </w:p>
  </w:footnote>
  <w:footnote w:id="682">
    <w:p>
      <w:pPr>
        <w:pStyle w:val="FootnoteText"/>
      </w:pPr>
      <w:r>
        <w:rPr>
          <w:rStyle w:val="FootnoteReference"/>
        </w:rPr>
        <w:footnoteRef/>
      </w:r>
      <w:r>
        <w:t xml:space="preserve"> </w:t>
      </w:r>
      <w:r>
        <w:t xml:space="preserve">NCT07010432.</w:t>
      </w:r>
    </w:p>
  </w:footnote>
  <w:footnote w:id="683">
    <w:p>
      <w:pPr>
        <w:pStyle w:val="FootnoteText"/>
      </w:pPr>
      <w:r>
        <w:rPr>
          <w:rStyle w:val="FootnoteReference"/>
        </w:rPr>
        <w:footnoteRef/>
      </w:r>
      <w:r>
        <w:t xml:space="preserve"> </w:t>
      </w:r>
      <w:r>
        <w:t xml:space="preserve">NCT07527195.</w:t>
      </w:r>
    </w:p>
  </w:footnote>
  <w:footnote w:id="686">
    <w:p>
      <w:pPr>
        <w:pStyle w:val="FootnoteText"/>
      </w:pPr>
      <w:r>
        <w:rPr>
          <w:rStyle w:val="FootnoteReference"/>
        </w:rPr>
        <w:footnoteRef/>
      </w:r>
      <w:r>
        <w:t xml:space="preserve"> </w:t>
      </w:r>
      <w:r>
        <w:t xml:space="preserve">NCT05669755.</w:t>
      </w:r>
    </w:p>
  </w:footnote>
  <w:footnote w:id="687">
    <w:p>
      <w:pPr>
        <w:pStyle w:val="FootnoteText"/>
      </w:pPr>
      <w:r>
        <w:rPr>
          <w:rStyle w:val="FootnoteReference"/>
        </w:rPr>
        <w:footnoteRef/>
      </w:r>
      <w:r>
        <w:t xml:space="preserve"> </w:t>
      </w:r>
      <w:r>
        <w:t xml:space="preserve">Cavender 2026, PMID 42838477.</w:t>
      </w:r>
    </w:p>
  </w:footnote>
  <w:footnote w:id="688">
    <w:p>
      <w:pPr>
        <w:pStyle w:val="FootnoteText"/>
      </w:pPr>
      <w:r>
        <w:rPr>
          <w:rStyle w:val="FootnoteReference"/>
        </w:rPr>
        <w:footnoteRef/>
      </w:r>
      <w:r>
        <w:t xml:space="preserve"> </w:t>
      </w:r>
      <w:r>
        <w:t xml:space="preserve">NCT06131437, NCT06221969, NCT06534411.</w:t>
      </w:r>
    </w:p>
  </w:footnote>
  <w:footnote w:id="689">
    <w:p>
      <w:pPr>
        <w:pStyle w:val="FootnoteText"/>
      </w:pPr>
      <w:r>
        <w:rPr>
          <w:rStyle w:val="FootnoteReference"/>
        </w:rPr>
        <w:footnoteRef/>
      </w:r>
      <w:r>
        <w:t xml:space="preserve"> </w:t>
      </w:r>
      <w:r>
        <w:t xml:space="preserve">NCT07564414.</w:t>
      </w:r>
    </w:p>
  </w:footnote>
  <w:footnote w:id="690">
    <w:p>
      <w:pPr>
        <w:pStyle w:val="FootnoteText"/>
      </w:pPr>
      <w:r>
        <w:rPr>
          <w:rStyle w:val="FootnoteReference"/>
        </w:rPr>
        <w:footnoteRef/>
      </w:r>
      <w:r>
        <w:t xml:space="preserve"> </w:t>
      </w:r>
      <w:r>
        <w:t xml:space="preserve">NCT06780449.</w:t>
      </w:r>
    </w:p>
  </w:footnote>
  <w:footnote w:id="691">
    <w:p>
      <w:pPr>
        <w:pStyle w:val="FootnoteText"/>
      </w:pPr>
      <w:r>
        <w:rPr>
          <w:rStyle w:val="FootnoteReference"/>
        </w:rPr>
        <w:footnoteRef/>
      </w:r>
      <w:r>
        <w:t xml:space="preserve"> </w:t>
      </w:r>
      <w:r>
        <w:t xml:space="preserve">NCT07253285.</w:t>
      </w:r>
    </w:p>
  </w:footnote>
  <w:footnote w:id="692">
    <w:p>
      <w:pPr>
        <w:pStyle w:val="FootnoteText"/>
      </w:pPr>
      <w:r>
        <w:rPr>
          <w:rStyle w:val="FootnoteReference"/>
        </w:rPr>
        <w:footnoteRef/>
      </w:r>
      <w:r>
        <w:t xml:space="preserve"> </w:t>
      </w:r>
      <w:r>
        <w:t xml:space="preserve">NCT07220642.</w:t>
      </w:r>
    </w:p>
  </w:footnote>
  <w:footnote w:id="693">
    <w:p>
      <w:pPr>
        <w:pStyle w:val="FootnoteText"/>
      </w:pPr>
      <w:r>
        <w:rPr>
          <w:rStyle w:val="FootnoteReference"/>
        </w:rPr>
        <w:footnoteRef/>
      </w:r>
      <w:r>
        <w:t xml:space="preserve"> </w:t>
      </w:r>
      <w:r>
        <w:t xml:space="preserve">NCT07010432.</w:t>
      </w:r>
    </w:p>
  </w:footnote>
  <w:footnote w:id="694">
    <w:p>
      <w:pPr>
        <w:pStyle w:val="FootnoteText"/>
      </w:pPr>
      <w:r>
        <w:rPr>
          <w:rStyle w:val="FootnoteReference"/>
        </w:rPr>
        <w:footnoteRef/>
      </w:r>
      <w:r>
        <w:t xml:space="preserve"> </w:t>
      </w:r>
      <w:r>
        <w:t xml:space="preserve">NCT07527195.</w:t>
      </w:r>
    </w:p>
  </w:footnote>
  <w:footnote w:id="695">
    <w:p>
      <w:pPr>
        <w:pStyle w:val="FootnoteText"/>
      </w:pPr>
      <w:r>
        <w:rPr>
          <w:rStyle w:val="FootnoteReference"/>
        </w:rPr>
        <w:footnoteRef/>
      </w:r>
      <w:r>
        <w:t xml:space="preserve"> </w:t>
      </w:r>
      <w:r>
        <w:t xml:space="preserve">NCT07607587.</w:t>
      </w:r>
    </w:p>
  </w:footnote>
  <w:footnote w:id="700">
    <w:p>
      <w:pPr>
        <w:pStyle w:val="FootnoteText"/>
      </w:pPr>
      <w:r>
        <w:rPr>
          <w:rStyle w:val="FootnoteReference"/>
        </w:rPr>
        <w:footnoteRef/>
      </w:r>
      <w:r>
        <w:t xml:space="preserve"> </w:t>
      </w:r>
      <w:r>
        <w:t xml:space="preserve">Kuhre 2025, PMID 40706446.</w:t>
      </w:r>
    </w:p>
  </w:footnote>
  <w:footnote w:id="702">
    <w:p>
      <w:pPr>
        <w:pStyle w:val="FootnoteText"/>
      </w:pPr>
      <w:r>
        <w:rPr>
          <w:rStyle w:val="FootnoteReference"/>
        </w:rPr>
        <w:footnoteRef/>
      </w:r>
      <w:r>
        <w:t xml:space="preserve"> </w:t>
      </w:r>
      <w:r>
        <w:t xml:space="preserve">Gasiorek 2025, PMID 40550229.</w:t>
      </w:r>
    </w:p>
  </w:footnote>
  <w:footnote w:id="704">
    <w:p>
      <w:pPr>
        <w:pStyle w:val="FootnoteText"/>
      </w:pPr>
      <w:r>
        <w:rPr>
          <w:rStyle w:val="FootnoteReference"/>
        </w:rPr>
        <w:footnoteRef/>
      </w:r>
      <w:r>
        <w:t xml:space="preserve"> </w:t>
      </w:r>
      <w:r>
        <w:t xml:space="preserve">Dahl 2025, PMID 40550231.</w:t>
      </w:r>
    </w:p>
  </w:footnote>
  <w:footnote w:id="706">
    <w:p>
      <w:pPr>
        <w:pStyle w:val="FootnoteText"/>
      </w:pPr>
      <w:r>
        <w:rPr>
          <w:rStyle w:val="FootnoteReference"/>
        </w:rPr>
        <w:footnoteRef/>
      </w:r>
      <w:r>
        <w:t xml:space="preserve"> </w:t>
      </w:r>
      <w:r>
        <w:t xml:space="preserve">Mora 2026, PMID 42532079.</w:t>
      </w:r>
    </w:p>
  </w:footnote>
  <w:footnote w:id="707">
    <w:p>
      <w:pPr>
        <w:pStyle w:val="FootnoteText"/>
      </w:pPr>
      <w:r>
        <w:rPr>
          <w:rStyle w:val="FootnoteReference"/>
        </w:rPr>
        <w:footnoteRef/>
      </w:r>
      <w:r>
        <w:t xml:space="preserve"> </w:t>
      </w:r>
      <w:r>
        <w:t xml:space="preserve">Mora 2026, PMID 42532080.</w:t>
      </w:r>
    </w:p>
  </w:footnote>
  <w:footnote w:id="710">
    <w:p>
      <w:pPr>
        <w:pStyle w:val="FootnoteText"/>
      </w:pPr>
      <w:r>
        <w:rPr>
          <w:rStyle w:val="FootnoteReference"/>
        </w:rPr>
        <w:footnoteRef/>
      </w:r>
      <w:r>
        <w:t xml:space="preserve"> </w:t>
      </w:r>
      <w:r>
        <w:t xml:space="preserve">Kuhre 2025, PMID 40706446.</w:t>
      </w:r>
    </w:p>
  </w:footnote>
  <w:footnote w:id="712">
    <w:p>
      <w:pPr>
        <w:pStyle w:val="FootnoteText"/>
      </w:pPr>
      <w:r>
        <w:rPr>
          <w:rStyle w:val="FootnoteReference"/>
        </w:rPr>
        <w:footnoteRef/>
      </w:r>
      <w:r>
        <w:t xml:space="preserve"> </w:t>
      </w:r>
      <w:r>
        <w:t xml:space="preserve">Gasiorek 2025, PMID 40550229 ; Dahl 2025, PMID 40550231.</w:t>
      </w:r>
    </w:p>
  </w:footnote>
  <w:footnote w:id="713">
    <w:p>
      <w:pPr>
        <w:pStyle w:val="FootnoteText"/>
      </w:pPr>
      <w:r>
        <w:rPr>
          <w:rStyle w:val="FootnoteReference"/>
        </w:rPr>
        <w:footnoteRef/>
      </w:r>
      <w:r>
        <w:t xml:space="preserve"> </w:t>
      </w:r>
      <w:r>
        <w:t xml:space="preserve">Mora 2026, PMID 42532079 ; PMID 42532080.</w:t>
      </w:r>
    </w:p>
  </w:footnote>
  <w:footnote w:id="714">
    <w:p>
      <w:pPr>
        <w:pStyle w:val="FootnoteText"/>
      </w:pPr>
      <w:r>
        <w:rPr>
          <w:rStyle w:val="FootnoteReference"/>
        </w:rPr>
        <w:footnoteRef/>
      </w:r>
      <w:r>
        <w:t xml:space="preserve"> </w:t>
      </w:r>
      <w:r>
        <w:t xml:space="preserve">Oldenburg 2026, PMID 42443140.</w:t>
      </w:r>
    </w:p>
  </w:footnote>
  <w:footnote w:id="715">
    <w:p>
      <w:pPr>
        <w:pStyle w:val="FootnoteText"/>
      </w:pPr>
      <w:r>
        <w:rPr>
          <w:rStyle w:val="FootnoteReference"/>
        </w:rPr>
        <w:footnoteRef/>
      </w:r>
      <w:r>
        <w:t xml:space="preserve"> </w:t>
      </w:r>
      <w:r>
        <w:t xml:space="preserve">Rubin 2026, PMID 42853576.</w:t>
      </w:r>
    </w:p>
  </w:footnote>
  <w:footnote w:id="718">
    <w:p>
      <w:pPr>
        <w:pStyle w:val="FootnoteText"/>
      </w:pPr>
      <w:r>
        <w:rPr>
          <w:rStyle w:val="FootnoteReference"/>
        </w:rPr>
        <w:footnoteRef/>
      </w:r>
      <w:r>
        <w:t xml:space="preserve"> </w:t>
      </w:r>
      <w:r>
        <w:t xml:space="preserve">NCT07339423.</w:t>
      </w:r>
    </w:p>
  </w:footnote>
  <w:footnote w:id="719">
    <w:p>
      <w:pPr>
        <w:pStyle w:val="FootnoteText"/>
      </w:pPr>
      <w:r>
        <w:rPr>
          <w:rStyle w:val="FootnoteReference"/>
        </w:rPr>
        <w:footnoteRef/>
      </w:r>
      <w:r>
        <w:t xml:space="preserve"> </w:t>
      </w:r>
      <w:r>
        <w:t xml:space="preserve">NCT07533175.</w:t>
      </w:r>
    </w:p>
  </w:footnote>
  <w:footnote w:id="720">
    <w:p>
      <w:pPr>
        <w:pStyle w:val="FootnoteText"/>
      </w:pPr>
      <w:r>
        <w:rPr>
          <w:rStyle w:val="FootnoteReference"/>
        </w:rPr>
        <w:footnoteRef/>
      </w:r>
      <w:r>
        <w:t xml:space="preserve"> </w:t>
      </w:r>
      <w:r>
        <w:t xml:space="preserve">NCT07571005, NCT07571109.</w:t>
      </w:r>
    </w:p>
  </w:footnote>
  <w:footnote w:id="721">
    <w:p>
      <w:pPr>
        <w:pStyle w:val="FootnoteText"/>
      </w:pPr>
      <w:r>
        <w:rPr>
          <w:rStyle w:val="FootnoteReference"/>
        </w:rPr>
        <w:footnoteRef/>
      </w:r>
      <w:r>
        <w:t xml:space="preserve"> </w:t>
      </w:r>
      <w:r>
        <w:t xml:space="preserve">NCT07509307.</w:t>
      </w:r>
    </w:p>
  </w:footnote>
  <w:footnote w:id="722">
    <w:p>
      <w:pPr>
        <w:pStyle w:val="FootnoteText"/>
      </w:pPr>
      <w:r>
        <w:rPr>
          <w:rStyle w:val="FootnoteReference"/>
        </w:rPr>
        <w:footnoteRef/>
      </w:r>
      <w:r>
        <w:t xml:space="preserve"> </w:t>
      </w:r>
      <w:r>
        <w:t xml:space="preserve">NCT07481630.</w:t>
      </w:r>
    </w:p>
  </w:footnote>
  <w:footnote w:id="723">
    <w:p>
      <w:pPr>
        <w:pStyle w:val="FootnoteText"/>
      </w:pPr>
      <w:r>
        <w:rPr>
          <w:rStyle w:val="FootnoteReference"/>
        </w:rPr>
        <w:footnoteRef/>
      </w:r>
      <w:r>
        <w:t xml:space="preserve"> </w:t>
      </w:r>
      <w:r>
        <w:t xml:space="preserve">NCT07720271.</w:t>
      </w:r>
    </w:p>
  </w:footnote>
  <w:footnote w:id="724">
    <w:p>
      <w:pPr>
        <w:pStyle w:val="FootnoteText"/>
      </w:pPr>
      <w:r>
        <w:rPr>
          <w:rStyle w:val="FootnoteReference"/>
        </w:rPr>
        <w:footnoteRef/>
      </w:r>
      <w:r>
        <w:t xml:space="preserve"> </w:t>
      </w:r>
      <w:r>
        <w:t xml:space="preserve">NCT07503210.</w:t>
      </w:r>
    </w:p>
  </w:footnote>
  <w:footnote w:id="729">
    <w:p>
      <w:pPr>
        <w:pStyle w:val="FootnoteText"/>
      </w:pPr>
      <w:r>
        <w:rPr>
          <w:rStyle w:val="FootnoteReference"/>
        </w:rPr>
        <w:footnoteRef/>
      </w:r>
      <w:r>
        <w:t xml:space="preserve"> </w:t>
      </w:r>
      <w:r>
        <w:t xml:space="preserve">Davies 2026, PMID 41287212.</w:t>
      </w:r>
    </w:p>
  </w:footnote>
  <w:footnote w:id="730">
    <w:p>
      <w:pPr>
        <w:pStyle w:val="FootnoteText"/>
      </w:pPr>
      <w:r>
        <w:rPr>
          <w:rStyle w:val="FootnoteReference"/>
        </w:rPr>
        <w:footnoteRef/>
      </w:r>
      <w:r>
        <w:t xml:space="preserve"> </w:t>
      </w:r>
      <w:r>
        <w:t xml:space="preserve">Véniant 2024, PMID 38316982.</w:t>
      </w:r>
    </w:p>
  </w:footnote>
  <w:footnote w:id="731">
    <w:p>
      <w:pPr>
        <w:pStyle w:val="FootnoteText"/>
      </w:pPr>
      <w:r>
        <w:rPr>
          <w:rStyle w:val="FootnoteReference"/>
        </w:rPr>
        <w:footnoteRef/>
      </w:r>
      <w:r>
        <w:t xml:space="preserve"> </w:t>
      </w:r>
      <w:r>
        <w:t xml:space="preserve">Wu 2026, PMID 41941715.</w:t>
      </w:r>
    </w:p>
  </w:footnote>
  <w:footnote w:id="733">
    <w:p>
      <w:pPr>
        <w:pStyle w:val="FootnoteText"/>
      </w:pPr>
      <w:r>
        <w:rPr>
          <w:rStyle w:val="FootnoteReference"/>
        </w:rPr>
        <w:footnoteRef/>
      </w:r>
      <w:r>
        <w:t xml:space="preserve"> </w:t>
      </w:r>
      <w:r>
        <w:t xml:space="preserve">Véniant 2024, PMID 38316982 ; NCT04478708.</w:t>
      </w:r>
    </w:p>
  </w:footnote>
  <w:footnote w:id="735">
    <w:p>
      <w:pPr>
        <w:pStyle w:val="FootnoteText"/>
      </w:pPr>
      <w:r>
        <w:rPr>
          <w:rStyle w:val="FootnoteReference"/>
        </w:rPr>
        <w:footnoteRef/>
      </w:r>
      <w:r>
        <w:t xml:space="preserve"> </w:t>
      </w:r>
      <w:r>
        <w:t xml:space="preserve">Jastreboff 2025, PMID 40549887.</w:t>
      </w:r>
    </w:p>
  </w:footnote>
  <w:footnote w:id="738">
    <w:p>
      <w:pPr>
        <w:pStyle w:val="FootnoteText"/>
      </w:pPr>
      <w:r>
        <w:rPr>
          <w:rStyle w:val="FootnoteReference"/>
        </w:rPr>
        <w:footnoteRef/>
      </w:r>
      <w:r>
        <w:t xml:space="preserve"> </w:t>
      </w:r>
      <w:r>
        <w:t xml:space="preserve">Véniant 2024, PMID 38316982 ; Wu 2026, PMID 41941715.</w:t>
      </w:r>
    </w:p>
  </w:footnote>
  <w:footnote w:id="739">
    <w:p>
      <w:pPr>
        <w:pStyle w:val="FootnoteText"/>
      </w:pPr>
      <w:r>
        <w:rPr>
          <w:rStyle w:val="FootnoteReference"/>
        </w:rPr>
        <w:footnoteRef/>
      </w:r>
      <w:r>
        <w:t xml:space="preserve"> </w:t>
      </w:r>
      <w:r>
        <w:t xml:space="preserve">Davies 2026, PMID 41287212.</w:t>
      </w:r>
    </w:p>
  </w:footnote>
  <w:footnote w:id="741">
    <w:p>
      <w:pPr>
        <w:pStyle w:val="FootnoteText"/>
      </w:pPr>
      <w:r>
        <w:rPr>
          <w:rStyle w:val="FootnoteReference"/>
        </w:rPr>
        <w:footnoteRef/>
      </w:r>
      <w:r>
        <w:t xml:space="preserve"> </w:t>
      </w:r>
      <w:r>
        <w:t xml:space="preserve">Jastreboff 2025, PMID 40549887.</w:t>
      </w:r>
    </w:p>
  </w:footnote>
  <w:footnote w:id="742">
    <w:p>
      <w:pPr>
        <w:pStyle w:val="FootnoteText"/>
      </w:pPr>
      <w:r>
        <w:rPr>
          <w:rStyle w:val="FootnoteReference"/>
        </w:rPr>
        <w:footnoteRef/>
      </w:r>
      <w:r>
        <w:t xml:space="preserve"> </w:t>
      </w:r>
      <w:r>
        <w:t xml:space="preserve">Véniant 2024, PMID 38316982.</w:t>
      </w:r>
    </w:p>
  </w:footnote>
  <w:footnote w:id="743">
    <w:p>
      <w:pPr>
        <w:pStyle w:val="FootnoteText"/>
      </w:pPr>
      <w:r>
        <w:rPr>
          <w:rStyle w:val="FootnoteReference"/>
        </w:rPr>
        <w:footnoteRef/>
      </w:r>
      <w:r>
        <w:t xml:space="preserve"> </w:t>
      </w:r>
      <w:r>
        <w:t xml:space="preserve">Davies 2026, PMID 41287212.</w:t>
      </w:r>
    </w:p>
  </w:footnote>
  <w:footnote w:id="746">
    <w:p>
      <w:pPr>
        <w:pStyle w:val="FootnoteText"/>
      </w:pPr>
      <w:r>
        <w:rPr>
          <w:rStyle w:val="FootnoteReference"/>
        </w:rPr>
        <w:footnoteRef/>
      </w:r>
      <w:r>
        <w:t xml:space="preserve"> </w:t>
      </w:r>
      <w:r>
        <w:t xml:space="preserve">NCT06858839.</w:t>
      </w:r>
    </w:p>
  </w:footnote>
  <w:footnote w:id="747">
    <w:p>
      <w:pPr>
        <w:pStyle w:val="FootnoteText"/>
      </w:pPr>
      <w:r>
        <w:rPr>
          <w:rStyle w:val="FootnoteReference"/>
        </w:rPr>
        <w:footnoteRef/>
      </w:r>
      <w:r>
        <w:t xml:space="preserve"> </w:t>
      </w:r>
      <w:r>
        <w:t xml:space="preserve">NCT06858878.</w:t>
      </w:r>
    </w:p>
  </w:footnote>
  <w:footnote w:id="748">
    <w:p>
      <w:pPr>
        <w:pStyle w:val="FootnoteText"/>
      </w:pPr>
      <w:r>
        <w:rPr>
          <w:rStyle w:val="FootnoteReference"/>
        </w:rPr>
        <w:footnoteRef/>
      </w:r>
      <w:r>
        <w:t xml:space="preserve"> </w:t>
      </w:r>
      <w:r>
        <w:t xml:space="preserve">NCT07037433.</w:t>
      </w:r>
    </w:p>
  </w:footnote>
  <w:footnote w:id="749">
    <w:p>
      <w:pPr>
        <w:pStyle w:val="FootnoteText"/>
      </w:pPr>
      <w:r>
        <w:rPr>
          <w:rStyle w:val="FootnoteReference"/>
        </w:rPr>
        <w:footnoteRef/>
      </w:r>
      <w:r>
        <w:t xml:space="preserve"> </w:t>
      </w:r>
      <w:r>
        <w:t xml:space="preserve">NCT07037459.</w:t>
      </w:r>
    </w:p>
  </w:footnote>
  <w:footnote w:id="750">
    <w:p>
      <w:pPr>
        <w:pStyle w:val="FootnoteText"/>
      </w:pPr>
      <w:r>
        <w:rPr>
          <w:rStyle w:val="FootnoteReference"/>
        </w:rPr>
        <w:footnoteRef/>
      </w:r>
      <w:r>
        <w:t xml:space="preserve"> </w:t>
      </w:r>
      <w:r>
        <w:t xml:space="preserve">NCT07226765, NCT07225686.</w:t>
      </w:r>
    </w:p>
  </w:footnote>
  <w:footnote w:id="751">
    <w:p>
      <w:pPr>
        <w:pStyle w:val="FootnoteText"/>
      </w:pPr>
      <w:r>
        <w:rPr>
          <w:rStyle w:val="FootnoteReference"/>
        </w:rPr>
        <w:footnoteRef/>
      </w:r>
      <w:r>
        <w:t xml:space="preserve"> </w:t>
      </w:r>
      <w:r>
        <w:t xml:space="preserve">NCT07866066.</w:t>
      </w:r>
    </w:p>
  </w:footnote>
  <w:footnote w:id="752">
    <w:p>
      <w:pPr>
        <w:pStyle w:val="FootnoteText"/>
      </w:pPr>
      <w:r>
        <w:rPr>
          <w:rStyle w:val="FootnoteReference"/>
        </w:rPr>
        <w:footnoteRef/>
      </w:r>
      <w:r>
        <w:t xml:space="preserve"> </w:t>
      </w:r>
      <w:r>
        <w:t xml:space="preserve">NCT07575399.</w:t>
      </w:r>
    </w:p>
  </w:footnote>
  <w:footnote w:id="753">
    <w:p>
      <w:pPr>
        <w:pStyle w:val="FootnoteText"/>
      </w:pPr>
      <w:r>
        <w:rPr>
          <w:rStyle w:val="FootnoteReference"/>
        </w:rPr>
        <w:footnoteRef/>
      </w:r>
      <w:r>
        <w:t xml:space="preserve"> </w:t>
      </w:r>
      <w:r>
        <w:t xml:space="preserve">NCT06987695.</w:t>
      </w:r>
    </w:p>
  </w:footnote>
  <w:footnote w:id="754">
    <w:p>
      <w:pPr>
        <w:pStyle w:val="FootnoteText"/>
      </w:pPr>
      <w:r>
        <w:rPr>
          <w:rStyle w:val="FootnoteReference"/>
        </w:rPr>
        <w:footnoteRef/>
      </w:r>
      <w:r>
        <w:t xml:space="preserve"> </w:t>
      </w:r>
      <w:r>
        <w:t xml:space="preserve">NCT07429032.</w:t>
      </w:r>
    </w:p>
  </w:footnote>
  <w:footnote w:id="755">
    <w:p>
      <w:pPr>
        <w:pStyle w:val="FootnoteText"/>
      </w:pPr>
      <w:r>
        <w:rPr>
          <w:rStyle w:val="FootnoteReference"/>
        </w:rPr>
        <w:footnoteRef/>
      </w:r>
      <w:r>
        <w:t xml:space="preserve"> </w:t>
      </w:r>
      <w:r>
        <w:t xml:space="preserve">NCT07229157.</w:t>
      </w:r>
    </w:p>
  </w:footnote>
  <w:footnote w:id="756">
    <w:p>
      <w:pPr>
        <w:pStyle w:val="FootnoteText"/>
      </w:pPr>
      <w:r>
        <w:rPr>
          <w:rStyle w:val="FootnoteReference"/>
        </w:rPr>
        <w:footnoteRef/>
      </w:r>
      <w:r>
        <w:t xml:space="preserve"> </w:t>
      </w:r>
      <w:r>
        <w:t xml:space="preserve">NCT07523711.</w:t>
      </w:r>
    </w:p>
  </w:footnote>
  <w:footnote w:id="761">
    <w:p>
      <w:pPr>
        <w:pStyle w:val="FootnoteText"/>
      </w:pPr>
      <w:r>
        <w:rPr>
          <w:rStyle w:val="FootnoteReference"/>
        </w:rPr>
        <w:footnoteRef/>
      </w:r>
      <w:r>
        <w:t xml:space="preserve"> </w:t>
      </w:r>
      <w:r>
        <w:t xml:space="preserve">Vella 2002, PMID 11975712.</w:t>
      </w:r>
    </w:p>
  </w:footnote>
  <w:footnote w:id="763">
    <w:p>
      <w:pPr>
        <w:pStyle w:val="FootnoteText"/>
      </w:pPr>
      <w:r>
        <w:rPr>
          <w:rStyle w:val="FootnoteReference"/>
        </w:rPr>
        <w:footnoteRef/>
      </w:r>
      <w:r>
        <w:t xml:space="preserve"> </w:t>
      </w:r>
      <w:r>
        <w:t xml:space="preserve">Avgerinos 2021, PMID 33300282.</w:t>
      </w:r>
    </w:p>
  </w:footnote>
  <w:footnote w:id="765">
    <w:p>
      <w:pPr>
        <w:pStyle w:val="FootnoteText"/>
      </w:pPr>
      <w:r>
        <w:rPr>
          <w:rStyle w:val="FootnoteReference"/>
        </w:rPr>
        <w:footnoteRef/>
      </w:r>
      <w:r>
        <w:t xml:space="preserve"> </w:t>
      </w:r>
      <w:r>
        <w:t xml:space="preserve">Hollander 2003, PMID 12610038.</w:t>
      </w:r>
    </w:p>
  </w:footnote>
  <w:footnote w:id="766">
    <w:p>
      <w:pPr>
        <w:pStyle w:val="FootnoteText"/>
      </w:pPr>
      <w:r>
        <w:rPr>
          <w:rStyle w:val="FootnoteReference"/>
        </w:rPr>
        <w:footnoteRef/>
      </w:r>
      <w:r>
        <w:t xml:space="preserve"> </w:t>
      </w:r>
      <w:r>
        <w:t xml:space="preserve">Riddle 2009, PMID 19502544.</w:t>
      </w:r>
    </w:p>
  </w:footnote>
  <w:footnote w:id="767">
    <w:p>
      <w:pPr>
        <w:pStyle w:val="FootnoteText"/>
      </w:pPr>
      <w:r>
        <w:rPr>
          <w:rStyle w:val="FootnoteReference"/>
        </w:rPr>
        <w:footnoteRef/>
      </w:r>
      <w:r>
        <w:t xml:space="preserve"> </w:t>
      </w:r>
      <w:r>
        <w:t xml:space="preserve">Singh-Franco 2011, PMID 21199269.</w:t>
      </w:r>
    </w:p>
  </w:footnote>
  <w:footnote w:id="769">
    <w:p>
      <w:pPr>
        <w:pStyle w:val="FootnoteText"/>
      </w:pPr>
      <w:r>
        <w:rPr>
          <w:rStyle w:val="FootnoteReference"/>
        </w:rPr>
        <w:footnoteRef/>
      </w:r>
      <w:r>
        <w:t xml:space="preserve"> </w:t>
      </w:r>
      <w:r>
        <w:t xml:space="preserve">Aronne 2007, PMID 17504894.</w:t>
      </w:r>
    </w:p>
  </w:footnote>
  <w:footnote w:id="770">
    <w:p>
      <w:pPr>
        <w:pStyle w:val="FootnoteText"/>
      </w:pPr>
      <w:r>
        <w:rPr>
          <w:rStyle w:val="FootnoteReference"/>
        </w:rPr>
        <w:footnoteRef/>
      </w:r>
      <w:r>
        <w:t xml:space="preserve"> </w:t>
      </w:r>
      <w:r>
        <w:t xml:space="preserve">Smith 2008, PMID 18753666.</w:t>
      </w:r>
    </w:p>
  </w:footnote>
  <w:footnote w:id="771">
    <w:p>
      <w:pPr>
        <w:pStyle w:val="FootnoteText"/>
      </w:pPr>
      <w:r>
        <w:rPr>
          <w:rStyle w:val="FootnoteReference"/>
        </w:rPr>
        <w:footnoteRef/>
      </w:r>
      <w:r>
        <w:t xml:space="preserve"> </w:t>
      </w:r>
      <w:r>
        <w:t xml:space="preserve">Ravussin 2009, PMID 19521351.</w:t>
      </w:r>
    </w:p>
  </w:footnote>
  <w:footnote w:id="773">
    <w:p>
      <w:pPr>
        <w:pStyle w:val="FootnoteText"/>
      </w:pPr>
      <w:r>
        <w:rPr>
          <w:rStyle w:val="FootnoteReference"/>
        </w:rPr>
        <w:footnoteRef/>
      </w:r>
      <w:r>
        <w:t xml:space="preserve"> </w:t>
      </w:r>
      <w:r>
        <w:t xml:space="preserve">Haidar 2020, PMID 31974099.</w:t>
      </w:r>
    </w:p>
  </w:footnote>
  <w:footnote w:id="774">
    <w:p>
      <w:pPr>
        <w:pStyle w:val="FootnoteText"/>
      </w:pPr>
      <w:r>
        <w:rPr>
          <w:rStyle w:val="FootnoteReference"/>
        </w:rPr>
        <w:footnoteRef/>
      </w:r>
      <w:r>
        <w:t xml:space="preserve"> </w:t>
      </w:r>
      <w:r>
        <w:t xml:space="preserve">Odabassian 2025, PMID 41174925.</w:t>
      </w:r>
    </w:p>
  </w:footnote>
  <w:footnote w:id="775">
    <w:p>
      <w:pPr>
        <w:pStyle w:val="FootnoteText"/>
      </w:pPr>
      <w:r>
        <w:rPr>
          <w:rStyle w:val="FootnoteReference"/>
        </w:rPr>
        <w:footnoteRef/>
      </w:r>
      <w:r>
        <w:t xml:space="preserve"> </w:t>
      </w:r>
      <w:r>
        <w:t xml:space="preserve">Andersen 2024, PMID 39109464.</w:t>
      </w:r>
    </w:p>
  </w:footnote>
  <w:footnote w:id="778">
    <w:p>
      <w:pPr>
        <w:pStyle w:val="FootnoteText"/>
      </w:pPr>
      <w:r>
        <w:rPr>
          <w:rStyle w:val="FootnoteReference"/>
        </w:rPr>
        <w:footnoteRef/>
      </w:r>
      <w:r>
        <w:t xml:space="preserve"> </w:t>
      </w:r>
      <w:r>
        <w:t xml:space="preserve">décrite comme point de départ dans Ravussin 2009, PMID 19521351.</w:t>
      </w:r>
    </w:p>
  </w:footnote>
  <w:footnote w:id="779">
    <w:p>
      <w:pPr>
        <w:pStyle w:val="FootnoteText"/>
      </w:pPr>
      <w:r>
        <w:rPr>
          <w:rStyle w:val="FootnoteReference"/>
        </w:rPr>
        <w:footnoteRef/>
      </w:r>
      <w:r>
        <w:t xml:space="preserve"> </w:t>
      </w:r>
      <w:r>
        <w:t xml:space="preserve">Ghanizada 2021, PMID 33772845.</w:t>
      </w:r>
    </w:p>
  </w:footnote>
  <w:footnote w:id="781">
    <w:p>
      <w:pPr>
        <w:pStyle w:val="FootnoteText"/>
      </w:pPr>
      <w:r>
        <w:rPr>
          <w:rStyle w:val="FootnoteReference"/>
        </w:rPr>
        <w:footnoteRef/>
      </w:r>
      <w:r>
        <w:t xml:space="preserve"> </w:t>
      </w:r>
      <w:r>
        <w:t xml:space="preserve">Smith 2008, PMID 18753666 ; Edelman 2006, PMID 17003291.</w:t>
      </w:r>
    </w:p>
  </w:footnote>
  <w:footnote w:id="782">
    <w:p>
      <w:pPr>
        <w:pStyle w:val="FootnoteText"/>
      </w:pPr>
      <w:r>
        <w:rPr>
          <w:rStyle w:val="FootnoteReference"/>
        </w:rPr>
        <w:footnoteRef/>
      </w:r>
      <w:r>
        <w:t xml:space="preserve"> </w:t>
      </w:r>
      <w:r>
        <w:t xml:space="preserve">Edelman 2006, PMID 17003291.</w:t>
      </w:r>
    </w:p>
  </w:footnote>
  <w:footnote w:id="783">
    <w:p>
      <w:pPr>
        <w:pStyle w:val="FootnoteText"/>
      </w:pPr>
      <w:r>
        <w:rPr>
          <w:rStyle w:val="FootnoteReference"/>
        </w:rPr>
        <w:footnoteRef/>
      </w:r>
      <w:r>
        <w:t xml:space="preserve"> </w:t>
      </w:r>
      <w:r>
        <w:t xml:space="preserve">Ghanizada 2021, PMID 33772845.</w:t>
      </w:r>
    </w:p>
  </w:footnote>
  <w:footnote w:id="786">
    <w:p>
      <w:pPr>
        <w:pStyle w:val="FootnoteText"/>
      </w:pPr>
      <w:r>
        <w:rPr>
          <w:rStyle w:val="FootnoteReference"/>
        </w:rPr>
        <w:footnoteRef/>
      </w:r>
      <w:r>
        <w:t xml:space="preserve"> </w:t>
      </w:r>
      <w:r>
        <w:t xml:space="preserve">NCT07340788.</w:t>
      </w:r>
    </w:p>
  </w:footnote>
  <w:footnote w:id="787">
    <w:p>
      <w:pPr>
        <w:pStyle w:val="FootnoteText"/>
      </w:pPr>
      <w:r>
        <w:rPr>
          <w:rStyle w:val="FootnoteReference"/>
        </w:rPr>
        <w:footnoteRef/>
      </w:r>
      <w:r>
        <w:t xml:space="preserve"> </w:t>
      </w:r>
      <w:r>
        <w:t xml:space="preserve">NCT07340775.</w:t>
      </w:r>
    </w:p>
  </w:footnote>
  <w:footnote w:id="788">
    <w:p>
      <w:pPr>
        <w:pStyle w:val="FootnoteText"/>
      </w:pPr>
      <w:r>
        <w:rPr>
          <w:rStyle w:val="FootnoteReference"/>
        </w:rPr>
        <w:footnoteRef/>
      </w:r>
      <w:r>
        <w:t xml:space="preserve"> </w:t>
      </w:r>
      <w:r>
        <w:t xml:space="preserve">NCT07506369.</w:t>
      </w:r>
    </w:p>
  </w:footnote>
  <w:footnote w:id="789">
    <w:p>
      <w:pPr>
        <w:pStyle w:val="FootnoteText"/>
      </w:pPr>
      <w:r>
        <w:rPr>
          <w:rStyle w:val="FootnoteReference"/>
        </w:rPr>
        <w:footnoteRef/>
      </w:r>
      <w:r>
        <w:t xml:space="preserve"> </w:t>
      </w:r>
      <w:r>
        <w:t xml:space="preserve">Odabassian 2025, PMID 41174925.</w:t>
      </w:r>
    </w:p>
  </w:footnote>
  <w:footnote w:id="793">
    <w:p>
      <w:pPr>
        <w:pStyle w:val="FootnoteText"/>
      </w:pPr>
      <w:r>
        <w:rPr>
          <w:rStyle w:val="FootnoteReference"/>
        </w:rPr>
        <w:footnoteRef/>
      </w:r>
      <w:r>
        <w:t xml:space="preserve"> </w:t>
      </w:r>
      <w:r>
        <w:t xml:space="preserve">Markham 2021, PMID 33638809.</w:t>
      </w:r>
    </w:p>
  </w:footnote>
  <w:footnote w:id="796">
    <w:p>
      <w:pPr>
        <w:pStyle w:val="FootnoteText"/>
      </w:pPr>
      <w:r>
        <w:rPr>
          <w:rStyle w:val="FootnoteReference"/>
        </w:rPr>
        <w:footnoteRef/>
      </w:r>
      <w:r>
        <w:t xml:space="preserve"> </w:t>
      </w:r>
      <w:r>
        <w:t xml:space="preserve">Kühnen 2016, PMID 27468060.</w:t>
      </w:r>
    </w:p>
  </w:footnote>
  <w:footnote w:id="797">
    <w:p>
      <w:pPr>
        <w:pStyle w:val="FootnoteText"/>
      </w:pPr>
      <w:r>
        <w:rPr>
          <w:rStyle w:val="FootnoteReference"/>
        </w:rPr>
        <w:footnoteRef/>
      </w:r>
      <w:r>
        <w:t xml:space="preserve"> </w:t>
      </w:r>
      <w:r>
        <w:t xml:space="preserve">Clément 2018, PMID 29736023.</w:t>
      </w:r>
    </w:p>
  </w:footnote>
  <w:footnote w:id="798">
    <w:p>
      <w:pPr>
        <w:pStyle w:val="FootnoteText"/>
      </w:pPr>
      <w:r>
        <w:rPr>
          <w:rStyle w:val="FootnoteReference"/>
        </w:rPr>
        <w:footnoteRef/>
      </w:r>
      <w:r>
        <w:t xml:space="preserve"> </w:t>
      </w:r>
      <w:r>
        <w:t xml:space="preserve">Clément 2020, PMID 33137293.</w:t>
      </w:r>
    </w:p>
  </w:footnote>
  <w:footnote w:id="800">
    <w:p>
      <w:pPr>
        <w:pStyle w:val="FootnoteText"/>
      </w:pPr>
      <w:r>
        <w:rPr>
          <w:rStyle w:val="FootnoteReference"/>
        </w:rPr>
        <w:footnoteRef/>
      </w:r>
      <w:r>
        <w:t xml:space="preserve"> </w:t>
      </w:r>
      <w:r>
        <w:t xml:space="preserve">Haqq 2022, PMID 36356613.</w:t>
      </w:r>
    </w:p>
  </w:footnote>
  <w:footnote w:id="801">
    <w:p>
      <w:pPr>
        <w:pStyle w:val="FootnoteText"/>
      </w:pPr>
      <w:r>
        <w:rPr>
          <w:rStyle w:val="FootnoteReference"/>
        </w:rPr>
        <w:footnoteRef/>
      </w:r>
      <w:r>
        <w:t xml:space="preserve"> </w:t>
      </w:r>
      <w:r>
        <w:t xml:space="preserve">Argente 2026, PMID 41703984.</w:t>
      </w:r>
    </w:p>
  </w:footnote>
  <w:footnote w:id="803">
    <w:p>
      <w:pPr>
        <w:pStyle w:val="FootnoteText"/>
      </w:pPr>
      <w:r>
        <w:rPr>
          <w:rStyle w:val="FootnoteReference"/>
        </w:rPr>
        <w:footnoteRef/>
      </w:r>
      <w:r>
        <w:t xml:space="preserve"> </w:t>
      </w:r>
      <w:r>
        <w:t xml:space="preserve">Argente 2025, PMID 39549719.</w:t>
      </w:r>
    </w:p>
  </w:footnote>
  <w:footnote w:id="805">
    <w:p>
      <w:pPr>
        <w:pStyle w:val="FootnoteText"/>
      </w:pPr>
      <w:r>
        <w:rPr>
          <w:rStyle w:val="FootnoteReference"/>
        </w:rPr>
        <w:footnoteRef/>
      </w:r>
      <w:r>
        <w:t xml:space="preserve"> </w:t>
      </w:r>
      <w:r>
        <w:t xml:space="preserve">Roth 2024, PMID 38697184.</w:t>
      </w:r>
    </w:p>
  </w:footnote>
  <w:footnote w:id="806">
    <w:p>
      <w:pPr>
        <w:pStyle w:val="FootnoteText"/>
      </w:pPr>
      <w:r>
        <w:rPr>
          <w:rStyle w:val="FootnoteReference"/>
        </w:rPr>
        <w:footnoteRef/>
      </w:r>
      <w:r>
        <w:t xml:space="preserve"> </w:t>
      </w:r>
      <w:r>
        <w:t xml:space="preserve">Miller 2026, PMID 42418774.</w:t>
      </w:r>
    </w:p>
  </w:footnote>
  <w:footnote w:id="808">
    <w:p>
      <w:pPr>
        <w:pStyle w:val="FootnoteText"/>
      </w:pPr>
      <w:r>
        <w:rPr>
          <w:rStyle w:val="FootnoteReference"/>
        </w:rPr>
        <w:footnoteRef/>
      </w:r>
      <w:r>
        <w:t xml:space="preserve"> </w:t>
      </w:r>
      <w:r>
        <w:t xml:space="preserve">Collet 2017, PMID 29031731.</w:t>
      </w:r>
    </w:p>
  </w:footnote>
  <w:footnote w:id="809">
    <w:p>
      <w:pPr>
        <w:pStyle w:val="FootnoteText"/>
      </w:pPr>
      <w:r>
        <w:rPr>
          <w:rStyle w:val="FootnoteReference"/>
        </w:rPr>
        <w:footnoteRef/>
      </w:r>
      <w:r>
        <w:t xml:space="preserve"> </w:t>
      </w:r>
      <w:r>
        <w:t xml:space="preserve">NCT05093634.</w:t>
      </w:r>
    </w:p>
  </w:footnote>
  <w:footnote w:id="812">
    <w:p>
      <w:pPr>
        <w:pStyle w:val="FootnoteText"/>
      </w:pPr>
      <w:r>
        <w:rPr>
          <w:rStyle w:val="FootnoteReference"/>
        </w:rPr>
        <w:footnoteRef/>
      </w:r>
      <w:r>
        <w:t xml:space="preserve"> </w:t>
      </w:r>
      <w:r>
        <w:t xml:space="preserve">Collet 2017, PMID 29031731.</w:t>
      </w:r>
    </w:p>
  </w:footnote>
  <w:footnote w:id="814">
    <w:p>
      <w:pPr>
        <w:pStyle w:val="FootnoteText"/>
      </w:pPr>
      <w:r>
        <w:rPr>
          <w:rStyle w:val="FootnoteReference"/>
        </w:rPr>
        <w:footnoteRef/>
      </w:r>
      <w:r>
        <w:t xml:space="preserve"> </w:t>
      </w:r>
      <w:r>
        <w:t xml:space="preserve">Sridharan 2026, PMID 39924461.</w:t>
      </w:r>
    </w:p>
  </w:footnote>
  <w:footnote w:id="815">
    <w:p>
      <w:pPr>
        <w:pStyle w:val="FootnoteText"/>
      </w:pPr>
      <w:r>
        <w:rPr>
          <w:rStyle w:val="FootnoteReference"/>
        </w:rPr>
        <w:footnoteRef/>
      </w:r>
      <w:r>
        <w:t xml:space="preserve"> </w:t>
      </w:r>
      <w:r>
        <w:t xml:space="preserve">Kanti 2021, PMID 34058738.</w:t>
      </w:r>
    </w:p>
  </w:footnote>
  <w:footnote w:id="816">
    <w:p>
      <w:pPr>
        <w:pStyle w:val="FootnoteText"/>
      </w:pPr>
      <w:r>
        <w:rPr>
          <w:rStyle w:val="FootnoteReference"/>
        </w:rPr>
        <w:footnoteRef/>
      </w:r>
      <w:r>
        <w:t xml:space="preserve"> </w:t>
      </w:r>
      <w:r>
        <w:t xml:space="preserve">Sridharan 2026, PMID 39924461.</w:t>
      </w:r>
    </w:p>
  </w:footnote>
  <w:footnote w:id="817">
    <w:p>
      <w:pPr>
        <w:pStyle w:val="FootnoteText"/>
      </w:pPr>
      <w:r>
        <w:rPr>
          <w:rStyle w:val="FootnoteReference"/>
        </w:rPr>
        <w:footnoteRef/>
      </w:r>
      <w:r>
        <w:t xml:space="preserve"> </w:t>
      </w:r>
      <w:r>
        <w:t xml:space="preserve">Miller 2026, PMID 42418774.</w:t>
      </w:r>
    </w:p>
  </w:footnote>
  <w:footnote w:id="818">
    <w:p>
      <w:pPr>
        <w:pStyle w:val="FootnoteText"/>
      </w:pPr>
      <w:r>
        <w:rPr>
          <w:rStyle w:val="FootnoteReference"/>
        </w:rPr>
        <w:footnoteRef/>
      </w:r>
      <w:r>
        <w:t xml:space="preserve"> </w:t>
      </w:r>
      <w:r>
        <w:t xml:space="preserve">Haqq 2022, PMID 36356613.</w:t>
      </w:r>
    </w:p>
  </w:footnote>
  <w:footnote w:id="821">
    <w:p>
      <w:pPr>
        <w:pStyle w:val="FootnoteText"/>
      </w:pPr>
      <w:r>
        <w:rPr>
          <w:rStyle w:val="FootnoteReference"/>
        </w:rPr>
        <w:footnoteRef/>
      </w:r>
      <w:r>
        <w:t xml:space="preserve"> </w:t>
      </w:r>
      <w:r>
        <w:t xml:space="preserve">NCT05774756.</w:t>
      </w:r>
    </w:p>
  </w:footnote>
  <w:footnote w:id="822">
    <w:p>
      <w:pPr>
        <w:pStyle w:val="FootnoteText"/>
      </w:pPr>
      <w:r>
        <w:rPr>
          <w:rStyle w:val="FootnoteReference"/>
        </w:rPr>
        <w:footnoteRef/>
      </w:r>
      <w:r>
        <w:t xml:space="preserve"> </w:t>
      </w:r>
      <w:r>
        <w:t xml:space="preserve">NCT06760546.</w:t>
      </w:r>
    </w:p>
  </w:footnote>
  <w:footnote w:id="823">
    <w:p>
      <w:pPr>
        <w:pStyle w:val="FootnoteText"/>
      </w:pPr>
      <w:r>
        <w:rPr>
          <w:rStyle w:val="FootnoteReference"/>
        </w:rPr>
        <w:footnoteRef/>
      </w:r>
      <w:r>
        <w:t xml:space="preserve"> </w:t>
      </w:r>
      <w:r>
        <w:t xml:space="preserve">NCT06772597.</w:t>
      </w:r>
    </w:p>
  </w:footnote>
  <w:footnote w:id="824">
    <w:p>
      <w:pPr>
        <w:pStyle w:val="FootnoteText"/>
      </w:pPr>
      <w:r>
        <w:rPr>
          <w:rStyle w:val="FootnoteReference"/>
        </w:rPr>
        <w:footnoteRef/>
      </w:r>
      <w:r>
        <w:t xml:space="preserve"> </w:t>
      </w:r>
      <w:r>
        <w:t xml:space="preserve">NCT07674290.</w:t>
      </w:r>
    </w:p>
  </w:footnote>
  <w:footnote w:id="825">
    <w:p>
      <w:pPr>
        <w:pStyle w:val="FootnoteText"/>
      </w:pPr>
      <w:r>
        <w:rPr>
          <w:rStyle w:val="FootnoteReference"/>
        </w:rPr>
        <w:footnoteRef/>
      </w:r>
      <w:r>
        <w:t xml:space="preserve"> </w:t>
      </w:r>
      <w:r>
        <w:t xml:space="preserve">NCT05093634.</w:t>
      </w:r>
    </w:p>
  </w:footnote>
  <w:footnote w:id="826">
    <w:p>
      <w:pPr>
        <w:pStyle w:val="FootnoteText"/>
      </w:pPr>
      <w:r>
        <w:rPr>
          <w:rStyle w:val="FootnoteReference"/>
        </w:rPr>
        <w:footnoteRef/>
      </w:r>
      <w:r>
        <w:t xml:space="preserve"> </w:t>
      </w:r>
      <w:r>
        <w:t xml:space="preserve">NCT04963231.</w:t>
      </w:r>
    </w:p>
  </w:footnote>
  <w:footnote w:id="830">
    <w:p>
      <w:pPr>
        <w:pStyle w:val="FootnoteText"/>
      </w:pPr>
      <w:r>
        <w:rPr>
          <w:rStyle w:val="FootnoteReference"/>
        </w:rPr>
        <w:footnoteRef/>
      </w:r>
      <w:r>
        <w:t xml:space="preserve"> </w:t>
      </w:r>
      <w:r>
        <w:t xml:space="preserve">Cox 2015, PMID 25208511.</w:t>
      </w:r>
    </w:p>
  </w:footnote>
  <w:footnote w:id="832">
    <w:p>
      <w:pPr>
        <w:pStyle w:val="FootnoteText"/>
      </w:pPr>
      <w:r>
        <w:rPr>
          <w:rStyle w:val="FootnoteReference"/>
        </w:rPr>
        <w:footnoteRef/>
      </w:r>
      <w:r>
        <w:t xml:space="preserve"> </w:t>
      </w:r>
      <w:r>
        <w:t xml:space="preserve">Wade 1982, PMID 6751009.</w:t>
      </w:r>
    </w:p>
  </w:footnote>
  <w:footnote w:id="833">
    <w:p>
      <w:pPr>
        <w:pStyle w:val="FootnoteText"/>
      </w:pPr>
      <w:r>
        <w:rPr>
          <w:rStyle w:val="FootnoteReference"/>
        </w:rPr>
        <w:footnoteRef/>
      </w:r>
      <w:r>
        <w:t xml:space="preserve"> </w:t>
      </w:r>
      <w:r>
        <w:t xml:space="preserve">Heffernan 2001, PMID 11673763.</w:t>
      </w:r>
    </w:p>
  </w:footnote>
  <w:footnote w:id="834">
    <w:p>
      <w:pPr>
        <w:pStyle w:val="FootnoteText"/>
      </w:pPr>
      <w:r>
        <w:rPr>
          <w:rStyle w:val="FootnoteReference"/>
        </w:rPr>
        <w:footnoteRef/>
      </w:r>
      <w:r>
        <w:t xml:space="preserve"> </w:t>
      </w:r>
      <w:r>
        <w:t xml:space="preserve">Heffernan 2001, PMID 11713213.</w:t>
      </w:r>
    </w:p>
  </w:footnote>
  <w:footnote w:id="836">
    <w:p>
      <w:pPr>
        <w:pStyle w:val="FootnoteText"/>
      </w:pPr>
      <w:r>
        <w:rPr>
          <w:rStyle w:val="FootnoteReference"/>
        </w:rPr>
        <w:footnoteRef/>
      </w:r>
      <w:r>
        <w:t xml:space="preserve"> </w:t>
      </w:r>
      <w:r>
        <w:t xml:space="preserve">Wilding 2004, PMID 15134286 ; Halford 2006, PMID 16625817.</w:t>
      </w:r>
    </w:p>
  </w:footnote>
  <w:footnote w:id="838">
    <w:p>
      <w:pPr>
        <w:pStyle w:val="FootnoteText"/>
      </w:pPr>
      <w:r>
        <w:rPr>
          <w:rStyle w:val="FootnoteReference"/>
        </w:rPr>
        <w:footnoteRef/>
      </w:r>
      <w:r>
        <w:t xml:space="preserve"> </w:t>
      </w:r>
      <w:r>
        <w:t xml:space="preserve">Ng 2000, PMID 11146367.</w:t>
      </w:r>
    </w:p>
  </w:footnote>
  <w:footnote w:id="839">
    <w:p>
      <w:pPr>
        <w:pStyle w:val="FootnoteText"/>
      </w:pPr>
      <w:r>
        <w:rPr>
          <w:rStyle w:val="FootnoteReference"/>
        </w:rPr>
        <w:footnoteRef/>
      </w:r>
      <w:r>
        <w:t xml:space="preserve"> </w:t>
      </w:r>
      <w:r>
        <w:t xml:space="preserve">Heffernan 2001, PMID 11673763.</w:t>
      </w:r>
    </w:p>
  </w:footnote>
  <w:footnote w:id="840">
    <w:p>
      <w:pPr>
        <w:pStyle w:val="FootnoteText"/>
      </w:pPr>
      <w:r>
        <w:rPr>
          <w:rStyle w:val="FootnoteReference"/>
        </w:rPr>
        <w:footnoteRef/>
      </w:r>
      <w:r>
        <w:t xml:space="preserve"> </w:t>
      </w:r>
      <w:r>
        <w:t xml:space="preserve">Natera 1994, PMID 7987248.</w:t>
      </w:r>
    </w:p>
  </w:footnote>
  <w:footnote w:id="841">
    <w:p>
      <w:pPr>
        <w:pStyle w:val="FootnoteText"/>
      </w:pPr>
      <w:r>
        <w:rPr>
          <w:rStyle w:val="FootnoteReference"/>
        </w:rPr>
        <w:footnoteRef/>
      </w:r>
      <w:r>
        <w:t xml:space="preserve"> </w:t>
      </w:r>
      <w:r>
        <w:t xml:space="preserve">Kwon 2015, PMID 26275694.</w:t>
      </w:r>
    </w:p>
  </w:footnote>
  <w:footnote w:id="843">
    <w:p>
      <w:pPr>
        <w:pStyle w:val="FootnoteText"/>
      </w:pPr>
      <w:r>
        <w:rPr>
          <w:rStyle w:val="FootnoteReference"/>
        </w:rPr>
        <w:footnoteRef/>
      </w:r>
      <w:r>
        <w:t xml:space="preserve"> </w:t>
      </w:r>
      <w:r>
        <w:t xml:space="preserve">Cox 2015, PMID 25208511.</w:t>
      </w:r>
    </w:p>
  </w:footnote>
  <w:footnote w:id="844">
    <w:p>
      <w:pPr>
        <w:pStyle w:val="FootnoteText"/>
      </w:pPr>
      <w:r>
        <w:rPr>
          <w:rStyle w:val="FootnoteReference"/>
        </w:rPr>
        <w:footnoteRef/>
      </w:r>
      <w:r>
        <w:t xml:space="preserve"> </w:t>
      </w:r>
      <w:r>
        <w:t xml:space="preserve">Vanhee 2014, PMID 24976118.</w:t>
      </w:r>
    </w:p>
  </w:footnote>
  <w:footnote w:id="845">
    <w:p>
      <w:pPr>
        <w:pStyle w:val="FootnoteText"/>
      </w:pPr>
      <w:r>
        <w:rPr>
          <w:rStyle w:val="FootnoteReference"/>
        </w:rPr>
        <w:footnoteRef/>
      </w:r>
      <w:r>
        <w:t xml:space="preserve"> </w:t>
      </w:r>
      <w:r>
        <w:t xml:space="preserve">Mendias 2026, PMID 41966639 ; Dominikowski 2026, PMID 42395176.</w:t>
      </w:r>
    </w:p>
  </w:footnote>
  <w:footnote w:id="846">
    <w:p>
      <w:pPr>
        <w:pStyle w:val="FootnoteText"/>
      </w:pPr>
      <w:r>
        <w:rPr>
          <w:rStyle w:val="FootnoteReference"/>
        </w:rPr>
        <w:footnoteRef/>
      </w:r>
      <w:r>
        <w:t xml:space="preserve"> </w:t>
      </w:r>
      <w:r>
        <w:t xml:space="preserve">Coutinho 2026, PMID 41880199.</w:t>
      </w:r>
    </w:p>
  </w:footnote>
  <w:footnote w:id="847">
    <w:p>
      <w:pPr>
        <w:pStyle w:val="FootnoteText"/>
      </w:pPr>
      <w:r>
        <w:rPr>
          <w:rStyle w:val="FootnoteReference"/>
        </w:rPr>
        <w:footnoteRef/>
      </w:r>
      <w:r>
        <w:t xml:space="preserve"> </w:t>
      </w:r>
      <w:r>
        <w:t xml:space="preserve">Heffernan 2001, PMID 11673763.</w:t>
      </w:r>
    </w:p>
  </w:footnote>
  <w:footnote w:id="849">
    <w:p>
      <w:pPr>
        <w:pStyle w:val="FootnoteText"/>
      </w:pPr>
      <w:r>
        <w:rPr>
          <w:rStyle w:val="FootnoteReference"/>
        </w:rPr>
        <w:footnoteRef/>
      </w:r>
      <w:r>
        <w:t xml:space="preserve"> </w:t>
      </w:r>
      <w:r>
        <w:t xml:space="preserve">Cox 2015, PMID 25208511.</w:t>
      </w:r>
    </w:p>
  </w:footnote>
  <w:footnote w:id="850">
    <w:p>
      <w:pPr>
        <w:pStyle w:val="FootnoteText"/>
      </w:pPr>
      <w:r>
        <w:rPr>
          <w:rStyle w:val="FootnoteReference"/>
        </w:rPr>
        <w:footnoteRef/>
      </w:r>
      <w:r>
        <w:t xml:space="preserve"> </w:t>
      </w:r>
      <w:r>
        <w:t xml:space="preserve">Orlovius 2013, PMID 24124033.</w:t>
      </w:r>
    </w:p>
  </w:footnote>
  <w:footnote w:id="856">
    <w:p>
      <w:pPr>
        <w:pStyle w:val="FootnoteText"/>
      </w:pPr>
      <w:r>
        <w:rPr>
          <w:rStyle w:val="FootnoteReference"/>
        </w:rPr>
        <w:footnoteRef/>
      </w:r>
      <w:r>
        <w:t xml:space="preserve"> </w:t>
      </w:r>
      <w:r>
        <w:t xml:space="preserve">Rosenstock 2026, PMID 41765029.</w:t>
      </w:r>
    </w:p>
  </w:footnote>
  <w:footnote w:id="858">
    <w:p>
      <w:pPr>
        <w:pStyle w:val="FootnoteText"/>
      </w:pPr>
      <w:r>
        <w:rPr>
          <w:rStyle w:val="FootnoteReference"/>
        </w:rPr>
        <w:footnoteRef/>
      </w:r>
      <w:r>
        <w:t xml:space="preserve"> </w:t>
      </w:r>
      <w:r>
        <w:t xml:space="preserve">Rosenstock 2025, PMID 40808573.</w:t>
      </w:r>
    </w:p>
  </w:footnote>
  <w:footnote w:id="860">
    <w:p>
      <w:pPr>
        <w:pStyle w:val="FootnoteText"/>
      </w:pPr>
      <w:r>
        <w:rPr>
          <w:rStyle w:val="FootnoteReference"/>
        </w:rPr>
        <w:footnoteRef/>
      </w:r>
      <w:r>
        <w:t xml:space="preserve"> </w:t>
      </w:r>
      <w:r>
        <w:t xml:space="preserve">Wharton 2025, PMID 40960239.</w:t>
      </w:r>
    </w:p>
  </w:footnote>
  <w:footnote w:id="861">
    <w:p>
      <w:pPr>
        <w:pStyle w:val="FootnoteText"/>
      </w:pPr>
      <w:r>
        <w:rPr>
          <w:rStyle w:val="FootnoteReference"/>
        </w:rPr>
        <w:footnoteRef/>
      </w:r>
      <w:r>
        <w:t xml:space="preserve"> </w:t>
      </w:r>
      <w:r>
        <w:t xml:space="preserve">Wharton 2023, PMID 37351564.</w:t>
      </w:r>
    </w:p>
  </w:footnote>
  <w:footnote w:id="862">
    <w:p>
      <w:pPr>
        <w:pStyle w:val="FootnoteText"/>
      </w:pPr>
      <w:r>
        <w:rPr>
          <w:rStyle w:val="FootnoteReference"/>
        </w:rPr>
        <w:footnoteRef/>
      </w:r>
      <w:r>
        <w:t xml:space="preserve"> </w:t>
      </w:r>
      <w:r>
        <w:t xml:space="preserve">Horn 2026, PMID 41275875.</w:t>
      </w:r>
    </w:p>
  </w:footnote>
  <w:footnote w:id="863">
    <w:p>
      <w:pPr>
        <w:pStyle w:val="FootnoteText"/>
      </w:pPr>
      <w:r>
        <w:rPr>
          <w:rStyle w:val="FootnoteReference"/>
        </w:rPr>
        <w:footnoteRef/>
      </w:r>
      <w:r>
        <w:t xml:space="preserve"> </w:t>
      </w:r>
      <w:r>
        <w:t xml:space="preserve">Aronne 2026, PMID 42120723.</w:t>
      </w:r>
    </w:p>
  </w:footnote>
  <w:footnote w:id="865">
    <w:p>
      <w:pPr>
        <w:pStyle w:val="FootnoteText"/>
      </w:pPr>
      <w:r>
        <w:rPr>
          <w:rStyle w:val="FootnoteReference"/>
        </w:rPr>
        <w:footnoteRef/>
      </w:r>
      <w:r>
        <w:t xml:space="preserve"> </w:t>
      </w:r>
      <w:r>
        <w:t xml:space="preserve">Rosenstock 2025, PMID 40544435.</w:t>
      </w:r>
    </w:p>
  </w:footnote>
  <w:footnote w:id="866">
    <w:p>
      <w:pPr>
        <w:pStyle w:val="FootnoteText"/>
      </w:pPr>
      <w:r>
        <w:rPr>
          <w:rStyle w:val="FootnoteReference"/>
        </w:rPr>
        <w:footnoteRef/>
      </w:r>
      <w:r>
        <w:t xml:space="preserve"> </w:t>
      </w:r>
      <w:r>
        <w:t xml:space="preserve">Welch 2026, PMID 42259339.</w:t>
      </w:r>
    </w:p>
  </w:footnote>
  <w:footnote w:id="867">
    <w:p>
      <w:pPr>
        <w:pStyle w:val="FootnoteText"/>
      </w:pPr>
      <w:r>
        <w:rPr>
          <w:rStyle w:val="FootnoteReference"/>
        </w:rPr>
        <w:footnoteRef/>
      </w:r>
      <w:r>
        <w:t xml:space="preserve"> </w:t>
      </w:r>
      <w:r>
        <w:t xml:space="preserve">Rosenstock 2026, PMID 41765029.</w:t>
      </w:r>
    </w:p>
  </w:footnote>
  <w:footnote w:id="868">
    <w:p>
      <w:pPr>
        <w:pStyle w:val="FootnoteText"/>
      </w:pPr>
      <w:r>
        <w:rPr>
          <w:rStyle w:val="FootnoteReference"/>
        </w:rPr>
        <w:footnoteRef/>
      </w:r>
      <w:r>
        <w:t xml:space="preserve"> </w:t>
      </w:r>
      <w:r>
        <w:t xml:space="preserve">Klein 2026, PMID 42815506.</w:t>
      </w:r>
    </w:p>
  </w:footnote>
  <w:footnote w:id="871">
    <w:p>
      <w:pPr>
        <w:pStyle w:val="FootnoteText"/>
      </w:pPr>
      <w:r>
        <w:rPr>
          <w:rStyle w:val="FootnoteReference"/>
        </w:rPr>
        <w:footnoteRef/>
      </w:r>
      <w:r>
        <w:t xml:space="preserve"> </w:t>
      </w:r>
      <w:r>
        <w:t xml:space="preserve">NCT05469126, NCT05573230, NCT06370728, NCT06704763.</w:t>
      </w:r>
    </w:p>
  </w:footnote>
  <w:footnote w:id="873">
    <w:p>
      <w:pPr>
        <w:pStyle w:val="FootnoteText"/>
      </w:pPr>
      <w:r>
        <w:rPr>
          <w:rStyle w:val="FootnoteReference"/>
        </w:rPr>
        <w:footnoteRef/>
      </w:r>
      <w:r>
        <w:t xml:space="preserve"> </w:t>
      </w:r>
      <w:r>
        <w:t xml:space="preserve">Klein 2026, PMID 42815506.</w:t>
      </w:r>
    </w:p>
  </w:footnote>
  <w:footnote w:id="874">
    <w:p>
      <w:pPr>
        <w:pStyle w:val="FootnoteText"/>
      </w:pPr>
      <w:r>
        <w:rPr>
          <w:rStyle w:val="FootnoteReference"/>
        </w:rPr>
        <w:footnoteRef/>
      </w:r>
      <w:r>
        <w:t xml:space="preserve"> </w:t>
      </w:r>
      <w:r>
        <w:t xml:space="preserve">Wharton 2025, PMID 40960239.</w:t>
      </w:r>
    </w:p>
  </w:footnote>
  <w:footnote w:id="875">
    <w:p>
      <w:pPr>
        <w:pStyle w:val="FootnoteText"/>
      </w:pPr>
      <w:r>
        <w:rPr>
          <w:rStyle w:val="FootnoteReference"/>
        </w:rPr>
        <w:footnoteRef/>
      </w:r>
      <w:r>
        <w:t xml:space="preserve"> </w:t>
      </w:r>
      <w:r>
        <w:t xml:space="preserve">Rosenstock 2026, PMID 41765029.</w:t>
      </w:r>
    </w:p>
  </w:footnote>
  <w:footnote w:id="876">
    <w:p>
      <w:pPr>
        <w:pStyle w:val="FootnoteText"/>
      </w:pPr>
      <w:r>
        <w:rPr>
          <w:rStyle w:val="FootnoteReference"/>
        </w:rPr>
        <w:footnoteRef/>
      </w:r>
      <w:r>
        <w:t xml:space="preserve"> </w:t>
      </w:r>
      <w:r>
        <w:t xml:space="preserve">Rosenstock 2026, PMID 41765029.</w:t>
      </w:r>
    </w:p>
  </w:footnote>
  <w:footnote w:id="877">
    <w:p>
      <w:pPr>
        <w:pStyle w:val="FootnoteText"/>
      </w:pPr>
      <w:r>
        <w:rPr>
          <w:rStyle w:val="FootnoteReference"/>
        </w:rPr>
        <w:footnoteRef/>
      </w:r>
      <w:r>
        <w:t xml:space="preserve"> </w:t>
      </w:r>
      <w:r>
        <w:t xml:space="preserve">Klein 2026, PMID 42815506.</w:t>
      </w:r>
    </w:p>
  </w:footnote>
  <w:footnote w:id="878">
    <w:p>
      <w:pPr>
        <w:pStyle w:val="FootnoteText"/>
      </w:pPr>
      <w:r>
        <w:rPr>
          <w:rStyle w:val="FootnoteReference"/>
        </w:rPr>
        <w:footnoteRef/>
      </w:r>
      <w:r>
        <w:t xml:space="preserve"> </w:t>
      </w:r>
      <w:r>
        <w:t xml:space="preserve">NCT07241390.</w:t>
      </w:r>
    </w:p>
  </w:footnote>
  <w:footnote w:id="879">
    <w:p>
      <w:pPr>
        <w:pStyle w:val="FootnoteText"/>
      </w:pPr>
      <w:r>
        <w:rPr>
          <w:rStyle w:val="FootnoteReference"/>
        </w:rPr>
        <w:footnoteRef/>
      </w:r>
      <w:r>
        <w:t xml:space="preserve"> </w:t>
      </w:r>
      <w:r>
        <w:t xml:space="preserve">Wharton 2026, PMID 42338042.</w:t>
      </w:r>
    </w:p>
  </w:footnote>
  <w:footnote w:id="882">
    <w:p>
      <w:pPr>
        <w:pStyle w:val="FootnoteText"/>
      </w:pPr>
      <w:r>
        <w:rPr>
          <w:rStyle w:val="FootnoteReference"/>
        </w:rPr>
        <w:footnoteRef/>
      </w:r>
      <w:r>
        <w:t xml:space="preserve"> </w:t>
      </w:r>
      <w:r>
        <w:t xml:space="preserve">NCT07223593.</w:t>
      </w:r>
    </w:p>
  </w:footnote>
  <w:footnote w:id="883">
    <w:p>
      <w:pPr>
        <w:pStyle w:val="FootnoteText"/>
      </w:pPr>
      <w:r>
        <w:rPr>
          <w:rStyle w:val="FootnoteReference"/>
        </w:rPr>
        <w:footnoteRef/>
      </w:r>
      <w:r>
        <w:t xml:space="preserve"> </w:t>
      </w:r>
      <w:r>
        <w:t xml:space="preserve">NCT06948422, NCT06948435, NCT06952530.</w:t>
      </w:r>
    </w:p>
  </w:footnote>
  <w:footnote w:id="884">
    <w:p>
      <w:pPr>
        <w:pStyle w:val="FootnoteText"/>
      </w:pPr>
      <w:r>
        <w:rPr>
          <w:rStyle w:val="FootnoteReference"/>
        </w:rPr>
        <w:footnoteRef/>
      </w:r>
      <w:r>
        <w:t xml:space="preserve"> </w:t>
      </w:r>
      <w:r>
        <w:t xml:space="preserve">NCT07153471.</w:t>
      </w:r>
    </w:p>
  </w:footnote>
  <w:footnote w:id="885">
    <w:p>
      <w:pPr>
        <w:pStyle w:val="FootnoteText"/>
      </w:pPr>
      <w:r>
        <w:rPr>
          <w:rStyle w:val="FootnoteReference"/>
        </w:rPr>
        <w:footnoteRef/>
      </w:r>
      <w:r>
        <w:t xml:space="preserve"> </w:t>
      </w:r>
      <w:r>
        <w:t xml:space="preserve">NCT07202884.</w:t>
      </w:r>
    </w:p>
  </w:footnote>
  <w:footnote w:id="886">
    <w:p>
      <w:pPr>
        <w:pStyle w:val="FootnoteText"/>
      </w:pPr>
      <w:r>
        <w:rPr>
          <w:rStyle w:val="FootnoteReference"/>
        </w:rPr>
        <w:footnoteRef/>
      </w:r>
      <w:r>
        <w:t xml:space="preserve"> </w:t>
      </w:r>
      <w:r>
        <w:t xml:space="preserve">NCT06672939.</w:t>
      </w:r>
    </w:p>
  </w:footnote>
  <w:footnote w:id="887">
    <w:p>
      <w:pPr>
        <w:pStyle w:val="FootnoteText"/>
      </w:pPr>
      <w:r>
        <w:rPr>
          <w:rStyle w:val="FootnoteReference"/>
        </w:rPr>
        <w:footnoteRef/>
      </w:r>
      <w:r>
        <w:t xml:space="preserve"> </w:t>
      </w:r>
      <w:r>
        <w:t xml:space="preserve">NCT07668336.</w:t>
      </w:r>
    </w:p>
  </w:footnote>
  <w:footnote w:id="888">
    <w:p>
      <w:pPr>
        <w:pStyle w:val="FootnoteText"/>
      </w:pPr>
      <w:r>
        <w:rPr>
          <w:rStyle w:val="FootnoteReference"/>
        </w:rPr>
        <w:footnoteRef/>
      </w:r>
      <w:r>
        <w:t xml:space="preserve"> </w:t>
      </w:r>
      <w:r>
        <w:t xml:space="preserve">NCT06649045.</w:t>
      </w:r>
    </w:p>
  </w:footnote>
  <w:footnote w:id="896">
    <w:p>
      <w:pPr>
        <w:pStyle w:val="FootnoteText"/>
      </w:pPr>
      <w:r>
        <w:rPr>
          <w:rStyle w:val="FootnoteReference"/>
        </w:rPr>
        <w:footnoteRef/>
      </w:r>
      <w:r>
        <w:t xml:space="preserve"> </w:t>
      </w:r>
      <w:r>
        <w:t xml:space="preserve">Cox 2017, PMID 28035768.</w:t>
      </w:r>
    </w:p>
  </w:footnote>
  <w:footnote w:id="898">
    <w:p>
      <w:pPr>
        <w:pStyle w:val="FootnoteText"/>
      </w:pPr>
      <w:r>
        <w:rPr>
          <w:rStyle w:val="FootnoteReference"/>
        </w:rPr>
        <w:footnoteRef/>
      </w:r>
      <w:r>
        <w:t xml:space="preserve"> </w:t>
      </w:r>
      <w:r>
        <w:t xml:space="preserve">Hsieh 2017, PMID 27847966.</w:t>
      </w:r>
    </w:p>
  </w:footnote>
  <w:footnote w:id="899">
    <w:p>
      <w:pPr>
        <w:pStyle w:val="FootnoteText"/>
      </w:pPr>
      <w:r>
        <w:rPr>
          <w:rStyle w:val="FootnoteReference"/>
        </w:rPr>
        <w:footnoteRef/>
      </w:r>
      <w:r>
        <w:t xml:space="preserve"> </w:t>
      </w:r>
      <w:r>
        <w:t xml:space="preserve">Zhang 2026, PMID 41606641.</w:t>
      </w:r>
    </w:p>
  </w:footnote>
  <w:footnote w:id="900">
    <w:p>
      <w:pPr>
        <w:pStyle w:val="FootnoteText"/>
      </w:pPr>
      <w:r>
        <w:rPr>
          <w:rStyle w:val="FootnoteReference"/>
        </w:rPr>
        <w:footnoteRef/>
      </w:r>
      <w:r>
        <w:t xml:space="preserve"> </w:t>
      </w:r>
      <w:r>
        <w:t xml:space="preserve">Chang 2011, PMID 21030672.</w:t>
      </w:r>
    </w:p>
  </w:footnote>
  <w:footnote w:id="901">
    <w:p>
      <w:pPr>
        <w:pStyle w:val="FootnoteText"/>
      </w:pPr>
      <w:r>
        <w:rPr>
          <w:rStyle w:val="FootnoteReference"/>
        </w:rPr>
        <w:footnoteRef/>
      </w:r>
      <w:r>
        <w:t xml:space="preserve"> </w:t>
      </w:r>
      <w:r>
        <w:t xml:space="preserve">Chang 2014, PMID 25415472.</w:t>
      </w:r>
    </w:p>
  </w:footnote>
  <w:footnote w:id="902">
    <w:p>
      <w:pPr>
        <w:pStyle w:val="FootnoteText"/>
      </w:pPr>
      <w:r>
        <w:rPr>
          <w:rStyle w:val="FootnoteReference"/>
        </w:rPr>
        <w:footnoteRef/>
      </w:r>
      <w:r>
        <w:t xml:space="preserve"> </w:t>
      </w:r>
      <w:r>
        <w:t xml:space="preserve">Sikiric 2025, PMID 40573323.</w:t>
      </w:r>
    </w:p>
  </w:footnote>
  <w:footnote w:id="903">
    <w:p>
      <w:pPr>
        <w:pStyle w:val="FootnoteText"/>
      </w:pPr>
      <w:r>
        <w:rPr>
          <w:rStyle w:val="FootnoteReference"/>
        </w:rPr>
        <w:footnoteRef/>
      </w:r>
      <w:r>
        <w:t xml:space="preserve"> </w:t>
      </w:r>
      <w:r>
        <w:t xml:space="preserve">Mateescu 2026, PMID 42198317.</w:t>
      </w:r>
    </w:p>
  </w:footnote>
  <w:footnote w:id="905">
    <w:p>
      <w:pPr>
        <w:pStyle w:val="FootnoteText"/>
      </w:pPr>
      <w:r>
        <w:rPr>
          <w:rStyle w:val="FootnoteReference"/>
        </w:rPr>
        <w:footnoteRef/>
      </w:r>
      <w:r>
        <w:t xml:space="preserve"> </w:t>
      </w:r>
      <w:r>
        <w:t xml:space="preserve">Poolton 2026, PMID 42885452.</w:t>
      </w:r>
    </w:p>
  </w:footnote>
  <w:footnote w:id="906">
    <w:p>
      <w:pPr>
        <w:pStyle w:val="FootnoteText"/>
      </w:pPr>
      <w:r>
        <w:rPr>
          <w:rStyle w:val="FootnoteReference"/>
        </w:rPr>
        <w:footnoteRef/>
      </w:r>
      <w:r>
        <w:t xml:space="preserve"> </w:t>
      </w:r>
      <w:r>
        <w:t xml:space="preserve">Lee 2021, PMID 34324435.</w:t>
      </w:r>
    </w:p>
  </w:footnote>
  <w:footnote w:id="907">
    <w:p>
      <w:pPr>
        <w:pStyle w:val="FootnoteText"/>
      </w:pPr>
      <w:r>
        <w:rPr>
          <w:rStyle w:val="FootnoteReference"/>
        </w:rPr>
        <w:footnoteRef/>
      </w:r>
      <w:r>
        <w:t xml:space="preserve"> </w:t>
      </w:r>
      <w:r>
        <w:t xml:space="preserve">Lee 2024, PMID 39325560.</w:t>
      </w:r>
    </w:p>
  </w:footnote>
  <w:footnote w:id="908">
    <w:p>
      <w:pPr>
        <w:pStyle w:val="FootnoteText"/>
      </w:pPr>
      <w:r>
        <w:rPr>
          <w:rStyle w:val="FootnoteReference"/>
        </w:rPr>
        <w:footnoteRef/>
      </w:r>
      <w:r>
        <w:t xml:space="preserve"> </w:t>
      </w:r>
      <w:r>
        <w:t xml:space="preserve">Lee 2025, PMID 40131143.</w:t>
      </w:r>
    </w:p>
  </w:footnote>
  <w:footnote w:id="909">
    <w:p>
      <w:pPr>
        <w:pStyle w:val="FootnoteText"/>
      </w:pPr>
      <w:r>
        <w:rPr>
          <w:rStyle w:val="FootnoteReference"/>
        </w:rPr>
        <w:footnoteRef/>
      </w:r>
      <w:r>
        <w:t xml:space="preserve"> </w:t>
      </w:r>
      <w:r>
        <w:t xml:space="preserve">Poolton 2026, PMID 42885452.</w:t>
      </w:r>
    </w:p>
  </w:footnote>
  <w:footnote w:id="910">
    <w:p>
      <w:pPr>
        <w:pStyle w:val="FootnoteText"/>
      </w:pPr>
      <w:r>
        <w:rPr>
          <w:rStyle w:val="FootnoteReference"/>
        </w:rPr>
        <w:footnoteRef/>
      </w:r>
      <w:r>
        <w:t xml:space="preserve"> </w:t>
      </w:r>
      <w:r>
        <w:t xml:space="preserve">Vasireddi 2025, PMID 40756949.</w:t>
      </w:r>
    </w:p>
  </w:footnote>
  <w:footnote w:id="911">
    <w:p>
      <w:pPr>
        <w:pStyle w:val="FootnoteText"/>
      </w:pPr>
      <w:r>
        <w:rPr>
          <w:rStyle w:val="FootnoteReference"/>
        </w:rPr>
        <w:footnoteRef/>
      </w:r>
      <w:r>
        <w:t xml:space="preserve"> </w:t>
      </w:r>
      <w:r>
        <w:t xml:space="preserve">Tham 2026, PMID 42937313 ; Tewari 2026, PMID 42578445.</w:t>
      </w:r>
    </w:p>
  </w:footnote>
  <w:footnote w:id="913">
    <w:p>
      <w:pPr>
        <w:pStyle w:val="FootnoteText"/>
      </w:pPr>
      <w:r>
        <w:rPr>
          <w:rStyle w:val="FootnoteReference"/>
        </w:rPr>
        <w:footnoteRef/>
      </w:r>
      <w:r>
        <w:t xml:space="preserve"> </w:t>
      </w:r>
      <w:r>
        <w:t xml:space="preserve">Staresinic 2003, PMID 14554208.</w:t>
      </w:r>
    </w:p>
  </w:footnote>
  <w:footnote w:id="914">
    <w:p>
      <w:pPr>
        <w:pStyle w:val="FootnoteText"/>
      </w:pPr>
      <w:r>
        <w:rPr>
          <w:rStyle w:val="FootnoteReference"/>
        </w:rPr>
        <w:footnoteRef/>
      </w:r>
      <w:r>
        <w:t xml:space="preserve"> </w:t>
      </w:r>
      <w:r>
        <w:t xml:space="preserve">Seiwerth 2021, PMID 34267654.</w:t>
      </w:r>
    </w:p>
  </w:footnote>
  <w:footnote w:id="915">
    <w:p>
      <w:pPr>
        <w:pStyle w:val="FootnoteText"/>
      </w:pPr>
      <w:r>
        <w:rPr>
          <w:rStyle w:val="FootnoteReference"/>
        </w:rPr>
        <w:footnoteRef/>
      </w:r>
      <w:r>
        <w:t xml:space="preserve"> </w:t>
      </w:r>
      <w:r>
        <w:t xml:space="preserve">NCT02637284.</w:t>
      </w:r>
    </w:p>
  </w:footnote>
  <w:footnote w:id="918">
    <w:p>
      <w:pPr>
        <w:pStyle w:val="FootnoteText"/>
      </w:pPr>
      <w:r>
        <w:rPr>
          <w:rStyle w:val="FootnoteReference"/>
        </w:rPr>
        <w:footnoteRef/>
      </w:r>
      <w:r>
        <w:t xml:space="preserve"> </w:t>
      </w:r>
      <w:r>
        <w:t xml:space="preserve">Gwyer 2019, PMID 30915550.</w:t>
      </w:r>
    </w:p>
  </w:footnote>
  <w:footnote w:id="919">
    <w:p>
      <w:pPr>
        <w:pStyle w:val="FootnoteText"/>
      </w:pPr>
      <w:r>
        <w:rPr>
          <w:rStyle w:val="FootnoteReference"/>
        </w:rPr>
        <w:footnoteRef/>
      </w:r>
      <w:r>
        <w:t xml:space="preserve"> </w:t>
      </w:r>
      <w:r>
        <w:t xml:space="preserve">Demirtaş 2026, PMID 42794771.</w:t>
      </w:r>
    </w:p>
  </w:footnote>
  <w:footnote w:id="920">
    <w:p>
      <w:pPr>
        <w:pStyle w:val="FootnoteText"/>
      </w:pPr>
      <w:r>
        <w:rPr>
          <w:rStyle w:val="FootnoteReference"/>
        </w:rPr>
        <w:footnoteRef/>
      </w:r>
      <w:r>
        <w:t xml:space="preserve"> </w:t>
      </w:r>
      <w:r>
        <w:t xml:space="preserve">Whitehouse 2025, PMID 40759852.</w:t>
      </w:r>
    </w:p>
  </w:footnote>
  <w:footnote w:id="923">
    <w:p>
      <w:pPr>
        <w:pStyle w:val="FootnoteText"/>
      </w:pPr>
      <w:r>
        <w:rPr>
          <w:rStyle w:val="FootnoteReference"/>
        </w:rPr>
        <w:footnoteRef/>
      </w:r>
      <w:r>
        <w:t xml:space="preserve"> </w:t>
      </w:r>
      <w:r>
        <w:t xml:space="preserve">He 2022, PMID 36588717.</w:t>
      </w:r>
    </w:p>
  </w:footnote>
  <w:footnote w:id="924">
    <w:p>
      <w:pPr>
        <w:pStyle w:val="FootnoteText"/>
      </w:pPr>
      <w:r>
        <w:rPr>
          <w:rStyle w:val="FootnoteReference"/>
        </w:rPr>
        <w:footnoteRef/>
      </w:r>
      <w:r>
        <w:t xml:space="preserve"> </w:t>
      </w:r>
      <w:r>
        <w:t xml:space="preserve">Xu 2020, PMID 32334036.</w:t>
      </w:r>
    </w:p>
  </w:footnote>
  <w:footnote w:id="927">
    <w:p>
      <w:pPr>
        <w:pStyle w:val="FootnoteText"/>
      </w:pPr>
      <w:r>
        <w:rPr>
          <w:rStyle w:val="FootnoteReference"/>
        </w:rPr>
        <w:footnoteRef/>
      </w:r>
      <w:r>
        <w:t xml:space="preserve"> </w:t>
      </w:r>
      <w:r>
        <w:t xml:space="preserve">Poolton 2026, PMID 42885452.</w:t>
      </w:r>
    </w:p>
  </w:footnote>
  <w:footnote w:id="929">
    <w:p>
      <w:pPr>
        <w:pStyle w:val="FootnoteText"/>
      </w:pPr>
      <w:r>
        <w:rPr>
          <w:rStyle w:val="FootnoteReference"/>
        </w:rPr>
        <w:footnoteRef/>
      </w:r>
      <w:r>
        <w:t xml:space="preserve"> </w:t>
      </w:r>
      <w:r>
        <w:t xml:space="preserve">Hsieh 2017, PMID 27847966.</w:t>
      </w:r>
    </w:p>
  </w:footnote>
  <w:footnote w:id="930">
    <w:p>
      <w:pPr>
        <w:pStyle w:val="FootnoteText"/>
      </w:pPr>
      <w:r>
        <w:rPr>
          <w:rStyle w:val="FootnoteReference"/>
        </w:rPr>
        <w:footnoteRef/>
      </w:r>
      <w:r>
        <w:t xml:space="preserve"> </w:t>
      </w:r>
      <w:r>
        <w:t xml:space="preserve">Moiz 2026, PMID 42757290.</w:t>
      </w:r>
    </w:p>
  </w:footnote>
  <w:footnote w:id="931">
    <w:p>
      <w:pPr>
        <w:pStyle w:val="FootnoteText"/>
      </w:pPr>
      <w:r>
        <w:rPr>
          <w:rStyle w:val="FootnoteReference"/>
        </w:rPr>
        <w:footnoteRef/>
      </w:r>
      <w:r>
        <w:t xml:space="preserve"> </w:t>
      </w:r>
      <w:r>
        <w:t xml:space="preserve">Sikiric 2025, PMID 40573323.</w:t>
      </w:r>
    </w:p>
  </w:footnote>
  <w:footnote w:id="933">
    <w:p>
      <w:pPr>
        <w:pStyle w:val="FootnoteText"/>
      </w:pPr>
      <w:r>
        <w:rPr>
          <w:rStyle w:val="FootnoteReference"/>
        </w:rPr>
        <w:footnoteRef/>
      </w:r>
      <w:r>
        <w:t xml:space="preserve"> </w:t>
      </w:r>
      <w:r>
        <w:t xml:space="preserve">Tham 2026, PMID 42937313 ; Mendias 2026, PMID 41966639.</w:t>
      </w:r>
    </w:p>
  </w:footnote>
  <w:footnote w:id="934">
    <w:p>
      <w:pPr>
        <w:pStyle w:val="FootnoteText"/>
      </w:pPr>
      <w:r>
        <w:rPr>
          <w:rStyle w:val="FootnoteReference"/>
        </w:rPr>
        <w:footnoteRef/>
      </w:r>
      <w:r>
        <w:t xml:space="preserve"> </w:t>
      </w:r>
      <w:r>
        <w:t xml:space="preserve">Cox 2017, PMID 28035768.</w:t>
      </w:r>
    </w:p>
  </w:footnote>
  <w:footnote w:id="936">
    <w:p>
      <w:pPr>
        <w:pStyle w:val="FootnoteText"/>
      </w:pPr>
      <w:r>
        <w:rPr>
          <w:rStyle w:val="FootnoteReference"/>
        </w:rPr>
        <w:footnoteRef/>
      </w:r>
      <w:r>
        <w:t xml:space="preserve"> </w:t>
      </w:r>
      <w:r>
        <w:t xml:space="preserve">Sikiric 2025, PMID 40573323.</w:t>
      </w:r>
    </w:p>
  </w:footnote>
  <w:footnote w:id="937">
    <w:p>
      <w:pPr>
        <w:pStyle w:val="FootnoteText"/>
      </w:pPr>
      <w:r>
        <w:rPr>
          <w:rStyle w:val="FootnoteReference"/>
        </w:rPr>
        <w:footnoteRef/>
      </w:r>
      <w:r>
        <w:t xml:space="preserve"> </w:t>
      </w:r>
      <w:r>
        <w:t xml:space="preserve">Mendias 2026, PMID 41966639.</w:t>
      </w:r>
    </w:p>
  </w:footnote>
  <w:footnote w:id="940">
    <w:p>
      <w:pPr>
        <w:pStyle w:val="FootnoteText"/>
      </w:pPr>
      <w:r>
        <w:rPr>
          <w:rStyle w:val="FootnoteReference"/>
        </w:rPr>
        <w:footnoteRef/>
      </w:r>
      <w:r>
        <w:t xml:space="preserve"> </w:t>
      </w:r>
      <w:r>
        <w:t xml:space="preserve">Willis 2026, PMID 42752426.</w:t>
      </w:r>
    </w:p>
  </w:footnote>
  <w:footnote w:id="941">
    <w:p>
      <w:pPr>
        <w:pStyle w:val="FootnoteText"/>
      </w:pPr>
      <w:r>
        <w:rPr>
          <w:rStyle w:val="FootnoteReference"/>
        </w:rPr>
        <w:footnoteRef/>
      </w:r>
      <w:r>
        <w:t xml:space="preserve"> </w:t>
      </w:r>
      <w:r>
        <w:t xml:space="preserve">Józwiak 2025, PMID 40005999.</w:t>
      </w:r>
    </w:p>
  </w:footnote>
  <w:footnote w:id="942">
    <w:p>
      <w:pPr>
        <w:pStyle w:val="FootnoteText"/>
      </w:pPr>
      <w:r>
        <w:rPr>
          <w:rStyle w:val="FootnoteReference"/>
        </w:rPr>
        <w:footnoteRef/>
      </w:r>
      <w:r>
        <w:t xml:space="preserve"> </w:t>
      </w:r>
      <w:r>
        <w:t xml:space="preserve">Tian 2023, PMID 37959764.</w:t>
      </w:r>
    </w:p>
  </w:footnote>
  <w:footnote w:id="944">
    <w:p>
      <w:pPr>
        <w:pStyle w:val="FootnoteText"/>
      </w:pPr>
      <w:r>
        <w:rPr>
          <w:rStyle w:val="FootnoteReference"/>
        </w:rPr>
        <w:footnoteRef/>
      </w:r>
      <w:r>
        <w:t xml:space="preserve"> </w:t>
      </w:r>
      <w:r>
        <w:t xml:space="preserve">NCT07437547.</w:t>
      </w:r>
    </w:p>
  </w:footnote>
  <w:footnote w:id="945">
    <w:p>
      <w:pPr>
        <w:pStyle w:val="FootnoteText"/>
      </w:pPr>
      <w:r>
        <w:rPr>
          <w:rStyle w:val="FootnoteReference"/>
        </w:rPr>
        <w:footnoteRef/>
      </w:r>
      <w:r>
        <w:t xml:space="preserve"> </w:t>
      </w:r>
      <w:r>
        <w:t xml:space="preserve">NCT07487363.</w:t>
      </w:r>
    </w:p>
  </w:footnote>
  <w:footnote w:id="946">
    <w:p>
      <w:pPr>
        <w:pStyle w:val="FootnoteText"/>
      </w:pPr>
      <w:r>
        <w:rPr>
          <w:rStyle w:val="FootnoteReference"/>
        </w:rPr>
        <w:footnoteRef/>
      </w:r>
      <w:r>
        <w:t xml:space="preserve"> </w:t>
      </w:r>
      <w:r>
        <w:t xml:space="preserve">NCT07803250.</w:t>
      </w:r>
    </w:p>
  </w:footnote>
  <w:footnote w:id="947">
    <w:p>
      <w:pPr>
        <w:pStyle w:val="FootnoteText"/>
      </w:pPr>
      <w:r>
        <w:rPr>
          <w:rStyle w:val="FootnoteReference"/>
        </w:rPr>
        <w:footnoteRef/>
      </w:r>
      <w:r>
        <w:t xml:space="preserve"> </w:t>
      </w:r>
      <w:r>
        <w:t xml:space="preserve">NCT07752381.</w:t>
      </w:r>
    </w:p>
  </w:footnote>
  <w:footnote w:id="948">
    <w:p>
      <w:pPr>
        <w:pStyle w:val="FootnoteText"/>
      </w:pPr>
      <w:r>
        <w:rPr>
          <w:rStyle w:val="FootnoteReference"/>
        </w:rPr>
        <w:footnoteRef/>
      </w:r>
      <w:r>
        <w:t xml:space="preserve"> </w:t>
      </w:r>
      <w:r>
        <w:t xml:space="preserve">Mateescu 2026, PMID 42198317.</w:t>
      </w:r>
    </w:p>
  </w:footnote>
  <w:footnote w:id="950">
    <w:p>
      <w:pPr>
        <w:pStyle w:val="FootnoteText"/>
      </w:pPr>
      <w:r>
        <w:rPr>
          <w:rStyle w:val="FootnoteReference"/>
        </w:rPr>
        <w:footnoteRef/>
      </w:r>
      <w:r>
        <w:t xml:space="preserve"> </w:t>
      </w:r>
      <w:r>
        <w:t xml:space="preserve">Poolton 2026, PMID 42885452.</w:t>
      </w:r>
    </w:p>
  </w:footnote>
  <w:footnote w:id="951">
    <w:p>
      <w:pPr>
        <w:pStyle w:val="FootnoteText"/>
      </w:pPr>
      <w:r>
        <w:rPr>
          <w:rStyle w:val="FootnoteReference"/>
        </w:rPr>
        <w:footnoteRef/>
      </w:r>
      <w:r>
        <w:t xml:space="preserve"> </w:t>
      </w:r>
      <w:r>
        <w:t xml:space="preserve">NCT07803250.</w:t>
      </w:r>
    </w:p>
  </w:footnote>
  <w:footnote w:id="954">
    <w:p>
      <w:pPr>
        <w:pStyle w:val="FootnoteText"/>
      </w:pPr>
      <w:r>
        <w:rPr>
          <w:rStyle w:val="FootnoteReference"/>
        </w:rPr>
        <w:footnoteRef/>
      </w:r>
      <w:r>
        <w:t xml:space="preserve"> </w:t>
      </w:r>
      <w:r>
        <w:t xml:space="preserve">Esposito 2012, PMID 22962027.</w:t>
      </w:r>
    </w:p>
  </w:footnote>
  <w:footnote w:id="956">
    <w:p>
      <w:pPr>
        <w:pStyle w:val="FootnoteText"/>
      </w:pPr>
      <w:r>
        <w:rPr>
          <w:rStyle w:val="FootnoteReference"/>
        </w:rPr>
        <w:footnoteRef/>
      </w:r>
      <w:r>
        <w:t xml:space="preserve"> </w:t>
      </w:r>
      <w:r>
        <w:t xml:space="preserve">Sosne 2010, PMID 20179146.</w:t>
      </w:r>
    </w:p>
  </w:footnote>
  <w:footnote w:id="957">
    <w:p>
      <w:pPr>
        <w:pStyle w:val="FootnoteText"/>
      </w:pPr>
      <w:r>
        <w:rPr>
          <w:rStyle w:val="FootnoteReference"/>
        </w:rPr>
        <w:footnoteRef/>
      </w:r>
      <w:r>
        <w:t xml:space="preserve"> </w:t>
      </w:r>
      <w:r>
        <w:t xml:space="preserve">Philp 2003, PMID 14500546.</w:t>
      </w:r>
    </w:p>
  </w:footnote>
  <w:footnote w:id="958">
    <w:p>
      <w:pPr>
        <w:pStyle w:val="FootnoteText"/>
      </w:pPr>
      <w:r>
        <w:rPr>
          <w:rStyle w:val="FootnoteReference"/>
        </w:rPr>
        <w:footnoteRef/>
      </w:r>
      <w:r>
        <w:t xml:space="preserve"> </w:t>
      </w:r>
      <w:r>
        <w:t xml:space="preserve">Rahaman 2024, PMID 38382158.</w:t>
      </w:r>
    </w:p>
  </w:footnote>
  <w:footnote w:id="959">
    <w:p>
      <w:pPr>
        <w:pStyle w:val="FootnoteText"/>
      </w:pPr>
      <w:r>
        <w:rPr>
          <w:rStyle w:val="FootnoteReference"/>
        </w:rPr>
        <w:footnoteRef/>
      </w:r>
      <w:r>
        <w:t xml:space="preserve"> </w:t>
      </w:r>
      <w:r>
        <w:t xml:space="preserve">Tham 2026, PMID 42937313.</w:t>
      </w:r>
    </w:p>
  </w:footnote>
  <w:footnote w:id="961">
    <w:p>
      <w:pPr>
        <w:pStyle w:val="FootnoteText"/>
      </w:pPr>
      <w:r>
        <w:rPr>
          <w:rStyle w:val="FootnoteReference"/>
        </w:rPr>
        <w:footnoteRef/>
      </w:r>
      <w:r>
        <w:t xml:space="preserve"> </w:t>
      </w:r>
      <w:r>
        <w:t xml:space="preserve">Sosne 2015, PMID 25826322.</w:t>
      </w:r>
    </w:p>
  </w:footnote>
  <w:footnote w:id="962">
    <w:p>
      <w:pPr>
        <w:pStyle w:val="FootnoteText"/>
      </w:pPr>
      <w:r>
        <w:rPr>
          <w:rStyle w:val="FootnoteReference"/>
        </w:rPr>
        <w:footnoteRef/>
      </w:r>
      <w:r>
        <w:t xml:space="preserve"> </w:t>
      </w:r>
      <w:r>
        <w:t xml:space="preserve">Sosne 2015, PMID 26056426.</w:t>
      </w:r>
    </w:p>
  </w:footnote>
  <w:footnote w:id="963">
    <w:p>
      <w:pPr>
        <w:pStyle w:val="FootnoteText"/>
      </w:pPr>
      <w:r>
        <w:rPr>
          <w:rStyle w:val="FootnoteReference"/>
        </w:rPr>
        <w:footnoteRef/>
      </w:r>
      <w:r>
        <w:t xml:space="preserve"> </w:t>
      </w:r>
      <w:r>
        <w:t xml:space="preserve">NCT02974907 ; NCT03937882.</w:t>
      </w:r>
    </w:p>
  </w:footnote>
  <w:footnote w:id="964">
    <w:p>
      <w:pPr>
        <w:pStyle w:val="FootnoteText"/>
      </w:pPr>
      <w:r>
        <w:rPr>
          <w:rStyle w:val="FootnoteReference"/>
        </w:rPr>
        <w:footnoteRef/>
      </w:r>
      <w:r>
        <w:t xml:space="preserve"> </w:t>
      </w:r>
      <w:r>
        <w:t xml:space="preserve">Sosne 2022, PMID 36613994.</w:t>
      </w:r>
    </w:p>
  </w:footnote>
  <w:footnote w:id="965">
    <w:p>
      <w:pPr>
        <w:pStyle w:val="FootnoteText"/>
      </w:pPr>
      <w:r>
        <w:rPr>
          <w:rStyle w:val="FootnoteReference"/>
        </w:rPr>
        <w:footnoteRef/>
      </w:r>
      <w:r>
        <w:t xml:space="preserve"> </w:t>
      </w:r>
      <w:r>
        <w:t xml:space="preserve">Kruoch 2025, PMID 41347649.</w:t>
      </w:r>
    </w:p>
  </w:footnote>
  <w:footnote w:id="967">
    <w:p>
      <w:pPr>
        <w:pStyle w:val="FootnoteText"/>
      </w:pPr>
      <w:r>
        <w:rPr>
          <w:rStyle w:val="FootnoteReference"/>
        </w:rPr>
        <w:footnoteRef/>
      </w:r>
      <w:r>
        <w:t xml:space="preserve"> </w:t>
      </w:r>
      <w:r>
        <w:t xml:space="preserve">Zhang 2025, PMID 41229390.</w:t>
      </w:r>
    </w:p>
  </w:footnote>
  <w:footnote w:id="969">
    <w:p>
      <w:pPr>
        <w:pStyle w:val="FootnoteText"/>
      </w:pPr>
      <w:r>
        <w:rPr>
          <w:rStyle w:val="FootnoteReference"/>
        </w:rPr>
        <w:footnoteRef/>
      </w:r>
      <w:r>
        <w:t xml:space="preserve"> </w:t>
      </w:r>
      <w:r>
        <w:t xml:space="preserve">Guarnera 2010, PMID 20536470.</w:t>
      </w:r>
    </w:p>
  </w:footnote>
  <w:footnote w:id="970">
    <w:p>
      <w:pPr>
        <w:pStyle w:val="FootnoteText"/>
      </w:pPr>
      <w:r>
        <w:rPr>
          <w:rStyle w:val="FootnoteReference"/>
        </w:rPr>
        <w:footnoteRef/>
      </w:r>
      <w:r>
        <w:t xml:space="preserve"> </w:t>
      </w:r>
      <w:r>
        <w:t xml:space="preserve">NCT00311766.</w:t>
      </w:r>
    </w:p>
  </w:footnote>
  <w:footnote w:id="972">
    <w:p>
      <w:pPr>
        <w:pStyle w:val="FootnoteText"/>
      </w:pPr>
      <w:r>
        <w:rPr>
          <w:rStyle w:val="FootnoteReference"/>
        </w:rPr>
        <w:footnoteRef/>
      </w:r>
      <w:r>
        <w:t xml:space="preserve"> </w:t>
      </w:r>
      <w:r>
        <w:t xml:space="preserve">NCT07487363.</w:t>
      </w:r>
    </w:p>
  </w:footnote>
  <w:footnote w:id="973">
    <w:p>
      <w:pPr>
        <w:pStyle w:val="FootnoteText"/>
      </w:pPr>
      <w:r>
        <w:rPr>
          <w:rStyle w:val="FootnoteReference"/>
        </w:rPr>
        <w:footnoteRef/>
      </w:r>
      <w:r>
        <w:t xml:space="preserve"> </w:t>
      </w:r>
      <w:r>
        <w:t xml:space="preserve">Lee 2021, PMID 34324435.</w:t>
      </w:r>
    </w:p>
  </w:footnote>
  <w:footnote w:id="976">
    <w:p>
      <w:pPr>
        <w:pStyle w:val="FootnoteText"/>
      </w:pPr>
      <w:r>
        <w:rPr>
          <w:rStyle w:val="FootnoteReference"/>
        </w:rPr>
        <w:footnoteRef/>
      </w:r>
      <w:r>
        <w:t xml:space="preserve"> </w:t>
      </w:r>
      <w:r>
        <w:t xml:space="preserve">Bock-Marquette 2004, PMID 15565145.</w:t>
      </w:r>
    </w:p>
  </w:footnote>
  <w:footnote w:id="977">
    <w:p>
      <w:pPr>
        <w:pStyle w:val="FootnoteText"/>
      </w:pPr>
      <w:r>
        <w:rPr>
          <w:rStyle w:val="FootnoteReference"/>
        </w:rPr>
        <w:footnoteRef/>
      </w:r>
      <w:r>
        <w:t xml:space="preserve"> </w:t>
      </w:r>
      <w:r>
        <w:t xml:space="preserve">Smart 2007, PMID 17108969.</w:t>
      </w:r>
    </w:p>
  </w:footnote>
  <w:footnote w:id="978">
    <w:p>
      <w:pPr>
        <w:pStyle w:val="FootnoteText"/>
      </w:pPr>
      <w:r>
        <w:rPr>
          <w:rStyle w:val="FootnoteReference"/>
        </w:rPr>
        <w:footnoteRef/>
      </w:r>
      <w:r>
        <w:t xml:space="preserve"> </w:t>
      </w:r>
      <w:r>
        <w:t xml:space="preserve">Kispert 2012, PMID 22019445.</w:t>
      </w:r>
    </w:p>
  </w:footnote>
  <w:footnote w:id="979">
    <w:p>
      <w:pPr>
        <w:pStyle w:val="FootnoteText"/>
      </w:pPr>
      <w:r>
        <w:rPr>
          <w:rStyle w:val="FootnoteReference"/>
        </w:rPr>
        <w:footnoteRef/>
      </w:r>
      <w:r>
        <w:t xml:space="preserve"> </w:t>
      </w:r>
      <w:r>
        <w:t xml:space="preserve">Tao 2024, PMID 38757041.</w:t>
      </w:r>
    </w:p>
  </w:footnote>
  <w:footnote w:id="980">
    <w:p>
      <w:pPr>
        <w:pStyle w:val="FootnoteText"/>
      </w:pPr>
      <w:r>
        <w:rPr>
          <w:rStyle w:val="FootnoteReference"/>
        </w:rPr>
        <w:footnoteRef/>
      </w:r>
      <w:r>
        <w:t xml:space="preserve"> </w:t>
      </w:r>
      <w:r>
        <w:t xml:space="preserve">Brady 2014, PMID 25042765.</w:t>
      </w:r>
    </w:p>
  </w:footnote>
  <w:footnote w:id="981">
    <w:p>
      <w:pPr>
        <w:pStyle w:val="FootnoteText"/>
      </w:pPr>
      <w:r>
        <w:rPr>
          <w:rStyle w:val="FootnoteReference"/>
        </w:rPr>
        <w:footnoteRef/>
      </w:r>
      <w:r>
        <w:t xml:space="preserve"> </w:t>
      </w:r>
      <w:r>
        <w:t xml:space="preserve">Tham 2026, PMID 42937313.</w:t>
      </w:r>
    </w:p>
  </w:footnote>
  <w:footnote w:id="982">
    <w:p>
      <w:pPr>
        <w:pStyle w:val="FootnoteText"/>
      </w:pPr>
      <w:r>
        <w:rPr>
          <w:rStyle w:val="FootnoteReference"/>
        </w:rPr>
        <w:footnoteRef/>
      </w:r>
      <w:r>
        <w:t xml:space="preserve"> </w:t>
      </w:r>
      <w:r>
        <w:t xml:space="preserve">Biçer 2026, PMID 42542926.</w:t>
      </w:r>
    </w:p>
  </w:footnote>
  <w:footnote w:id="984">
    <w:p>
      <w:pPr>
        <w:pStyle w:val="FootnoteText"/>
      </w:pPr>
      <w:r>
        <w:rPr>
          <w:rStyle w:val="FootnoteReference"/>
        </w:rPr>
        <w:footnoteRef/>
      </w:r>
      <w:r>
        <w:t xml:space="preserve"> </w:t>
      </w:r>
      <w:r>
        <w:t xml:space="preserve">Ruff 2010, PMID 20536472.</w:t>
      </w:r>
    </w:p>
  </w:footnote>
  <w:footnote w:id="985">
    <w:p>
      <w:pPr>
        <w:pStyle w:val="FootnoteText"/>
      </w:pPr>
      <w:r>
        <w:rPr>
          <w:rStyle w:val="FootnoteReference"/>
        </w:rPr>
        <w:footnoteRef/>
      </w:r>
      <w:r>
        <w:t xml:space="preserve"> </w:t>
      </w:r>
      <w:r>
        <w:t xml:space="preserve">Wang 2021, PMID 34346165.</w:t>
      </w:r>
    </w:p>
  </w:footnote>
  <w:footnote w:id="987">
    <w:p>
      <w:pPr>
        <w:pStyle w:val="FootnoteText"/>
      </w:pPr>
      <w:r>
        <w:rPr>
          <w:rStyle w:val="FootnoteReference"/>
        </w:rPr>
        <w:footnoteRef/>
      </w:r>
      <w:r>
        <w:t xml:space="preserve"> </w:t>
      </w:r>
      <w:r>
        <w:t xml:space="preserve">Wang 2016, PMID 27596300.</w:t>
      </w:r>
    </w:p>
  </w:footnote>
  <w:footnote w:id="988">
    <w:p>
      <w:pPr>
        <w:pStyle w:val="FootnoteText"/>
      </w:pPr>
      <w:r>
        <w:rPr>
          <w:rStyle w:val="FootnoteReference"/>
        </w:rPr>
        <w:footnoteRef/>
      </w:r>
      <w:r>
        <w:t xml:space="preserve"> </w:t>
      </w:r>
      <w:r>
        <w:t xml:space="preserve">Larsson 2007, PMID 17495241.</w:t>
      </w:r>
    </w:p>
  </w:footnote>
  <w:footnote w:id="990">
    <w:p>
      <w:pPr>
        <w:pStyle w:val="FootnoteText"/>
      </w:pPr>
      <w:r>
        <w:rPr>
          <w:rStyle w:val="FootnoteReference"/>
        </w:rPr>
        <w:footnoteRef/>
      </w:r>
      <w:r>
        <w:t xml:space="preserve"> </w:t>
      </w:r>
      <w:r>
        <w:t xml:space="preserve">Delcourt 2023, PMID 36482504.</w:t>
      </w:r>
    </w:p>
  </w:footnote>
  <w:footnote w:id="991">
    <w:p>
      <w:pPr>
        <w:pStyle w:val="FootnoteText"/>
      </w:pPr>
      <w:r>
        <w:rPr>
          <w:rStyle w:val="FootnoteReference"/>
        </w:rPr>
        <w:footnoteRef/>
      </w:r>
      <w:r>
        <w:t xml:space="preserve"> </w:t>
      </w:r>
      <w:r>
        <w:t xml:space="preserve">Ho 2012, PMID 23084823.</w:t>
      </w:r>
    </w:p>
  </w:footnote>
  <w:footnote w:id="994">
    <w:p>
      <w:pPr>
        <w:pStyle w:val="FootnoteText"/>
      </w:pPr>
      <w:r>
        <w:rPr>
          <w:rStyle w:val="FootnoteReference"/>
        </w:rPr>
        <w:footnoteRef/>
      </w:r>
      <w:r>
        <w:t xml:space="preserve"> </w:t>
      </w:r>
      <w:r>
        <w:t xml:space="preserve">Willis 2026, PMID 42752426.</w:t>
      </w:r>
    </w:p>
  </w:footnote>
  <w:footnote w:id="995">
    <w:p>
      <w:pPr>
        <w:pStyle w:val="FootnoteText"/>
      </w:pPr>
      <w:r>
        <w:rPr>
          <w:rStyle w:val="FootnoteReference"/>
        </w:rPr>
        <w:footnoteRef/>
      </w:r>
      <w:r>
        <w:t xml:space="preserve"> </w:t>
      </w:r>
      <w:r>
        <w:t xml:space="preserve">Delcourt 2025, PMID 39314109.</w:t>
      </w:r>
    </w:p>
  </w:footnote>
  <w:footnote w:id="997">
    <w:p>
      <w:pPr>
        <w:pStyle w:val="FootnoteText"/>
      </w:pPr>
      <w:r>
        <w:rPr>
          <w:rStyle w:val="FootnoteReference"/>
        </w:rPr>
        <w:footnoteRef/>
      </w:r>
      <w:r>
        <w:t xml:space="preserve"> </w:t>
      </w:r>
      <w:r>
        <w:t xml:space="preserve">NCT05555589.</w:t>
      </w:r>
    </w:p>
  </w:footnote>
  <w:footnote w:id="998">
    <w:p>
      <w:pPr>
        <w:pStyle w:val="FootnoteText"/>
      </w:pPr>
      <w:r>
        <w:rPr>
          <w:rStyle w:val="FootnoteReference"/>
        </w:rPr>
        <w:footnoteRef/>
      </w:r>
      <w:r>
        <w:t xml:space="preserve"> </w:t>
      </w:r>
      <w:r>
        <w:t xml:space="preserve">NCT07586865.</w:t>
      </w:r>
    </w:p>
  </w:footnote>
  <w:footnote w:id="999">
    <w:p>
      <w:pPr>
        <w:pStyle w:val="FootnoteText"/>
      </w:pPr>
      <w:r>
        <w:rPr>
          <w:rStyle w:val="FootnoteReference"/>
        </w:rPr>
        <w:footnoteRef/>
      </w:r>
      <w:r>
        <w:t xml:space="preserve"> </w:t>
      </w:r>
      <w:r>
        <w:t xml:space="preserve">NCT05485818 ; NCT05984134.</w:t>
      </w:r>
    </w:p>
  </w:footnote>
  <w:footnote w:id="1001">
    <w:p>
      <w:pPr>
        <w:pStyle w:val="FootnoteText"/>
      </w:pPr>
      <w:r>
        <w:rPr>
          <w:rStyle w:val="FootnoteReference"/>
        </w:rPr>
        <w:footnoteRef/>
      </w:r>
      <w:r>
        <w:t xml:space="preserve"> </w:t>
      </w:r>
      <w:r>
        <w:t xml:space="preserve">Zhang 2025, PMID 41229390.</w:t>
      </w:r>
    </w:p>
  </w:footnote>
  <w:footnote w:id="1004">
    <w:p>
      <w:pPr>
        <w:pStyle w:val="FootnoteText"/>
      </w:pPr>
      <w:r>
        <w:rPr>
          <w:rStyle w:val="FootnoteReference"/>
        </w:rPr>
        <w:footnoteRef/>
      </w:r>
      <w:r>
        <w:t xml:space="preserve"> </w:t>
      </w:r>
      <w:r>
        <w:t xml:space="preserve">Iino 2005, PMID 15850471.</w:t>
      </w:r>
    </w:p>
  </w:footnote>
  <w:footnote w:id="1005">
    <w:p>
      <w:pPr>
        <w:pStyle w:val="FootnoteText"/>
      </w:pPr>
      <w:r>
        <w:rPr>
          <w:rStyle w:val="FootnoteReference"/>
        </w:rPr>
        <w:footnoteRef/>
      </w:r>
      <w:r>
        <w:t xml:space="preserve"> </w:t>
      </w:r>
      <w:r>
        <w:t xml:space="preserve">Dinetz 2024, PMID 38308608.</w:t>
      </w:r>
    </w:p>
  </w:footnote>
  <w:footnote w:id="1007">
    <w:p>
      <w:pPr>
        <w:pStyle w:val="FootnoteText"/>
      </w:pPr>
      <w:r>
        <w:rPr>
          <w:rStyle w:val="FootnoteReference"/>
        </w:rPr>
        <w:footnoteRef/>
      </w:r>
      <w:r>
        <w:t xml:space="preserve"> </w:t>
      </w:r>
      <w:r>
        <w:t xml:space="preserve">Garaci 2007, PMID 17600290.</w:t>
      </w:r>
    </w:p>
  </w:footnote>
  <w:footnote w:id="1008">
    <w:p>
      <w:pPr>
        <w:pStyle w:val="FootnoteText"/>
      </w:pPr>
      <w:r>
        <w:rPr>
          <w:rStyle w:val="FootnoteReference"/>
        </w:rPr>
        <w:footnoteRef/>
      </w:r>
      <w:r>
        <w:t xml:space="preserve"> </w:t>
      </w:r>
      <w:r>
        <w:t xml:space="preserve">Ancell 2001, PMID 11381492.</w:t>
      </w:r>
    </w:p>
  </w:footnote>
  <w:footnote w:id="1010">
    <w:p>
      <w:pPr>
        <w:pStyle w:val="FootnoteText"/>
      </w:pPr>
      <w:r>
        <w:rPr>
          <w:rStyle w:val="FootnoteReference"/>
        </w:rPr>
        <w:footnoteRef/>
      </w:r>
      <w:r>
        <w:t xml:space="preserve"> </w:t>
      </w:r>
      <w:r>
        <w:t xml:space="preserve">Dinetz 2024, PMID 38308608.</w:t>
      </w:r>
    </w:p>
  </w:footnote>
  <w:footnote w:id="1012">
    <w:p>
      <w:pPr>
        <w:pStyle w:val="FootnoteText"/>
      </w:pPr>
      <w:r>
        <w:rPr>
          <w:rStyle w:val="FootnoteReference"/>
        </w:rPr>
        <w:footnoteRef/>
      </w:r>
      <w:r>
        <w:t xml:space="preserve"> </w:t>
      </w:r>
      <w:r>
        <w:t xml:space="preserve">Chien 1998, PMID 9581695.</w:t>
      </w:r>
    </w:p>
  </w:footnote>
  <w:footnote w:id="1013">
    <w:p>
      <w:pPr>
        <w:pStyle w:val="FootnoteText"/>
      </w:pPr>
      <w:r>
        <w:rPr>
          <w:rStyle w:val="FootnoteReference"/>
        </w:rPr>
        <w:footnoteRef/>
      </w:r>
      <w:r>
        <w:t xml:space="preserve"> </w:t>
      </w:r>
      <w:r>
        <w:t xml:space="preserve">Mutchnick 1999, PMID 10607256.</w:t>
      </w:r>
    </w:p>
  </w:footnote>
  <w:footnote w:id="1014">
    <w:p>
      <w:pPr>
        <w:pStyle w:val="FootnoteText"/>
      </w:pPr>
      <w:r>
        <w:rPr>
          <w:rStyle w:val="FootnoteReference"/>
        </w:rPr>
        <w:footnoteRef/>
      </w:r>
      <w:r>
        <w:t xml:space="preserve"> </w:t>
      </w:r>
      <w:r>
        <w:t xml:space="preserve">Yang 2008, PMID 18078676.</w:t>
      </w:r>
    </w:p>
  </w:footnote>
  <w:footnote w:id="1015">
    <w:p>
      <w:pPr>
        <w:pStyle w:val="FootnoteText"/>
      </w:pPr>
      <w:r>
        <w:rPr>
          <w:rStyle w:val="FootnoteReference"/>
        </w:rPr>
        <w:footnoteRef/>
      </w:r>
      <w:r>
        <w:t xml:space="preserve"> </w:t>
      </w:r>
      <w:r>
        <w:t xml:space="preserve">Wu 2018, PMID 30063860.</w:t>
      </w:r>
    </w:p>
  </w:footnote>
  <w:footnote w:id="1016">
    <w:p>
      <w:pPr>
        <w:pStyle w:val="FootnoteText"/>
      </w:pPr>
      <w:r>
        <w:rPr>
          <w:rStyle w:val="FootnoteReference"/>
        </w:rPr>
        <w:footnoteRef/>
      </w:r>
      <w:r>
        <w:t xml:space="preserve"> </w:t>
      </w:r>
      <w:r>
        <w:t xml:space="preserve">Peng 2020, PMID 33076834.</w:t>
      </w:r>
    </w:p>
  </w:footnote>
  <w:footnote w:id="1017">
    <w:p>
      <w:pPr>
        <w:pStyle w:val="FootnoteText"/>
      </w:pPr>
      <w:r>
        <w:rPr>
          <w:rStyle w:val="FootnoteReference"/>
        </w:rPr>
        <w:footnoteRef/>
      </w:r>
      <w:r>
        <w:t xml:space="preserve"> </w:t>
      </w:r>
      <w:r>
        <w:t xml:space="preserve">Chen 2022, PMID 35616850.</w:t>
      </w:r>
    </w:p>
  </w:footnote>
  <w:footnote w:id="1018">
    <w:p>
      <w:pPr>
        <w:pStyle w:val="FootnoteText"/>
      </w:pPr>
      <w:r>
        <w:rPr>
          <w:rStyle w:val="FootnoteReference"/>
        </w:rPr>
        <w:footnoteRef/>
      </w:r>
      <w:r>
        <w:t xml:space="preserve"> </w:t>
      </w:r>
      <w:r>
        <w:t xml:space="preserve">Sherman 1998, PMID 9537454 ; Andreone 2004, PMID 14738560.</w:t>
      </w:r>
    </w:p>
  </w:footnote>
  <w:footnote w:id="1020">
    <w:p>
      <w:pPr>
        <w:pStyle w:val="FootnoteText"/>
      </w:pPr>
      <w:r>
        <w:rPr>
          <w:rStyle w:val="FootnoteReference"/>
        </w:rPr>
        <w:footnoteRef/>
      </w:r>
      <w:r>
        <w:t xml:space="preserve"> </w:t>
      </w:r>
      <w:r>
        <w:t xml:space="preserve">Wu 2013, PMID 23327199.</w:t>
      </w:r>
    </w:p>
  </w:footnote>
  <w:footnote w:id="1021">
    <w:p>
      <w:pPr>
        <w:pStyle w:val="FootnoteText"/>
      </w:pPr>
      <w:r>
        <w:rPr>
          <w:rStyle w:val="FootnoteReference"/>
        </w:rPr>
        <w:footnoteRef/>
      </w:r>
      <w:r>
        <w:t xml:space="preserve"> </w:t>
      </w:r>
      <w:r>
        <w:t xml:space="preserve">Wu 2025, PMID 39814420.</w:t>
      </w:r>
    </w:p>
  </w:footnote>
  <w:footnote w:id="1022">
    <w:p>
      <w:pPr>
        <w:pStyle w:val="FootnoteText"/>
      </w:pPr>
      <w:r>
        <w:rPr>
          <w:rStyle w:val="FootnoteReference"/>
        </w:rPr>
        <w:footnoteRef/>
      </w:r>
      <w:r>
        <w:t xml:space="preserve"> </w:t>
      </w:r>
      <w:r>
        <w:t xml:space="preserve">Gu 2025, PMID 40969554.</w:t>
      </w:r>
    </w:p>
  </w:footnote>
  <w:footnote w:id="1023">
    <w:p>
      <w:pPr>
        <w:pStyle w:val="FootnoteText"/>
      </w:pPr>
      <w:r>
        <w:rPr>
          <w:rStyle w:val="FootnoteReference"/>
        </w:rPr>
        <w:footnoteRef/>
      </w:r>
      <w:r>
        <w:t xml:space="preserve"> </w:t>
      </w:r>
      <w:r>
        <w:t xml:space="preserve">Luo 2026, PMID 42205841.</w:t>
      </w:r>
    </w:p>
  </w:footnote>
  <w:footnote w:id="1025">
    <w:p>
      <w:pPr>
        <w:pStyle w:val="FootnoteText"/>
      </w:pPr>
      <w:r>
        <w:rPr>
          <w:rStyle w:val="FootnoteReference"/>
        </w:rPr>
        <w:footnoteRef/>
      </w:r>
      <w:r>
        <w:t xml:space="preserve"> </w:t>
      </w:r>
      <w:r>
        <w:t xml:space="preserve">Liu 2020, PMID 32442287.</w:t>
      </w:r>
    </w:p>
  </w:footnote>
  <w:footnote w:id="1026">
    <w:p>
      <w:pPr>
        <w:pStyle w:val="FootnoteText"/>
      </w:pPr>
      <w:r>
        <w:rPr>
          <w:rStyle w:val="FootnoteReference"/>
        </w:rPr>
        <w:footnoteRef/>
      </w:r>
      <w:r>
        <w:t xml:space="preserve"> </w:t>
      </w:r>
      <w:r>
        <w:t xml:space="preserve">Liu 2021, PMID 34408744.</w:t>
      </w:r>
    </w:p>
  </w:footnote>
  <w:footnote w:id="1027">
    <w:p>
      <w:pPr>
        <w:pStyle w:val="FootnoteText"/>
      </w:pPr>
      <w:r>
        <w:rPr>
          <w:rStyle w:val="FootnoteReference"/>
        </w:rPr>
        <w:footnoteRef/>
      </w:r>
      <w:r>
        <w:t xml:space="preserve"> </w:t>
      </w:r>
      <w:r>
        <w:t xml:space="preserve">Shehadeh 2023, PMID 36056913.</w:t>
      </w:r>
    </w:p>
  </w:footnote>
  <w:footnote w:id="1028">
    <w:p>
      <w:pPr>
        <w:pStyle w:val="FootnoteText"/>
      </w:pPr>
      <w:r>
        <w:rPr>
          <w:rStyle w:val="FootnoteReference"/>
        </w:rPr>
        <w:footnoteRef/>
      </w:r>
      <w:r>
        <w:t xml:space="preserve"> </w:t>
      </w:r>
      <w:r>
        <w:t xml:space="preserve">Shang 2023, PMID 36527881.</w:t>
      </w:r>
    </w:p>
  </w:footnote>
  <w:footnote w:id="1029">
    <w:p>
      <w:pPr>
        <w:pStyle w:val="FootnoteText"/>
      </w:pPr>
      <w:r>
        <w:rPr>
          <w:rStyle w:val="FootnoteReference"/>
        </w:rPr>
        <w:footnoteRef/>
      </w:r>
      <w:r>
        <w:t xml:space="preserve"> </w:t>
      </w:r>
      <w:r>
        <w:t xml:space="preserve">Soeroto 2023, PMID 37845598.</w:t>
      </w:r>
    </w:p>
  </w:footnote>
  <w:footnote w:id="1031">
    <w:p>
      <w:pPr>
        <w:pStyle w:val="FootnoteText"/>
      </w:pPr>
      <w:r>
        <w:rPr>
          <w:rStyle w:val="FootnoteReference"/>
        </w:rPr>
        <w:footnoteRef/>
      </w:r>
      <w:r>
        <w:t xml:space="preserve"> </w:t>
      </w:r>
      <w:r>
        <w:t xml:space="preserve">Maio 2010, PMID 20194853.</w:t>
      </w:r>
    </w:p>
  </w:footnote>
  <w:footnote w:id="1032">
    <w:p>
      <w:pPr>
        <w:pStyle w:val="FootnoteText"/>
      </w:pPr>
      <w:r>
        <w:rPr>
          <w:rStyle w:val="FootnoteReference"/>
        </w:rPr>
        <w:footnoteRef/>
      </w:r>
      <w:r>
        <w:t xml:space="preserve"> </w:t>
      </w:r>
      <w:r>
        <w:t xml:space="preserve">Kim 2026, PMID 42797537.</w:t>
      </w:r>
    </w:p>
  </w:footnote>
  <w:footnote w:id="1033">
    <w:p>
      <w:pPr>
        <w:pStyle w:val="FootnoteText"/>
      </w:pPr>
      <w:r>
        <w:rPr>
          <w:rStyle w:val="FootnoteReference"/>
        </w:rPr>
        <w:footnoteRef/>
      </w:r>
      <w:r>
        <w:t xml:space="preserve"> </w:t>
      </w:r>
      <w:r>
        <w:t xml:space="preserve">Xu 2026, PMID 41749205.</w:t>
      </w:r>
    </w:p>
  </w:footnote>
  <w:footnote w:id="1035">
    <w:p>
      <w:pPr>
        <w:pStyle w:val="FootnoteText"/>
      </w:pPr>
      <w:r>
        <w:rPr>
          <w:rStyle w:val="FootnoteReference"/>
        </w:rPr>
        <w:footnoteRef/>
      </w:r>
      <w:r>
        <w:t xml:space="preserve"> </w:t>
      </w:r>
      <w:r>
        <w:t xml:space="preserve">Gravenstein 1989, PMID 2642497.</w:t>
      </w:r>
    </w:p>
  </w:footnote>
  <w:footnote w:id="1036">
    <w:p>
      <w:pPr>
        <w:pStyle w:val="FootnoteText"/>
      </w:pPr>
      <w:r>
        <w:rPr>
          <w:rStyle w:val="FootnoteReference"/>
        </w:rPr>
        <w:footnoteRef/>
      </w:r>
      <w:r>
        <w:t xml:space="preserve"> </w:t>
      </w:r>
      <w:r>
        <w:t xml:space="preserve">Tuthill 2023, PMID 36881981.</w:t>
      </w:r>
    </w:p>
  </w:footnote>
  <w:footnote w:id="1037">
    <w:p>
      <w:pPr>
        <w:pStyle w:val="FootnoteText"/>
      </w:pPr>
      <w:r>
        <w:rPr>
          <w:rStyle w:val="FootnoteReference"/>
        </w:rPr>
        <w:footnoteRef/>
      </w:r>
      <w:r>
        <w:t xml:space="preserve"> </w:t>
      </w:r>
      <w:r>
        <w:t xml:space="preserve">NCT06821100.</w:t>
      </w:r>
    </w:p>
  </w:footnote>
  <w:footnote w:id="1040">
    <w:p>
      <w:pPr>
        <w:pStyle w:val="FootnoteText"/>
      </w:pPr>
      <w:r>
        <w:rPr>
          <w:rStyle w:val="FootnoteReference"/>
        </w:rPr>
        <w:footnoteRef/>
      </w:r>
      <w:r>
        <w:t xml:space="preserve"> </w:t>
      </w:r>
      <w:r>
        <w:t xml:space="preserve">Garaci 2007, PMID 17600290.</w:t>
      </w:r>
    </w:p>
  </w:footnote>
  <w:footnote w:id="1042">
    <w:p>
      <w:pPr>
        <w:pStyle w:val="FootnoteText"/>
      </w:pPr>
      <w:r>
        <w:rPr>
          <w:rStyle w:val="FootnoteReference"/>
        </w:rPr>
        <w:footnoteRef/>
      </w:r>
      <w:r>
        <w:t xml:space="preserve"> </w:t>
      </w:r>
      <w:r>
        <w:t xml:space="preserve">Ancell 2001, PMID 11381492.</w:t>
      </w:r>
    </w:p>
  </w:footnote>
  <w:footnote w:id="1043">
    <w:p>
      <w:pPr>
        <w:pStyle w:val="FootnoteText"/>
      </w:pPr>
      <w:r>
        <w:rPr>
          <w:rStyle w:val="FootnoteReference"/>
        </w:rPr>
        <w:footnoteRef/>
      </w:r>
      <w:r>
        <w:t xml:space="preserve"> </w:t>
      </w:r>
      <w:r>
        <w:t xml:space="preserve">Wu 2025, PMID 39814420.</w:t>
      </w:r>
    </w:p>
  </w:footnote>
  <w:footnote w:id="1044">
    <w:p>
      <w:pPr>
        <w:pStyle w:val="FootnoteText"/>
      </w:pPr>
      <w:r>
        <w:rPr>
          <w:rStyle w:val="FootnoteReference"/>
        </w:rPr>
        <w:footnoteRef/>
      </w:r>
      <w:r>
        <w:t xml:space="preserve"> </w:t>
      </w:r>
      <w:r>
        <w:t xml:space="preserve">Iino 2005, PMID 15850471.</w:t>
      </w:r>
    </w:p>
  </w:footnote>
  <w:footnote w:id="1046">
    <w:p>
      <w:pPr>
        <w:pStyle w:val="FootnoteText"/>
      </w:pPr>
      <w:r>
        <w:rPr>
          <w:rStyle w:val="FootnoteReference"/>
        </w:rPr>
        <w:footnoteRef/>
      </w:r>
      <w:r>
        <w:t xml:space="preserve"> </w:t>
      </w:r>
      <w:r>
        <w:t xml:space="preserve">Wu 2025, PMID 39814420.</w:t>
      </w:r>
    </w:p>
  </w:footnote>
  <w:footnote w:id="1047">
    <w:p>
      <w:pPr>
        <w:pStyle w:val="FootnoteText"/>
      </w:pPr>
      <w:r>
        <w:rPr>
          <w:rStyle w:val="FootnoteReference"/>
        </w:rPr>
        <w:footnoteRef/>
      </w:r>
      <w:r>
        <w:t xml:space="preserve"> </w:t>
      </w:r>
      <w:r>
        <w:t xml:space="preserve">Liu 2021, PMID 34408744.</w:t>
      </w:r>
    </w:p>
  </w:footnote>
  <w:footnote w:id="1048">
    <w:p>
      <w:pPr>
        <w:pStyle w:val="FootnoteText"/>
      </w:pPr>
      <w:r>
        <w:rPr>
          <w:rStyle w:val="FootnoteReference"/>
        </w:rPr>
        <w:footnoteRef/>
      </w:r>
      <w:r>
        <w:t xml:space="preserve"> </w:t>
      </w:r>
      <w:r>
        <w:t xml:space="preserve">Kim 2026, PMID 42797537.</w:t>
      </w:r>
    </w:p>
  </w:footnote>
  <w:footnote w:id="1051">
    <w:p>
      <w:pPr>
        <w:pStyle w:val="FootnoteText"/>
      </w:pPr>
      <w:r>
        <w:rPr>
          <w:rStyle w:val="FootnoteReference"/>
        </w:rPr>
        <w:footnoteRef/>
      </w:r>
      <w:r>
        <w:t xml:space="preserve"> </w:t>
      </w:r>
      <w:r>
        <w:t xml:space="preserve">Dinetz 2024, PMID 38308608.</w:t>
      </w:r>
    </w:p>
  </w:footnote>
  <w:footnote w:id="1052">
    <w:p>
      <w:pPr>
        <w:pStyle w:val="FootnoteText"/>
      </w:pPr>
      <w:r>
        <w:rPr>
          <w:rStyle w:val="FootnoteReference"/>
        </w:rPr>
        <w:footnoteRef/>
      </w:r>
      <w:r>
        <w:t xml:space="preserve"> </w:t>
      </w:r>
      <w:r>
        <w:t xml:space="preserve">Willis 2026, PMID 42752426.</w:t>
      </w:r>
    </w:p>
  </w:footnote>
  <w:footnote w:id="1054">
    <w:p>
      <w:pPr>
        <w:pStyle w:val="FootnoteText"/>
      </w:pPr>
      <w:r>
        <w:rPr>
          <w:rStyle w:val="FootnoteReference"/>
        </w:rPr>
        <w:footnoteRef/>
      </w:r>
      <w:r>
        <w:t xml:space="preserve"> </w:t>
      </w:r>
      <w:r>
        <w:t xml:space="preserve">NCT05086614.</w:t>
      </w:r>
    </w:p>
  </w:footnote>
  <w:footnote w:id="1055">
    <w:p>
      <w:pPr>
        <w:pStyle w:val="FootnoteText"/>
      </w:pPr>
      <w:r>
        <w:rPr>
          <w:rStyle w:val="FootnoteReference"/>
        </w:rPr>
        <w:footnoteRef/>
      </w:r>
      <w:r>
        <w:t xml:space="preserve"> </w:t>
      </w:r>
      <w:r>
        <w:t xml:space="preserve">NCT07884201.</w:t>
      </w:r>
    </w:p>
  </w:footnote>
  <w:footnote w:id="1056">
    <w:p>
      <w:pPr>
        <w:pStyle w:val="FootnoteText"/>
      </w:pPr>
      <w:r>
        <w:rPr>
          <w:rStyle w:val="FootnoteReference"/>
        </w:rPr>
        <w:footnoteRef/>
      </w:r>
      <w:r>
        <w:t xml:space="preserve"> </w:t>
      </w:r>
      <w:r>
        <w:t xml:space="preserve">NCT07866118.</w:t>
      </w:r>
    </w:p>
  </w:footnote>
  <w:footnote w:id="1057">
    <w:p>
      <w:pPr>
        <w:pStyle w:val="FootnoteText"/>
      </w:pPr>
      <w:r>
        <w:rPr>
          <w:rStyle w:val="FootnoteReference"/>
        </w:rPr>
        <w:footnoteRef/>
      </w:r>
      <w:r>
        <w:t xml:space="preserve"> </w:t>
      </w:r>
      <w:r>
        <w:t xml:space="preserve">NCT06821100.</w:t>
      </w:r>
    </w:p>
  </w:footnote>
  <w:footnote w:id="1059">
    <w:p>
      <w:pPr>
        <w:pStyle w:val="FootnoteText"/>
      </w:pPr>
      <w:r>
        <w:rPr>
          <w:rStyle w:val="FootnoteReference"/>
        </w:rPr>
        <w:footnoteRef/>
      </w:r>
      <w:r>
        <w:t xml:space="preserve"> </w:t>
      </w:r>
      <w:r>
        <w:t xml:space="preserve">Wu 2025, PMID 39814420.</w:t>
      </w:r>
    </w:p>
  </w:footnote>
  <w:footnote w:id="1060">
    <w:p>
      <w:pPr>
        <w:pStyle w:val="FootnoteText"/>
      </w:pPr>
      <w:r>
        <w:rPr>
          <w:rStyle w:val="FootnoteReference"/>
        </w:rPr>
        <w:footnoteRef/>
      </w:r>
      <w:r>
        <w:t xml:space="preserve"> </w:t>
      </w:r>
      <w:r>
        <w:t xml:space="preserve">Ke 2022, PMID 35713670.</w:t>
      </w:r>
    </w:p>
  </w:footnote>
  <w:footnote w:id="1061">
    <w:p>
      <w:pPr>
        <w:pStyle w:val="FootnoteText"/>
      </w:pPr>
      <w:r>
        <w:rPr>
          <w:rStyle w:val="FootnoteReference"/>
        </w:rPr>
        <w:footnoteRef/>
      </w:r>
      <w:r>
        <w:t xml:space="preserve"> </w:t>
      </w:r>
      <w:r>
        <w:t xml:space="preserve">Wu 2018, PMID 30063860.</w:t>
      </w:r>
    </w:p>
  </w:footnote>
  <w:footnote w:id="1064">
    <w:p>
      <w:pPr>
        <w:pStyle w:val="FootnoteText"/>
      </w:pPr>
      <w:r>
        <w:rPr>
          <w:rStyle w:val="FootnoteReference"/>
        </w:rPr>
        <w:footnoteRef/>
      </w:r>
      <w:r>
        <w:t xml:space="preserve"> </w:t>
      </w:r>
      <w:r>
        <w:t xml:space="preserve">Cutuli 2000, PMID 10670585.</w:t>
      </w:r>
    </w:p>
  </w:footnote>
  <w:footnote w:id="1066">
    <w:p>
      <w:pPr>
        <w:pStyle w:val="FootnoteText"/>
      </w:pPr>
      <w:r>
        <w:rPr>
          <w:rStyle w:val="FootnoteReference"/>
        </w:rPr>
        <w:footnoteRef/>
      </w:r>
      <w:r>
        <w:t xml:space="preserve"> </w:t>
      </w:r>
      <w:r>
        <w:t xml:space="preserve">Catania 1998, PMID 9700761.</w:t>
      </w:r>
    </w:p>
  </w:footnote>
  <w:footnote w:id="1067">
    <w:p>
      <w:pPr>
        <w:pStyle w:val="FootnoteText"/>
      </w:pPr>
      <w:r>
        <w:rPr>
          <w:rStyle w:val="FootnoteReference"/>
        </w:rPr>
        <w:footnoteRef/>
      </w:r>
      <w:r>
        <w:t xml:space="preserve"> </w:t>
      </w:r>
      <w:r>
        <w:t xml:space="preserve">Getting 2003, PMID 12750433.</w:t>
      </w:r>
    </w:p>
  </w:footnote>
  <w:footnote w:id="1068">
    <w:p>
      <w:pPr>
        <w:pStyle w:val="FootnoteText"/>
      </w:pPr>
      <w:r>
        <w:rPr>
          <w:rStyle w:val="FootnoteReference"/>
        </w:rPr>
        <w:footnoteRef/>
      </w:r>
      <w:r>
        <w:t xml:space="preserve"> </w:t>
      </w:r>
      <w:r>
        <w:t xml:space="preserve">Dalmasso 2008, PMID 18061177.</w:t>
      </w:r>
    </w:p>
  </w:footnote>
  <w:footnote w:id="1069">
    <w:p>
      <w:pPr>
        <w:pStyle w:val="FootnoteText"/>
      </w:pPr>
      <w:r>
        <w:rPr>
          <w:rStyle w:val="FootnoteReference"/>
        </w:rPr>
        <w:footnoteRef/>
      </w:r>
      <w:r>
        <w:t xml:space="preserve"> </w:t>
      </w:r>
      <w:r>
        <w:t xml:space="preserve">Cutuli 2000, PMID 10670585.</w:t>
      </w:r>
    </w:p>
  </w:footnote>
  <w:footnote w:id="1071">
    <w:p>
      <w:pPr>
        <w:pStyle w:val="FootnoteText"/>
      </w:pPr>
      <w:r>
        <w:rPr>
          <w:rStyle w:val="FootnoteReference"/>
        </w:rPr>
        <w:footnoteRef/>
      </w:r>
      <w:r>
        <w:t xml:space="preserve"> </w:t>
      </w:r>
      <w:r>
        <w:t xml:space="preserve">Catania 1998, PMID 9700761.</w:t>
      </w:r>
    </w:p>
  </w:footnote>
  <w:footnote w:id="1072">
    <w:p>
      <w:pPr>
        <w:pStyle w:val="FootnoteText"/>
      </w:pPr>
      <w:r>
        <w:rPr>
          <w:rStyle w:val="FootnoteReference"/>
        </w:rPr>
        <w:footnoteRef/>
      </w:r>
      <w:r>
        <w:t xml:space="preserve"> </w:t>
      </w:r>
      <w:r>
        <w:t xml:space="preserve">Elliott 2004, PMID 15102092.</w:t>
      </w:r>
    </w:p>
  </w:footnote>
  <w:footnote w:id="1073">
    <w:p>
      <w:pPr>
        <w:pStyle w:val="FootnoteText"/>
      </w:pPr>
      <w:r>
        <w:rPr>
          <w:rStyle w:val="FootnoteReference"/>
        </w:rPr>
        <w:footnoteRef/>
      </w:r>
      <w:r>
        <w:t xml:space="preserve"> </w:t>
      </w:r>
      <w:r>
        <w:t xml:space="preserve">Pawar 2017, PMID 28343991.</w:t>
      </w:r>
    </w:p>
  </w:footnote>
  <w:footnote w:id="1074">
    <w:p>
      <w:pPr>
        <w:pStyle w:val="FootnoteText"/>
      </w:pPr>
      <w:r>
        <w:rPr>
          <w:rStyle w:val="FootnoteReference"/>
        </w:rPr>
        <w:footnoteRef/>
      </w:r>
      <w:r>
        <w:t xml:space="preserve"> </w:t>
      </w:r>
      <w:r>
        <w:t xml:space="preserve">Gatti 2006, PMID 16413580.</w:t>
      </w:r>
    </w:p>
  </w:footnote>
  <w:footnote w:id="1078">
    <w:p>
      <w:pPr>
        <w:pStyle w:val="FootnoteText"/>
      </w:pPr>
      <w:r>
        <w:rPr>
          <w:rStyle w:val="FootnoteReference"/>
        </w:rPr>
        <w:footnoteRef/>
      </w:r>
      <w:r>
        <w:t xml:space="preserve"> </w:t>
      </w:r>
      <w:r>
        <w:t xml:space="preserve">Cutuli 2000, PMID 10670585.</w:t>
      </w:r>
    </w:p>
  </w:footnote>
  <w:footnote w:id="1079">
    <w:p>
      <w:pPr>
        <w:pStyle w:val="FootnoteText"/>
      </w:pPr>
      <w:r>
        <w:rPr>
          <w:rStyle w:val="FootnoteReference"/>
        </w:rPr>
        <w:footnoteRef/>
      </w:r>
      <w:r>
        <w:t xml:space="preserve"> </w:t>
      </w:r>
      <w:r>
        <w:t xml:space="preserve">Coutinho 2026, PMID 41880199.</w:t>
      </w:r>
    </w:p>
  </w:footnote>
  <w:footnote w:id="1084">
    <w:p>
      <w:pPr>
        <w:pStyle w:val="FootnoteText"/>
      </w:pPr>
      <w:r>
        <w:rPr>
          <w:rStyle w:val="FootnoteReference"/>
        </w:rPr>
        <w:footnoteRef/>
      </w:r>
      <w:r>
        <w:t xml:space="preserve"> </w:t>
      </w:r>
      <w:r>
        <w:t xml:space="preserve">Dalmasso 2008, PMID 18061177 ; Kannengiesser 2008, PMID 18092346.</w:t>
      </w:r>
    </w:p>
  </w:footnote>
  <w:footnote w:id="1087">
    <w:p>
      <w:pPr>
        <w:pStyle w:val="FootnoteText"/>
      </w:pPr>
      <w:r>
        <w:rPr>
          <w:rStyle w:val="FootnoteReference"/>
        </w:rPr>
        <w:footnoteRef/>
      </w:r>
      <w:r>
        <w:t xml:space="preserve"> </w:t>
      </w:r>
      <w:r>
        <w:t xml:space="preserve">Gombart 2005, PMID 15985530.</w:t>
      </w:r>
    </w:p>
  </w:footnote>
  <w:footnote w:id="1089">
    <w:p>
      <w:pPr>
        <w:pStyle w:val="FootnoteText"/>
      </w:pPr>
      <w:r>
        <w:rPr>
          <w:rStyle w:val="FootnoteReference"/>
        </w:rPr>
        <w:footnoteRef/>
      </w:r>
      <w:r>
        <w:t xml:space="preserve"> </w:t>
      </w:r>
      <w:r>
        <w:t xml:space="preserve">Gombart 2005, PMID 15985530.</w:t>
      </w:r>
    </w:p>
  </w:footnote>
  <w:footnote w:id="1090">
    <w:p>
      <w:pPr>
        <w:pStyle w:val="FootnoteText"/>
      </w:pPr>
      <w:r>
        <w:rPr>
          <w:rStyle w:val="FootnoteReference"/>
        </w:rPr>
        <w:footnoteRef/>
      </w:r>
      <w:r>
        <w:t xml:space="preserve"> </w:t>
      </w:r>
      <w:r>
        <w:t xml:space="preserve">Lande 2007, PMID 17873860.</w:t>
      </w:r>
    </w:p>
  </w:footnote>
  <w:footnote w:id="1091">
    <w:p>
      <w:pPr>
        <w:pStyle w:val="FootnoteText"/>
      </w:pPr>
      <w:r>
        <w:rPr>
          <w:rStyle w:val="FootnoteReference"/>
        </w:rPr>
        <w:footnoteRef/>
      </w:r>
      <w:r>
        <w:t xml:space="preserve"> </w:t>
      </w:r>
      <w:r>
        <w:t xml:space="preserve">Lande 2014, PMID 25470744.</w:t>
      </w:r>
    </w:p>
  </w:footnote>
  <w:footnote w:id="1092">
    <w:p>
      <w:pPr>
        <w:pStyle w:val="FootnoteText"/>
      </w:pPr>
      <w:r>
        <w:rPr>
          <w:rStyle w:val="FootnoteReference"/>
        </w:rPr>
        <w:footnoteRef/>
      </w:r>
      <w:r>
        <w:t xml:space="preserve"> </w:t>
      </w:r>
      <w:r>
        <w:t xml:space="preserve">Yamasaki 2007, PMID 17676051.</w:t>
      </w:r>
    </w:p>
  </w:footnote>
  <w:footnote w:id="1094">
    <w:p>
      <w:pPr>
        <w:pStyle w:val="FootnoteText"/>
      </w:pPr>
      <w:r>
        <w:rPr>
          <w:rStyle w:val="FootnoteReference"/>
        </w:rPr>
        <w:footnoteRef/>
      </w:r>
      <w:r>
        <w:t xml:space="preserve"> </w:t>
      </w:r>
      <w:r>
        <w:t xml:space="preserve">Grönberg 2014, PMID 25041740.</w:t>
      </w:r>
    </w:p>
  </w:footnote>
  <w:footnote w:id="1095">
    <w:p>
      <w:pPr>
        <w:pStyle w:val="FootnoteText"/>
      </w:pPr>
      <w:r>
        <w:rPr>
          <w:rStyle w:val="FootnoteReference"/>
        </w:rPr>
        <w:footnoteRef/>
      </w:r>
      <w:r>
        <w:t xml:space="preserve"> </w:t>
      </w:r>
      <w:r>
        <w:t xml:space="preserve">Mahlapuu 2021, PMID 34687253.</w:t>
      </w:r>
    </w:p>
  </w:footnote>
  <w:footnote w:id="1096">
    <w:p>
      <w:pPr>
        <w:pStyle w:val="FootnoteText"/>
      </w:pPr>
      <w:r>
        <w:rPr>
          <w:rStyle w:val="FootnoteReference"/>
        </w:rPr>
        <w:footnoteRef/>
      </w:r>
      <w:r>
        <w:t xml:space="preserve"> </w:t>
      </w:r>
      <w:r>
        <w:t xml:space="preserve">Miranda 2023, PMID 37480520.</w:t>
      </w:r>
    </w:p>
  </w:footnote>
  <w:footnote w:id="1097">
    <w:p>
      <w:pPr>
        <w:pStyle w:val="FootnoteText"/>
      </w:pPr>
      <w:r>
        <w:rPr>
          <w:rStyle w:val="FootnoteReference"/>
        </w:rPr>
        <w:footnoteRef/>
      </w:r>
      <w:r>
        <w:t xml:space="preserve"> </w:t>
      </w:r>
      <w:r>
        <w:t xml:space="preserve">Zhao 2023, PMID 37605995.</w:t>
      </w:r>
    </w:p>
  </w:footnote>
  <w:footnote w:id="1099">
    <w:p>
      <w:pPr>
        <w:pStyle w:val="FootnoteText"/>
      </w:pPr>
      <w:r>
        <w:rPr>
          <w:rStyle w:val="FootnoteReference"/>
        </w:rPr>
        <w:footnoteRef/>
      </w:r>
      <w:r>
        <w:t xml:space="preserve"> </w:t>
      </w:r>
      <w:r>
        <w:t xml:space="preserve">Majewski 2017, PMID 28956425.</w:t>
      </w:r>
    </w:p>
  </w:footnote>
  <w:footnote w:id="1100">
    <w:p>
      <w:pPr>
        <w:pStyle w:val="FootnoteText"/>
      </w:pPr>
      <w:r>
        <w:rPr>
          <w:rStyle w:val="FootnoteReference"/>
        </w:rPr>
        <w:footnoteRef/>
      </w:r>
      <w:r>
        <w:t xml:space="preserve"> </w:t>
      </w:r>
      <w:r>
        <w:t xml:space="preserve">Savonius 2018, PMID 28827496.</w:t>
      </w:r>
    </w:p>
  </w:footnote>
  <w:footnote w:id="1101">
    <w:p>
      <w:pPr>
        <w:pStyle w:val="FootnoteText"/>
      </w:pPr>
      <w:r>
        <w:rPr>
          <w:rStyle w:val="FootnoteReference"/>
        </w:rPr>
        <w:footnoteRef/>
      </w:r>
      <w:r>
        <w:t xml:space="preserve"> </w:t>
      </w:r>
      <w:r>
        <w:t xml:space="preserve">Quraishi 2015, PMID 26086941.</w:t>
      </w:r>
    </w:p>
  </w:footnote>
  <w:footnote w:id="1103">
    <w:p>
      <w:pPr>
        <w:pStyle w:val="FootnoteText"/>
      </w:pPr>
      <w:r>
        <w:rPr>
          <w:rStyle w:val="FootnoteReference"/>
        </w:rPr>
        <w:footnoteRef/>
      </w:r>
      <w:r>
        <w:t xml:space="preserve"> </w:t>
      </w:r>
      <w:r>
        <w:t xml:space="preserve">Mily 2015, PMID 26394045.</w:t>
      </w:r>
    </w:p>
  </w:footnote>
  <w:footnote w:id="1106">
    <w:p>
      <w:pPr>
        <w:pStyle w:val="FootnoteText"/>
      </w:pPr>
      <w:r>
        <w:rPr>
          <w:rStyle w:val="FootnoteReference"/>
        </w:rPr>
        <w:footnoteRef/>
      </w:r>
      <w:r>
        <w:t xml:space="preserve"> </w:t>
      </w:r>
      <w:r>
        <w:t xml:space="preserve">Chen 2018, PMID 29843147.</w:t>
      </w:r>
    </w:p>
  </w:footnote>
  <w:footnote w:id="1107">
    <w:p>
      <w:pPr>
        <w:pStyle w:val="FootnoteText"/>
      </w:pPr>
      <w:r>
        <w:rPr>
          <w:rStyle w:val="FootnoteReference"/>
        </w:rPr>
        <w:footnoteRef/>
      </w:r>
      <w:r>
        <w:t xml:space="preserve"> </w:t>
      </w:r>
      <w:r>
        <w:t xml:space="preserve">Gombart 2005, PMID 15985530.</w:t>
      </w:r>
    </w:p>
  </w:footnote>
  <w:footnote w:id="1109">
    <w:p>
      <w:pPr>
        <w:pStyle w:val="FootnoteText"/>
      </w:pPr>
      <w:r>
        <w:rPr>
          <w:rStyle w:val="FootnoteReference"/>
        </w:rPr>
        <w:footnoteRef/>
      </w:r>
      <w:r>
        <w:t xml:space="preserve"> </w:t>
      </w:r>
      <w:r>
        <w:t xml:space="preserve">Grönberg 2014, PMID 25041740 ; Mahlapuu 2021, PMID 34687253.</w:t>
      </w:r>
    </w:p>
  </w:footnote>
  <w:footnote w:id="1110">
    <w:p>
      <w:pPr>
        <w:pStyle w:val="FootnoteText"/>
      </w:pPr>
      <w:r>
        <w:rPr>
          <w:rStyle w:val="FootnoteReference"/>
        </w:rPr>
        <w:footnoteRef/>
      </w:r>
      <w:r>
        <w:t xml:space="preserve"> </w:t>
      </w:r>
      <w:r>
        <w:t xml:space="preserve">Dolkar 2018, PMID 29665030.</w:t>
      </w:r>
    </w:p>
  </w:footnote>
  <w:footnote w:id="1112">
    <w:p>
      <w:pPr>
        <w:pStyle w:val="FootnoteText"/>
      </w:pPr>
      <w:r>
        <w:rPr>
          <w:rStyle w:val="FootnoteReference"/>
        </w:rPr>
        <w:footnoteRef/>
      </w:r>
      <w:r>
        <w:t xml:space="preserve"> </w:t>
      </w:r>
      <w:r>
        <w:t xml:space="preserve">Lande 2007, PMID 17873860 ; Lande 2014, PMID 25470744.</w:t>
      </w:r>
    </w:p>
  </w:footnote>
  <w:footnote w:id="1113">
    <w:p>
      <w:pPr>
        <w:pStyle w:val="FootnoteText"/>
      </w:pPr>
      <w:r>
        <w:rPr>
          <w:rStyle w:val="FootnoteReference"/>
        </w:rPr>
        <w:footnoteRef/>
      </w:r>
      <w:r>
        <w:t xml:space="preserve"> </w:t>
      </w:r>
      <w:r>
        <w:t xml:space="preserve">Yamasaki 2007, PMID 17676051.</w:t>
      </w:r>
    </w:p>
  </w:footnote>
  <w:footnote w:id="1114">
    <w:p>
      <w:pPr>
        <w:pStyle w:val="FootnoteText"/>
      </w:pPr>
      <w:r>
        <w:rPr>
          <w:rStyle w:val="FootnoteReference"/>
        </w:rPr>
        <w:footnoteRef/>
      </w:r>
      <w:r>
        <w:t xml:space="preserve"> </w:t>
      </w:r>
      <w:r>
        <w:t xml:space="preserve">Chen 2018, PMID 29843147.</w:t>
      </w:r>
    </w:p>
  </w:footnote>
  <w:footnote w:id="1119">
    <w:p>
      <w:pPr>
        <w:pStyle w:val="FootnoteText"/>
      </w:pPr>
      <w:r>
        <w:rPr>
          <w:rStyle w:val="FootnoteReference"/>
        </w:rPr>
        <w:footnoteRef/>
      </w:r>
      <w:r>
        <w:t xml:space="preserve"> </w:t>
      </w:r>
      <w:r>
        <w:t xml:space="preserve">Mahlapuu 2021, PMID 34687253.</w:t>
      </w:r>
    </w:p>
  </w:footnote>
  <w:footnote w:id="1122">
    <w:p>
      <w:pPr>
        <w:pStyle w:val="FootnoteText"/>
      </w:pPr>
      <w:r>
        <w:rPr>
          <w:rStyle w:val="FootnoteReference"/>
        </w:rPr>
        <w:footnoteRef/>
      </w:r>
      <w:r>
        <w:t xml:space="preserve"> </w:t>
      </w:r>
      <w:r>
        <w:t xml:space="preserve">Winicki 2022, PMID 36741836.</w:t>
      </w:r>
    </w:p>
  </w:footnote>
  <w:footnote w:id="1123">
    <w:p>
      <w:pPr>
        <w:pStyle w:val="FootnoteText"/>
      </w:pPr>
      <w:r>
        <w:rPr>
          <w:rStyle w:val="FootnoteReference"/>
        </w:rPr>
        <w:footnoteRef/>
      </w:r>
      <w:r>
        <w:t xml:space="preserve"> </w:t>
      </w:r>
      <w:r>
        <w:t xml:space="preserve">Thomas 2017, PMID 28941172.</w:t>
      </w:r>
    </w:p>
  </w:footnote>
  <w:footnote w:id="1125">
    <w:p>
      <w:pPr>
        <w:pStyle w:val="FootnoteText"/>
      </w:pPr>
      <w:r>
        <w:rPr>
          <w:rStyle w:val="FootnoteReference"/>
        </w:rPr>
        <w:footnoteRef/>
      </w:r>
      <w:r>
        <w:t xml:space="preserve"> </w:t>
      </w:r>
      <w:r>
        <w:t xml:space="preserve">Swartjes 2014, PMID 24529189.</w:t>
      </w:r>
    </w:p>
  </w:footnote>
  <w:footnote w:id="1126">
    <w:p>
      <w:pPr>
        <w:pStyle w:val="FootnoteText"/>
      </w:pPr>
      <w:r>
        <w:rPr>
          <w:rStyle w:val="FootnoteReference"/>
        </w:rPr>
        <w:footnoteRef/>
      </w:r>
      <w:r>
        <w:t xml:space="preserve"> </w:t>
      </w:r>
      <w:r>
        <w:t xml:space="preserve">Thomas 2017, PMID 28941172.</w:t>
      </w:r>
    </w:p>
  </w:footnote>
  <w:footnote w:id="1128">
    <w:p>
      <w:pPr>
        <w:pStyle w:val="FootnoteText"/>
      </w:pPr>
      <w:r>
        <w:rPr>
          <w:rStyle w:val="FootnoteReference"/>
        </w:rPr>
        <w:footnoteRef/>
      </w:r>
      <w:r>
        <w:t xml:space="preserve"> </w:t>
      </w:r>
      <w:r>
        <w:t xml:space="preserve">Heij 2012, PMID 23168581.</w:t>
      </w:r>
    </w:p>
  </w:footnote>
  <w:footnote w:id="1129">
    <w:p>
      <w:pPr>
        <w:pStyle w:val="FootnoteText"/>
      </w:pPr>
      <w:r>
        <w:rPr>
          <w:rStyle w:val="FootnoteReference"/>
        </w:rPr>
        <w:footnoteRef/>
      </w:r>
      <w:r>
        <w:t xml:space="preserve"> </w:t>
      </w:r>
      <w:r>
        <w:t xml:space="preserve">Culver 2017, PMID 28475703.</w:t>
      </w:r>
    </w:p>
  </w:footnote>
  <w:footnote w:id="1130">
    <w:p>
      <w:pPr>
        <w:pStyle w:val="FootnoteText"/>
      </w:pPr>
      <w:r>
        <w:rPr>
          <w:rStyle w:val="FootnoteReference"/>
        </w:rPr>
        <w:footnoteRef/>
      </w:r>
      <w:r>
        <w:t xml:space="preserve"> </w:t>
      </w:r>
      <w:r>
        <w:t xml:space="preserve">van Velzen 2014, PMID 24555851.</w:t>
      </w:r>
    </w:p>
  </w:footnote>
  <w:footnote w:id="1132">
    <w:p>
      <w:pPr>
        <w:pStyle w:val="FootnoteText"/>
      </w:pPr>
      <w:r>
        <w:rPr>
          <w:rStyle w:val="FootnoteReference"/>
        </w:rPr>
        <w:footnoteRef/>
      </w:r>
      <w:r>
        <w:t xml:space="preserve"> </w:t>
      </w:r>
      <w:r>
        <w:t xml:space="preserve">Brines 2015, PMID 25387363.</w:t>
      </w:r>
    </w:p>
  </w:footnote>
  <w:footnote w:id="1133">
    <w:p>
      <w:pPr>
        <w:pStyle w:val="FootnoteText"/>
      </w:pPr>
      <w:r>
        <w:rPr>
          <w:rStyle w:val="FootnoteReference"/>
        </w:rPr>
        <w:footnoteRef/>
      </w:r>
      <w:r>
        <w:t xml:space="preserve"> </w:t>
      </w:r>
      <w:r>
        <w:t xml:space="preserve">NCT01933529.</w:t>
      </w:r>
    </w:p>
  </w:footnote>
  <w:footnote w:id="1134">
    <w:p>
      <w:pPr>
        <w:pStyle w:val="FootnoteText"/>
      </w:pPr>
      <w:r>
        <w:rPr>
          <w:rStyle w:val="FootnoteReference"/>
        </w:rPr>
        <w:footnoteRef/>
      </w:r>
      <w:r>
        <w:t xml:space="preserve"> </w:t>
      </w:r>
      <w:r>
        <w:t xml:space="preserve">Lois 2020, PMID 32674280.</w:t>
      </w:r>
    </w:p>
  </w:footnote>
  <w:footnote w:id="1137">
    <w:p>
      <w:pPr>
        <w:pStyle w:val="FootnoteText"/>
      </w:pPr>
      <w:r>
        <w:rPr>
          <w:rStyle w:val="FootnoteReference"/>
        </w:rPr>
        <w:footnoteRef/>
      </w:r>
      <w:r>
        <w:t xml:space="preserve"> </w:t>
      </w:r>
      <w:r>
        <w:t xml:space="preserve">Swartjes 2014, PMID 24529189 ; Pulman 2013, PMID 23262243.</w:t>
      </w:r>
    </w:p>
  </w:footnote>
  <w:footnote w:id="1138">
    <w:p>
      <w:pPr>
        <w:pStyle w:val="FootnoteText"/>
      </w:pPr>
      <w:r>
        <w:rPr>
          <w:rStyle w:val="FootnoteReference"/>
        </w:rPr>
        <w:footnoteRef/>
      </w:r>
      <w:r>
        <w:t xml:space="preserve"> </w:t>
      </w:r>
      <w:r>
        <w:t xml:space="preserve">van Rijt 2013, PMID 23302512.</w:t>
      </w:r>
    </w:p>
  </w:footnote>
  <w:footnote w:id="1139">
    <w:p>
      <w:pPr>
        <w:pStyle w:val="FootnoteText"/>
      </w:pPr>
      <w:r>
        <w:rPr>
          <w:rStyle w:val="FootnoteReference"/>
        </w:rPr>
        <w:footnoteRef/>
      </w:r>
      <w:r>
        <w:t xml:space="preserve"> </w:t>
      </w:r>
      <w:r>
        <w:t xml:space="preserve">Muller 2016, PMID 26736179.</w:t>
      </w:r>
    </w:p>
  </w:footnote>
  <w:footnote w:id="1140">
    <w:p>
      <w:pPr>
        <w:pStyle w:val="FootnoteText"/>
      </w:pPr>
      <w:r>
        <w:rPr>
          <w:rStyle w:val="FootnoteReference"/>
        </w:rPr>
        <w:footnoteRef/>
      </w:r>
      <w:r>
        <w:t xml:space="preserve"> </w:t>
      </w:r>
      <w:r>
        <w:t xml:space="preserve">Al-Onaizi 2022, PMID 34343617.</w:t>
      </w:r>
    </w:p>
  </w:footnote>
  <w:footnote w:id="1141">
    <w:p>
      <w:pPr>
        <w:pStyle w:val="FootnoteText"/>
      </w:pPr>
      <w:r>
        <w:rPr>
          <w:rStyle w:val="FootnoteReference"/>
        </w:rPr>
        <w:footnoteRef/>
      </w:r>
      <w:r>
        <w:t xml:space="preserve"> </w:t>
      </w:r>
      <w:r>
        <w:t xml:space="preserve">Winicki 2022, PMID 36741836.</w:t>
      </w:r>
    </w:p>
  </w:footnote>
  <w:footnote w:id="1143">
    <w:p>
      <w:pPr>
        <w:pStyle w:val="FootnoteText"/>
      </w:pPr>
      <w:r>
        <w:rPr>
          <w:rStyle w:val="FootnoteReference"/>
        </w:rPr>
        <w:footnoteRef/>
      </w:r>
      <w:r>
        <w:t xml:space="preserve"> </w:t>
      </w:r>
      <w:r>
        <w:t xml:space="preserve">Heij 2012, PMID 23168581 ; Brines 2015, PMID 25387363.</w:t>
      </w:r>
    </w:p>
  </w:footnote>
  <w:footnote w:id="1144">
    <w:p>
      <w:pPr>
        <w:pStyle w:val="FootnoteText"/>
      </w:pPr>
      <w:r>
        <w:rPr>
          <w:rStyle w:val="FootnoteReference"/>
        </w:rPr>
        <w:footnoteRef/>
      </w:r>
      <w:r>
        <w:t xml:space="preserve"> </w:t>
      </w:r>
      <w:r>
        <w:t xml:space="preserve">Lois 2020, PMID 32674280.</w:t>
      </w:r>
    </w:p>
  </w:footnote>
  <w:footnote w:id="1149">
    <w:p>
      <w:pPr>
        <w:pStyle w:val="FootnoteText"/>
      </w:pPr>
      <w:r>
        <w:rPr>
          <w:rStyle w:val="FootnoteReference"/>
        </w:rPr>
        <w:footnoteRef/>
      </w:r>
      <w:r>
        <w:t xml:space="preserve"> </w:t>
      </w:r>
      <w:r>
        <w:t xml:space="preserve">NCT02039687.</w:t>
      </w:r>
    </w:p>
  </w:footnote>
  <w:footnote w:id="1150">
    <w:p>
      <w:pPr>
        <w:pStyle w:val="FootnoteText"/>
      </w:pPr>
      <w:r>
        <w:rPr>
          <w:rStyle w:val="FootnoteReference"/>
        </w:rPr>
        <w:footnoteRef/>
      </w:r>
      <w:r>
        <w:t xml:space="preserve"> </w:t>
      </w:r>
      <w:r>
        <w:t xml:space="preserve">NCT06626971.</w:t>
      </w:r>
    </w:p>
  </w:footnote>
  <w:footnote w:id="1152">
    <w:p>
      <w:pPr>
        <w:pStyle w:val="FootnoteText"/>
      </w:pPr>
      <w:r>
        <w:rPr>
          <w:rStyle w:val="FootnoteReference"/>
        </w:rPr>
        <w:footnoteRef/>
      </w:r>
      <w:r>
        <w:t xml:space="preserve"> </w:t>
      </w:r>
      <w:r>
        <w:t xml:space="preserve">Culver 2017, PMID 28475703.</w:t>
      </w:r>
    </w:p>
  </w:footnote>
  <w:footnote w:id="1155">
    <w:p>
      <w:pPr>
        <w:pStyle w:val="FootnoteText"/>
      </w:pPr>
      <w:r>
        <w:rPr>
          <w:rStyle w:val="FootnoteReference"/>
        </w:rPr>
        <w:footnoteRef/>
      </w:r>
      <w:r>
        <w:t xml:space="preserve"> </w:t>
      </w:r>
      <w:r>
        <w:t xml:space="preserve">Gopalakrishnan 2012, PMID 22401908.</w:t>
      </w:r>
    </w:p>
  </w:footnote>
  <w:footnote w:id="1157">
    <w:p>
      <w:pPr>
        <w:pStyle w:val="FootnoteText"/>
      </w:pPr>
      <w:r>
        <w:rPr>
          <w:rStyle w:val="FootnoteReference"/>
        </w:rPr>
        <w:footnoteRef/>
      </w:r>
      <w:r>
        <w:t xml:space="preserve"> </w:t>
      </w:r>
      <w:r>
        <w:t xml:space="preserve">Gopalakrishnan 2012, PMID 22401908.</w:t>
      </w:r>
    </w:p>
  </w:footnote>
  <w:footnote w:id="1158">
    <w:p>
      <w:pPr>
        <w:pStyle w:val="FootnoteText"/>
      </w:pPr>
      <w:r>
        <w:rPr>
          <w:rStyle w:val="FootnoteReference"/>
        </w:rPr>
        <w:footnoteRef/>
      </w:r>
      <w:r>
        <w:t xml:space="preserve"> </w:t>
      </w:r>
      <w:r>
        <w:t xml:space="preserve">Slifer 2021, PMID 33881350.</w:t>
      </w:r>
    </w:p>
  </w:footnote>
  <w:footnote w:id="1160">
    <w:p>
      <w:pPr>
        <w:pStyle w:val="FootnoteText"/>
      </w:pPr>
      <w:r>
        <w:rPr>
          <w:rStyle w:val="FootnoteReference"/>
        </w:rPr>
        <w:footnoteRef/>
      </w:r>
      <w:r>
        <w:t xml:space="preserve"> </w:t>
      </w:r>
      <w:r>
        <w:t xml:space="preserve">Hoilat 2022, PMID 34339872.</w:t>
      </w:r>
    </w:p>
  </w:footnote>
  <w:footnote w:id="1161">
    <w:p>
      <w:pPr>
        <w:pStyle w:val="FootnoteText"/>
      </w:pPr>
      <w:r>
        <w:rPr>
          <w:rStyle w:val="FootnoteReference"/>
        </w:rPr>
        <w:footnoteRef/>
      </w:r>
      <w:r>
        <w:t xml:space="preserve"> </w:t>
      </w:r>
      <w:r>
        <w:t xml:space="preserve">Leffler 2012, PMID 22825365 ; Kelly 2013, PMID 23163616.</w:t>
      </w:r>
    </w:p>
  </w:footnote>
  <w:footnote w:id="1162">
    <w:p>
      <w:pPr>
        <w:pStyle w:val="FootnoteText"/>
      </w:pPr>
      <w:r>
        <w:rPr>
          <w:rStyle w:val="FootnoteReference"/>
        </w:rPr>
        <w:footnoteRef/>
      </w:r>
      <w:r>
        <w:t xml:space="preserve"> </w:t>
      </w:r>
      <w:r>
        <w:t xml:space="preserve">Kelly 2013, PMID 23163616.</w:t>
      </w:r>
    </w:p>
  </w:footnote>
  <w:footnote w:id="1163">
    <w:p>
      <w:pPr>
        <w:pStyle w:val="FootnoteText"/>
      </w:pPr>
      <w:r>
        <w:rPr>
          <w:rStyle w:val="FootnoteReference"/>
        </w:rPr>
        <w:footnoteRef/>
      </w:r>
      <w:r>
        <w:t xml:space="preserve"> </w:t>
      </w:r>
      <w:r>
        <w:t xml:space="preserve">Leffler 2015, PMID 25683116.</w:t>
      </w:r>
    </w:p>
  </w:footnote>
  <w:footnote w:id="1164">
    <w:p>
      <w:pPr>
        <w:pStyle w:val="FootnoteText"/>
      </w:pPr>
      <w:r>
        <w:rPr>
          <w:rStyle w:val="FootnoteReference"/>
        </w:rPr>
        <w:footnoteRef/>
      </w:r>
      <w:r>
        <w:t xml:space="preserve"> </w:t>
      </w:r>
      <w:r>
        <w:t xml:space="preserve">Hoilat 2022, PMID 34339872.</w:t>
      </w:r>
    </w:p>
  </w:footnote>
  <w:footnote w:id="1166">
    <w:p>
      <w:pPr>
        <w:pStyle w:val="FootnoteText"/>
      </w:pPr>
      <w:r>
        <w:rPr>
          <w:rStyle w:val="FootnoteReference"/>
        </w:rPr>
        <w:footnoteRef/>
      </w:r>
      <w:r>
        <w:t xml:space="preserve"> </w:t>
      </w:r>
      <w:r>
        <w:t xml:space="preserve">NCT03569007.</w:t>
      </w:r>
    </w:p>
  </w:footnote>
  <w:footnote w:id="1167">
    <w:p>
      <w:pPr>
        <w:pStyle w:val="FootnoteText"/>
      </w:pPr>
      <w:r>
        <w:rPr>
          <w:rStyle w:val="FootnoteReference"/>
        </w:rPr>
        <w:footnoteRef/>
      </w:r>
      <w:r>
        <w:t xml:space="preserve"> </w:t>
      </w:r>
      <w:r>
        <w:t xml:space="preserve">D’heedene 2024, PMID 38648685.</w:t>
      </w:r>
    </w:p>
  </w:footnote>
  <w:footnote w:id="1168">
    <w:p>
      <w:pPr>
        <w:pStyle w:val="FootnoteText"/>
      </w:pPr>
      <w:r>
        <w:rPr>
          <w:rStyle w:val="FootnoteReference"/>
        </w:rPr>
        <w:footnoteRef/>
      </w:r>
      <w:r>
        <w:t xml:space="preserve"> </w:t>
      </w:r>
      <w:r>
        <w:t xml:space="preserve">Girbal-González 2025, PMID 41010485.</w:t>
      </w:r>
    </w:p>
  </w:footnote>
  <w:footnote w:id="1170">
    <w:p>
      <w:pPr>
        <w:pStyle w:val="FootnoteText"/>
      </w:pPr>
      <w:r>
        <w:rPr>
          <w:rStyle w:val="FootnoteReference"/>
        </w:rPr>
        <w:footnoteRef/>
      </w:r>
      <w:r>
        <w:t xml:space="preserve"> </w:t>
      </w:r>
      <w:r>
        <w:t xml:space="preserve">Yonker 2022, PMID 35211683.</w:t>
      </w:r>
    </w:p>
  </w:footnote>
  <w:footnote w:id="1171">
    <w:p>
      <w:pPr>
        <w:pStyle w:val="FootnoteText"/>
      </w:pPr>
      <w:r>
        <w:rPr>
          <w:rStyle w:val="FootnoteReference"/>
        </w:rPr>
        <w:footnoteRef/>
      </w:r>
      <w:r>
        <w:t xml:space="preserve"> </w:t>
      </w:r>
      <w:r>
        <w:t xml:space="preserve">Yonker 2025, PMID 40737433.</w:t>
      </w:r>
    </w:p>
  </w:footnote>
  <w:footnote w:id="1172">
    <w:p>
      <w:pPr>
        <w:pStyle w:val="FootnoteText"/>
      </w:pPr>
      <w:r>
        <w:rPr>
          <w:rStyle w:val="FootnoteReference"/>
        </w:rPr>
        <w:footnoteRef/>
      </w:r>
      <w:r>
        <w:t xml:space="preserve"> </w:t>
      </w:r>
      <w:r>
        <w:t xml:space="preserve">NCT05022303.</w:t>
      </w:r>
    </w:p>
  </w:footnote>
  <w:footnote w:id="1173">
    <w:p>
      <w:pPr>
        <w:pStyle w:val="FootnoteText"/>
      </w:pPr>
      <w:r>
        <w:rPr>
          <w:rStyle w:val="FootnoteReference"/>
        </w:rPr>
        <w:footnoteRef/>
      </w:r>
      <w:r>
        <w:t xml:space="preserve"> </w:t>
      </w:r>
      <w:r>
        <w:t xml:space="preserve">NCT05747534.</w:t>
      </w:r>
    </w:p>
  </w:footnote>
  <w:footnote w:id="1176">
    <w:p>
      <w:pPr>
        <w:pStyle w:val="FootnoteText"/>
      </w:pPr>
      <w:r>
        <w:rPr>
          <w:rStyle w:val="FootnoteReference"/>
        </w:rPr>
        <w:footnoteRef/>
      </w:r>
      <w:r>
        <w:t xml:space="preserve"> </w:t>
      </w:r>
      <w:r>
        <w:t xml:space="preserve">Tajik 2020, PMID 32332732.</w:t>
      </w:r>
    </w:p>
  </w:footnote>
  <w:footnote w:id="1177">
    <w:p>
      <w:pPr>
        <w:pStyle w:val="FootnoteText"/>
      </w:pPr>
      <w:r>
        <w:rPr>
          <w:rStyle w:val="FootnoteReference"/>
        </w:rPr>
        <w:footnoteRef/>
      </w:r>
      <w:r>
        <w:t xml:space="preserve"> </w:t>
      </w:r>
      <w:r>
        <w:t xml:space="preserve">Slifer 2021, PMID 33881350.</w:t>
      </w:r>
    </w:p>
  </w:footnote>
  <w:footnote w:id="1178">
    <w:p>
      <w:pPr>
        <w:pStyle w:val="FootnoteText"/>
      </w:pPr>
      <w:r>
        <w:rPr>
          <w:rStyle w:val="FootnoteReference"/>
        </w:rPr>
        <w:footnoteRef/>
      </w:r>
      <w:r>
        <w:t xml:space="preserve"> </w:t>
      </w:r>
      <w:r>
        <w:t xml:space="preserve">Karahan 2024, PMID 38441784 ; Caliskan 2021, PMID 34791921.</w:t>
      </w:r>
    </w:p>
  </w:footnote>
  <w:footnote w:id="1180">
    <w:p>
      <w:pPr>
        <w:pStyle w:val="FootnoteText"/>
      </w:pPr>
      <w:r>
        <w:rPr>
          <w:rStyle w:val="FootnoteReference"/>
        </w:rPr>
        <w:footnoteRef/>
      </w:r>
      <w:r>
        <w:t xml:space="preserve"> </w:t>
      </w:r>
      <w:r>
        <w:t xml:space="preserve">Leffler 2012, PMID 22825365.</w:t>
      </w:r>
    </w:p>
  </w:footnote>
  <w:footnote w:id="1181">
    <w:p>
      <w:pPr>
        <w:pStyle w:val="FootnoteText"/>
      </w:pPr>
      <w:r>
        <w:rPr>
          <w:rStyle w:val="FootnoteReference"/>
        </w:rPr>
        <w:footnoteRef/>
      </w:r>
      <w:r>
        <w:t xml:space="preserve"> </w:t>
      </w:r>
      <w:r>
        <w:t xml:space="preserve">Leffler 2015, PMID 25683116.</w:t>
      </w:r>
    </w:p>
  </w:footnote>
  <w:footnote w:id="1182">
    <w:p>
      <w:pPr>
        <w:pStyle w:val="FootnoteText"/>
      </w:pPr>
      <w:r>
        <w:rPr>
          <w:rStyle w:val="FootnoteReference"/>
        </w:rPr>
        <w:footnoteRef/>
      </w:r>
      <w:r>
        <w:t xml:space="preserve"> </w:t>
      </w:r>
      <w:r>
        <w:t xml:space="preserve">Hoilat 2022, PMID 34339872.</w:t>
      </w:r>
    </w:p>
  </w:footnote>
  <w:footnote w:id="1187">
    <w:p>
      <w:pPr>
        <w:pStyle w:val="FootnoteText"/>
      </w:pPr>
      <w:r>
        <w:rPr>
          <w:rStyle w:val="FootnoteReference"/>
        </w:rPr>
        <w:footnoteRef/>
      </w:r>
      <w:r>
        <w:t xml:space="preserve"> </w:t>
      </w:r>
      <w:r>
        <w:t xml:space="preserve">NCT05747534.</w:t>
      </w:r>
    </w:p>
  </w:footnote>
  <w:footnote w:id="1188">
    <w:p>
      <w:pPr>
        <w:pStyle w:val="FootnoteText"/>
      </w:pPr>
      <w:r>
        <w:rPr>
          <w:rStyle w:val="FootnoteReference"/>
        </w:rPr>
        <w:footnoteRef/>
      </w:r>
      <w:r>
        <w:t xml:space="preserve"> </w:t>
      </w:r>
      <w:r>
        <w:t xml:space="preserve">D’heedene 2024, PMID 38648685.</w:t>
      </w:r>
    </w:p>
  </w:footnote>
  <w:footnote w:id="1190">
    <w:p>
      <w:pPr>
        <w:pStyle w:val="FootnoteText"/>
      </w:pPr>
      <w:r>
        <w:rPr>
          <w:rStyle w:val="FootnoteReference"/>
        </w:rPr>
        <w:footnoteRef/>
      </w:r>
      <w:r>
        <w:t xml:space="preserve"> </w:t>
      </w:r>
      <w:r>
        <w:t xml:space="preserve">Leffler 2015, PMID 25683116.</w:t>
      </w:r>
    </w:p>
  </w:footnote>
  <w:footnote w:id="1193">
    <w:p>
      <w:pPr>
        <w:pStyle w:val="FootnoteText"/>
      </w:pPr>
      <w:r>
        <w:rPr>
          <w:rStyle w:val="FootnoteReference"/>
        </w:rPr>
        <w:footnoteRef/>
      </w:r>
      <w:r>
        <w:t xml:space="preserve"> </w:t>
      </w:r>
      <w:r>
        <w:t xml:space="preserve">Morozov 1997, PMID 9637345.</w:t>
      </w:r>
    </w:p>
  </w:footnote>
  <w:footnote w:id="1194">
    <w:p>
      <w:pPr>
        <w:pStyle w:val="FootnoteText"/>
      </w:pPr>
      <w:r>
        <w:rPr>
          <w:rStyle w:val="FootnoteReference"/>
        </w:rPr>
        <w:footnoteRef/>
      </w:r>
      <w:r>
        <w:t xml:space="preserve"> </w:t>
      </w:r>
      <w:r>
        <w:t xml:space="preserve">Linkova 2023, PMID 37686182.</w:t>
      </w:r>
    </w:p>
  </w:footnote>
  <w:footnote w:id="1195">
    <w:p>
      <w:pPr>
        <w:pStyle w:val="FootnoteText"/>
      </w:pPr>
      <w:r>
        <w:rPr>
          <w:rStyle w:val="FootnoteReference"/>
        </w:rPr>
        <w:footnoteRef/>
      </w:r>
      <w:r>
        <w:t xml:space="preserve"> </w:t>
      </w:r>
      <w:r>
        <w:t xml:space="preserve">Anisimov 2000, PMID 11707921.</w:t>
      </w:r>
    </w:p>
  </w:footnote>
  <w:footnote w:id="1197">
    <w:p>
      <w:pPr>
        <w:pStyle w:val="FootnoteText"/>
      </w:pPr>
      <w:r>
        <w:rPr>
          <w:rStyle w:val="FootnoteReference"/>
        </w:rPr>
        <w:footnoteRef/>
      </w:r>
      <w:r>
        <w:t xml:space="preserve"> </w:t>
      </w:r>
      <w:r>
        <w:t xml:space="preserve">Morozov 1997, PMID 9637345.</w:t>
      </w:r>
    </w:p>
  </w:footnote>
  <w:footnote w:id="1198">
    <w:p>
      <w:pPr>
        <w:pStyle w:val="FootnoteText"/>
      </w:pPr>
      <w:r>
        <w:rPr>
          <w:rStyle w:val="FootnoteReference"/>
        </w:rPr>
        <w:footnoteRef/>
      </w:r>
      <w:r>
        <w:t xml:space="preserve"> </w:t>
      </w:r>
      <w:r>
        <w:t xml:space="preserve">Khavinson 2002, PMID 12374906.</w:t>
      </w:r>
    </w:p>
  </w:footnote>
  <w:footnote w:id="1199">
    <w:p>
      <w:pPr>
        <w:pStyle w:val="FootnoteText"/>
      </w:pPr>
      <w:r>
        <w:rPr>
          <w:rStyle w:val="FootnoteReference"/>
        </w:rPr>
        <w:footnoteRef/>
      </w:r>
      <w:r>
        <w:t xml:space="preserve"> </w:t>
      </w:r>
      <w:r>
        <w:t xml:space="preserve">Linkova 2023, PMID 37686182.</w:t>
      </w:r>
    </w:p>
  </w:footnote>
  <w:footnote w:id="1201">
    <w:p>
      <w:pPr>
        <w:pStyle w:val="FootnoteText"/>
      </w:pPr>
      <w:r>
        <w:rPr>
          <w:rStyle w:val="FootnoteReference"/>
        </w:rPr>
        <w:footnoteRef/>
      </w:r>
      <w:r>
        <w:t xml:space="preserve"> </w:t>
      </w:r>
      <w:r>
        <w:t xml:space="preserve">Khavinson 2003, PMID 14523363.</w:t>
      </w:r>
    </w:p>
  </w:footnote>
  <w:footnote w:id="1203">
    <w:p>
      <w:pPr>
        <w:pStyle w:val="FootnoteText"/>
      </w:pPr>
      <w:r>
        <w:rPr>
          <w:rStyle w:val="FootnoteReference"/>
        </w:rPr>
        <w:footnoteRef/>
      </w:r>
      <w:r>
        <w:t xml:space="preserve"> </w:t>
      </w:r>
      <w:r>
        <w:t xml:space="preserve">Kuznik 2022, PMID 36169363.</w:t>
      </w:r>
    </w:p>
  </w:footnote>
  <w:footnote w:id="1204">
    <w:p>
      <w:pPr>
        <w:pStyle w:val="FootnoteText"/>
      </w:pPr>
      <w:r>
        <w:rPr>
          <w:rStyle w:val="FootnoteReference"/>
        </w:rPr>
        <w:footnoteRef/>
      </w:r>
      <w:r>
        <w:t xml:space="preserve"> </w:t>
      </w:r>
      <w:r>
        <w:t xml:space="preserve">Khavinson 2021, PMID 33575961.</w:t>
      </w:r>
    </w:p>
  </w:footnote>
  <w:footnote w:id="1206">
    <w:p>
      <w:pPr>
        <w:pStyle w:val="FootnoteText"/>
      </w:pPr>
      <w:r>
        <w:rPr>
          <w:rStyle w:val="FootnoteReference"/>
        </w:rPr>
        <w:footnoteRef/>
      </w:r>
      <w:r>
        <w:t xml:space="preserve"> </w:t>
      </w:r>
      <w:r>
        <w:t xml:space="preserve">Smirnov 2011, PMID 21957588.</w:t>
      </w:r>
    </w:p>
  </w:footnote>
  <w:footnote w:id="1210">
    <w:p>
      <w:pPr>
        <w:pStyle w:val="FootnoteText"/>
      </w:pPr>
      <w:r>
        <w:rPr>
          <w:rStyle w:val="FootnoteReference"/>
        </w:rPr>
        <w:footnoteRef/>
      </w:r>
      <w:r>
        <w:t xml:space="preserve"> </w:t>
      </w:r>
      <w:r>
        <w:t xml:space="preserve">Anisimov 2000, PMID 11707921.</w:t>
      </w:r>
    </w:p>
  </w:footnote>
  <w:footnote w:id="1211">
    <w:p>
      <w:pPr>
        <w:pStyle w:val="FootnoteText"/>
      </w:pPr>
      <w:r>
        <w:rPr>
          <w:rStyle w:val="FootnoteReference"/>
        </w:rPr>
        <w:footnoteRef/>
      </w:r>
      <w:r>
        <w:t xml:space="preserve"> </w:t>
      </w:r>
      <w:r>
        <w:t xml:space="preserve">Khavinson 2020, PMID 33237528.</w:t>
      </w:r>
    </w:p>
  </w:footnote>
  <w:footnote w:id="1219">
    <w:p>
      <w:pPr>
        <w:pStyle w:val="FootnoteText"/>
      </w:pPr>
      <w:r>
        <w:rPr>
          <w:rStyle w:val="FootnoteReference"/>
        </w:rPr>
        <w:footnoteRef/>
      </w:r>
      <w:r>
        <w:t xml:space="preserve"> </w:t>
      </w:r>
      <w:r>
        <w:t xml:space="preserve">Khavinson 2003, PMID 14523363.</w:t>
      </w:r>
    </w:p>
  </w:footnote>
  <w:footnote w:id="1223">
    <w:p>
      <w:pPr>
        <w:pStyle w:val="FootnoteText"/>
      </w:pPr>
      <w:r>
        <w:rPr>
          <w:rStyle w:val="FootnoteReference"/>
        </w:rPr>
        <w:footnoteRef/>
      </w:r>
      <w:r>
        <w:t xml:space="preserve"> </w:t>
      </w:r>
      <w:r>
        <w:t xml:space="preserve">Kojima 1999, PMID 10604470.</w:t>
      </w:r>
    </w:p>
  </w:footnote>
  <w:footnote w:id="1225">
    <w:p>
      <w:pPr>
        <w:pStyle w:val="FootnoteText"/>
      </w:pPr>
      <w:r>
        <w:rPr>
          <w:rStyle w:val="FootnoteReference"/>
        </w:rPr>
        <w:footnoteRef/>
      </w:r>
      <w:r>
        <w:t xml:space="preserve"> </w:t>
      </w:r>
      <w:r>
        <w:t xml:space="preserve">Liu 2008, PMID 18347346.</w:t>
      </w:r>
    </w:p>
  </w:footnote>
  <w:footnote w:id="1226">
    <w:p>
      <w:pPr>
        <w:pStyle w:val="FootnoteText"/>
      </w:pPr>
      <w:r>
        <w:rPr>
          <w:rStyle w:val="FootnoteReference"/>
        </w:rPr>
        <w:footnoteRef/>
      </w:r>
      <w:r>
        <w:t xml:space="preserve"> </w:t>
      </w:r>
      <w:r>
        <w:t xml:space="preserve">Liu 2007, PMID 17227934.</w:t>
      </w:r>
    </w:p>
  </w:footnote>
  <w:footnote w:id="1228">
    <w:p>
      <w:pPr>
        <w:pStyle w:val="FootnoteText"/>
      </w:pPr>
      <w:r>
        <w:rPr>
          <w:rStyle w:val="FootnoteReference"/>
        </w:rPr>
        <w:footnoteRef/>
      </w:r>
      <w:r>
        <w:t xml:space="preserve"> </w:t>
      </w:r>
      <w:r>
        <w:t xml:space="preserve">Renehan 2004, PMID 15110491.</w:t>
      </w:r>
    </w:p>
  </w:footnote>
  <w:footnote w:id="1229">
    <w:p>
      <w:pPr>
        <w:pStyle w:val="FootnoteText"/>
      </w:pPr>
      <w:r>
        <w:rPr>
          <w:rStyle w:val="FootnoteReference"/>
        </w:rPr>
        <w:footnoteRef/>
      </w:r>
      <w:r>
        <w:t xml:space="preserve"> </w:t>
      </w:r>
      <w:r>
        <w:t xml:space="preserve">Murphy 2020, PMID 32169310 ; Murphy 2020, PMID 31884074.</w:t>
      </w:r>
    </w:p>
  </w:footnote>
  <w:footnote w:id="1230">
    <w:p>
      <w:pPr>
        <w:pStyle w:val="FootnoteText"/>
      </w:pPr>
      <w:r>
        <w:rPr>
          <w:rStyle w:val="FootnoteReference"/>
        </w:rPr>
        <w:footnoteRef/>
      </w:r>
      <w:r>
        <w:t xml:space="preserve"> </w:t>
      </w:r>
      <w:r>
        <w:t xml:space="preserve">Dal 2018, PMID 29590449.</w:t>
      </w:r>
    </w:p>
  </w:footnote>
  <w:footnote w:id="1231">
    <w:p>
      <w:pPr>
        <w:pStyle w:val="FootnoteText"/>
      </w:pPr>
      <w:r>
        <w:rPr>
          <w:rStyle w:val="FootnoteReference"/>
        </w:rPr>
        <w:footnoteRef/>
      </w:r>
      <w:r>
        <w:t xml:space="preserve"> </w:t>
      </w:r>
      <w:r>
        <w:t xml:space="preserve">Guevara-Aguirre 2011, PMID 21325617.</w:t>
      </w:r>
    </w:p>
  </w:footnote>
  <w:footnote w:id="1232">
    <w:p>
      <w:pPr>
        <w:pStyle w:val="FootnoteText"/>
      </w:pPr>
      <w:r>
        <w:rPr>
          <w:rStyle w:val="FootnoteReference"/>
        </w:rPr>
        <w:footnoteRef/>
      </w:r>
      <w:r>
        <w:t xml:space="preserve"> </w:t>
      </w:r>
      <w:r>
        <w:t xml:space="preserve">Swerdlow 2017, PMID 28187225.</w:t>
      </w:r>
    </w:p>
  </w:footnote>
  <w:footnote w:id="1233">
    <w:p>
      <w:pPr>
        <w:pStyle w:val="FootnoteText"/>
      </w:pPr>
      <w:r>
        <w:rPr>
          <w:rStyle w:val="FootnoteReference"/>
        </w:rPr>
        <w:footnoteRef/>
      </w:r>
      <w:r>
        <w:t xml:space="preserve"> </w:t>
      </w:r>
      <w:r>
        <w:t xml:space="preserve">Child 2015, PMID 25810462.</w:t>
      </w:r>
    </w:p>
  </w:footnote>
  <w:footnote w:id="1237">
    <w:p>
      <w:pPr>
        <w:pStyle w:val="FootnoteText"/>
      </w:pPr>
      <w:r>
        <w:rPr>
          <w:rStyle w:val="FootnoteReference"/>
        </w:rPr>
        <w:footnoteRef/>
      </w:r>
      <w:r>
        <w:t xml:space="preserve"> </w:t>
      </w:r>
      <w:r>
        <w:t xml:space="preserve">Prakash 1999, PMID 18031173.</w:t>
      </w:r>
    </w:p>
  </w:footnote>
  <w:footnote w:id="1239">
    <w:p>
      <w:pPr>
        <w:pStyle w:val="FootnoteText"/>
      </w:pPr>
      <w:r>
        <w:rPr>
          <w:rStyle w:val="FootnoteReference"/>
        </w:rPr>
        <w:footnoteRef/>
      </w:r>
      <w:r>
        <w:t xml:space="preserve"> </w:t>
      </w:r>
      <w:r>
        <w:t xml:space="preserve">Esposito 2003, PMID 14499707.</w:t>
      </w:r>
    </w:p>
  </w:footnote>
  <w:footnote w:id="1241">
    <w:p>
      <w:pPr>
        <w:pStyle w:val="FootnoteText"/>
      </w:pPr>
      <w:r>
        <w:rPr>
          <w:rStyle w:val="FootnoteReference"/>
        </w:rPr>
        <w:footnoteRef/>
      </w:r>
      <w:r>
        <w:t xml:space="preserve"> </w:t>
      </w:r>
      <w:r>
        <w:t xml:space="preserve">Thorner 1996, PMID 8772599.</w:t>
      </w:r>
    </w:p>
  </w:footnote>
  <w:footnote w:id="1242">
    <w:p>
      <w:pPr>
        <w:pStyle w:val="FootnoteText"/>
      </w:pPr>
      <w:r>
        <w:rPr>
          <w:rStyle w:val="FootnoteReference"/>
        </w:rPr>
        <w:footnoteRef/>
      </w:r>
      <w:r>
        <w:t xml:space="preserve"> </w:t>
      </w:r>
      <w:r>
        <w:t xml:space="preserve">Ross 1987, PMID 2879138.</w:t>
      </w:r>
    </w:p>
  </w:footnote>
  <w:footnote w:id="1243">
    <w:p>
      <w:pPr>
        <w:pStyle w:val="FootnoteText"/>
      </w:pPr>
      <w:r>
        <w:rPr>
          <w:rStyle w:val="FootnoteReference"/>
        </w:rPr>
        <w:footnoteRef/>
      </w:r>
      <w:r>
        <w:t xml:space="preserve"> </w:t>
      </w:r>
      <w:r>
        <w:t xml:space="preserve">Neyzi 1993, PMID 8329826.</w:t>
      </w:r>
    </w:p>
  </w:footnote>
  <w:footnote w:id="1244">
    <w:p>
      <w:pPr>
        <w:pStyle w:val="FootnoteText"/>
      </w:pPr>
      <w:r>
        <w:rPr>
          <w:rStyle w:val="FootnoteReference"/>
        </w:rPr>
        <w:footnoteRef/>
      </w:r>
      <w:r>
        <w:t xml:space="preserve"> </w:t>
      </w:r>
      <w:r>
        <w:t xml:space="preserve">Prakash 1999, PMID 18031173.</w:t>
      </w:r>
    </w:p>
  </w:footnote>
  <w:footnote w:id="1245">
    <w:p>
      <w:pPr>
        <w:pStyle w:val="FootnoteText"/>
      </w:pPr>
      <w:r>
        <w:rPr>
          <w:rStyle w:val="FootnoteReference"/>
        </w:rPr>
        <w:footnoteRef/>
      </w:r>
      <w:r>
        <w:t xml:space="preserve"> </w:t>
      </w:r>
      <w:r>
        <w:t xml:space="preserve">Kirk 1994, PMID 7955460.</w:t>
      </w:r>
    </w:p>
  </w:footnote>
  <w:footnote w:id="1247">
    <w:p>
      <w:pPr>
        <w:pStyle w:val="FootnoteText"/>
      </w:pPr>
      <w:r>
        <w:rPr>
          <w:rStyle w:val="FootnoteReference"/>
        </w:rPr>
        <w:footnoteRef/>
      </w:r>
      <w:r>
        <w:t xml:space="preserve"> </w:t>
      </w:r>
      <w:r>
        <w:t xml:space="preserve">Khorram 1997, PMID 9141536.</w:t>
      </w:r>
    </w:p>
  </w:footnote>
  <w:footnote w:id="1248">
    <w:p>
      <w:pPr>
        <w:pStyle w:val="FootnoteText"/>
      </w:pPr>
      <w:r>
        <w:rPr>
          <w:rStyle w:val="FootnoteReference"/>
        </w:rPr>
        <w:footnoteRef/>
      </w:r>
      <w:r>
        <w:t xml:space="preserve"> </w:t>
      </w:r>
      <w:r>
        <w:t xml:space="preserve">Khorram 1997, PMID 9360512.</w:t>
      </w:r>
    </w:p>
  </w:footnote>
  <w:footnote w:id="1249">
    <w:p>
      <w:pPr>
        <w:pStyle w:val="FootnoteText"/>
      </w:pPr>
      <w:r>
        <w:rPr>
          <w:rStyle w:val="FootnoteReference"/>
        </w:rPr>
        <w:footnoteRef/>
      </w:r>
      <w:r>
        <w:t xml:space="preserve"> </w:t>
      </w:r>
      <w:r>
        <w:t xml:space="preserve">Vittone 1997, PMID 9005976.</w:t>
      </w:r>
    </w:p>
  </w:footnote>
  <w:footnote w:id="1250">
    <w:p>
      <w:pPr>
        <w:pStyle w:val="FootnoteText"/>
      </w:pPr>
      <w:r>
        <w:rPr>
          <w:rStyle w:val="FootnoteReference"/>
        </w:rPr>
        <w:footnoteRef/>
      </w:r>
      <w:r>
        <w:t xml:space="preserve"> </w:t>
      </w:r>
      <w:r>
        <w:t xml:space="preserve">NCT00807365, NCT01410799.</w:t>
      </w:r>
    </w:p>
  </w:footnote>
  <w:footnote w:id="1252">
    <w:p>
      <w:pPr>
        <w:pStyle w:val="FootnoteText"/>
      </w:pPr>
      <w:r>
        <w:rPr>
          <w:rStyle w:val="FootnoteReference"/>
        </w:rPr>
        <w:footnoteRef/>
      </w:r>
      <w:r>
        <w:t xml:space="preserve"> </w:t>
      </w:r>
      <w:r>
        <w:t xml:space="preserve">Prakash 1999, PMID 18031173.</w:t>
      </w:r>
    </w:p>
  </w:footnote>
  <w:footnote w:id="1253">
    <w:p>
      <w:pPr>
        <w:pStyle w:val="FootnoteText"/>
      </w:pPr>
      <w:r>
        <w:rPr>
          <w:rStyle w:val="FootnoteReference"/>
        </w:rPr>
        <w:footnoteRef/>
      </w:r>
      <w:r>
        <w:t xml:space="preserve"> </w:t>
      </w:r>
      <w:r>
        <w:t xml:space="preserve">Garcia 2013, PMID 23559086.</w:t>
      </w:r>
    </w:p>
  </w:footnote>
  <w:footnote w:id="1255">
    <w:p>
      <w:pPr>
        <w:pStyle w:val="FootnoteText"/>
      </w:pPr>
      <w:r>
        <w:rPr>
          <w:rStyle w:val="FootnoteReference"/>
        </w:rPr>
        <w:footnoteRef/>
      </w:r>
      <w:r>
        <w:t xml:space="preserve"> </w:t>
      </w:r>
      <w:r>
        <w:t xml:space="preserve">Sigalos 2017, PMID 28830317.</w:t>
      </w:r>
    </w:p>
  </w:footnote>
  <w:footnote w:id="1258">
    <w:p>
      <w:pPr>
        <w:pStyle w:val="FootnoteText"/>
      </w:pPr>
      <w:r>
        <w:rPr>
          <w:rStyle w:val="FootnoteReference"/>
        </w:rPr>
        <w:footnoteRef/>
      </w:r>
      <w:r>
        <w:t xml:space="preserve"> </w:t>
      </w:r>
      <w:r>
        <w:t xml:space="preserve">Esposito 2003, PMID 14499707.</w:t>
      </w:r>
    </w:p>
  </w:footnote>
  <w:footnote w:id="1259">
    <w:p>
      <w:pPr>
        <w:pStyle w:val="FootnoteText"/>
      </w:pPr>
      <w:r>
        <w:rPr>
          <w:rStyle w:val="FootnoteReference"/>
        </w:rPr>
        <w:footnoteRef/>
      </w:r>
      <w:r>
        <w:t xml:space="preserve"> </w:t>
      </w:r>
      <w:r>
        <w:t xml:space="preserve">Chang 2021, PMID 33842627.</w:t>
      </w:r>
    </w:p>
  </w:footnote>
  <w:footnote w:id="1261">
    <w:p>
      <w:pPr>
        <w:pStyle w:val="FootnoteText"/>
      </w:pPr>
      <w:r>
        <w:rPr>
          <w:rStyle w:val="FootnoteReference"/>
        </w:rPr>
        <w:footnoteRef/>
      </w:r>
      <w:r>
        <w:t xml:space="preserve"> </w:t>
      </w:r>
      <w:r>
        <w:t xml:space="preserve">Prakash 1999, PMID 18031173.</w:t>
      </w:r>
    </w:p>
  </w:footnote>
  <w:footnote w:id="1262">
    <w:p>
      <w:pPr>
        <w:pStyle w:val="FootnoteText"/>
      </w:pPr>
      <w:r>
        <w:rPr>
          <w:rStyle w:val="FootnoteReference"/>
        </w:rPr>
        <w:footnoteRef/>
      </w:r>
      <w:r>
        <w:t xml:space="preserve"> </w:t>
      </w:r>
      <w:r>
        <w:t xml:space="preserve">Ross 1987, PMID 2879138.</w:t>
      </w:r>
    </w:p>
  </w:footnote>
  <w:footnote w:id="1263">
    <w:p>
      <w:pPr>
        <w:pStyle w:val="FootnoteText"/>
      </w:pPr>
      <w:r>
        <w:rPr>
          <w:rStyle w:val="FootnoteReference"/>
        </w:rPr>
        <w:footnoteRef/>
      </w:r>
      <w:r>
        <w:t xml:space="preserve"> </w:t>
      </w:r>
      <w:r>
        <w:t xml:space="preserve">Kirk 1994, PMID 7955460 ; Khorram 1997, PMID 9141536.</w:t>
      </w:r>
    </w:p>
  </w:footnote>
  <w:footnote w:id="1264">
    <w:p>
      <w:pPr>
        <w:pStyle w:val="FootnoteText"/>
      </w:pPr>
      <w:r>
        <w:rPr>
          <w:rStyle w:val="FootnoteReference"/>
        </w:rPr>
        <w:footnoteRef/>
      </w:r>
      <w:r>
        <w:t xml:space="preserve"> </w:t>
      </w:r>
      <w:r>
        <w:t xml:space="preserve">Perez 2026, PMID 42465868.</w:t>
      </w:r>
    </w:p>
  </w:footnote>
  <w:footnote w:id="1265">
    <w:p>
      <w:pPr>
        <w:pStyle w:val="FootnoteText"/>
      </w:pPr>
      <w:r>
        <w:rPr>
          <w:rStyle w:val="FootnoteReference"/>
        </w:rPr>
        <w:footnoteRef/>
      </w:r>
      <w:r>
        <w:t xml:space="preserve"> </w:t>
      </w:r>
      <w:r>
        <w:t xml:space="preserve">Venhuis 2016, PMID 26456392.</w:t>
      </w:r>
    </w:p>
  </w:footnote>
  <w:footnote w:id="1267">
    <w:p>
      <w:pPr>
        <w:pStyle w:val="FootnoteText"/>
      </w:pPr>
      <w:r>
        <w:rPr>
          <w:rStyle w:val="FootnoteReference"/>
        </w:rPr>
        <w:footnoteRef/>
      </w:r>
      <w:r>
        <w:t xml:space="preserve"> </w:t>
      </w:r>
      <w:r>
        <w:t xml:space="preserve">Garcia 2013, PMID 23559086.</w:t>
      </w:r>
    </w:p>
  </w:footnote>
  <w:footnote w:id="1268">
    <w:p>
      <w:pPr>
        <w:pStyle w:val="FootnoteText"/>
      </w:pPr>
      <w:r>
        <w:rPr>
          <w:rStyle w:val="FootnoteReference"/>
        </w:rPr>
        <w:footnoteRef/>
      </w:r>
      <w:r>
        <w:t xml:space="preserve"> </w:t>
      </w:r>
      <w:r>
        <w:t xml:space="preserve">Willis 2026, PMID 42752426.</w:t>
      </w:r>
    </w:p>
  </w:footnote>
  <w:footnote w:id="1269">
    <w:p>
      <w:pPr>
        <w:pStyle w:val="FootnoteText"/>
      </w:pPr>
      <w:r>
        <w:rPr>
          <w:rStyle w:val="FootnoteReference"/>
        </w:rPr>
        <w:footnoteRef/>
      </w:r>
      <w:r>
        <w:t xml:space="preserve"> </w:t>
      </w:r>
      <w:r>
        <w:t xml:space="preserve">Memdouh 2021, PMID 34665524.</w:t>
      </w:r>
    </w:p>
  </w:footnote>
  <w:footnote w:id="1274">
    <w:p>
      <w:pPr>
        <w:pStyle w:val="FootnoteText"/>
      </w:pPr>
      <w:r>
        <w:rPr>
          <w:rStyle w:val="FootnoteReference"/>
        </w:rPr>
        <w:footnoteRef/>
      </w:r>
      <w:r>
        <w:t xml:space="preserve"> </w:t>
      </w:r>
      <w:r>
        <w:t xml:space="preserve">Falutz 2010, PMID 20101189.</w:t>
      </w:r>
    </w:p>
  </w:footnote>
  <w:footnote w:id="1275">
    <w:p>
      <w:pPr>
        <w:pStyle w:val="FootnoteText"/>
      </w:pPr>
      <w:r>
        <w:rPr>
          <w:rStyle w:val="FootnoteReference"/>
        </w:rPr>
        <w:footnoteRef/>
      </w:r>
      <w:r>
        <w:t xml:space="preserve"> </w:t>
      </w:r>
      <w:r>
        <w:t xml:space="preserve">autorisation de la FDA rapportée par Traynor 2010, PMID 21115997.</w:t>
      </w:r>
    </w:p>
  </w:footnote>
  <w:footnote w:id="1278">
    <w:p>
      <w:pPr>
        <w:pStyle w:val="FootnoteText"/>
      </w:pPr>
      <w:r>
        <w:rPr>
          <w:rStyle w:val="FootnoteReference"/>
        </w:rPr>
        <w:footnoteRef/>
      </w:r>
      <w:r>
        <w:t xml:space="preserve"> </w:t>
      </w:r>
      <w:r>
        <w:t xml:space="preserve">Falutz 2007, PMID 18057338.</w:t>
      </w:r>
    </w:p>
  </w:footnote>
  <w:footnote w:id="1279">
    <w:p>
      <w:pPr>
        <w:pStyle w:val="FootnoteText"/>
      </w:pPr>
      <w:r>
        <w:rPr>
          <w:rStyle w:val="FootnoteReference"/>
        </w:rPr>
        <w:footnoteRef/>
      </w:r>
      <w:r>
        <w:t xml:space="preserve"> </w:t>
      </w:r>
      <w:r>
        <w:t xml:space="preserve">Falutz 2008, PMID 18690162.</w:t>
      </w:r>
    </w:p>
  </w:footnote>
  <w:footnote w:id="1280">
    <w:p>
      <w:pPr>
        <w:pStyle w:val="FootnoteText"/>
      </w:pPr>
      <w:r>
        <w:rPr>
          <w:rStyle w:val="FootnoteReference"/>
        </w:rPr>
        <w:footnoteRef/>
      </w:r>
      <w:r>
        <w:t xml:space="preserve"> </w:t>
      </w:r>
      <w:r>
        <w:t xml:space="preserve">Falutz 2010, PMID 20101189.</w:t>
      </w:r>
    </w:p>
  </w:footnote>
  <w:footnote w:id="1281">
    <w:p>
      <w:pPr>
        <w:pStyle w:val="FootnoteText"/>
      </w:pPr>
      <w:r>
        <w:rPr>
          <w:rStyle w:val="FootnoteReference"/>
        </w:rPr>
        <w:footnoteRef/>
      </w:r>
      <w:r>
        <w:t xml:space="preserve"> </w:t>
      </w:r>
      <w:r>
        <w:t xml:space="preserve">Falutz 2010, PMID 20554713.</w:t>
      </w:r>
    </w:p>
  </w:footnote>
  <w:footnote w:id="1282">
    <w:p>
      <w:pPr>
        <w:pStyle w:val="FootnoteText"/>
      </w:pPr>
      <w:r>
        <w:rPr>
          <w:rStyle w:val="FootnoteReference"/>
        </w:rPr>
        <w:footnoteRef/>
      </w:r>
      <w:r>
        <w:t xml:space="preserve"> </w:t>
      </w:r>
      <w:r>
        <w:t xml:space="preserve">Stanley 2012, PMID 22495074.</w:t>
      </w:r>
    </w:p>
  </w:footnote>
  <w:footnote w:id="1284">
    <w:p>
      <w:pPr>
        <w:pStyle w:val="FootnoteText"/>
      </w:pPr>
      <w:r>
        <w:rPr>
          <w:rStyle w:val="FootnoteReference"/>
        </w:rPr>
        <w:footnoteRef/>
      </w:r>
      <w:r>
        <w:t xml:space="preserve"> </w:t>
      </w:r>
      <w:r>
        <w:t xml:space="preserve">Stanley 2014, PMID 25038357.</w:t>
      </w:r>
    </w:p>
  </w:footnote>
  <w:footnote w:id="1285">
    <w:p>
      <w:pPr>
        <w:pStyle w:val="FootnoteText"/>
      </w:pPr>
      <w:r>
        <w:rPr>
          <w:rStyle w:val="FootnoteReference"/>
        </w:rPr>
        <w:footnoteRef/>
      </w:r>
      <w:r>
        <w:t xml:space="preserve"> </w:t>
      </w:r>
      <w:r>
        <w:t xml:space="preserve">Stanley 2019, PMID 31611038.</w:t>
      </w:r>
    </w:p>
  </w:footnote>
  <w:footnote w:id="1287">
    <w:p>
      <w:pPr>
        <w:pStyle w:val="FootnoteText"/>
      </w:pPr>
      <w:r>
        <w:rPr>
          <w:rStyle w:val="FootnoteReference"/>
        </w:rPr>
        <w:footnoteRef/>
      </w:r>
      <w:r>
        <w:t xml:space="preserve"> </w:t>
      </w:r>
      <w:r>
        <w:t xml:space="preserve">Makimura 2012, PMID 23015655.</w:t>
      </w:r>
    </w:p>
  </w:footnote>
  <w:footnote w:id="1288">
    <w:p>
      <w:pPr>
        <w:pStyle w:val="FootnoteText"/>
      </w:pPr>
      <w:r>
        <w:rPr>
          <w:rStyle w:val="FootnoteReference"/>
        </w:rPr>
        <w:footnoteRef/>
      </w:r>
      <w:r>
        <w:t xml:space="preserve"> </w:t>
      </w:r>
      <w:r>
        <w:t xml:space="preserve">Clemmons 2017, PMID 28617838.</w:t>
      </w:r>
    </w:p>
  </w:footnote>
  <w:footnote w:id="1289">
    <w:p>
      <w:pPr>
        <w:pStyle w:val="FootnoteText"/>
      </w:pPr>
      <w:r>
        <w:rPr>
          <w:rStyle w:val="FootnoteReference"/>
        </w:rPr>
        <w:footnoteRef/>
      </w:r>
      <w:r>
        <w:t xml:space="preserve"> </w:t>
      </w:r>
      <w:r>
        <w:t xml:space="preserve">Baker 2012, PMID 22869065.</w:t>
      </w:r>
    </w:p>
  </w:footnote>
  <w:footnote w:id="1290">
    <w:p>
      <w:pPr>
        <w:pStyle w:val="FootnoteText"/>
      </w:pPr>
      <w:r>
        <w:rPr>
          <w:rStyle w:val="FootnoteReference"/>
        </w:rPr>
        <w:footnoteRef/>
      </w:r>
      <w:r>
        <w:t xml:space="preserve"> </w:t>
      </w:r>
      <w:r>
        <w:t xml:space="preserve">Ellis 2025, PMID 39813152.</w:t>
      </w:r>
    </w:p>
  </w:footnote>
  <w:footnote w:id="1292">
    <w:p>
      <w:pPr>
        <w:pStyle w:val="FootnoteText"/>
      </w:pPr>
      <w:r>
        <w:rPr>
          <w:rStyle w:val="FootnoteReference"/>
        </w:rPr>
        <w:footnoteRef/>
      </w:r>
      <w:r>
        <w:t xml:space="preserve"> </w:t>
      </w:r>
      <w:r>
        <w:t xml:space="preserve">Ditta 2026, PMID 42538058.</w:t>
      </w:r>
    </w:p>
  </w:footnote>
  <w:footnote w:id="1293">
    <w:p>
      <w:pPr>
        <w:pStyle w:val="FootnoteText"/>
      </w:pPr>
      <w:r>
        <w:rPr>
          <w:rStyle w:val="FootnoteReference"/>
        </w:rPr>
        <w:footnoteRef/>
      </w:r>
      <w:r>
        <w:t xml:space="preserve"> </w:t>
      </w:r>
      <w:r>
        <w:t xml:space="preserve">Badran 2026, PMID 41545261.</w:t>
      </w:r>
    </w:p>
  </w:footnote>
  <w:footnote w:id="1296">
    <w:p>
      <w:pPr>
        <w:pStyle w:val="FootnoteText"/>
      </w:pPr>
      <w:r>
        <w:rPr>
          <w:rStyle w:val="FootnoteReference"/>
        </w:rPr>
        <w:footnoteRef/>
      </w:r>
      <w:r>
        <w:t xml:space="preserve"> </w:t>
      </w:r>
      <w:r>
        <w:t xml:space="preserve">Tuffaha 2016, PMID 27192539.</w:t>
      </w:r>
    </w:p>
  </w:footnote>
  <w:footnote w:id="1297">
    <w:p>
      <w:pPr>
        <w:pStyle w:val="FootnoteText"/>
      </w:pPr>
      <w:r>
        <w:rPr>
          <w:rStyle w:val="FootnoteReference"/>
        </w:rPr>
        <w:footnoteRef/>
      </w:r>
      <w:r>
        <w:t xml:space="preserve"> </w:t>
      </w:r>
      <w:r>
        <w:t xml:space="preserve">NCT03150511.</w:t>
      </w:r>
    </w:p>
  </w:footnote>
  <w:footnote w:id="1298">
    <w:p>
      <w:pPr>
        <w:pStyle w:val="FootnoteText"/>
      </w:pPr>
      <w:r>
        <w:rPr>
          <w:rStyle w:val="FootnoteReference"/>
        </w:rPr>
        <w:footnoteRef/>
      </w:r>
      <w:r>
        <w:t xml:space="preserve"> </w:t>
      </w:r>
      <w:r>
        <w:t xml:space="preserve">Fourman 2020, PMID 32701508.</w:t>
      </w:r>
    </w:p>
  </w:footnote>
  <w:footnote w:id="1300">
    <w:p>
      <w:pPr>
        <w:pStyle w:val="FootnoteText"/>
      </w:pPr>
      <w:r>
        <w:rPr>
          <w:rStyle w:val="FootnoteReference"/>
        </w:rPr>
        <w:footnoteRef/>
      </w:r>
      <w:r>
        <w:t xml:space="preserve"> </w:t>
      </w:r>
      <w:r>
        <w:t xml:space="preserve">Stanley 2019, PMID 31611038.</w:t>
      </w:r>
    </w:p>
  </w:footnote>
  <w:footnote w:id="1301">
    <w:p>
      <w:pPr>
        <w:pStyle w:val="FootnoteText"/>
      </w:pPr>
      <w:r>
        <w:rPr>
          <w:rStyle w:val="FootnoteReference"/>
        </w:rPr>
        <w:footnoteRef/>
      </w:r>
      <w:r>
        <w:t xml:space="preserve"> </w:t>
      </w:r>
      <w:r>
        <w:t xml:space="preserve">Badran 2026, PMID 41545261.</w:t>
      </w:r>
    </w:p>
  </w:footnote>
  <w:footnote w:id="1302">
    <w:p>
      <w:pPr>
        <w:pStyle w:val="FootnoteText"/>
      </w:pPr>
      <w:r>
        <w:rPr>
          <w:rStyle w:val="FootnoteReference"/>
        </w:rPr>
        <w:footnoteRef/>
      </w:r>
      <w:r>
        <w:t xml:space="preserve"> </w:t>
      </w:r>
      <w:r>
        <w:t xml:space="preserve">Stanley 2014, PMID 25038357.</w:t>
      </w:r>
    </w:p>
  </w:footnote>
  <w:footnote w:id="1303">
    <w:p>
      <w:pPr>
        <w:pStyle w:val="FootnoteText"/>
      </w:pPr>
      <w:r>
        <w:rPr>
          <w:rStyle w:val="FootnoteReference"/>
        </w:rPr>
        <w:footnoteRef/>
      </w:r>
      <w:r>
        <w:t xml:space="preserve"> </w:t>
      </w:r>
      <w:r>
        <w:t xml:space="preserve">Stanley 2012, PMID 22495074.</w:t>
      </w:r>
    </w:p>
  </w:footnote>
  <w:footnote w:id="1304">
    <w:p>
      <w:pPr>
        <w:pStyle w:val="FootnoteText"/>
      </w:pPr>
      <w:r>
        <w:rPr>
          <w:rStyle w:val="FootnoteReference"/>
        </w:rPr>
        <w:footnoteRef/>
      </w:r>
      <w:r>
        <w:t xml:space="preserve"> </w:t>
      </w:r>
      <w:r>
        <w:t xml:space="preserve">Falutz 2007, PMID 18057338.</w:t>
      </w:r>
    </w:p>
  </w:footnote>
  <w:footnote w:id="1305">
    <w:p>
      <w:pPr>
        <w:pStyle w:val="FootnoteText"/>
      </w:pPr>
      <w:r>
        <w:rPr>
          <w:rStyle w:val="FootnoteReference"/>
        </w:rPr>
        <w:footnoteRef/>
      </w:r>
      <w:r>
        <w:t xml:space="preserve"> </w:t>
      </w:r>
      <w:r>
        <w:t xml:space="preserve">Falutz 2008, PMID 18690162.</w:t>
      </w:r>
    </w:p>
  </w:footnote>
  <w:footnote w:id="1306">
    <w:p>
      <w:pPr>
        <w:pStyle w:val="FootnoteText"/>
      </w:pPr>
      <w:r>
        <w:rPr>
          <w:rStyle w:val="FootnoteReference"/>
        </w:rPr>
        <w:footnoteRef/>
      </w:r>
      <w:r>
        <w:t xml:space="preserve"> </w:t>
      </w:r>
      <w:r>
        <w:t xml:space="preserve">NCT01579695.</w:t>
      </w:r>
    </w:p>
  </w:footnote>
  <w:footnote w:id="1307">
    <w:p>
      <w:pPr>
        <w:pStyle w:val="FootnoteText"/>
      </w:pPr>
      <w:r>
        <w:rPr>
          <w:rStyle w:val="FootnoteReference"/>
        </w:rPr>
        <w:footnoteRef/>
      </w:r>
      <w:r>
        <w:t xml:space="preserve"> </w:t>
      </w:r>
      <w:r>
        <w:t xml:space="preserve">NCT01591902.</w:t>
      </w:r>
    </w:p>
  </w:footnote>
  <w:footnote w:id="1309">
    <w:p>
      <w:pPr>
        <w:pStyle w:val="FootnoteText"/>
      </w:pPr>
      <w:r>
        <w:rPr>
          <w:rStyle w:val="FootnoteReference"/>
        </w:rPr>
        <w:footnoteRef/>
      </w:r>
      <w:r>
        <w:t xml:space="preserve"> </w:t>
      </w:r>
      <w:r>
        <w:t xml:space="preserve">Memdouh 2021, PMID 34665524.</w:t>
      </w:r>
    </w:p>
  </w:footnote>
  <w:footnote w:id="1314">
    <w:p>
      <w:pPr>
        <w:pStyle w:val="FootnoteText"/>
      </w:pPr>
      <w:r>
        <w:rPr>
          <w:rStyle w:val="FootnoteReference"/>
        </w:rPr>
        <w:footnoteRef/>
      </w:r>
      <w:r>
        <w:t xml:space="preserve"> </w:t>
      </w:r>
      <w:r>
        <w:t xml:space="preserve">Jetté 2005, PMID 15817669.</w:t>
      </w:r>
    </w:p>
  </w:footnote>
  <w:footnote w:id="1316">
    <w:p>
      <w:pPr>
        <w:pStyle w:val="FootnoteText"/>
      </w:pPr>
      <w:r>
        <w:rPr>
          <w:rStyle w:val="FootnoteReference"/>
        </w:rPr>
        <w:footnoteRef/>
      </w:r>
      <w:r>
        <w:t xml:space="preserve"> </w:t>
      </w:r>
      <w:r>
        <w:t xml:space="preserve">Jetté 2005, PMID 15817669.</w:t>
      </w:r>
    </w:p>
  </w:footnote>
  <w:footnote w:id="1318">
    <w:p>
      <w:pPr>
        <w:pStyle w:val="FootnoteText"/>
      </w:pPr>
      <w:r>
        <w:rPr>
          <w:rStyle w:val="FootnoteReference"/>
        </w:rPr>
        <w:footnoteRef/>
      </w:r>
      <w:r>
        <w:t xml:space="preserve"> </w:t>
      </w:r>
      <w:r>
        <w:t xml:space="preserve">Teichman 2006, PMID 16352683.</w:t>
      </w:r>
    </w:p>
  </w:footnote>
  <w:footnote w:id="1319">
    <w:p>
      <w:pPr>
        <w:pStyle w:val="FootnoteText"/>
      </w:pPr>
      <w:r>
        <w:rPr>
          <w:rStyle w:val="FootnoteReference"/>
        </w:rPr>
        <w:footnoteRef/>
      </w:r>
      <w:r>
        <w:t xml:space="preserve"> </w:t>
      </w:r>
      <w:r>
        <w:t xml:space="preserve">Ionescu 2006, PMID 17018654.</w:t>
      </w:r>
    </w:p>
  </w:footnote>
  <w:footnote w:id="1320">
    <w:p>
      <w:pPr>
        <w:pStyle w:val="FootnoteText"/>
      </w:pPr>
      <w:r>
        <w:rPr>
          <w:rStyle w:val="FootnoteReference"/>
        </w:rPr>
        <w:footnoteRef/>
      </w:r>
      <w:r>
        <w:t xml:space="preserve"> </w:t>
      </w:r>
      <w:r>
        <w:t xml:space="preserve">Sackmann-Sala 2009, PMID 19386527.</w:t>
      </w:r>
    </w:p>
  </w:footnote>
  <w:footnote w:id="1321">
    <w:p>
      <w:pPr>
        <w:pStyle w:val="FootnoteText"/>
      </w:pPr>
      <w:r>
        <w:rPr>
          <w:rStyle w:val="FootnoteReference"/>
        </w:rPr>
        <w:footnoteRef/>
      </w:r>
      <w:r>
        <w:t xml:space="preserve"> </w:t>
      </w:r>
      <w:r>
        <w:t xml:space="preserve">NCT00267527.</w:t>
      </w:r>
    </w:p>
  </w:footnote>
  <w:footnote w:id="1324">
    <w:p>
      <w:pPr>
        <w:pStyle w:val="FootnoteText"/>
      </w:pPr>
      <w:r>
        <w:rPr>
          <w:rStyle w:val="FootnoteReference"/>
        </w:rPr>
        <w:footnoteRef/>
      </w:r>
      <w:r>
        <w:t xml:space="preserve"> </w:t>
      </w:r>
      <w:r>
        <w:t xml:space="preserve">Jetté 2005, PMID 15817669.</w:t>
      </w:r>
    </w:p>
  </w:footnote>
  <w:footnote w:id="1325">
    <w:p>
      <w:pPr>
        <w:pStyle w:val="FootnoteText"/>
      </w:pPr>
      <w:r>
        <w:rPr>
          <w:rStyle w:val="FootnoteReference"/>
        </w:rPr>
        <w:footnoteRef/>
      </w:r>
      <w:r>
        <w:t xml:space="preserve"> </w:t>
      </w:r>
      <w:r>
        <w:t xml:space="preserve">Alba 2006, PMID 16822960.</w:t>
      </w:r>
    </w:p>
  </w:footnote>
  <w:footnote w:id="1327">
    <w:p>
      <w:pPr>
        <w:pStyle w:val="FootnoteText"/>
      </w:pPr>
      <w:r>
        <w:rPr>
          <w:rStyle w:val="FootnoteReference"/>
        </w:rPr>
        <w:footnoteRef/>
      </w:r>
      <w:r>
        <w:t xml:space="preserve"> </w:t>
      </w:r>
      <w:r>
        <w:t xml:space="preserve">Teichman 2006, PMID 16352683.</w:t>
      </w:r>
    </w:p>
  </w:footnote>
  <w:footnote w:id="1328">
    <w:p>
      <w:pPr>
        <w:pStyle w:val="FootnoteText"/>
      </w:pPr>
      <w:r>
        <w:rPr>
          <w:rStyle w:val="FootnoteReference"/>
        </w:rPr>
        <w:footnoteRef/>
      </w:r>
      <w:r>
        <w:t xml:space="preserve"> </w:t>
      </w:r>
      <w:r>
        <w:t xml:space="preserve">Henninge 2010, PMID 21204297.</w:t>
      </w:r>
    </w:p>
  </w:footnote>
  <w:footnote w:id="1329">
    <w:p>
      <w:pPr>
        <w:pStyle w:val="FootnoteText"/>
      </w:pPr>
      <w:r>
        <w:rPr>
          <w:rStyle w:val="FootnoteReference"/>
        </w:rPr>
        <w:footnoteRef/>
      </w:r>
      <w:r>
        <w:t xml:space="preserve"> </w:t>
      </w:r>
      <w:r>
        <w:t xml:space="preserve">Gajda 2019, PMID 30136411.</w:t>
      </w:r>
    </w:p>
  </w:footnote>
  <w:footnote w:id="1330">
    <w:p>
      <w:pPr>
        <w:pStyle w:val="FootnoteText"/>
      </w:pPr>
      <w:r>
        <w:rPr>
          <w:rStyle w:val="FootnoteReference"/>
        </w:rPr>
        <w:footnoteRef/>
      </w:r>
      <w:r>
        <w:t xml:space="preserve"> </w:t>
      </w:r>
      <w:r>
        <w:t xml:space="preserve">Van Hout 2016, PMID 26771670.</w:t>
      </w:r>
    </w:p>
  </w:footnote>
  <w:footnote w:id="1332">
    <w:p>
      <w:pPr>
        <w:pStyle w:val="FootnoteText"/>
      </w:pPr>
      <w:r>
        <w:rPr>
          <w:rStyle w:val="FootnoteReference"/>
        </w:rPr>
        <w:footnoteRef/>
      </w:r>
      <w:r>
        <w:t xml:space="preserve"> </w:t>
      </w:r>
      <w:r>
        <w:t xml:space="preserve">Willis 2026, PMID 42752426.</w:t>
      </w:r>
    </w:p>
  </w:footnote>
  <w:footnote w:id="1333">
    <w:p>
      <w:pPr>
        <w:pStyle w:val="FootnoteText"/>
      </w:pPr>
      <w:r>
        <w:rPr>
          <w:rStyle w:val="FootnoteReference"/>
        </w:rPr>
        <w:footnoteRef/>
      </w:r>
      <w:r>
        <w:t xml:space="preserve"> </w:t>
      </w:r>
      <w:r>
        <w:t xml:space="preserve">Memdouh 2021, PMID 34665524.</w:t>
      </w:r>
    </w:p>
  </w:footnote>
  <w:footnote w:id="1334">
    <w:p>
      <w:pPr>
        <w:pStyle w:val="FootnoteText"/>
      </w:pPr>
      <w:r>
        <w:rPr>
          <w:rStyle w:val="FootnoteReference"/>
        </w:rPr>
        <w:footnoteRef/>
      </w:r>
      <w:r>
        <w:t xml:space="preserve"> </w:t>
      </w:r>
      <w:r>
        <w:t xml:space="preserve">Timms 2019, PMID 30938069.</w:t>
      </w:r>
    </w:p>
  </w:footnote>
  <w:footnote w:id="1339">
    <w:p>
      <w:pPr>
        <w:pStyle w:val="FootnoteText"/>
      </w:pPr>
      <w:r>
        <w:rPr>
          <w:rStyle w:val="FootnoteReference"/>
        </w:rPr>
        <w:footnoteRef/>
      </w:r>
      <w:r>
        <w:t xml:space="preserve"> </w:t>
      </w:r>
      <w:r>
        <w:t xml:space="preserve">Raun 1998, PMID 9849822.</w:t>
      </w:r>
    </w:p>
  </w:footnote>
  <w:footnote w:id="1341">
    <w:p>
      <w:pPr>
        <w:pStyle w:val="FootnoteText"/>
      </w:pPr>
      <w:r>
        <w:rPr>
          <w:rStyle w:val="FootnoteReference"/>
        </w:rPr>
        <w:footnoteRef/>
      </w:r>
      <w:r>
        <w:t xml:space="preserve"> </w:t>
      </w:r>
      <w:r>
        <w:t xml:space="preserve">Kojima 1999, PMID 10604470.</w:t>
      </w:r>
    </w:p>
  </w:footnote>
  <w:footnote w:id="1342">
    <w:p>
      <w:pPr>
        <w:pStyle w:val="FootnoteText"/>
      </w:pPr>
      <w:r>
        <w:rPr>
          <w:rStyle w:val="FootnoteReference"/>
        </w:rPr>
        <w:footnoteRef/>
      </w:r>
      <w:r>
        <w:t xml:space="preserve"> </w:t>
      </w:r>
      <w:r>
        <w:t xml:space="preserve">Raun 1998, PMID 9849822.</w:t>
      </w:r>
    </w:p>
  </w:footnote>
  <w:footnote w:id="1344">
    <w:p>
      <w:pPr>
        <w:pStyle w:val="FootnoteText"/>
      </w:pPr>
      <w:r>
        <w:rPr>
          <w:rStyle w:val="FootnoteReference"/>
        </w:rPr>
        <w:footnoteRef/>
      </w:r>
      <w:r>
        <w:t xml:space="preserve"> </w:t>
      </w:r>
      <w:r>
        <w:t xml:space="preserve">NCT07717866.</w:t>
      </w:r>
    </w:p>
  </w:footnote>
  <w:footnote w:id="1345">
    <w:p>
      <w:pPr>
        <w:pStyle w:val="FootnoteText"/>
      </w:pPr>
      <w:r>
        <w:rPr>
          <w:rStyle w:val="FootnoteReference"/>
        </w:rPr>
        <w:footnoteRef/>
      </w:r>
      <w:r>
        <w:t xml:space="preserve"> </w:t>
      </w:r>
      <w:r>
        <w:t xml:space="preserve">Gobburu 1999, PMID 10496658.</w:t>
      </w:r>
    </w:p>
  </w:footnote>
  <w:footnote w:id="1346">
    <w:p>
      <w:pPr>
        <w:pStyle w:val="FootnoteText"/>
      </w:pPr>
      <w:r>
        <w:rPr>
          <w:rStyle w:val="FootnoteReference"/>
        </w:rPr>
        <w:footnoteRef/>
      </w:r>
      <w:r>
        <w:t xml:space="preserve"> </w:t>
      </w:r>
      <w:r>
        <w:t xml:space="preserve">Beck 2014, PMID 25331030.</w:t>
      </w:r>
    </w:p>
  </w:footnote>
  <w:footnote w:id="1347">
    <w:p>
      <w:pPr>
        <w:pStyle w:val="FootnoteText"/>
      </w:pPr>
      <w:r>
        <w:rPr>
          <w:rStyle w:val="FootnoteReference"/>
        </w:rPr>
        <w:footnoteRef/>
      </w:r>
      <w:r>
        <w:t xml:space="preserve"> </w:t>
      </w:r>
      <w:r>
        <w:t xml:space="preserve">NCT01280344.</w:t>
      </w:r>
    </w:p>
  </w:footnote>
  <w:footnote w:id="1349">
    <w:p>
      <w:pPr>
        <w:pStyle w:val="FootnoteText"/>
      </w:pPr>
      <w:r>
        <w:rPr>
          <w:rStyle w:val="FootnoteReference"/>
        </w:rPr>
        <w:footnoteRef/>
      </w:r>
      <w:r>
        <w:t xml:space="preserve"> </w:t>
      </w:r>
      <w:r>
        <w:t xml:space="preserve">Venkova 2009, PMID 19289567.</w:t>
      </w:r>
    </w:p>
  </w:footnote>
  <w:footnote w:id="1350">
    <w:p>
      <w:pPr>
        <w:pStyle w:val="FootnoteText"/>
      </w:pPr>
      <w:r>
        <w:rPr>
          <w:rStyle w:val="FootnoteReference"/>
        </w:rPr>
        <w:footnoteRef/>
      </w:r>
      <w:r>
        <w:t xml:space="preserve"> </w:t>
      </w:r>
      <w:r>
        <w:t xml:space="preserve">Johansen 1999, PMID 10373343.</w:t>
      </w:r>
    </w:p>
  </w:footnote>
  <w:footnote w:id="1351">
    <w:p>
      <w:pPr>
        <w:pStyle w:val="FootnoteText"/>
      </w:pPr>
      <w:r>
        <w:rPr>
          <w:rStyle w:val="FootnoteReference"/>
        </w:rPr>
        <w:footnoteRef/>
      </w:r>
      <w:r>
        <w:t xml:space="preserve"> </w:t>
      </w:r>
      <w:r>
        <w:t xml:space="preserve">Raun 1998, PMID 9849822.</w:t>
      </w:r>
    </w:p>
  </w:footnote>
  <w:footnote w:id="1353">
    <w:p>
      <w:pPr>
        <w:pStyle w:val="FootnoteText"/>
      </w:pPr>
      <w:r>
        <w:rPr>
          <w:rStyle w:val="FootnoteReference"/>
        </w:rPr>
        <w:footnoteRef/>
      </w:r>
      <w:r>
        <w:t xml:space="preserve"> </w:t>
      </w:r>
      <w:r>
        <w:t xml:space="preserve">Beck 2014, PMID 25331030.</w:t>
      </w:r>
    </w:p>
  </w:footnote>
  <w:footnote w:id="1354">
    <w:p>
      <w:pPr>
        <w:pStyle w:val="FootnoteText"/>
      </w:pPr>
      <w:r>
        <w:rPr>
          <w:rStyle w:val="FootnoteReference"/>
        </w:rPr>
        <w:footnoteRef/>
      </w:r>
      <w:r>
        <w:t xml:space="preserve"> </w:t>
      </w:r>
      <w:r>
        <w:t xml:space="preserve">Krug 2018, PMID 29864719 ; Gajda 2019, PMID 30136411.</w:t>
      </w:r>
    </w:p>
  </w:footnote>
  <w:footnote w:id="1356">
    <w:p>
      <w:pPr>
        <w:pStyle w:val="FootnoteText"/>
      </w:pPr>
      <w:r>
        <w:rPr>
          <w:rStyle w:val="FootnoteReference"/>
        </w:rPr>
        <w:footnoteRef/>
      </w:r>
      <w:r>
        <w:t xml:space="preserve"> </w:t>
      </w:r>
      <w:r>
        <w:t xml:space="preserve">Willis 2026, PMID 42752426.</w:t>
      </w:r>
    </w:p>
  </w:footnote>
  <w:footnote w:id="1357">
    <w:p>
      <w:pPr>
        <w:pStyle w:val="FootnoteText"/>
      </w:pPr>
      <w:r>
        <w:rPr>
          <w:rStyle w:val="FootnoteReference"/>
        </w:rPr>
        <w:footnoteRef/>
      </w:r>
      <w:r>
        <w:t xml:space="preserve"> </w:t>
      </w:r>
      <w:r>
        <w:t xml:space="preserve">Semenistaya 2015, PMID 25869809.</w:t>
      </w:r>
    </w:p>
  </w:footnote>
  <w:footnote w:id="1362">
    <w:p>
      <w:pPr>
        <w:pStyle w:val="FootnoteText"/>
      </w:pPr>
      <w:r>
        <w:rPr>
          <w:rStyle w:val="FootnoteReference"/>
        </w:rPr>
        <w:footnoteRef/>
      </w:r>
      <w:r>
        <w:t xml:space="preserve"> </w:t>
      </w:r>
      <w:r>
        <w:t xml:space="preserve">Doi 2004, PMID 15646370.</w:t>
      </w:r>
    </w:p>
  </w:footnote>
  <w:footnote w:id="1363">
    <w:p>
      <w:pPr>
        <w:pStyle w:val="FootnoteText"/>
      </w:pPr>
      <w:r>
        <w:rPr>
          <w:rStyle w:val="FootnoteReference"/>
        </w:rPr>
        <w:footnoteRef/>
      </w:r>
      <w:r>
        <w:t xml:space="preserve"> </w:t>
      </w:r>
      <w:r>
        <w:t xml:space="preserve">profil anonyme de la substance dans Drugs R D 2004, PMID 15230633.</w:t>
      </w:r>
    </w:p>
  </w:footnote>
  <w:footnote w:id="1365">
    <w:p>
      <w:pPr>
        <w:pStyle w:val="FootnoteText"/>
      </w:pPr>
      <w:r>
        <w:rPr>
          <w:rStyle w:val="FootnoteReference"/>
        </w:rPr>
        <w:footnoteRef/>
      </w:r>
      <w:r>
        <w:t xml:space="preserve"> </w:t>
      </w:r>
      <w:r>
        <w:t xml:space="preserve">Kojima 1999, PMID 10604470.</w:t>
      </w:r>
    </w:p>
  </w:footnote>
  <w:footnote w:id="1366">
    <w:p>
      <w:pPr>
        <w:pStyle w:val="FootnoteText"/>
      </w:pPr>
      <w:r>
        <w:rPr>
          <w:rStyle w:val="FootnoteReference"/>
        </w:rPr>
        <w:footnoteRef/>
      </w:r>
      <w:r>
        <w:t xml:space="preserve"> </w:t>
      </w:r>
      <w:r>
        <w:t xml:space="preserve">Doi 2004, PMID 15646370.</w:t>
      </w:r>
    </w:p>
  </w:footnote>
  <w:footnote w:id="1368">
    <w:p>
      <w:pPr>
        <w:pStyle w:val="FootnoteText"/>
      </w:pPr>
      <w:r>
        <w:rPr>
          <w:rStyle w:val="FootnoteReference"/>
        </w:rPr>
        <w:footnoteRef/>
      </w:r>
      <w:r>
        <w:t xml:space="preserve"> </w:t>
      </w:r>
      <w:r>
        <w:t xml:space="preserve">Chihara 2007, PMID 17609397.</w:t>
      </w:r>
    </w:p>
  </w:footnote>
  <w:footnote w:id="1369">
    <w:p>
      <w:pPr>
        <w:pStyle w:val="FootnoteText"/>
      </w:pPr>
      <w:r>
        <w:rPr>
          <w:rStyle w:val="FootnoteReference"/>
        </w:rPr>
        <w:footnoteRef/>
      </w:r>
      <w:r>
        <w:t xml:space="preserve"> </w:t>
      </w:r>
      <w:r>
        <w:t xml:space="preserve">Kinoshita 2013, PMID 23079545.</w:t>
      </w:r>
    </w:p>
  </w:footnote>
  <w:footnote w:id="1370">
    <w:p>
      <w:pPr>
        <w:pStyle w:val="FootnoteText"/>
      </w:pPr>
      <w:r>
        <w:rPr>
          <w:rStyle w:val="FootnoteReference"/>
        </w:rPr>
        <w:footnoteRef/>
      </w:r>
      <w:r>
        <w:t xml:space="preserve"> </w:t>
      </w:r>
      <w:r>
        <w:t xml:space="preserve">Arimura 2016, PMID 27020037.</w:t>
      </w:r>
    </w:p>
  </w:footnote>
  <w:footnote w:id="1371">
    <w:p>
      <w:pPr>
        <w:pStyle w:val="FootnoteText"/>
      </w:pPr>
      <w:r>
        <w:rPr>
          <w:rStyle w:val="FootnoteReference"/>
        </w:rPr>
        <w:footnoteRef/>
      </w:r>
      <w:r>
        <w:t xml:space="preserve"> </w:t>
      </w:r>
      <w:r>
        <w:t xml:space="preserve">Hayakawa 2018, PMID 30324179.</w:t>
      </w:r>
    </w:p>
  </w:footnote>
  <w:footnote w:id="1373">
    <w:p>
      <w:pPr>
        <w:pStyle w:val="FootnoteText"/>
      </w:pPr>
      <w:r>
        <w:rPr>
          <w:rStyle w:val="FootnoteReference"/>
        </w:rPr>
        <w:footnoteRef/>
      </w:r>
      <w:r>
        <w:t xml:space="preserve"> </w:t>
      </w:r>
      <w:r>
        <w:t xml:space="preserve">Mericq 1998, PMID 9661608.</w:t>
      </w:r>
    </w:p>
  </w:footnote>
  <w:footnote w:id="1374">
    <w:p>
      <w:pPr>
        <w:pStyle w:val="FootnoteText"/>
      </w:pPr>
      <w:r>
        <w:rPr>
          <w:rStyle w:val="FootnoteReference"/>
        </w:rPr>
        <w:footnoteRef/>
      </w:r>
      <w:r>
        <w:t xml:space="preserve"> </w:t>
      </w:r>
      <w:r>
        <w:t xml:space="preserve">Pihoker 1997, PMID 9390009.</w:t>
      </w:r>
    </w:p>
  </w:footnote>
  <w:footnote w:id="1375">
    <w:p>
      <w:pPr>
        <w:pStyle w:val="FootnoteText"/>
      </w:pPr>
      <w:r>
        <w:rPr>
          <w:rStyle w:val="FootnoteReference"/>
        </w:rPr>
        <w:footnoteRef/>
      </w:r>
      <w:r>
        <w:t xml:space="preserve"> </w:t>
      </w:r>
      <w:r>
        <w:t xml:space="preserve">Mericq 2003, PMID 14513874.</w:t>
      </w:r>
    </w:p>
  </w:footnote>
  <w:footnote w:id="1376">
    <w:p>
      <w:pPr>
        <w:pStyle w:val="FootnoteText"/>
      </w:pPr>
      <w:r>
        <w:rPr>
          <w:rStyle w:val="FootnoteReference"/>
        </w:rPr>
        <w:footnoteRef/>
      </w:r>
      <w:r>
        <w:t xml:space="preserve"> </w:t>
      </w:r>
      <w:r>
        <w:t xml:space="preserve">profil anonyme de la substance dans Drugs R D 2004, PMID 15230633.</w:t>
      </w:r>
    </w:p>
  </w:footnote>
  <w:footnote w:id="1378">
    <w:p>
      <w:pPr>
        <w:pStyle w:val="FootnoteText"/>
      </w:pPr>
      <w:r>
        <w:rPr>
          <w:rStyle w:val="FootnoteReference"/>
        </w:rPr>
        <w:footnoteRef/>
      </w:r>
      <w:r>
        <w:t xml:space="preserve"> </w:t>
      </w:r>
      <w:r>
        <w:t xml:space="preserve">Laferrère 2006, PMID 16861611.</w:t>
      </w:r>
    </w:p>
  </w:footnote>
  <w:footnote w:id="1379">
    <w:p>
      <w:pPr>
        <w:pStyle w:val="FootnoteText"/>
      </w:pPr>
      <w:r>
        <w:rPr>
          <w:rStyle w:val="FootnoteReference"/>
        </w:rPr>
        <w:footnoteRef/>
      </w:r>
      <w:r>
        <w:t xml:space="preserve"> </w:t>
      </w:r>
      <w:r>
        <w:t xml:space="preserve">Van den Berghe 1999, PMID 10199772.</w:t>
      </w:r>
    </w:p>
  </w:footnote>
  <w:footnote w:id="1382">
    <w:p>
      <w:pPr>
        <w:pStyle w:val="FootnoteText"/>
      </w:pPr>
      <w:r>
        <w:rPr>
          <w:rStyle w:val="FootnoteReference"/>
        </w:rPr>
        <w:footnoteRef/>
      </w:r>
      <w:r>
        <w:t xml:space="preserve"> </w:t>
      </w:r>
      <w:r>
        <w:t xml:space="preserve">Doi 2004, PMID 15646370.</w:t>
      </w:r>
    </w:p>
  </w:footnote>
  <w:footnote w:id="1383">
    <w:p>
      <w:pPr>
        <w:pStyle w:val="FootnoteText"/>
      </w:pPr>
      <w:r>
        <w:rPr>
          <w:rStyle w:val="FootnoteReference"/>
        </w:rPr>
        <w:footnoteRef/>
      </w:r>
      <w:r>
        <w:t xml:space="preserve"> </w:t>
      </w:r>
      <w:r>
        <w:t xml:space="preserve">Raun 1998, PMID 9849822.</w:t>
      </w:r>
    </w:p>
  </w:footnote>
  <w:footnote w:id="1385">
    <w:p>
      <w:pPr>
        <w:pStyle w:val="FootnoteText"/>
      </w:pPr>
      <w:r>
        <w:rPr>
          <w:rStyle w:val="FootnoteReference"/>
        </w:rPr>
        <w:footnoteRef/>
      </w:r>
      <w:r>
        <w:t xml:space="preserve"> </w:t>
      </w:r>
      <w:r>
        <w:t xml:space="preserve">Mericq 2003, PMID 14513874 ; Laferrère 2006, PMID 16861611.</w:t>
      </w:r>
    </w:p>
  </w:footnote>
  <w:footnote w:id="1386">
    <w:p>
      <w:pPr>
        <w:pStyle w:val="FootnoteText"/>
      </w:pPr>
      <w:r>
        <w:rPr>
          <w:rStyle w:val="FootnoteReference"/>
        </w:rPr>
        <w:footnoteRef/>
      </w:r>
      <w:r>
        <w:t xml:space="preserve"> </w:t>
      </w:r>
      <w:r>
        <w:t xml:space="preserve">Arimura 2016, PMID 27020037.</w:t>
      </w:r>
    </w:p>
  </w:footnote>
  <w:footnote w:id="1387">
    <w:p>
      <w:pPr>
        <w:pStyle w:val="FootnoteText"/>
      </w:pPr>
      <w:r>
        <w:rPr>
          <w:rStyle w:val="FootnoteReference"/>
        </w:rPr>
        <w:footnoteRef/>
      </w:r>
      <w:r>
        <w:t xml:space="preserve"> </w:t>
      </w:r>
      <w:r>
        <w:t xml:space="preserve">Sigalos 2018, PMID 28400207.</w:t>
      </w:r>
    </w:p>
  </w:footnote>
  <w:footnote w:id="1388">
    <w:p>
      <w:pPr>
        <w:pStyle w:val="FootnoteText"/>
      </w:pPr>
      <w:r>
        <w:rPr>
          <w:rStyle w:val="FootnoteReference"/>
        </w:rPr>
        <w:footnoteRef/>
      </w:r>
      <w:r>
        <w:t xml:space="preserve"> </w:t>
      </w:r>
      <w:r>
        <w:t xml:space="preserve">Krug 2018, PMID 29864719 ; Gajda 2019, PMID 30136411.</w:t>
      </w:r>
    </w:p>
  </w:footnote>
  <w:footnote w:id="1390">
    <w:p>
      <w:pPr>
        <w:pStyle w:val="FootnoteText"/>
      </w:pPr>
      <w:r>
        <w:rPr>
          <w:rStyle w:val="FootnoteReference"/>
        </w:rPr>
        <w:footnoteRef/>
      </w:r>
      <w:r>
        <w:t xml:space="preserve"> </w:t>
      </w:r>
      <w:r>
        <w:t xml:space="preserve">Semenistaya 2015, PMID 25869809.</w:t>
      </w:r>
    </w:p>
  </w:footnote>
  <w:footnote w:id="1395">
    <w:p>
      <w:pPr>
        <w:pStyle w:val="FootnoteText"/>
      </w:pPr>
      <w:r>
        <w:rPr>
          <w:rStyle w:val="FootnoteReference"/>
        </w:rPr>
        <w:footnoteRef/>
      </w:r>
      <w:r>
        <w:t xml:space="preserve"> </w:t>
      </w:r>
      <w:r>
        <w:t xml:space="preserve">Bowers 1984, PMID 6714155.</w:t>
      </w:r>
    </w:p>
  </w:footnote>
  <w:footnote w:id="1397">
    <w:p>
      <w:pPr>
        <w:pStyle w:val="FootnoteText"/>
      </w:pPr>
      <w:r>
        <w:rPr>
          <w:rStyle w:val="FootnoteReference"/>
        </w:rPr>
        <w:footnoteRef/>
      </w:r>
      <w:r>
        <w:t xml:space="preserve"> </w:t>
      </w:r>
      <w:r>
        <w:t xml:space="preserve">Bowers 1984, PMID 6714155.</w:t>
      </w:r>
    </w:p>
  </w:footnote>
  <w:footnote w:id="1398">
    <w:p>
      <w:pPr>
        <w:pStyle w:val="FootnoteText"/>
      </w:pPr>
      <w:r>
        <w:rPr>
          <w:rStyle w:val="FootnoteReference"/>
        </w:rPr>
        <w:footnoteRef/>
      </w:r>
      <w:r>
        <w:t xml:space="preserve"> </w:t>
      </w:r>
      <w:r>
        <w:t xml:space="preserve">Kojima 1999, PMID 10604470.</w:t>
      </w:r>
    </w:p>
  </w:footnote>
  <w:footnote w:id="1400">
    <w:p>
      <w:pPr>
        <w:pStyle w:val="FootnoteText"/>
      </w:pPr>
      <w:r>
        <w:rPr>
          <w:rStyle w:val="FootnoteReference"/>
        </w:rPr>
        <w:footnoteRef/>
      </w:r>
      <w:r>
        <w:t xml:space="preserve"> </w:t>
      </w:r>
      <w:r>
        <w:t xml:space="preserve">Popovic 2000, PMID 11030292.</w:t>
      </w:r>
    </w:p>
  </w:footnote>
  <w:footnote w:id="1401">
    <w:p>
      <w:pPr>
        <w:pStyle w:val="FootnoteText"/>
      </w:pPr>
      <w:r>
        <w:rPr>
          <w:rStyle w:val="FootnoteReference"/>
        </w:rPr>
        <w:footnoteRef/>
      </w:r>
      <w:r>
        <w:t xml:space="preserve"> </w:t>
      </w:r>
      <w:r>
        <w:t xml:space="preserve">Petersenn 2002, PMID 11980622.</w:t>
      </w:r>
    </w:p>
  </w:footnote>
  <w:footnote w:id="1402">
    <w:p>
      <w:pPr>
        <w:pStyle w:val="FootnoteText"/>
      </w:pPr>
      <w:r>
        <w:rPr>
          <w:rStyle w:val="FootnoteReference"/>
        </w:rPr>
        <w:footnoteRef/>
      </w:r>
      <w:r>
        <w:t xml:space="preserve"> </w:t>
      </w:r>
      <w:r>
        <w:t xml:space="preserve">Leal-Cerro 1995, PMID 7788011.</w:t>
      </w:r>
    </w:p>
  </w:footnote>
  <w:footnote w:id="1403">
    <w:p>
      <w:pPr>
        <w:pStyle w:val="FootnoteText"/>
      </w:pPr>
      <w:r>
        <w:rPr>
          <w:rStyle w:val="FootnoteReference"/>
        </w:rPr>
        <w:footnoteRef/>
      </w:r>
      <w:r>
        <w:t xml:space="preserve"> </w:t>
      </w:r>
      <w:r>
        <w:t xml:space="preserve">Alaioubi 2010, PMID 19946832.</w:t>
      </w:r>
    </w:p>
  </w:footnote>
  <w:footnote w:id="1405">
    <w:p>
      <w:pPr>
        <w:pStyle w:val="FootnoteText"/>
      </w:pPr>
      <w:r>
        <w:rPr>
          <w:rStyle w:val="FootnoteReference"/>
        </w:rPr>
        <w:footnoteRef/>
      </w:r>
      <w:r>
        <w:t xml:space="preserve"> </w:t>
      </w:r>
      <w:r>
        <w:t xml:space="preserve">Cabrales 2013, PMID 23099431.</w:t>
      </w:r>
    </w:p>
  </w:footnote>
  <w:footnote w:id="1406">
    <w:p>
      <w:pPr>
        <w:pStyle w:val="FootnoteText"/>
      </w:pPr>
      <w:r>
        <w:rPr>
          <w:rStyle w:val="FootnoteReference"/>
        </w:rPr>
        <w:footnoteRef/>
      </w:r>
      <w:r>
        <w:t xml:space="preserve"> </w:t>
      </w:r>
      <w:r>
        <w:t xml:space="preserve">Frieboes 1995, PMID 7617137.</w:t>
      </w:r>
    </w:p>
  </w:footnote>
  <w:footnote w:id="1407">
    <w:p>
      <w:pPr>
        <w:pStyle w:val="FootnoteText"/>
      </w:pPr>
      <w:r>
        <w:rPr>
          <w:rStyle w:val="FootnoteReference"/>
        </w:rPr>
        <w:footnoteRef/>
      </w:r>
      <w:r>
        <w:t xml:space="preserve"> </w:t>
      </w:r>
      <w:r>
        <w:t xml:space="preserve">Micic 1995, PMID 7734029.</w:t>
      </w:r>
    </w:p>
  </w:footnote>
  <w:footnote w:id="1408">
    <w:p>
      <w:pPr>
        <w:pStyle w:val="FootnoteText"/>
      </w:pPr>
      <w:r>
        <w:rPr>
          <w:rStyle w:val="FootnoteReference"/>
        </w:rPr>
        <w:footnoteRef/>
      </w:r>
      <w:r>
        <w:t xml:space="preserve"> </w:t>
      </w:r>
      <w:r>
        <w:t xml:space="preserve">Bellone 1995, PMID 7581965.</w:t>
      </w:r>
    </w:p>
  </w:footnote>
  <w:footnote w:id="1411">
    <w:p>
      <w:pPr>
        <w:pStyle w:val="FootnoteText"/>
      </w:pPr>
      <w:r>
        <w:rPr>
          <w:rStyle w:val="FootnoteReference"/>
        </w:rPr>
        <w:footnoteRef/>
      </w:r>
      <w:r>
        <w:t xml:space="preserve"> </w:t>
      </w:r>
      <w:r>
        <w:t xml:space="preserve">Berlanga-Acosta 2024, PMID 38873418.</w:t>
      </w:r>
    </w:p>
  </w:footnote>
  <w:footnote w:id="1412">
    <w:p>
      <w:pPr>
        <w:pStyle w:val="FootnoteText"/>
      </w:pPr>
      <w:r>
        <w:rPr>
          <w:rStyle w:val="FootnoteReference"/>
        </w:rPr>
        <w:footnoteRef/>
      </w:r>
      <w:r>
        <w:t xml:space="preserve"> </w:t>
      </w:r>
      <w:r>
        <w:t xml:space="preserve">Cibrián 2006, PMID 16417467.</w:t>
      </w:r>
    </w:p>
  </w:footnote>
  <w:footnote w:id="1413">
    <w:p>
      <w:pPr>
        <w:pStyle w:val="FootnoteText"/>
      </w:pPr>
      <w:r>
        <w:rPr>
          <w:rStyle w:val="FootnoteReference"/>
        </w:rPr>
        <w:footnoteRef/>
      </w:r>
      <w:r>
        <w:t xml:space="preserve"> </w:t>
      </w:r>
      <w:r>
        <w:t xml:space="preserve">del Barco 2011, PMID 21697595.</w:t>
      </w:r>
    </w:p>
  </w:footnote>
  <w:footnote w:id="1415">
    <w:p>
      <w:pPr>
        <w:pStyle w:val="FootnoteText"/>
      </w:pPr>
      <w:r>
        <w:rPr>
          <w:rStyle w:val="FootnoteReference"/>
        </w:rPr>
        <w:footnoteRef/>
      </w:r>
      <w:r>
        <w:t xml:space="preserve"> </w:t>
      </w:r>
      <w:r>
        <w:t xml:space="preserve">Petersenn 2002, PMID 11980622.</w:t>
      </w:r>
    </w:p>
  </w:footnote>
  <w:footnote w:id="1416">
    <w:p>
      <w:pPr>
        <w:pStyle w:val="FootnoteText"/>
      </w:pPr>
      <w:r>
        <w:rPr>
          <w:rStyle w:val="FootnoteReference"/>
        </w:rPr>
        <w:footnoteRef/>
      </w:r>
      <w:r>
        <w:t xml:space="preserve"> </w:t>
      </w:r>
      <w:r>
        <w:t xml:space="preserve">Frieboes 1995, PMID 7617137.</w:t>
      </w:r>
    </w:p>
  </w:footnote>
  <w:footnote w:id="1417">
    <w:p>
      <w:pPr>
        <w:pStyle w:val="FootnoteText"/>
      </w:pPr>
      <w:r>
        <w:rPr>
          <w:rStyle w:val="FootnoteReference"/>
        </w:rPr>
        <w:footnoteRef/>
      </w:r>
      <w:r>
        <w:t xml:space="preserve"> </w:t>
      </w:r>
      <w:r>
        <w:t xml:space="preserve">Perez 2026, PMID 42465868.</w:t>
      </w:r>
    </w:p>
  </w:footnote>
  <w:footnote w:id="1418">
    <w:p>
      <w:pPr>
        <w:pStyle w:val="FootnoteText"/>
      </w:pPr>
      <w:r>
        <w:rPr>
          <w:rStyle w:val="FootnoteReference"/>
        </w:rPr>
        <w:footnoteRef/>
      </w:r>
      <w:r>
        <w:t xml:space="preserve"> </w:t>
      </w:r>
      <w:r>
        <w:t xml:space="preserve">Krug 2018, PMID 29864719.</w:t>
      </w:r>
    </w:p>
  </w:footnote>
  <w:footnote w:id="1420">
    <w:p>
      <w:pPr>
        <w:pStyle w:val="FootnoteText"/>
      </w:pPr>
      <w:r>
        <w:rPr>
          <w:rStyle w:val="FootnoteReference"/>
        </w:rPr>
        <w:footnoteRef/>
      </w:r>
      <w:r>
        <w:t xml:space="preserve"> </w:t>
      </w:r>
      <w:r>
        <w:t xml:space="preserve">Semenistaya 2015, PMID 25869809.</w:t>
      </w:r>
    </w:p>
  </w:footnote>
  <w:footnote w:id="1425">
    <w:p>
      <w:pPr>
        <w:pStyle w:val="FootnoteText"/>
      </w:pPr>
      <w:r>
        <w:rPr>
          <w:rStyle w:val="FootnoteReference"/>
        </w:rPr>
        <w:footnoteRef/>
      </w:r>
      <w:r>
        <w:t xml:space="preserve"> </w:t>
      </w:r>
      <w:r>
        <w:t xml:space="preserve">Imbimbo 1994, PMID 7957536.</w:t>
      </w:r>
    </w:p>
  </w:footnote>
  <w:footnote w:id="1426">
    <w:p>
      <w:pPr>
        <w:pStyle w:val="FootnoteText"/>
      </w:pPr>
      <w:r>
        <w:rPr>
          <w:rStyle w:val="FootnoteReference"/>
        </w:rPr>
        <w:footnoteRef/>
      </w:r>
      <w:r>
        <w:t xml:space="preserve"> </w:t>
      </w:r>
      <w:r>
        <w:t xml:space="preserve">Mao 2014, PMID 25278975.</w:t>
      </w:r>
    </w:p>
  </w:footnote>
  <w:footnote w:id="1428">
    <w:p>
      <w:pPr>
        <w:pStyle w:val="FootnoteText"/>
      </w:pPr>
      <w:r>
        <w:rPr>
          <w:rStyle w:val="FootnoteReference"/>
        </w:rPr>
        <w:footnoteRef/>
      </w:r>
      <w:r>
        <w:t xml:space="preserve"> </w:t>
      </w:r>
      <w:r>
        <w:t xml:space="preserve">Loche 1995, PMID 7673411.</w:t>
      </w:r>
    </w:p>
  </w:footnote>
  <w:footnote w:id="1430">
    <w:p>
      <w:pPr>
        <w:pStyle w:val="FootnoteText"/>
      </w:pPr>
      <w:r>
        <w:rPr>
          <w:rStyle w:val="FootnoteReference"/>
        </w:rPr>
        <w:footnoteRef/>
      </w:r>
      <w:r>
        <w:t xml:space="preserve"> </w:t>
      </w:r>
      <w:r>
        <w:t xml:space="preserve">Imbimbo 1994, PMID 7957536.</w:t>
      </w:r>
    </w:p>
  </w:footnote>
  <w:footnote w:id="1431">
    <w:p>
      <w:pPr>
        <w:pStyle w:val="FootnoteText"/>
      </w:pPr>
      <w:r>
        <w:rPr>
          <w:rStyle w:val="FootnoteReference"/>
        </w:rPr>
        <w:footnoteRef/>
      </w:r>
      <w:r>
        <w:t xml:space="preserve"> </w:t>
      </w:r>
      <w:r>
        <w:t xml:space="preserve">Massoud 1996, PMID 8954038.</w:t>
      </w:r>
    </w:p>
  </w:footnote>
  <w:footnote w:id="1432">
    <w:p>
      <w:pPr>
        <w:pStyle w:val="FootnoteText"/>
      </w:pPr>
      <w:r>
        <w:rPr>
          <w:rStyle w:val="FootnoteReference"/>
        </w:rPr>
        <w:footnoteRef/>
      </w:r>
      <w:r>
        <w:t xml:space="preserve"> </w:t>
      </w:r>
      <w:r>
        <w:t xml:space="preserve">Korbonits 1999, PMID 10404825.</w:t>
      </w:r>
    </w:p>
  </w:footnote>
  <w:footnote w:id="1434">
    <w:p>
      <w:pPr>
        <w:pStyle w:val="FootnoteText"/>
      </w:pPr>
      <w:r>
        <w:rPr>
          <w:rStyle w:val="FootnoteReference"/>
        </w:rPr>
        <w:footnoteRef/>
      </w:r>
      <w:r>
        <w:t xml:space="preserve"> </w:t>
      </w:r>
      <w:r>
        <w:t xml:space="preserve">Rahim 1998, PMID 9589671.</w:t>
      </w:r>
    </w:p>
  </w:footnote>
  <w:footnote w:id="1435">
    <w:p>
      <w:pPr>
        <w:pStyle w:val="FootnoteText"/>
      </w:pPr>
      <w:r>
        <w:rPr>
          <w:rStyle w:val="FootnoteReference"/>
        </w:rPr>
        <w:footnoteRef/>
      </w:r>
      <w:r>
        <w:t xml:space="preserve"> </w:t>
      </w:r>
      <w:r>
        <w:t xml:space="preserve">Rahim 1999, PMID 10341859.</w:t>
      </w:r>
    </w:p>
  </w:footnote>
  <w:footnote w:id="1436">
    <w:p>
      <w:pPr>
        <w:pStyle w:val="FootnoteText"/>
      </w:pPr>
      <w:r>
        <w:rPr>
          <w:rStyle w:val="FootnoteReference"/>
        </w:rPr>
        <w:footnoteRef/>
      </w:r>
      <w:r>
        <w:t xml:space="preserve"> </w:t>
      </w:r>
      <w:r>
        <w:t xml:space="preserve">Laron 1995, PMID 8548949.</w:t>
      </w:r>
    </w:p>
  </w:footnote>
  <w:footnote w:id="1437">
    <w:p>
      <w:pPr>
        <w:pStyle w:val="FootnoteText"/>
      </w:pPr>
      <w:r>
        <w:rPr>
          <w:rStyle w:val="FootnoteReference"/>
        </w:rPr>
        <w:footnoteRef/>
      </w:r>
      <w:r>
        <w:t xml:space="preserve"> </w:t>
      </w:r>
      <w:r>
        <w:t xml:space="preserve">Klinger 1996, PMID 8766941.</w:t>
      </w:r>
    </w:p>
  </w:footnote>
  <w:footnote w:id="1439">
    <w:p>
      <w:pPr>
        <w:pStyle w:val="FootnoteText"/>
      </w:pPr>
      <w:r>
        <w:rPr>
          <w:rStyle w:val="FootnoteReference"/>
        </w:rPr>
        <w:footnoteRef/>
      </w:r>
      <w:r>
        <w:t xml:space="preserve"> </w:t>
      </w:r>
      <w:r>
        <w:t xml:space="preserve">Bisi 1999, PMID 10528131.</w:t>
      </w:r>
    </w:p>
  </w:footnote>
  <w:footnote w:id="1440">
    <w:p>
      <w:pPr>
        <w:pStyle w:val="FootnoteText"/>
      </w:pPr>
      <w:r>
        <w:rPr>
          <w:rStyle w:val="FootnoteReference"/>
        </w:rPr>
        <w:footnoteRef/>
      </w:r>
      <w:r>
        <w:t xml:space="preserve"> </w:t>
      </w:r>
      <w:r>
        <w:t xml:space="preserve">Broglio 2001, PMID 11322491.</w:t>
      </w:r>
    </w:p>
  </w:footnote>
  <w:footnote w:id="1441">
    <w:p>
      <w:pPr>
        <w:pStyle w:val="FootnoteText"/>
      </w:pPr>
      <w:r>
        <w:rPr>
          <w:rStyle w:val="FootnoteReference"/>
        </w:rPr>
        <w:footnoteRef/>
      </w:r>
      <w:r>
        <w:t xml:space="preserve"> </w:t>
      </w:r>
      <w:r>
        <w:t xml:space="preserve">Broglio 2002, PMID 12144941.</w:t>
      </w:r>
    </w:p>
  </w:footnote>
  <w:footnote w:id="1444">
    <w:p>
      <w:pPr>
        <w:pStyle w:val="FootnoteText"/>
      </w:pPr>
      <w:r>
        <w:rPr>
          <w:rStyle w:val="FootnoteReference"/>
        </w:rPr>
        <w:footnoteRef/>
      </w:r>
      <w:r>
        <w:t xml:space="preserve"> </w:t>
      </w:r>
      <w:r>
        <w:t xml:space="preserve">Tivesten 2000, PMID 10614623.</w:t>
      </w:r>
    </w:p>
  </w:footnote>
  <w:footnote w:id="1445">
    <w:p>
      <w:pPr>
        <w:pStyle w:val="FootnoteText"/>
      </w:pPr>
      <w:r>
        <w:rPr>
          <w:rStyle w:val="FootnoteReference"/>
        </w:rPr>
        <w:footnoteRef/>
      </w:r>
      <w:r>
        <w:t xml:space="preserve"> </w:t>
      </w:r>
      <w:r>
        <w:t xml:space="preserve">McDonald 2018, PMID 29756411.</w:t>
      </w:r>
    </w:p>
  </w:footnote>
  <w:footnote w:id="1446">
    <w:p>
      <w:pPr>
        <w:pStyle w:val="FootnoteText"/>
      </w:pPr>
      <w:r>
        <w:rPr>
          <w:rStyle w:val="FootnoteReference"/>
        </w:rPr>
        <w:footnoteRef/>
      </w:r>
      <w:r>
        <w:t xml:space="preserve"> </w:t>
      </w:r>
      <w:r>
        <w:t xml:space="preserve">Mao 2014, PMID 25278975.</w:t>
      </w:r>
    </w:p>
  </w:footnote>
  <w:footnote w:id="1448">
    <w:p>
      <w:pPr>
        <w:pStyle w:val="FootnoteText"/>
      </w:pPr>
      <w:r>
        <w:rPr>
          <w:rStyle w:val="FootnoteReference"/>
        </w:rPr>
        <w:footnoteRef/>
      </w:r>
      <w:r>
        <w:t xml:space="preserve"> </w:t>
      </w:r>
      <w:r>
        <w:t xml:space="preserve">Massoud 1996, PMID 8954038 ; Korbonits 1999, PMID 10404825.</w:t>
      </w:r>
    </w:p>
  </w:footnote>
  <w:footnote w:id="1449">
    <w:p>
      <w:pPr>
        <w:pStyle w:val="FootnoteText"/>
      </w:pPr>
      <w:r>
        <w:rPr>
          <w:rStyle w:val="FootnoteReference"/>
        </w:rPr>
        <w:footnoteRef/>
      </w:r>
      <w:r>
        <w:t xml:space="preserve"> </w:t>
      </w:r>
      <w:r>
        <w:t xml:space="preserve">Korbonits 1999, PMID 10404825.</w:t>
      </w:r>
    </w:p>
  </w:footnote>
  <w:footnote w:id="1450">
    <w:p>
      <w:pPr>
        <w:pStyle w:val="FootnoteText"/>
      </w:pPr>
      <w:r>
        <w:rPr>
          <w:rStyle w:val="FootnoteReference"/>
        </w:rPr>
        <w:footnoteRef/>
      </w:r>
      <w:r>
        <w:t xml:space="preserve"> </w:t>
      </w:r>
      <w:r>
        <w:t xml:space="preserve">Rahim 1998, PMID 9589671 ; Klinger 1996, PMID 8766941.</w:t>
      </w:r>
    </w:p>
  </w:footnote>
  <w:footnote w:id="1451">
    <w:p>
      <w:pPr>
        <w:pStyle w:val="FootnoteText"/>
      </w:pPr>
      <w:r>
        <w:rPr>
          <w:rStyle w:val="FootnoteReference"/>
        </w:rPr>
        <w:footnoteRef/>
      </w:r>
      <w:r>
        <w:t xml:space="preserve"> </w:t>
      </w:r>
      <w:r>
        <w:t xml:space="preserve">Laron 1995, PMID 8548949.</w:t>
      </w:r>
    </w:p>
  </w:footnote>
  <w:footnote w:id="1453">
    <w:p>
      <w:pPr>
        <w:pStyle w:val="FootnoteText"/>
      </w:pPr>
      <w:r>
        <w:rPr>
          <w:rStyle w:val="FootnoteReference"/>
        </w:rPr>
        <w:footnoteRef/>
      </w:r>
      <w:r>
        <w:t xml:space="preserve"> </w:t>
      </w:r>
      <w:r>
        <w:t xml:space="preserve">Semenistaya 2015, PMID 25869809.</w:t>
      </w:r>
    </w:p>
  </w:footnote>
  <w:footnote w:id="1458">
    <w:p>
      <w:pPr>
        <w:pStyle w:val="FootnoteText"/>
      </w:pPr>
      <w:r>
        <w:rPr>
          <w:rStyle w:val="FootnoteReference"/>
        </w:rPr>
        <w:footnoteRef/>
      </w:r>
      <w:r>
        <w:t xml:space="preserve"> </w:t>
      </w:r>
      <w:r>
        <w:t xml:space="preserve">Piccoli 2007, PMID 17284637.</w:t>
      </w:r>
    </w:p>
  </w:footnote>
  <w:footnote w:id="1461">
    <w:p>
      <w:pPr>
        <w:pStyle w:val="FootnoteText"/>
      </w:pPr>
      <w:r>
        <w:rPr>
          <w:rStyle w:val="FootnoteReference"/>
        </w:rPr>
        <w:footnoteRef/>
      </w:r>
      <w:r>
        <w:t xml:space="preserve"> </w:t>
      </w:r>
      <w:r>
        <w:t xml:space="preserve">Piccoli 2007, PMID 17284637.</w:t>
      </w:r>
    </w:p>
  </w:footnote>
  <w:footnote w:id="1462">
    <w:p>
      <w:pPr>
        <w:pStyle w:val="FootnoteText"/>
      </w:pPr>
      <w:r>
        <w:rPr>
          <w:rStyle w:val="FootnoteReference"/>
        </w:rPr>
        <w:footnoteRef/>
      </w:r>
      <w:r>
        <w:t xml:space="preserve"> </w:t>
      </w:r>
      <w:r>
        <w:t xml:space="preserve">Klaus 2020, PMID 32325373.</w:t>
      </w:r>
    </w:p>
  </w:footnote>
  <w:footnote w:id="1464">
    <w:p>
      <w:pPr>
        <w:pStyle w:val="FootnoteText"/>
      </w:pPr>
      <w:r>
        <w:rPr>
          <w:rStyle w:val="FootnoteReference"/>
        </w:rPr>
        <w:footnoteRef/>
      </w:r>
      <w:r>
        <w:t xml:space="preserve"> </w:t>
      </w:r>
      <w:r>
        <w:t xml:space="preserve">Garcia 2013, PMID 23559086.</w:t>
      </w:r>
    </w:p>
  </w:footnote>
  <w:footnote w:id="1465">
    <w:p>
      <w:pPr>
        <w:pStyle w:val="FootnoteText"/>
      </w:pPr>
      <w:r>
        <w:rPr>
          <w:rStyle w:val="FootnoteReference"/>
        </w:rPr>
        <w:footnoteRef/>
      </w:r>
      <w:r>
        <w:t xml:space="preserve"> </w:t>
      </w:r>
      <w:r>
        <w:t xml:space="preserve">Garcia 2018, PMID 29860473 ; NCT02558829.</w:t>
      </w:r>
    </w:p>
  </w:footnote>
  <w:footnote w:id="1466">
    <w:p>
      <w:pPr>
        <w:pStyle w:val="FootnoteText"/>
      </w:pPr>
      <w:r>
        <w:rPr>
          <w:rStyle w:val="FootnoteReference"/>
        </w:rPr>
        <w:footnoteRef/>
      </w:r>
      <w:r>
        <w:t xml:space="preserve"> </w:t>
      </w:r>
      <w:r>
        <w:t xml:space="preserve">Garcia 2021, PMID 33320108.</w:t>
      </w:r>
    </w:p>
  </w:footnote>
  <w:footnote w:id="1468">
    <w:p>
      <w:pPr>
        <w:pStyle w:val="FootnoteText"/>
      </w:pPr>
      <w:r>
        <w:rPr>
          <w:rStyle w:val="FootnoteReference"/>
        </w:rPr>
        <w:footnoteRef/>
      </w:r>
      <w:r>
        <w:t xml:space="preserve"> </w:t>
      </w:r>
      <w:r>
        <w:t xml:space="preserve">Yadav 2026, PMID 41793495.</w:t>
      </w:r>
    </w:p>
  </w:footnote>
  <w:footnote w:id="1470">
    <w:p>
      <w:pPr>
        <w:pStyle w:val="FootnoteText"/>
      </w:pPr>
      <w:r>
        <w:rPr>
          <w:rStyle w:val="FootnoteReference"/>
        </w:rPr>
        <w:footnoteRef/>
      </w:r>
      <w:r>
        <w:t xml:space="preserve"> </w:t>
      </w:r>
      <w:r>
        <w:t xml:space="preserve">Csákváry 2021, PMID 34438400.</w:t>
      </w:r>
    </w:p>
  </w:footnote>
  <w:footnote w:id="1471">
    <w:p>
      <w:pPr>
        <w:pStyle w:val="FootnoteText"/>
      </w:pPr>
      <w:r>
        <w:rPr>
          <w:rStyle w:val="FootnoteReference"/>
        </w:rPr>
        <w:footnoteRef/>
      </w:r>
      <w:r>
        <w:t xml:space="preserve"> </w:t>
      </w:r>
      <w:r>
        <w:t xml:space="preserve">NCT04786873.</w:t>
      </w:r>
    </w:p>
  </w:footnote>
  <w:footnote w:id="1472">
    <w:p>
      <w:pPr>
        <w:pStyle w:val="FootnoteText"/>
      </w:pPr>
      <w:r>
        <w:rPr>
          <w:rStyle w:val="FootnoteReference"/>
        </w:rPr>
        <w:footnoteRef/>
      </w:r>
      <w:r>
        <w:t xml:space="preserve"> </w:t>
      </w:r>
      <w:r>
        <w:t xml:space="preserve">Herodes 2023, PMID 36860137.</w:t>
      </w:r>
    </w:p>
  </w:footnote>
  <w:footnote w:id="1475">
    <w:p>
      <w:pPr>
        <w:pStyle w:val="FootnoteText"/>
      </w:pPr>
      <w:r>
        <w:rPr>
          <w:rStyle w:val="FootnoteReference"/>
        </w:rPr>
        <w:footnoteRef/>
      </w:r>
      <w:r>
        <w:t xml:space="preserve"> </w:t>
      </w:r>
      <w:r>
        <w:t xml:space="preserve">Buckinx 2021, PMID 34157194.</w:t>
      </w:r>
    </w:p>
  </w:footnote>
  <w:footnote w:id="1476">
    <w:p>
      <w:pPr>
        <w:pStyle w:val="FootnoteText"/>
      </w:pPr>
      <w:r>
        <w:rPr>
          <w:rStyle w:val="FootnoteReference"/>
        </w:rPr>
        <w:footnoteRef/>
      </w:r>
      <w:r>
        <w:t xml:space="preserve"> </w:t>
      </w:r>
      <w:r>
        <w:t xml:space="preserve">Wang 2025, PMID 40542284.</w:t>
      </w:r>
    </w:p>
  </w:footnote>
  <w:footnote w:id="1478">
    <w:p>
      <w:pPr>
        <w:pStyle w:val="FootnoteText"/>
      </w:pPr>
      <w:r>
        <w:rPr>
          <w:rStyle w:val="FootnoteReference"/>
        </w:rPr>
        <w:footnoteRef/>
      </w:r>
      <w:r>
        <w:t xml:space="preserve"> </w:t>
      </w:r>
      <w:r>
        <w:t xml:space="preserve">Garcia 2018, PMID 29860473.</w:t>
      </w:r>
    </w:p>
  </w:footnote>
  <w:footnote w:id="1479">
    <w:p>
      <w:pPr>
        <w:pStyle w:val="FootnoteText"/>
      </w:pPr>
      <w:r>
        <w:rPr>
          <w:rStyle w:val="FootnoteReference"/>
        </w:rPr>
        <w:footnoteRef/>
      </w:r>
      <w:r>
        <w:t xml:space="preserve"> </w:t>
      </w:r>
      <w:r>
        <w:t xml:space="preserve">Klaus 2020, PMID 32325373.</w:t>
      </w:r>
    </w:p>
  </w:footnote>
  <w:footnote w:id="1480">
    <w:p>
      <w:pPr>
        <w:pStyle w:val="FootnoteText"/>
      </w:pPr>
      <w:r>
        <w:rPr>
          <w:rStyle w:val="FootnoteReference"/>
        </w:rPr>
        <w:footnoteRef/>
      </w:r>
      <w:r>
        <w:t xml:space="preserve"> </w:t>
      </w:r>
      <w:r>
        <w:t xml:space="preserve">Lissy 2021, PMID 32961034.</w:t>
      </w:r>
    </w:p>
  </w:footnote>
  <w:footnote w:id="1481">
    <w:p>
      <w:pPr>
        <w:pStyle w:val="FootnoteText"/>
      </w:pPr>
      <w:r>
        <w:rPr>
          <w:rStyle w:val="FootnoteReference"/>
        </w:rPr>
        <w:footnoteRef/>
      </w:r>
      <w:r>
        <w:t xml:space="preserve"> </w:t>
      </w:r>
      <w:r>
        <w:t xml:space="preserve">Yadav 2026, PMID 41793495.</w:t>
      </w:r>
    </w:p>
  </w:footnote>
  <w:footnote w:id="1483">
    <w:p>
      <w:pPr>
        <w:pStyle w:val="FootnoteText"/>
      </w:pPr>
      <w:r>
        <w:rPr>
          <w:rStyle w:val="FootnoteReference"/>
        </w:rPr>
        <w:footnoteRef/>
      </w:r>
      <w:r>
        <w:t xml:space="preserve"> </w:t>
      </w:r>
      <w:r>
        <w:t xml:space="preserve">Lange 2021, PMID 33458843.</w:t>
      </w:r>
    </w:p>
  </w:footnote>
  <w:footnote w:id="1485">
    <w:p>
      <w:pPr>
        <w:pStyle w:val="FootnoteText"/>
      </w:pPr>
      <w:r>
        <w:rPr>
          <w:rStyle w:val="FootnoteReference"/>
        </w:rPr>
        <w:footnoteRef/>
      </w:r>
      <w:r>
        <w:t xml:space="preserve"> </w:t>
      </w:r>
      <w:r>
        <w:t xml:space="preserve">NCT04786873.</w:t>
      </w:r>
    </w:p>
  </w:footnote>
  <w:footnote w:id="1486">
    <w:p>
      <w:pPr>
        <w:pStyle w:val="FootnoteText"/>
      </w:pPr>
      <w:r>
        <w:rPr>
          <w:rStyle w:val="FootnoteReference"/>
        </w:rPr>
        <w:footnoteRef/>
      </w:r>
      <w:r>
        <w:t xml:space="preserve"> </w:t>
      </w:r>
      <w:r>
        <w:t xml:space="preserve">NCT03844217.</w:t>
      </w:r>
    </w:p>
  </w:footnote>
  <w:footnote w:id="1491">
    <w:p>
      <w:pPr>
        <w:pStyle w:val="FootnoteText"/>
      </w:pPr>
      <w:r>
        <w:rPr>
          <w:rStyle w:val="FootnoteReference"/>
        </w:rPr>
        <w:footnoteRef/>
      </w:r>
      <w:r>
        <w:t xml:space="preserve"> </w:t>
      </w:r>
      <w:r>
        <w:t xml:space="preserve">Saavedra 2026, PMID 42341624.</w:t>
      </w:r>
    </w:p>
  </w:footnote>
  <w:footnote w:id="1493">
    <w:p>
      <w:pPr>
        <w:pStyle w:val="FootnoteText"/>
      </w:pPr>
      <w:r>
        <w:rPr>
          <w:rStyle w:val="FootnoteReference"/>
        </w:rPr>
        <w:footnoteRef/>
      </w:r>
      <w:r>
        <w:t xml:space="preserve"> </w:t>
      </w:r>
      <w:r>
        <w:t xml:space="preserve">Chernausek 2007, PMID 17192294.</w:t>
      </w:r>
    </w:p>
  </w:footnote>
  <w:footnote w:id="1494">
    <w:p>
      <w:pPr>
        <w:pStyle w:val="FootnoteText"/>
      </w:pPr>
      <w:r>
        <w:rPr>
          <w:rStyle w:val="FootnoteReference"/>
        </w:rPr>
        <w:footnoteRef/>
      </w:r>
      <w:r>
        <w:t xml:space="preserve"> </w:t>
      </w:r>
      <w:r>
        <w:t xml:space="preserve">NCT00903110.</w:t>
      </w:r>
    </w:p>
  </w:footnote>
  <w:footnote w:id="1495">
    <w:p>
      <w:pPr>
        <w:pStyle w:val="FootnoteText"/>
      </w:pPr>
      <w:r>
        <w:rPr>
          <w:rStyle w:val="FootnoteReference"/>
        </w:rPr>
        <w:footnoteRef/>
      </w:r>
      <w:r>
        <w:t xml:space="preserve"> </w:t>
      </w:r>
      <w:r>
        <w:t xml:space="preserve">Bang 2021, PMID 33434161.</w:t>
      </w:r>
    </w:p>
  </w:footnote>
  <w:footnote w:id="1496">
    <w:p>
      <w:pPr>
        <w:pStyle w:val="FootnoteText"/>
      </w:pPr>
      <w:r>
        <w:rPr>
          <w:rStyle w:val="FootnoteReference"/>
        </w:rPr>
        <w:footnoteRef/>
      </w:r>
      <w:r>
        <w:t xml:space="preserve"> </w:t>
      </w:r>
      <w:r>
        <w:t xml:space="preserve">Ramon-Krauel 2026, PMID 40626687.</w:t>
      </w:r>
    </w:p>
  </w:footnote>
  <w:footnote w:id="1497">
    <w:p>
      <w:pPr>
        <w:pStyle w:val="FootnoteText"/>
      </w:pPr>
      <w:r>
        <w:rPr>
          <w:rStyle w:val="FootnoteReference"/>
        </w:rPr>
        <w:footnoteRef/>
      </w:r>
      <w:r>
        <w:t xml:space="preserve"> </w:t>
      </w:r>
      <w:r>
        <w:t xml:space="preserve">Bang 2023, PMID 37579214.</w:t>
      </w:r>
    </w:p>
  </w:footnote>
  <w:footnote w:id="1499">
    <w:p>
      <w:pPr>
        <w:pStyle w:val="FootnoteText"/>
      </w:pPr>
      <w:r>
        <w:rPr>
          <w:rStyle w:val="FootnoteReference"/>
        </w:rPr>
        <w:footnoteRef/>
      </w:r>
      <w:r>
        <w:t xml:space="preserve"> </w:t>
      </w:r>
      <w:r>
        <w:t xml:space="preserve">Sorenson 2008, PMID 19029516.</w:t>
      </w:r>
    </w:p>
  </w:footnote>
  <w:footnote w:id="1500">
    <w:p>
      <w:pPr>
        <w:pStyle w:val="FootnoteText"/>
      </w:pPr>
      <w:r>
        <w:rPr>
          <w:rStyle w:val="FootnoteReference"/>
        </w:rPr>
        <w:footnoteRef/>
      </w:r>
      <w:r>
        <w:t xml:space="preserve"> </w:t>
      </w:r>
      <w:r>
        <w:t xml:space="preserve">Rutter 2020, PMID 32108355.</w:t>
      </w:r>
    </w:p>
  </w:footnote>
  <w:footnote w:id="1501">
    <w:p>
      <w:pPr>
        <w:pStyle w:val="FootnoteText"/>
      </w:pPr>
      <w:r>
        <w:rPr>
          <w:rStyle w:val="FootnoteReference"/>
        </w:rPr>
        <w:footnoteRef/>
      </w:r>
      <w:r>
        <w:t xml:space="preserve"> </w:t>
      </w:r>
      <w:r>
        <w:t xml:space="preserve">Ribeiro 2025, PMID 41174329.</w:t>
      </w:r>
    </w:p>
  </w:footnote>
  <w:footnote w:id="1502">
    <w:p>
      <w:pPr>
        <w:pStyle w:val="FootnoteText"/>
      </w:pPr>
      <w:r>
        <w:rPr>
          <w:rStyle w:val="FootnoteReference"/>
        </w:rPr>
        <w:footnoteRef/>
      </w:r>
      <w:r>
        <w:t xml:space="preserve"> </w:t>
      </w:r>
      <w:r>
        <w:t xml:space="preserve">Ley 2019, PMID 30471715.</w:t>
      </w:r>
    </w:p>
  </w:footnote>
  <w:footnote w:id="1503">
    <w:p>
      <w:pPr>
        <w:pStyle w:val="FootnoteText"/>
      </w:pPr>
      <w:r>
        <w:rPr>
          <w:rStyle w:val="FootnoteReference"/>
        </w:rPr>
        <w:footnoteRef/>
      </w:r>
      <w:r>
        <w:t xml:space="preserve"> </w:t>
      </w:r>
      <w:r>
        <w:t xml:space="preserve">NCT03253263.</w:t>
      </w:r>
    </w:p>
  </w:footnote>
  <w:footnote w:id="1504">
    <w:p>
      <w:pPr>
        <w:pStyle w:val="FootnoteText"/>
      </w:pPr>
      <w:r>
        <w:rPr>
          <w:rStyle w:val="FootnoteReference"/>
        </w:rPr>
        <w:footnoteRef/>
      </w:r>
      <w:r>
        <w:t xml:space="preserve"> </w:t>
      </w:r>
      <w:r>
        <w:t xml:space="preserve">Haines 2021, PMID 34355814.</w:t>
      </w:r>
    </w:p>
  </w:footnote>
  <w:footnote w:id="1505">
    <w:p>
      <w:pPr>
        <w:pStyle w:val="FootnoteText"/>
      </w:pPr>
      <w:r>
        <w:rPr>
          <w:rStyle w:val="FootnoteReference"/>
        </w:rPr>
        <w:footnoteRef/>
      </w:r>
      <w:r>
        <w:t xml:space="preserve"> </w:t>
      </w:r>
      <w:r>
        <w:t xml:space="preserve">Mauras 2000, PMID 10999782.</w:t>
      </w:r>
    </w:p>
  </w:footnote>
  <w:footnote w:id="1506">
    <w:p>
      <w:pPr>
        <w:pStyle w:val="FootnoteText"/>
      </w:pPr>
      <w:r>
        <w:rPr>
          <w:rStyle w:val="FootnoteReference"/>
        </w:rPr>
        <w:footnoteRef/>
      </w:r>
      <w:r>
        <w:t xml:space="preserve"> </w:t>
      </w:r>
      <w:r>
        <w:t xml:space="preserve">Guha 2021, PMID 33249593.</w:t>
      </w:r>
    </w:p>
  </w:footnote>
  <w:footnote w:id="1509">
    <w:p>
      <w:pPr>
        <w:pStyle w:val="FootnoteText"/>
      </w:pPr>
      <w:r>
        <w:rPr>
          <w:rStyle w:val="FootnoteReference"/>
        </w:rPr>
        <w:footnoteRef/>
      </w:r>
      <w:r>
        <w:t xml:space="preserve"> </w:t>
      </w:r>
      <w:r>
        <w:t xml:space="preserve">Guevara-Aguirre 2011, PMID 21325617.</w:t>
      </w:r>
    </w:p>
  </w:footnote>
  <w:footnote w:id="1510">
    <w:p>
      <w:pPr>
        <w:pStyle w:val="FootnoteText"/>
      </w:pPr>
      <w:r>
        <w:rPr>
          <w:rStyle w:val="FootnoteReference"/>
        </w:rPr>
        <w:footnoteRef/>
      </w:r>
      <w:r>
        <w:t xml:space="preserve"> </w:t>
      </w:r>
      <w:r>
        <w:t xml:space="preserve">Guevara-Aguirre 2015, PMID 25316432.</w:t>
      </w:r>
    </w:p>
  </w:footnote>
  <w:footnote w:id="1512">
    <w:p>
      <w:pPr>
        <w:pStyle w:val="FootnoteText"/>
      </w:pPr>
      <w:r>
        <w:rPr>
          <w:rStyle w:val="FootnoteReference"/>
        </w:rPr>
        <w:footnoteRef/>
      </w:r>
      <w:r>
        <w:t xml:space="preserve"> </w:t>
      </w:r>
      <w:r>
        <w:t xml:space="preserve">Chernausek 2007, PMID 17192294 ; Bang 2023, PMID 37579214.</w:t>
      </w:r>
    </w:p>
  </w:footnote>
  <w:footnote w:id="1513">
    <w:p>
      <w:pPr>
        <w:pStyle w:val="FootnoteText"/>
      </w:pPr>
      <w:r>
        <w:rPr>
          <w:rStyle w:val="FootnoteReference"/>
        </w:rPr>
        <w:footnoteRef/>
      </w:r>
      <w:r>
        <w:t xml:space="preserve"> </w:t>
      </w:r>
      <w:r>
        <w:t xml:space="preserve">Chernausek 2007, PMID 17192294.</w:t>
      </w:r>
    </w:p>
  </w:footnote>
  <w:footnote w:id="1514">
    <w:p>
      <w:pPr>
        <w:pStyle w:val="FootnoteText"/>
      </w:pPr>
      <w:r>
        <w:rPr>
          <w:rStyle w:val="FootnoteReference"/>
        </w:rPr>
        <w:footnoteRef/>
      </w:r>
      <w:r>
        <w:t xml:space="preserve"> </w:t>
      </w:r>
      <w:r>
        <w:t xml:space="preserve">Ley 2019, PMID 30471715.</w:t>
      </w:r>
    </w:p>
  </w:footnote>
  <w:footnote w:id="1515">
    <w:p>
      <w:pPr>
        <w:pStyle w:val="FootnoteText"/>
      </w:pPr>
      <w:r>
        <w:rPr>
          <w:rStyle w:val="FootnoteReference"/>
        </w:rPr>
        <w:footnoteRef/>
      </w:r>
      <w:r>
        <w:t xml:space="preserve"> </w:t>
      </w:r>
      <w:r>
        <w:t xml:space="preserve">Renehan 2004, PMID 15110491.</w:t>
      </w:r>
    </w:p>
  </w:footnote>
  <w:footnote w:id="1516">
    <w:p>
      <w:pPr>
        <w:pStyle w:val="FootnoteText"/>
      </w:pPr>
      <w:r>
        <w:rPr>
          <w:rStyle w:val="FootnoteReference"/>
        </w:rPr>
        <w:footnoteRef/>
      </w:r>
      <w:r>
        <w:t xml:space="preserve"> </w:t>
      </w:r>
      <w:r>
        <w:t xml:space="preserve">Murphy 2020, PMID 32169310.</w:t>
      </w:r>
    </w:p>
  </w:footnote>
  <w:footnote w:id="1517">
    <w:p>
      <w:pPr>
        <w:pStyle w:val="FootnoteText"/>
      </w:pPr>
      <w:r>
        <w:rPr>
          <w:rStyle w:val="FootnoteReference"/>
        </w:rPr>
        <w:footnoteRef/>
      </w:r>
      <w:r>
        <w:t xml:space="preserve"> </w:t>
      </w:r>
      <w:r>
        <w:t xml:space="preserve">Murphy 2020, PMID 31884074.</w:t>
      </w:r>
    </w:p>
  </w:footnote>
  <w:footnote w:id="1518">
    <w:p>
      <w:pPr>
        <w:pStyle w:val="FootnoteText"/>
      </w:pPr>
      <w:r>
        <w:rPr>
          <w:rStyle w:val="FootnoteReference"/>
        </w:rPr>
        <w:footnoteRef/>
      </w:r>
      <w:r>
        <w:t xml:space="preserve"> </w:t>
      </w:r>
      <w:r>
        <w:t xml:space="preserve">Watts 2023, PMID 35726641.</w:t>
      </w:r>
    </w:p>
  </w:footnote>
  <w:footnote w:id="1519">
    <w:p>
      <w:pPr>
        <w:pStyle w:val="FootnoteText"/>
      </w:pPr>
      <w:r>
        <w:rPr>
          <w:rStyle w:val="FootnoteReference"/>
        </w:rPr>
        <w:footnoteRef/>
      </w:r>
      <w:r>
        <w:t xml:space="preserve"> </w:t>
      </w:r>
      <w:r>
        <w:t xml:space="preserve">Murphy 2020, PMID 32169310 ; Murphy 2020, PMID 31884074.</w:t>
      </w:r>
    </w:p>
  </w:footnote>
  <w:footnote w:id="1520">
    <w:p>
      <w:pPr>
        <w:pStyle w:val="FootnoteText"/>
      </w:pPr>
      <w:r>
        <w:rPr>
          <w:rStyle w:val="FootnoteReference"/>
        </w:rPr>
        <w:footnoteRef/>
      </w:r>
      <w:r>
        <w:t xml:space="preserve"> </w:t>
      </w:r>
      <w:r>
        <w:t xml:space="preserve">Guevara-Aguirre 2011, PMID 21325617.</w:t>
      </w:r>
    </w:p>
  </w:footnote>
  <w:footnote w:id="1521">
    <w:p>
      <w:pPr>
        <w:pStyle w:val="FootnoteText"/>
      </w:pPr>
      <w:r>
        <w:rPr>
          <w:rStyle w:val="FootnoteReference"/>
        </w:rPr>
        <w:footnoteRef/>
      </w:r>
      <w:r>
        <w:t xml:space="preserve"> </w:t>
      </w:r>
      <w:r>
        <w:t xml:space="preserve">NCT00903110.</w:t>
      </w:r>
    </w:p>
  </w:footnote>
  <w:footnote w:id="1523">
    <w:p>
      <w:pPr>
        <w:pStyle w:val="FootnoteText"/>
      </w:pPr>
      <w:r>
        <w:rPr>
          <w:rStyle w:val="FootnoteReference"/>
        </w:rPr>
        <w:footnoteRef/>
      </w:r>
      <w:r>
        <w:t xml:space="preserve"> </w:t>
      </w:r>
      <w:r>
        <w:t xml:space="preserve">Saavedra 2026, PMID 42341624.</w:t>
      </w:r>
    </w:p>
  </w:footnote>
  <w:footnote w:id="1524">
    <w:p>
      <w:pPr>
        <w:pStyle w:val="FootnoteText"/>
      </w:pPr>
      <w:r>
        <w:rPr>
          <w:rStyle w:val="FootnoteReference"/>
        </w:rPr>
        <w:footnoteRef/>
      </w:r>
      <w:r>
        <w:t xml:space="preserve"> </w:t>
      </w:r>
      <w:r>
        <w:t xml:space="preserve">Guha 2013, PMID 23934394.</w:t>
      </w:r>
    </w:p>
  </w:footnote>
  <w:footnote w:id="1526">
    <w:p>
      <w:pPr>
        <w:pStyle w:val="FootnoteText"/>
      </w:pPr>
      <w:r>
        <w:rPr>
          <w:rStyle w:val="FootnoteReference"/>
        </w:rPr>
        <w:footnoteRef/>
      </w:r>
      <w:r>
        <w:t xml:space="preserve"> </w:t>
      </w:r>
      <w:r>
        <w:t xml:space="preserve">NCT00903110.</w:t>
      </w:r>
    </w:p>
  </w:footnote>
  <w:footnote w:id="1530">
    <w:p>
      <w:pPr>
        <w:pStyle w:val="FootnoteText"/>
      </w:pPr>
      <w:r>
        <w:rPr>
          <w:rStyle w:val="FootnoteReference"/>
        </w:rPr>
        <w:footnoteRef/>
      </w:r>
      <w:r>
        <w:t xml:space="preserve"> </w:t>
      </w:r>
      <w:r>
        <w:t xml:space="preserve">Bastian 1993, PMID 7693845 ; Tomas 1993, PMID 7683875.</w:t>
      </w:r>
    </w:p>
  </w:footnote>
  <w:footnote w:id="1532">
    <w:p>
      <w:pPr>
        <w:pStyle w:val="FootnoteText"/>
      </w:pPr>
      <w:r>
        <w:rPr>
          <w:rStyle w:val="FootnoteReference"/>
        </w:rPr>
        <w:footnoteRef/>
      </w:r>
      <w:r>
        <w:t xml:space="preserve"> </w:t>
      </w:r>
      <w:r>
        <w:t xml:space="preserve">Devi 2001, PMID 11735239.</w:t>
      </w:r>
    </w:p>
  </w:footnote>
  <w:footnote w:id="1533">
    <w:p>
      <w:pPr>
        <w:pStyle w:val="FootnoteText"/>
      </w:pPr>
      <w:r>
        <w:rPr>
          <w:rStyle w:val="FootnoteReference"/>
        </w:rPr>
        <w:footnoteRef/>
      </w:r>
      <w:r>
        <w:t xml:space="preserve"> </w:t>
      </w:r>
      <w:r>
        <w:t xml:space="preserve">Bastian 1993, PMID 7693845.</w:t>
      </w:r>
    </w:p>
  </w:footnote>
  <w:footnote w:id="1534">
    <w:p>
      <w:pPr>
        <w:pStyle w:val="FootnoteText"/>
      </w:pPr>
      <w:r>
        <w:rPr>
          <w:rStyle w:val="FootnoteReference"/>
        </w:rPr>
        <w:footnoteRef/>
      </w:r>
      <w:r>
        <w:t xml:space="preserve"> </w:t>
      </w:r>
      <w:r>
        <w:t xml:space="preserve">Tomas 1993, PMID 7683875.</w:t>
      </w:r>
    </w:p>
  </w:footnote>
  <w:footnote w:id="1536">
    <w:p>
      <w:pPr>
        <w:pStyle w:val="FootnoteText"/>
      </w:pPr>
      <w:r>
        <w:rPr>
          <w:rStyle w:val="FootnoteReference"/>
        </w:rPr>
        <w:footnoteRef/>
      </w:r>
      <w:r>
        <w:t xml:space="preserve"> </w:t>
      </w:r>
      <w:r>
        <w:t xml:space="preserve">Kohler 2010, PMID 20675162.</w:t>
      </w:r>
    </w:p>
  </w:footnote>
  <w:footnote w:id="1537">
    <w:p>
      <w:pPr>
        <w:pStyle w:val="FootnoteText"/>
      </w:pPr>
      <w:r>
        <w:rPr>
          <w:rStyle w:val="FootnoteReference"/>
        </w:rPr>
        <w:footnoteRef/>
      </w:r>
      <w:r>
        <w:t xml:space="preserve"> </w:t>
      </w:r>
      <w:r>
        <w:t xml:space="preserve">Mongongu 2021, PMID 33587816.</w:t>
      </w:r>
    </w:p>
  </w:footnote>
  <w:footnote w:id="1538">
    <w:p>
      <w:pPr>
        <w:pStyle w:val="FootnoteText"/>
      </w:pPr>
      <w:r>
        <w:rPr>
          <w:rStyle w:val="FootnoteReference"/>
        </w:rPr>
        <w:footnoteRef/>
      </w:r>
      <w:r>
        <w:t xml:space="preserve"> </w:t>
      </w:r>
      <w:r>
        <w:t xml:space="preserve">Guha 2013, PMID 23934394.</w:t>
      </w:r>
    </w:p>
  </w:footnote>
  <w:footnote w:id="1540">
    <w:p>
      <w:pPr>
        <w:pStyle w:val="FootnoteText"/>
      </w:pPr>
      <w:r>
        <w:rPr>
          <w:rStyle w:val="FootnoteReference"/>
        </w:rPr>
        <w:footnoteRef/>
      </w:r>
      <w:r>
        <w:t xml:space="preserve"> </w:t>
      </w:r>
      <w:r>
        <w:t xml:space="preserve">Bastian 1993, PMID 7693845.</w:t>
      </w:r>
    </w:p>
  </w:footnote>
  <w:footnote w:id="1541">
    <w:p>
      <w:pPr>
        <w:pStyle w:val="FootnoteText"/>
      </w:pPr>
      <w:r>
        <w:rPr>
          <w:rStyle w:val="FootnoteReference"/>
        </w:rPr>
        <w:footnoteRef/>
      </w:r>
      <w:r>
        <w:t xml:space="preserve"> </w:t>
      </w:r>
      <w:r>
        <w:t xml:space="preserve">Tomas 1993, PMID 7683875.</w:t>
      </w:r>
    </w:p>
  </w:footnote>
  <w:footnote w:id="1542">
    <w:p>
      <w:pPr>
        <w:pStyle w:val="FootnoteText"/>
      </w:pPr>
      <w:r>
        <w:rPr>
          <w:rStyle w:val="FootnoteReference"/>
        </w:rPr>
        <w:footnoteRef/>
      </w:r>
      <w:r>
        <w:t xml:space="preserve"> </w:t>
      </w:r>
      <w:r>
        <w:t xml:space="preserve">Dunaiski 1997, PMID 9488001.</w:t>
      </w:r>
    </w:p>
  </w:footnote>
  <w:footnote w:id="1543">
    <w:p>
      <w:pPr>
        <w:pStyle w:val="FootnoteText"/>
      </w:pPr>
      <w:r>
        <w:rPr>
          <w:rStyle w:val="FootnoteReference"/>
        </w:rPr>
        <w:footnoteRef/>
      </w:r>
      <w:r>
        <w:t xml:space="preserve"> </w:t>
      </w:r>
      <w:r>
        <w:t xml:space="preserve">Conlon 1995, PMID 7561636.</w:t>
      </w:r>
    </w:p>
  </w:footnote>
  <w:footnote w:id="1544">
    <w:p>
      <w:pPr>
        <w:pStyle w:val="FootnoteText"/>
      </w:pPr>
      <w:r>
        <w:rPr>
          <w:rStyle w:val="FootnoteReference"/>
        </w:rPr>
        <w:footnoteRef/>
      </w:r>
      <w:r>
        <w:t xml:space="preserve"> </w:t>
      </w:r>
      <w:r>
        <w:t xml:space="preserve">White 2023, PMID 37114757.</w:t>
      </w:r>
    </w:p>
  </w:footnote>
  <w:footnote w:id="1545">
    <w:p>
      <w:pPr>
        <w:pStyle w:val="FootnoteText"/>
      </w:pPr>
      <w:r>
        <w:rPr>
          <w:rStyle w:val="FootnoteReference"/>
        </w:rPr>
        <w:footnoteRef/>
      </w:r>
      <w:r>
        <w:t xml:space="preserve"> </w:t>
      </w:r>
      <w:r>
        <w:t xml:space="preserve">White 2025, PMID 39679943.</w:t>
      </w:r>
    </w:p>
  </w:footnote>
  <w:footnote w:id="1546">
    <w:p>
      <w:pPr>
        <w:pStyle w:val="FootnoteText"/>
      </w:pPr>
      <w:r>
        <w:rPr>
          <w:rStyle w:val="FootnoteReference"/>
        </w:rPr>
        <w:footnoteRef/>
      </w:r>
      <w:r>
        <w:t xml:space="preserve"> </w:t>
      </w:r>
      <w:r>
        <w:t xml:space="preserve">Engel 2025, PMID 39610283.</w:t>
      </w:r>
    </w:p>
  </w:footnote>
  <w:footnote w:id="1548">
    <w:p>
      <w:pPr>
        <w:pStyle w:val="FootnoteText"/>
      </w:pPr>
      <w:r>
        <w:rPr>
          <w:rStyle w:val="FootnoteReference"/>
        </w:rPr>
        <w:footnoteRef/>
      </w:r>
      <w:r>
        <w:t xml:space="preserve"> </w:t>
      </w:r>
      <w:r>
        <w:t xml:space="preserve">Chernausek 2007, PMID 17192294.</w:t>
      </w:r>
    </w:p>
  </w:footnote>
  <w:footnote w:id="1549">
    <w:p>
      <w:pPr>
        <w:pStyle w:val="FootnoteText"/>
      </w:pPr>
      <w:r>
        <w:rPr>
          <w:rStyle w:val="FootnoteReference"/>
        </w:rPr>
        <w:footnoteRef/>
      </w:r>
      <w:r>
        <w:t xml:space="preserve"> </w:t>
      </w:r>
      <w:r>
        <w:t xml:space="preserve">Dunaiski 1997, PMID 9488001 ; White 2023, PMID 37114757.</w:t>
      </w:r>
    </w:p>
  </w:footnote>
  <w:footnote w:id="1550">
    <w:p>
      <w:pPr>
        <w:pStyle w:val="FootnoteText"/>
      </w:pPr>
      <w:r>
        <w:rPr>
          <w:rStyle w:val="FootnoteReference"/>
        </w:rPr>
        <w:footnoteRef/>
      </w:r>
      <w:r>
        <w:t xml:space="preserve"> </w:t>
      </w:r>
      <w:r>
        <w:t xml:space="preserve">Conlon 1995, PMID 7561636.</w:t>
      </w:r>
    </w:p>
  </w:footnote>
  <w:footnote w:id="1551">
    <w:p>
      <w:pPr>
        <w:pStyle w:val="FootnoteText"/>
      </w:pPr>
      <w:r>
        <w:rPr>
          <w:rStyle w:val="FootnoteReference"/>
        </w:rPr>
        <w:footnoteRef/>
      </w:r>
      <w:r>
        <w:t xml:space="preserve"> </w:t>
      </w:r>
      <w:r>
        <w:t xml:space="preserve">Renehan 2004, PMID 15110491 ; Murphy 2020, PMID 32169310 ; Watts 2023, PMID 35726641.</w:t>
      </w:r>
    </w:p>
  </w:footnote>
  <w:footnote w:id="1552">
    <w:p>
      <w:pPr>
        <w:pStyle w:val="FootnoteText"/>
      </w:pPr>
      <w:r>
        <w:rPr>
          <w:rStyle w:val="FootnoteReference"/>
        </w:rPr>
        <w:footnoteRef/>
      </w:r>
      <w:r>
        <w:t xml:space="preserve"> </w:t>
      </w:r>
      <w:r>
        <w:t xml:space="preserve">Guevara-Aguirre 2011, PMID 21325617.</w:t>
      </w:r>
    </w:p>
  </w:footnote>
  <w:footnote w:id="1553">
    <w:p>
      <w:pPr>
        <w:pStyle w:val="FootnoteText"/>
      </w:pPr>
      <w:r>
        <w:rPr>
          <w:rStyle w:val="FootnoteReference"/>
        </w:rPr>
        <w:footnoteRef/>
      </w:r>
      <w:r>
        <w:t xml:space="preserve"> </w:t>
      </w:r>
      <w:r>
        <w:t xml:space="preserve">Kohler 2010, PMID 20675162 ; Mongongu 2021, PMID 33587816.</w:t>
      </w:r>
    </w:p>
  </w:footnote>
  <w:footnote w:id="1555">
    <w:p>
      <w:pPr>
        <w:pStyle w:val="FootnoteText"/>
      </w:pPr>
      <w:r>
        <w:rPr>
          <w:rStyle w:val="FootnoteReference"/>
        </w:rPr>
        <w:footnoteRef/>
      </w:r>
      <w:r>
        <w:t xml:space="preserve"> </w:t>
      </w:r>
      <w:r>
        <w:t xml:space="preserve">Mongongu 2021, PMID 33587816.</w:t>
      </w:r>
    </w:p>
  </w:footnote>
  <w:footnote w:id="1560">
    <w:p>
      <w:pPr>
        <w:pStyle w:val="FootnoteText"/>
      </w:pPr>
      <w:r>
        <w:rPr>
          <w:rStyle w:val="FootnoteReference"/>
        </w:rPr>
        <w:footnoteRef/>
      </w:r>
      <w:r>
        <w:t xml:space="preserve"> </w:t>
      </w:r>
      <w:r>
        <w:t xml:space="preserve">Bright 2022, PMID 35354138.</w:t>
      </w:r>
    </w:p>
  </w:footnote>
  <w:footnote w:id="1562">
    <w:p>
      <w:pPr>
        <w:pStyle w:val="FootnoteText"/>
      </w:pPr>
      <w:r>
        <w:rPr>
          <w:rStyle w:val="FootnoteReference"/>
        </w:rPr>
        <w:footnoteRef/>
      </w:r>
      <w:r>
        <w:t xml:space="preserve"> </w:t>
      </w:r>
      <w:r>
        <w:t xml:space="preserve">Chapman 1996, PMID 8954023.</w:t>
      </w:r>
    </w:p>
  </w:footnote>
  <w:footnote w:id="1564">
    <w:p>
      <w:pPr>
        <w:pStyle w:val="FootnoteText"/>
      </w:pPr>
      <w:r>
        <w:rPr>
          <w:rStyle w:val="FootnoteReference"/>
        </w:rPr>
        <w:footnoteRef/>
      </w:r>
      <w:r>
        <w:t xml:space="preserve"> </w:t>
      </w:r>
      <w:r>
        <w:t xml:space="preserve">Nass 2008, PMID 18981485.</w:t>
      </w:r>
    </w:p>
  </w:footnote>
  <w:footnote w:id="1566">
    <w:p>
      <w:pPr>
        <w:pStyle w:val="FootnoteText"/>
      </w:pPr>
      <w:r>
        <w:rPr>
          <w:rStyle w:val="FootnoteReference"/>
        </w:rPr>
        <w:footnoteRef/>
      </w:r>
      <w:r>
        <w:t xml:space="preserve"> </w:t>
      </w:r>
      <w:r>
        <w:t xml:space="preserve">Bach 2004, PMID 15066065.</w:t>
      </w:r>
    </w:p>
  </w:footnote>
  <w:footnote w:id="1567">
    <w:p>
      <w:pPr>
        <w:pStyle w:val="FootnoteText"/>
      </w:pPr>
      <w:r>
        <w:rPr>
          <w:rStyle w:val="FootnoteReference"/>
        </w:rPr>
        <w:footnoteRef/>
      </w:r>
      <w:r>
        <w:t xml:space="preserve"> </w:t>
      </w:r>
      <w:r>
        <w:t xml:space="preserve">Adunsky 2011, PMID 21067829.</w:t>
      </w:r>
    </w:p>
  </w:footnote>
  <w:footnote w:id="1569">
    <w:p>
      <w:pPr>
        <w:pStyle w:val="FootnoteText"/>
      </w:pPr>
      <w:r>
        <w:rPr>
          <w:rStyle w:val="FootnoteReference"/>
        </w:rPr>
        <w:footnoteRef/>
      </w:r>
      <w:r>
        <w:t xml:space="preserve"> </w:t>
      </w:r>
      <w:r>
        <w:t xml:space="preserve">Sevigny 2008, PMID 19015485.</w:t>
      </w:r>
    </w:p>
  </w:footnote>
  <w:footnote w:id="1571">
    <w:p>
      <w:pPr>
        <w:pStyle w:val="FootnoteText"/>
      </w:pPr>
      <w:r>
        <w:rPr>
          <w:rStyle w:val="FootnoteReference"/>
        </w:rPr>
        <w:footnoteRef/>
      </w:r>
      <w:r>
        <w:t xml:space="preserve"> </w:t>
      </w:r>
      <w:r>
        <w:t xml:space="preserve">Svensson 1998, PMID 9467542.</w:t>
      </w:r>
    </w:p>
  </w:footnote>
  <w:footnote w:id="1572">
    <w:p>
      <w:pPr>
        <w:pStyle w:val="FootnoteText"/>
      </w:pPr>
      <w:r>
        <w:rPr>
          <w:rStyle w:val="FootnoteReference"/>
        </w:rPr>
        <w:footnoteRef/>
      </w:r>
      <w:r>
        <w:t xml:space="preserve"> </w:t>
      </w:r>
      <w:r>
        <w:t xml:space="preserve">Murphy 2001, PMID 11238495.</w:t>
      </w:r>
    </w:p>
  </w:footnote>
  <w:footnote w:id="1573">
    <w:p>
      <w:pPr>
        <w:pStyle w:val="FootnoteText"/>
      </w:pPr>
      <w:r>
        <w:rPr>
          <w:rStyle w:val="FootnoteReference"/>
        </w:rPr>
        <w:footnoteRef/>
      </w:r>
      <w:r>
        <w:t xml:space="preserve"> </w:t>
      </w:r>
      <w:r>
        <w:t xml:space="preserve">Copinschi 1997, PMID 9349662.</w:t>
      </w:r>
    </w:p>
  </w:footnote>
  <w:footnote w:id="1574">
    <w:p>
      <w:pPr>
        <w:pStyle w:val="FootnoteText"/>
      </w:pPr>
      <w:r>
        <w:rPr>
          <w:rStyle w:val="FootnoteReference"/>
        </w:rPr>
        <w:footnoteRef/>
      </w:r>
      <w:r>
        <w:t xml:space="preserve"> </w:t>
      </w:r>
      <w:r>
        <w:t xml:space="preserve">Campbell 2018, PMID 28340044.</w:t>
      </w:r>
    </w:p>
  </w:footnote>
  <w:footnote w:id="1575">
    <w:p>
      <w:pPr>
        <w:pStyle w:val="FootnoteText"/>
      </w:pPr>
      <w:r>
        <w:rPr>
          <w:rStyle w:val="FootnoteReference"/>
        </w:rPr>
        <w:footnoteRef/>
      </w:r>
      <w:r>
        <w:t xml:space="preserve"> </w:t>
      </w:r>
      <w:r>
        <w:t xml:space="preserve">Codner 2001, PMID 11452249.</w:t>
      </w:r>
    </w:p>
  </w:footnote>
  <w:footnote w:id="1576">
    <w:p>
      <w:pPr>
        <w:pStyle w:val="FootnoteText"/>
      </w:pPr>
      <w:r>
        <w:rPr>
          <w:rStyle w:val="FootnoteReference"/>
        </w:rPr>
        <w:footnoteRef/>
      </w:r>
      <w:r>
        <w:t xml:space="preserve"> </w:t>
      </w:r>
      <w:r>
        <w:t xml:space="preserve">Bright 2022, PMID 35354138.</w:t>
      </w:r>
    </w:p>
  </w:footnote>
  <w:footnote w:id="1579">
    <w:p>
      <w:pPr>
        <w:pStyle w:val="FootnoteText"/>
      </w:pPr>
      <w:r>
        <w:rPr>
          <w:rStyle w:val="FootnoteReference"/>
        </w:rPr>
        <w:footnoteRef/>
      </w:r>
      <w:r>
        <w:t xml:space="preserve"> </w:t>
      </w:r>
      <w:r>
        <w:t xml:space="preserve">Jeong 2018, PMID 29912176.</w:t>
      </w:r>
    </w:p>
  </w:footnote>
  <w:footnote w:id="1580">
    <w:p>
      <w:pPr>
        <w:pStyle w:val="FootnoteText"/>
      </w:pPr>
      <w:r>
        <w:rPr>
          <w:rStyle w:val="FootnoteReference"/>
        </w:rPr>
        <w:footnoteRef/>
      </w:r>
      <w:r>
        <w:t xml:space="preserve"> </w:t>
      </w:r>
      <w:r>
        <w:t xml:space="preserve">Liu 2021, PMID 34737341.</w:t>
      </w:r>
    </w:p>
  </w:footnote>
  <w:footnote w:id="1582">
    <w:p>
      <w:pPr>
        <w:pStyle w:val="FootnoteText"/>
      </w:pPr>
      <w:r>
        <w:rPr>
          <w:rStyle w:val="FootnoteReference"/>
        </w:rPr>
        <w:footnoteRef/>
      </w:r>
      <w:r>
        <w:t xml:space="preserve"> </w:t>
      </w:r>
      <w:r>
        <w:t xml:space="preserve">Adunsky 2011, PMID 21067829.</w:t>
      </w:r>
    </w:p>
  </w:footnote>
  <w:footnote w:id="1583">
    <w:p>
      <w:pPr>
        <w:pStyle w:val="FootnoteText"/>
      </w:pPr>
      <w:r>
        <w:rPr>
          <w:rStyle w:val="FootnoteReference"/>
        </w:rPr>
        <w:footnoteRef/>
      </w:r>
      <w:r>
        <w:t xml:space="preserve"> </w:t>
      </w:r>
      <w:r>
        <w:t xml:space="preserve">Nass 2008, PMID 18981485 ; Chapman 1996, PMID 8954023.</w:t>
      </w:r>
    </w:p>
  </w:footnote>
  <w:footnote w:id="1584">
    <w:p>
      <w:pPr>
        <w:pStyle w:val="FootnoteText"/>
      </w:pPr>
      <w:r>
        <w:rPr>
          <w:rStyle w:val="FootnoteReference"/>
        </w:rPr>
        <w:footnoteRef/>
      </w:r>
      <w:r>
        <w:t xml:space="preserve"> </w:t>
      </w:r>
      <w:r>
        <w:t xml:space="preserve">Svensson 1998, PMID 9467542.</w:t>
      </w:r>
    </w:p>
  </w:footnote>
  <w:footnote w:id="1585">
    <w:p>
      <w:pPr>
        <w:pStyle w:val="FootnoteText"/>
      </w:pPr>
      <w:r>
        <w:rPr>
          <w:rStyle w:val="FootnoteReference"/>
        </w:rPr>
        <w:footnoteRef/>
      </w:r>
      <w:r>
        <w:t xml:space="preserve"> </w:t>
      </w:r>
      <w:r>
        <w:t xml:space="preserve">Nass 2008, PMID 18981485.</w:t>
      </w:r>
    </w:p>
  </w:footnote>
  <w:footnote w:id="1586">
    <w:p>
      <w:pPr>
        <w:pStyle w:val="FootnoteText"/>
      </w:pPr>
      <w:r>
        <w:rPr>
          <w:rStyle w:val="FootnoteReference"/>
        </w:rPr>
        <w:footnoteRef/>
      </w:r>
      <w:r>
        <w:t xml:space="preserve"> </w:t>
      </w:r>
      <w:r>
        <w:t xml:space="preserve">Nass 2008, PMID 18981485.</w:t>
      </w:r>
    </w:p>
  </w:footnote>
  <w:footnote w:id="1587">
    <w:p>
      <w:pPr>
        <w:pStyle w:val="FootnoteText"/>
      </w:pPr>
      <w:r>
        <w:rPr>
          <w:rStyle w:val="FootnoteReference"/>
        </w:rPr>
        <w:footnoteRef/>
      </w:r>
      <w:r>
        <w:t xml:space="preserve"> </w:t>
      </w:r>
      <w:r>
        <w:t xml:space="preserve">Cobani 2025, PMID 40675653.</w:t>
      </w:r>
    </w:p>
  </w:footnote>
  <w:footnote w:id="1588">
    <w:p>
      <w:pPr>
        <w:pStyle w:val="FootnoteText"/>
      </w:pPr>
      <w:r>
        <w:rPr>
          <w:rStyle w:val="FootnoteReference"/>
        </w:rPr>
        <w:footnoteRef/>
      </w:r>
      <w:r>
        <w:t xml:space="preserve"> </w:t>
      </w:r>
      <w:r>
        <w:t xml:space="preserve">Chong 2024, PMID 39145153.</w:t>
      </w:r>
    </w:p>
  </w:footnote>
  <w:footnote w:id="1589">
    <w:p>
      <w:pPr>
        <w:pStyle w:val="FootnoteText"/>
      </w:pPr>
      <w:r>
        <w:rPr>
          <w:rStyle w:val="FootnoteReference"/>
        </w:rPr>
        <w:footnoteRef/>
      </w:r>
      <w:r>
        <w:t xml:space="preserve"> </w:t>
      </w:r>
      <w:r>
        <w:t xml:space="preserve">Sigalos 2018, PMID 28400207.</w:t>
      </w:r>
    </w:p>
  </w:footnote>
  <w:footnote w:id="1590">
    <w:p>
      <w:pPr>
        <w:pStyle w:val="FootnoteText"/>
      </w:pPr>
      <w:r>
        <w:rPr>
          <w:rStyle w:val="FootnoteReference"/>
        </w:rPr>
        <w:footnoteRef/>
      </w:r>
      <w:r>
        <w:t xml:space="preserve"> </w:t>
      </w:r>
      <w:r>
        <w:t xml:space="preserve">Van Wagoner 2017, PMID 29183075.</w:t>
      </w:r>
    </w:p>
  </w:footnote>
  <w:footnote w:id="1591">
    <w:p>
      <w:pPr>
        <w:pStyle w:val="FootnoteText"/>
      </w:pPr>
      <w:r>
        <w:rPr>
          <w:rStyle w:val="FootnoteReference"/>
        </w:rPr>
        <w:footnoteRef/>
      </w:r>
      <w:r>
        <w:t xml:space="preserve"> </w:t>
      </w:r>
      <w:r>
        <w:t xml:space="preserve">Barrios 2025, PMID 40551438.</w:t>
      </w:r>
    </w:p>
  </w:footnote>
  <w:footnote w:id="1593">
    <w:p>
      <w:pPr>
        <w:pStyle w:val="FootnoteText"/>
      </w:pPr>
      <w:r>
        <w:rPr>
          <w:rStyle w:val="FootnoteReference"/>
        </w:rPr>
        <w:footnoteRef/>
      </w:r>
      <w:r>
        <w:t xml:space="preserve"> </w:t>
      </w:r>
      <w:r>
        <w:t xml:space="preserve">Viljanto 2023, PMID 36354265.</w:t>
      </w:r>
    </w:p>
  </w:footnote>
  <w:footnote w:id="1595">
    <w:p>
      <w:pPr>
        <w:pStyle w:val="FootnoteText"/>
      </w:pPr>
      <w:r>
        <w:rPr>
          <w:rStyle w:val="FootnoteReference"/>
        </w:rPr>
        <w:footnoteRef/>
      </w:r>
      <w:r>
        <w:t xml:space="preserve"> </w:t>
      </w:r>
      <w:r>
        <w:t xml:space="preserve">NCT04614337.</w:t>
      </w:r>
    </w:p>
  </w:footnote>
  <w:footnote w:id="1596">
    <w:p>
      <w:pPr>
        <w:pStyle w:val="FootnoteText"/>
      </w:pPr>
      <w:r>
        <w:rPr>
          <w:rStyle w:val="FootnoteReference"/>
        </w:rPr>
        <w:footnoteRef/>
      </w:r>
      <w:r>
        <w:t xml:space="preserve"> </w:t>
      </w:r>
      <w:r>
        <w:t xml:space="preserve">NCT06948214.</w:t>
      </w:r>
    </w:p>
  </w:footnote>
  <w:footnote w:id="1597">
    <w:p>
      <w:pPr>
        <w:pStyle w:val="FootnoteText"/>
      </w:pPr>
      <w:r>
        <w:rPr>
          <w:rStyle w:val="FootnoteReference"/>
        </w:rPr>
        <w:footnoteRef/>
      </w:r>
      <w:r>
        <w:t xml:space="preserve"> </w:t>
      </w:r>
      <w:r>
        <w:t xml:space="preserve">NCT07129759.</w:t>
      </w:r>
    </w:p>
  </w:footnote>
  <w:footnote w:id="1598">
    <w:p>
      <w:pPr>
        <w:pStyle w:val="FootnoteText"/>
      </w:pPr>
      <w:r>
        <w:rPr>
          <w:rStyle w:val="FootnoteReference"/>
        </w:rPr>
        <w:footnoteRef/>
      </w:r>
      <w:r>
        <w:t xml:space="preserve"> </w:t>
      </w:r>
      <w:r>
        <w:t xml:space="preserve">NCT07754045.</w:t>
      </w:r>
    </w:p>
  </w:footnote>
  <w:footnote w:id="1609">
    <w:p>
      <w:pPr>
        <w:pStyle w:val="FootnoteText"/>
      </w:pPr>
      <w:r>
        <w:rPr>
          <w:rStyle w:val="FootnoteReference"/>
        </w:rPr>
        <w:footnoteRef/>
      </w:r>
      <w:r>
        <w:t xml:space="preserve"> </w:t>
      </w:r>
      <w:r>
        <w:t xml:space="preserve">Dolotov 2006, PMID 16635254.</w:t>
      </w:r>
    </w:p>
  </w:footnote>
  <w:footnote w:id="1610">
    <w:p>
      <w:pPr>
        <w:pStyle w:val="FootnoteText"/>
      </w:pPr>
      <w:r>
        <w:rPr>
          <w:rStyle w:val="FootnoteReference"/>
        </w:rPr>
        <w:footnoteRef/>
      </w:r>
      <w:r>
        <w:t xml:space="preserve"> </w:t>
      </w:r>
      <w:r>
        <w:t xml:space="preserve">Medvedeva 2014, PMID 24661604.</w:t>
      </w:r>
    </w:p>
  </w:footnote>
  <w:footnote w:id="1612">
    <w:p>
      <w:pPr>
        <w:pStyle w:val="FootnoteText"/>
      </w:pPr>
      <w:r>
        <w:rPr>
          <w:rStyle w:val="FootnoteReference"/>
        </w:rPr>
        <w:footnoteRef/>
      </w:r>
      <w:r>
        <w:t xml:space="preserve"> </w:t>
      </w:r>
      <w:r>
        <w:t xml:space="preserve">Gusev 1997, PMID 11517472.</w:t>
      </w:r>
    </w:p>
  </w:footnote>
  <w:footnote w:id="1613">
    <w:p>
      <w:pPr>
        <w:pStyle w:val="FootnoteText"/>
      </w:pPr>
      <w:r>
        <w:rPr>
          <w:rStyle w:val="FootnoteReference"/>
        </w:rPr>
        <w:footnoteRef/>
      </w:r>
      <w:r>
        <w:t xml:space="preserve"> </w:t>
      </w:r>
      <w:r>
        <w:t xml:space="preserve">Miasoedova 1999, PMID 10358912.</w:t>
      </w:r>
    </w:p>
  </w:footnote>
  <w:footnote w:id="1614">
    <w:p>
      <w:pPr>
        <w:pStyle w:val="FootnoteText"/>
      </w:pPr>
      <w:r>
        <w:rPr>
          <w:rStyle w:val="FootnoteReference"/>
        </w:rPr>
        <w:footnoteRef/>
      </w:r>
      <w:r>
        <w:t xml:space="preserve"> </w:t>
      </w:r>
      <w:r>
        <w:t xml:space="preserve">Gusev 2018, PMID 29798983.</w:t>
      </w:r>
    </w:p>
  </w:footnote>
  <w:footnote w:id="1616">
    <w:p>
      <w:pPr>
        <w:pStyle w:val="FootnoteText"/>
      </w:pPr>
      <w:r>
        <w:rPr>
          <w:rStyle w:val="FootnoteReference"/>
        </w:rPr>
        <w:footnoteRef/>
      </w:r>
      <w:r>
        <w:t xml:space="preserve"> </w:t>
      </w:r>
      <w:r>
        <w:t xml:space="preserve">Serdiuk 2007, PMID 18379501.</w:t>
      </w:r>
    </w:p>
  </w:footnote>
  <w:footnote w:id="1617">
    <w:p>
      <w:pPr>
        <w:pStyle w:val="FootnoteText"/>
      </w:pPr>
      <w:r>
        <w:rPr>
          <w:rStyle w:val="FootnoteReference"/>
        </w:rPr>
        <w:footnoteRef/>
      </w:r>
      <w:r>
        <w:t xml:space="preserve"> </w:t>
      </w:r>
      <w:r>
        <w:t xml:space="preserve">Polunin 2000, PMID 10741256.</w:t>
      </w:r>
    </w:p>
  </w:footnote>
  <w:footnote w:id="1618">
    <w:p>
      <w:pPr>
        <w:pStyle w:val="FootnoteText"/>
      </w:pPr>
      <w:r>
        <w:rPr>
          <w:rStyle w:val="FootnoteReference"/>
        </w:rPr>
        <w:footnoteRef/>
      </w:r>
      <w:r>
        <w:t xml:space="preserve"> </w:t>
      </w:r>
      <w:r>
        <w:t xml:space="preserve">Alekseeva 1999, PMID 10199046.</w:t>
      </w:r>
    </w:p>
  </w:footnote>
  <w:footnote w:id="1619">
    <w:p>
      <w:pPr>
        <w:pStyle w:val="FootnoteText"/>
      </w:pPr>
      <w:r>
        <w:rPr>
          <w:rStyle w:val="FootnoteReference"/>
        </w:rPr>
        <w:footnoteRef/>
      </w:r>
      <w:r>
        <w:t xml:space="preserve"> </w:t>
      </w:r>
      <w:r>
        <w:t xml:space="preserve">Ivanikov 2002, PMID 12459874.</w:t>
      </w:r>
    </w:p>
  </w:footnote>
  <w:footnote w:id="1621">
    <w:p>
      <w:pPr>
        <w:pStyle w:val="FootnoteText"/>
      </w:pPr>
      <w:r>
        <w:rPr>
          <w:rStyle w:val="FootnoteReference"/>
        </w:rPr>
        <w:footnoteRef/>
      </w:r>
      <w:r>
        <w:t xml:space="preserve"> </w:t>
      </w:r>
      <w:r>
        <w:t xml:space="preserve">Asmarin 1997, PMID 9173745.</w:t>
      </w:r>
    </w:p>
  </w:footnote>
  <w:footnote w:id="1624">
    <w:p>
      <w:pPr>
        <w:pStyle w:val="FootnoteText"/>
      </w:pPr>
      <w:r>
        <w:rPr>
          <w:rStyle w:val="FootnoteReference"/>
        </w:rPr>
        <w:footnoteRef/>
      </w:r>
      <w:r>
        <w:t xml:space="preserve"> </w:t>
      </w:r>
      <w:r>
        <w:t xml:space="preserve">Medvedeva 2014, PMID 24661604.</w:t>
      </w:r>
    </w:p>
  </w:footnote>
  <w:footnote w:id="1625">
    <w:p>
      <w:pPr>
        <w:pStyle w:val="FootnoteText"/>
      </w:pPr>
      <w:r>
        <w:rPr>
          <w:rStyle w:val="FootnoteReference"/>
        </w:rPr>
        <w:footnoteRef/>
      </w:r>
      <w:r>
        <w:t xml:space="preserve"> </w:t>
      </w:r>
      <w:r>
        <w:t xml:space="preserve">Levitskaya 2004, PMID 15341218.</w:t>
      </w:r>
    </w:p>
  </w:footnote>
  <w:footnote w:id="1626">
    <w:p>
      <w:pPr>
        <w:pStyle w:val="FootnoteText"/>
      </w:pPr>
      <w:r>
        <w:rPr>
          <w:rStyle w:val="FootnoteReference"/>
        </w:rPr>
        <w:footnoteRef/>
      </w:r>
      <w:r>
        <w:t xml:space="preserve"> </w:t>
      </w:r>
      <w:r>
        <w:t xml:space="preserve">Radchenko 2025, PMID 41479572.</w:t>
      </w:r>
    </w:p>
  </w:footnote>
  <w:footnote w:id="1627">
    <w:p>
      <w:pPr>
        <w:pStyle w:val="FootnoteText"/>
      </w:pPr>
      <w:r>
        <w:rPr>
          <w:rStyle w:val="FootnoteReference"/>
        </w:rPr>
        <w:footnoteRef/>
      </w:r>
      <w:r>
        <w:t xml:space="preserve"> </w:t>
      </w:r>
      <w:r>
        <w:t xml:space="preserve">Tomasello 2025, PMID 40496623.</w:t>
      </w:r>
    </w:p>
  </w:footnote>
  <w:footnote w:id="1629">
    <w:p>
      <w:pPr>
        <w:pStyle w:val="FootnoteText"/>
      </w:pPr>
      <w:r>
        <w:rPr>
          <w:rStyle w:val="FootnoteReference"/>
        </w:rPr>
        <w:footnoteRef/>
      </w:r>
      <w:r>
        <w:t xml:space="preserve"> </w:t>
      </w:r>
      <w:r>
        <w:t xml:space="preserve">Gusev 2005, PMID 15792140.</w:t>
      </w:r>
    </w:p>
  </w:footnote>
  <w:footnote w:id="1630">
    <w:p>
      <w:pPr>
        <w:pStyle w:val="FootnoteText"/>
      </w:pPr>
      <w:r>
        <w:rPr>
          <w:rStyle w:val="FootnoteReference"/>
        </w:rPr>
        <w:footnoteRef/>
      </w:r>
      <w:r>
        <w:t xml:space="preserve"> </w:t>
      </w:r>
      <w:r>
        <w:t xml:space="preserve">Alekseeva 1999, PMID 10199046.</w:t>
      </w:r>
    </w:p>
  </w:footnote>
  <w:footnote w:id="1631">
    <w:p>
      <w:pPr>
        <w:pStyle w:val="FootnoteText"/>
      </w:pPr>
      <w:r>
        <w:rPr>
          <w:rStyle w:val="FootnoteReference"/>
        </w:rPr>
        <w:footnoteRef/>
      </w:r>
      <w:r>
        <w:t xml:space="preserve"> </w:t>
      </w:r>
      <w:r>
        <w:t xml:space="preserve">Vanhee 2020, PMID 31667971.</w:t>
      </w:r>
    </w:p>
  </w:footnote>
  <w:footnote w:id="1638">
    <w:p>
      <w:pPr>
        <w:pStyle w:val="FootnoteText"/>
      </w:pPr>
      <w:r>
        <w:rPr>
          <w:rStyle w:val="FootnoteReference"/>
        </w:rPr>
        <w:footnoteRef/>
      </w:r>
      <w:r>
        <w:t xml:space="preserve"> </w:t>
      </w:r>
      <w:r>
        <w:t xml:space="preserve">Zozulya 2001, PMID 11550013.</w:t>
      </w:r>
    </w:p>
  </w:footnote>
  <w:footnote w:id="1639">
    <w:p>
      <w:pPr>
        <w:pStyle w:val="FootnoteText"/>
      </w:pPr>
      <w:r>
        <w:rPr>
          <w:rStyle w:val="FootnoteReference"/>
        </w:rPr>
        <w:footnoteRef/>
      </w:r>
      <w:r>
        <w:t xml:space="preserve"> </w:t>
      </w:r>
      <w:r>
        <w:t xml:space="preserve">Volkova 2016, PMID 26924987.</w:t>
      </w:r>
    </w:p>
  </w:footnote>
  <w:footnote w:id="1640">
    <w:p>
      <w:pPr>
        <w:pStyle w:val="FootnoteText"/>
      </w:pPr>
      <w:r>
        <w:rPr>
          <w:rStyle w:val="FootnoteReference"/>
        </w:rPr>
        <w:footnoteRef/>
      </w:r>
      <w:r>
        <w:t xml:space="preserve"> </w:t>
      </w:r>
      <w:r>
        <w:t xml:space="preserve">Ershov 2009, PMID 19882898.</w:t>
      </w:r>
    </w:p>
  </w:footnote>
  <w:footnote w:id="1642">
    <w:p>
      <w:pPr>
        <w:pStyle w:val="FootnoteText"/>
      </w:pPr>
      <w:r>
        <w:rPr>
          <w:rStyle w:val="FootnoteReference"/>
        </w:rPr>
        <w:footnoteRef/>
      </w:r>
      <w:r>
        <w:t xml:space="preserve"> </w:t>
      </w:r>
      <w:r>
        <w:t xml:space="preserve">Zozulia 2008, PMID 18454096.</w:t>
      </w:r>
    </w:p>
  </w:footnote>
  <w:footnote w:id="1643">
    <w:p>
      <w:pPr>
        <w:pStyle w:val="FootnoteText"/>
      </w:pPr>
      <w:r>
        <w:rPr>
          <w:rStyle w:val="FootnoteReference"/>
        </w:rPr>
        <w:footnoteRef/>
      </w:r>
      <w:r>
        <w:t xml:space="preserve"> </w:t>
      </w:r>
      <w:r>
        <w:t xml:space="preserve">Medvedev 2014, PMID 25176261.</w:t>
      </w:r>
    </w:p>
  </w:footnote>
  <w:footnote w:id="1644">
    <w:p>
      <w:pPr>
        <w:pStyle w:val="FootnoteText"/>
      </w:pPr>
      <w:r>
        <w:rPr>
          <w:rStyle w:val="FootnoteReference"/>
        </w:rPr>
        <w:footnoteRef/>
      </w:r>
      <w:r>
        <w:t xml:space="preserve"> </w:t>
      </w:r>
      <w:r>
        <w:t xml:space="preserve">Medvedev 2015, PMID 26356395.</w:t>
      </w:r>
    </w:p>
  </w:footnote>
  <w:footnote w:id="1646">
    <w:p>
      <w:pPr>
        <w:pStyle w:val="FootnoteText"/>
      </w:pPr>
      <w:r>
        <w:rPr>
          <w:rStyle w:val="FootnoteReference"/>
        </w:rPr>
        <w:footnoteRef/>
      </w:r>
      <w:r>
        <w:t xml:space="preserve"> </w:t>
      </w:r>
      <w:r>
        <w:t xml:space="preserve">Uchakina 2008, PMID 18577961.</w:t>
      </w:r>
    </w:p>
  </w:footnote>
  <w:footnote w:id="1647">
    <w:p>
      <w:pPr>
        <w:pStyle w:val="FootnoteText"/>
      </w:pPr>
      <w:r>
        <w:rPr>
          <w:rStyle w:val="FootnoteReference"/>
        </w:rPr>
        <w:footnoteRef/>
      </w:r>
      <w:r>
        <w:t xml:space="preserve"> </w:t>
      </w:r>
      <w:r>
        <w:t xml:space="preserve">Panikratova 2020, PMID 32342318.</w:t>
      </w:r>
    </w:p>
  </w:footnote>
  <w:footnote w:id="1650">
    <w:p>
      <w:pPr>
        <w:pStyle w:val="FootnoteText"/>
      </w:pPr>
      <w:r>
        <w:rPr>
          <w:rStyle w:val="FootnoteReference"/>
        </w:rPr>
        <w:footnoteRef/>
      </w:r>
      <w:r>
        <w:t xml:space="preserve"> </w:t>
      </w:r>
      <w:r>
        <w:t xml:space="preserve">Kolik 2019, PMID 31625062.</w:t>
      </w:r>
    </w:p>
  </w:footnote>
  <w:footnote w:id="1651">
    <w:p>
      <w:pPr>
        <w:pStyle w:val="FootnoteText"/>
      </w:pPr>
      <w:r>
        <w:rPr>
          <w:rStyle w:val="FootnoteReference"/>
        </w:rPr>
        <w:footnoteRef/>
      </w:r>
      <w:r>
        <w:t xml:space="preserve"> </w:t>
      </w:r>
      <w:r>
        <w:t xml:space="preserve">Volkova 2016, PMID 26924987.</w:t>
      </w:r>
    </w:p>
  </w:footnote>
  <w:footnote w:id="1652">
    <w:p>
      <w:pPr>
        <w:pStyle w:val="FootnoteText"/>
      </w:pPr>
      <w:r>
        <w:rPr>
          <w:rStyle w:val="FootnoteReference"/>
        </w:rPr>
        <w:footnoteRef/>
      </w:r>
      <w:r>
        <w:t xml:space="preserve"> </w:t>
      </w:r>
      <w:r>
        <w:t xml:space="preserve">Ershov 2009, PMID 19882898.</w:t>
      </w:r>
    </w:p>
  </w:footnote>
  <w:footnote w:id="1654">
    <w:p>
      <w:pPr>
        <w:pStyle w:val="FootnoteText"/>
      </w:pPr>
      <w:r>
        <w:rPr>
          <w:rStyle w:val="FootnoteReference"/>
        </w:rPr>
        <w:footnoteRef/>
      </w:r>
      <w:r>
        <w:t xml:space="preserve"> </w:t>
      </w:r>
      <w:r>
        <w:t xml:space="preserve">Vanhee 2020, PMID 31667971.</w:t>
      </w:r>
    </w:p>
  </w:footnote>
  <w:footnote w:id="1662">
    <w:p>
      <w:pPr>
        <w:pStyle w:val="FootnoteText"/>
      </w:pPr>
      <w:r>
        <w:rPr>
          <w:rStyle w:val="FootnoteReference"/>
        </w:rPr>
        <w:footnoteRef/>
      </w:r>
      <w:r>
        <w:t xml:space="preserve"> </w:t>
      </w:r>
      <w:r>
        <w:t xml:space="preserve">Hong 2009, PMID 19765131.</w:t>
      </w:r>
    </w:p>
  </w:footnote>
  <w:footnote w:id="1663">
    <w:p>
      <w:pPr>
        <w:pStyle w:val="FootnoteText"/>
      </w:pPr>
      <w:r>
        <w:rPr>
          <w:rStyle w:val="FootnoteReference"/>
        </w:rPr>
        <w:footnoteRef/>
      </w:r>
      <w:r>
        <w:t xml:space="preserve"> </w:t>
      </w:r>
      <w:r>
        <w:t xml:space="preserve">NCT00868283.</w:t>
      </w:r>
    </w:p>
  </w:footnote>
  <w:footnote w:id="1664">
    <w:p>
      <w:pPr>
        <w:pStyle w:val="FootnoteText"/>
      </w:pPr>
      <w:r>
        <w:rPr>
          <w:rStyle w:val="FootnoteReference"/>
        </w:rPr>
        <w:footnoteRef/>
      </w:r>
      <w:r>
        <w:t xml:space="preserve"> </w:t>
      </w:r>
      <w:r>
        <w:t xml:space="preserve">Heiss 2012, PMID 22282884.</w:t>
      </w:r>
    </w:p>
  </w:footnote>
  <w:footnote w:id="1665">
    <w:p>
      <w:pPr>
        <w:pStyle w:val="FootnoteText"/>
      </w:pPr>
      <w:r>
        <w:rPr>
          <w:rStyle w:val="FootnoteReference"/>
        </w:rPr>
        <w:footnoteRef/>
      </w:r>
      <w:r>
        <w:t xml:space="preserve"> </w:t>
      </w:r>
      <w:r>
        <w:t xml:space="preserve">Lang 2013, PMID 23009193.</w:t>
      </w:r>
    </w:p>
  </w:footnote>
  <w:footnote w:id="1666">
    <w:p>
      <w:pPr>
        <w:pStyle w:val="FootnoteText"/>
      </w:pPr>
      <w:r>
        <w:rPr>
          <w:rStyle w:val="FootnoteReference"/>
        </w:rPr>
        <w:footnoteRef/>
      </w:r>
      <w:r>
        <w:t xml:space="preserve"> </w:t>
      </w:r>
      <w:r>
        <w:t xml:space="preserve">Khasanova 2023, PMID 36973684.</w:t>
      </w:r>
    </w:p>
  </w:footnote>
  <w:footnote w:id="1667">
    <w:p>
      <w:pPr>
        <w:pStyle w:val="FootnoteText"/>
      </w:pPr>
      <w:r>
        <w:rPr>
          <w:rStyle w:val="FootnoteReference"/>
        </w:rPr>
        <w:footnoteRef/>
      </w:r>
      <w:r>
        <w:t xml:space="preserve"> </w:t>
      </w:r>
      <w:r>
        <w:t xml:space="preserve">Staszewski 2025, PMID 40325343.</w:t>
      </w:r>
    </w:p>
  </w:footnote>
  <w:footnote w:id="1669">
    <w:p>
      <w:pPr>
        <w:pStyle w:val="FootnoteText"/>
      </w:pPr>
      <w:r>
        <w:rPr>
          <w:rStyle w:val="FootnoteReference"/>
        </w:rPr>
        <w:footnoteRef/>
      </w:r>
      <w:r>
        <w:t xml:space="preserve"> </w:t>
      </w:r>
      <w:r>
        <w:t xml:space="preserve">Muresanu 2016, PMID 26564102.</w:t>
      </w:r>
    </w:p>
  </w:footnote>
  <w:footnote w:id="1670">
    <w:p>
      <w:pPr>
        <w:pStyle w:val="FootnoteText"/>
      </w:pPr>
      <w:r>
        <w:rPr>
          <w:rStyle w:val="FootnoteReference"/>
        </w:rPr>
        <w:footnoteRef/>
      </w:r>
      <w:r>
        <w:t xml:space="preserve"> </w:t>
      </w:r>
      <w:r>
        <w:t xml:space="preserve">Guekht 2017, PMID 28707130.</w:t>
      </w:r>
    </w:p>
  </w:footnote>
  <w:footnote w:id="1671">
    <w:p>
      <w:pPr>
        <w:pStyle w:val="FootnoteText"/>
      </w:pPr>
      <w:r>
        <w:rPr>
          <w:rStyle w:val="FootnoteReference"/>
        </w:rPr>
        <w:footnoteRef/>
      </w:r>
      <w:r>
        <w:t xml:space="preserve"> </w:t>
      </w:r>
      <w:r>
        <w:t xml:space="preserve">Stan 2017, PMID 29362596.</w:t>
      </w:r>
    </w:p>
  </w:footnote>
  <w:footnote w:id="1672">
    <w:p>
      <w:pPr>
        <w:pStyle w:val="FootnoteText"/>
      </w:pPr>
      <w:r>
        <w:rPr>
          <w:rStyle w:val="FootnoteReference"/>
        </w:rPr>
        <w:footnoteRef/>
      </w:r>
      <w:r>
        <w:t xml:space="preserve"> </w:t>
      </w:r>
      <w:r>
        <w:t xml:space="preserve">Chang 2016, PMID 26934986.</w:t>
      </w:r>
    </w:p>
  </w:footnote>
  <w:footnote w:id="1673">
    <w:p>
      <w:pPr>
        <w:pStyle w:val="FootnoteText"/>
      </w:pPr>
      <w:r>
        <w:rPr>
          <w:rStyle w:val="FootnoteReference"/>
        </w:rPr>
        <w:footnoteRef/>
      </w:r>
      <w:r>
        <w:t xml:space="preserve"> </w:t>
      </w:r>
      <w:r>
        <w:t xml:space="preserve">Homberg 2025, PMID 39957612.</w:t>
      </w:r>
    </w:p>
  </w:footnote>
  <w:footnote w:id="1674">
    <w:p>
      <w:pPr>
        <w:pStyle w:val="FootnoteText"/>
      </w:pPr>
      <w:r>
        <w:rPr>
          <w:rStyle w:val="FootnoteReference"/>
        </w:rPr>
        <w:footnoteRef/>
      </w:r>
      <w:r>
        <w:t xml:space="preserve"> </w:t>
      </w:r>
      <w:r>
        <w:t xml:space="preserve">Beghi 2021, PMID 34152062.</w:t>
      </w:r>
    </w:p>
  </w:footnote>
  <w:footnote w:id="1676">
    <w:p>
      <w:pPr>
        <w:pStyle w:val="FootnoteText"/>
      </w:pPr>
      <w:r>
        <w:rPr>
          <w:rStyle w:val="FootnoteReference"/>
        </w:rPr>
        <w:footnoteRef/>
      </w:r>
      <w:r>
        <w:t xml:space="preserve"> </w:t>
      </w:r>
      <w:r>
        <w:t xml:space="preserve">Ziganshina 2020, PMID 32662068.</w:t>
      </w:r>
    </w:p>
  </w:footnote>
  <w:footnote w:id="1677">
    <w:p>
      <w:pPr>
        <w:pStyle w:val="FootnoteText"/>
      </w:pPr>
      <w:r>
        <w:rPr>
          <w:rStyle w:val="FootnoteReference"/>
        </w:rPr>
        <w:footnoteRef/>
      </w:r>
      <w:r>
        <w:t xml:space="preserve"> </w:t>
      </w:r>
      <w:r>
        <w:t xml:space="preserve">Ziganshina 2023, PMID 37818733.</w:t>
      </w:r>
    </w:p>
  </w:footnote>
  <w:footnote w:id="1678">
    <w:p>
      <w:pPr>
        <w:pStyle w:val="FootnoteText"/>
      </w:pPr>
      <w:r>
        <w:rPr>
          <w:rStyle w:val="FootnoteReference"/>
        </w:rPr>
        <w:footnoteRef/>
      </w:r>
      <w:r>
        <w:t xml:space="preserve"> </w:t>
      </w:r>
      <w:r>
        <w:t xml:space="preserve">Bornstein 2018, PMID 29248999.</w:t>
      </w:r>
    </w:p>
  </w:footnote>
  <w:footnote w:id="1679">
    <w:p>
      <w:pPr>
        <w:pStyle w:val="FootnoteText"/>
      </w:pPr>
      <w:r>
        <w:rPr>
          <w:rStyle w:val="FootnoteReference"/>
        </w:rPr>
        <w:footnoteRef/>
      </w:r>
      <w:r>
        <w:t xml:space="preserve"> </w:t>
      </w:r>
      <w:r>
        <w:t xml:space="preserve">Strilciuc 2021, PMID 34959697.</w:t>
      </w:r>
    </w:p>
  </w:footnote>
  <w:footnote w:id="1681">
    <w:p>
      <w:pPr>
        <w:pStyle w:val="FootnoteText"/>
      </w:pPr>
      <w:r>
        <w:rPr>
          <w:rStyle w:val="FootnoteReference"/>
        </w:rPr>
        <w:footnoteRef/>
      </w:r>
      <w:r>
        <w:t xml:space="preserve"> </w:t>
      </w:r>
      <w:r>
        <w:t xml:space="preserve">Vosko 2025, PMID 40851188 ; NCT03480698.</w:t>
      </w:r>
    </w:p>
  </w:footnote>
  <w:footnote w:id="1683">
    <w:p>
      <w:pPr>
        <w:pStyle w:val="FootnoteText"/>
      </w:pPr>
      <w:r>
        <w:rPr>
          <w:rStyle w:val="FootnoteReference"/>
        </w:rPr>
        <w:footnoteRef/>
      </w:r>
      <w:r>
        <w:t xml:space="preserve"> </w:t>
      </w:r>
      <w:r>
        <w:t xml:space="preserve">Bajenaru 2010, PMID 20968198.</w:t>
      </w:r>
    </w:p>
  </w:footnote>
  <w:footnote w:id="1684">
    <w:p>
      <w:pPr>
        <w:pStyle w:val="FootnoteText"/>
      </w:pPr>
      <w:r>
        <w:rPr>
          <w:rStyle w:val="FootnoteReference"/>
        </w:rPr>
        <w:footnoteRef/>
      </w:r>
      <w:r>
        <w:t xml:space="preserve"> </w:t>
      </w:r>
      <w:r>
        <w:t xml:space="preserve">Woo 2020, PMID 33143640 ; NCT01787123.</w:t>
      </w:r>
    </w:p>
  </w:footnote>
  <w:footnote w:id="1685">
    <w:p>
      <w:pPr>
        <w:pStyle w:val="FootnoteText"/>
      </w:pPr>
      <w:r>
        <w:rPr>
          <w:rStyle w:val="FootnoteReference"/>
        </w:rPr>
        <w:footnoteRef/>
      </w:r>
      <w:r>
        <w:t xml:space="preserve"> </w:t>
      </w:r>
      <w:r>
        <w:t xml:space="preserve">Kobayashi 2025, PMID 41180520.</w:t>
      </w:r>
    </w:p>
  </w:footnote>
  <w:footnote w:id="1687">
    <w:p>
      <w:pPr>
        <w:pStyle w:val="FootnoteText"/>
      </w:pPr>
      <w:r>
        <w:rPr>
          <w:rStyle w:val="FootnoteReference"/>
        </w:rPr>
        <w:footnoteRef/>
      </w:r>
      <w:r>
        <w:t xml:space="preserve"> </w:t>
      </w:r>
      <w:r>
        <w:t xml:space="preserve">Ghaffarpasand 2019, PMID 30643411 ; Jarosz 2023, PMID 36979317.</w:t>
      </w:r>
    </w:p>
  </w:footnote>
  <w:footnote w:id="1689">
    <w:p>
      <w:pPr>
        <w:pStyle w:val="FootnoteText"/>
      </w:pPr>
      <w:r>
        <w:rPr>
          <w:rStyle w:val="FootnoteReference"/>
        </w:rPr>
        <w:footnoteRef/>
      </w:r>
      <w:r>
        <w:t xml:space="preserve"> </w:t>
      </w:r>
      <w:r>
        <w:t xml:space="preserve">Panisset 2002, PMID 12111446.</w:t>
      </w:r>
    </w:p>
  </w:footnote>
  <w:footnote w:id="1690">
    <w:p>
      <w:pPr>
        <w:pStyle w:val="FootnoteText"/>
      </w:pPr>
      <w:r>
        <w:rPr>
          <w:rStyle w:val="FootnoteReference"/>
        </w:rPr>
        <w:footnoteRef/>
      </w:r>
      <w:r>
        <w:t xml:space="preserve"> </w:t>
      </w:r>
      <w:r>
        <w:t xml:space="preserve">Alvarez 2011, PMID 21679156.</w:t>
      </w:r>
    </w:p>
  </w:footnote>
  <w:footnote w:id="1691">
    <w:p>
      <w:pPr>
        <w:pStyle w:val="FootnoteText"/>
      </w:pPr>
      <w:r>
        <w:rPr>
          <w:rStyle w:val="FootnoteReference"/>
        </w:rPr>
        <w:footnoteRef/>
      </w:r>
      <w:r>
        <w:t xml:space="preserve"> </w:t>
      </w:r>
      <w:r>
        <w:t xml:space="preserve">Gauthier 2015, PMID 25832905.</w:t>
      </w:r>
    </w:p>
  </w:footnote>
  <w:footnote w:id="1692">
    <w:p>
      <w:pPr>
        <w:pStyle w:val="FootnoteText"/>
      </w:pPr>
      <w:r>
        <w:rPr>
          <w:rStyle w:val="FootnoteReference"/>
        </w:rPr>
        <w:footnoteRef/>
      </w:r>
      <w:r>
        <w:t xml:space="preserve"> </w:t>
      </w:r>
      <w:r>
        <w:t xml:space="preserve">Guekht 2011, PMID 20656516.</w:t>
      </w:r>
    </w:p>
  </w:footnote>
  <w:footnote w:id="1693">
    <w:p>
      <w:pPr>
        <w:pStyle w:val="FootnoteText"/>
      </w:pPr>
      <w:r>
        <w:rPr>
          <w:rStyle w:val="FootnoteReference"/>
        </w:rPr>
        <w:footnoteRef/>
      </w:r>
      <w:r>
        <w:t xml:space="preserve"> </w:t>
      </w:r>
      <w:r>
        <w:t xml:space="preserve">Cui 2019, PMID 31710397.</w:t>
      </w:r>
    </w:p>
  </w:footnote>
  <w:footnote w:id="1695">
    <w:p>
      <w:pPr>
        <w:pStyle w:val="FootnoteText"/>
      </w:pPr>
      <w:r>
        <w:rPr>
          <w:rStyle w:val="FootnoteReference"/>
        </w:rPr>
        <w:footnoteRef/>
      </w:r>
      <w:r>
        <w:t xml:space="preserve"> </w:t>
      </w:r>
      <w:r>
        <w:t xml:space="preserve">Funke 1998, PMID 9700674.</w:t>
      </w:r>
    </w:p>
  </w:footnote>
  <w:footnote w:id="1698">
    <w:p>
      <w:pPr>
        <w:pStyle w:val="FootnoteText"/>
      </w:pPr>
      <w:r>
        <w:rPr>
          <w:rStyle w:val="FootnoteReference"/>
        </w:rPr>
        <w:footnoteRef/>
      </w:r>
      <w:r>
        <w:t xml:space="preserve"> </w:t>
      </w:r>
      <w:r>
        <w:t xml:space="preserve">Zhang 2016, PMID 26763925.</w:t>
      </w:r>
    </w:p>
  </w:footnote>
  <w:footnote w:id="1699">
    <w:p>
      <w:pPr>
        <w:pStyle w:val="FootnoteText"/>
      </w:pPr>
      <w:r>
        <w:rPr>
          <w:rStyle w:val="FootnoteReference"/>
        </w:rPr>
        <w:footnoteRef/>
      </w:r>
      <w:r>
        <w:t xml:space="preserve"> </w:t>
      </w:r>
      <w:r>
        <w:t xml:space="preserve">Zhang 2019, PMID 30499355.</w:t>
      </w:r>
    </w:p>
  </w:footnote>
  <w:footnote w:id="1700">
    <w:p>
      <w:pPr>
        <w:pStyle w:val="FootnoteText"/>
      </w:pPr>
      <w:r>
        <w:rPr>
          <w:rStyle w:val="FootnoteReference"/>
        </w:rPr>
        <w:footnoteRef/>
      </w:r>
      <w:r>
        <w:t xml:space="preserve"> </w:t>
      </w:r>
      <w:r>
        <w:t xml:space="preserve">Kastberger 2024, PMID 38062874.</w:t>
      </w:r>
    </w:p>
  </w:footnote>
  <w:footnote w:id="1702">
    <w:p>
      <w:pPr>
        <w:pStyle w:val="FootnoteText"/>
      </w:pPr>
      <w:r>
        <w:rPr>
          <w:rStyle w:val="FootnoteReference"/>
        </w:rPr>
        <w:footnoteRef/>
      </w:r>
      <w:r>
        <w:t xml:space="preserve"> </w:t>
      </w:r>
      <w:r>
        <w:t xml:space="preserve">Panisset 2002, PMID 12111446.</w:t>
      </w:r>
    </w:p>
  </w:footnote>
  <w:footnote w:id="1703">
    <w:p>
      <w:pPr>
        <w:pStyle w:val="FootnoteText"/>
      </w:pPr>
      <w:r>
        <w:rPr>
          <w:rStyle w:val="FootnoteReference"/>
        </w:rPr>
        <w:footnoteRef/>
      </w:r>
      <w:r>
        <w:t xml:space="preserve"> </w:t>
      </w:r>
      <w:r>
        <w:t xml:space="preserve">Strilciuc 2021, PMID 34959697.</w:t>
      </w:r>
    </w:p>
  </w:footnote>
  <w:footnote w:id="1704">
    <w:p>
      <w:pPr>
        <w:pStyle w:val="FootnoteText"/>
      </w:pPr>
      <w:r>
        <w:rPr>
          <w:rStyle w:val="FootnoteReference"/>
        </w:rPr>
        <w:footnoteRef/>
      </w:r>
      <w:r>
        <w:t xml:space="preserve"> </w:t>
      </w:r>
      <w:r>
        <w:t xml:space="preserve">Trimmel 2024, PMID 39055722.</w:t>
      </w:r>
    </w:p>
  </w:footnote>
  <w:footnote w:id="1707">
    <w:p>
      <w:pPr>
        <w:pStyle w:val="FootnoteText"/>
      </w:pPr>
      <w:r>
        <w:rPr>
          <w:rStyle w:val="FootnoteReference"/>
        </w:rPr>
        <w:footnoteRef/>
      </w:r>
      <w:r>
        <w:t xml:space="preserve"> </w:t>
      </w:r>
      <w:r>
        <w:t xml:space="preserve">NCT05755997.</w:t>
      </w:r>
    </w:p>
  </w:footnote>
  <w:footnote w:id="1708">
    <w:p>
      <w:pPr>
        <w:pStyle w:val="FootnoteText"/>
      </w:pPr>
      <w:r>
        <w:rPr>
          <w:rStyle w:val="FootnoteReference"/>
        </w:rPr>
        <w:footnoteRef/>
      </w:r>
      <w:r>
        <w:t xml:space="preserve"> </w:t>
      </w:r>
      <w:r>
        <w:t xml:space="preserve">NCT06897176.</w:t>
      </w:r>
    </w:p>
  </w:footnote>
  <w:footnote w:id="1709">
    <w:p>
      <w:pPr>
        <w:pStyle w:val="FootnoteText"/>
      </w:pPr>
      <w:r>
        <w:rPr>
          <w:rStyle w:val="FootnoteReference"/>
        </w:rPr>
        <w:footnoteRef/>
      </w:r>
      <w:r>
        <w:t xml:space="preserve"> </w:t>
      </w:r>
      <w:r>
        <w:t xml:space="preserve">NCT06339411.</w:t>
      </w:r>
    </w:p>
  </w:footnote>
  <w:footnote w:id="1714">
    <w:p>
      <w:pPr>
        <w:pStyle w:val="FootnoteText"/>
      </w:pPr>
      <w:r>
        <w:rPr>
          <w:rStyle w:val="FootnoteReference"/>
        </w:rPr>
        <w:footnoteRef/>
      </w:r>
      <w:r>
        <w:t xml:space="preserve"> </w:t>
      </w:r>
      <w:r>
        <w:t xml:space="preserve">McCoy 2013, PMID 23055539.</w:t>
      </w:r>
    </w:p>
  </w:footnote>
  <w:footnote w:id="1715">
    <w:p>
      <w:pPr>
        <w:pStyle w:val="FootnoteText"/>
      </w:pPr>
      <w:r>
        <w:rPr>
          <w:rStyle w:val="FootnoteReference"/>
        </w:rPr>
        <w:footnoteRef/>
      </w:r>
      <w:r>
        <w:t xml:space="preserve"> </w:t>
      </w:r>
      <w:r>
        <w:t xml:space="preserve">Benoist 2014, PMID 25187433.</w:t>
      </w:r>
    </w:p>
  </w:footnote>
  <w:footnote w:id="1717">
    <w:p>
      <w:pPr>
        <w:pStyle w:val="FootnoteText"/>
      </w:pPr>
      <w:r>
        <w:rPr>
          <w:rStyle w:val="FootnoteReference"/>
        </w:rPr>
        <w:footnoteRef/>
      </w:r>
      <w:r>
        <w:t xml:space="preserve"> </w:t>
      </w:r>
      <w:r>
        <w:t xml:space="preserve">NCT04488419.</w:t>
      </w:r>
    </w:p>
  </w:footnote>
  <w:footnote w:id="1718">
    <w:p>
      <w:pPr>
        <w:pStyle w:val="FootnoteText"/>
      </w:pPr>
      <w:r>
        <w:rPr>
          <w:rStyle w:val="FootnoteReference"/>
        </w:rPr>
        <w:footnoteRef/>
      </w:r>
      <w:r>
        <w:t xml:space="preserve"> </w:t>
      </w:r>
      <w:r>
        <w:t xml:space="preserve">Porsteinsson 2025, PMID 41393340.</w:t>
      </w:r>
    </w:p>
  </w:footnote>
  <w:footnote w:id="1719">
    <w:p>
      <w:pPr>
        <w:pStyle w:val="FootnoteText"/>
      </w:pPr>
      <w:r>
        <w:rPr>
          <w:rStyle w:val="FootnoteReference"/>
        </w:rPr>
        <w:footnoteRef/>
      </w:r>
      <w:r>
        <w:t xml:space="preserve"> </w:t>
      </w:r>
      <w:r>
        <w:t xml:space="preserve">NCT04831281.</w:t>
      </w:r>
    </w:p>
  </w:footnote>
  <w:footnote w:id="1722">
    <w:p>
      <w:pPr>
        <w:pStyle w:val="FootnoteText"/>
      </w:pPr>
      <w:r>
        <w:rPr>
          <w:rStyle w:val="FootnoteReference"/>
        </w:rPr>
        <w:footnoteRef/>
      </w:r>
      <w:r>
        <w:t xml:space="preserve"> </w:t>
      </w:r>
      <w:r>
        <w:t xml:space="preserve">McCoy 2013, PMID 23055539.</w:t>
      </w:r>
    </w:p>
  </w:footnote>
  <w:footnote w:id="1723">
    <w:p>
      <w:pPr>
        <w:pStyle w:val="FootnoteText"/>
      </w:pPr>
      <w:r>
        <w:rPr>
          <w:rStyle w:val="FootnoteReference"/>
        </w:rPr>
        <w:footnoteRef/>
      </w:r>
      <w:r>
        <w:t xml:space="preserve"> </w:t>
      </w:r>
      <w:r>
        <w:t xml:space="preserve">Sun 2021, PMID 34827486.</w:t>
      </w:r>
    </w:p>
  </w:footnote>
  <w:footnote w:id="1724">
    <w:p>
      <w:pPr>
        <w:pStyle w:val="FootnoteText"/>
      </w:pPr>
      <w:r>
        <w:rPr>
          <w:rStyle w:val="FootnoteReference"/>
        </w:rPr>
        <w:footnoteRef/>
      </w:r>
      <w:r>
        <w:t xml:space="preserve"> </w:t>
      </w:r>
      <w:r>
        <w:t xml:space="preserve">Wells 2024, PMID 38489193.</w:t>
      </w:r>
    </w:p>
  </w:footnote>
  <w:footnote w:id="1725">
    <w:p>
      <w:pPr>
        <w:pStyle w:val="FootnoteText"/>
      </w:pPr>
      <w:r>
        <w:rPr>
          <w:rStyle w:val="FootnoteReference"/>
        </w:rPr>
        <w:footnoteRef/>
      </w:r>
      <w:r>
        <w:t xml:space="preserve"> </w:t>
      </w:r>
      <w:r>
        <w:t xml:space="preserve">Uribe 2015, PMID 25674052.</w:t>
      </w:r>
    </w:p>
  </w:footnote>
  <w:footnote w:id="1726">
    <w:p>
      <w:pPr>
        <w:pStyle w:val="FootnoteText"/>
      </w:pPr>
      <w:r>
        <w:rPr>
          <w:rStyle w:val="FootnoteReference"/>
        </w:rPr>
        <w:footnoteRef/>
      </w:r>
      <w:r>
        <w:t xml:space="preserve"> </w:t>
      </w:r>
      <w:r>
        <w:t xml:space="preserve">Pan 2022, PMID 35410439.</w:t>
      </w:r>
    </w:p>
  </w:footnote>
  <w:footnote w:id="1727">
    <w:p>
      <w:pPr>
        <w:pStyle w:val="FootnoteText"/>
      </w:pPr>
      <w:r>
        <w:rPr>
          <w:rStyle w:val="FootnoteReference"/>
        </w:rPr>
        <w:footnoteRef/>
      </w:r>
      <w:r>
        <w:t xml:space="preserve"> </w:t>
      </w:r>
      <w:r>
        <w:t xml:space="preserve">Ho 2018, PMID 29733881.</w:t>
      </w:r>
    </w:p>
  </w:footnote>
  <w:footnote w:id="1729">
    <w:p>
      <w:pPr>
        <w:pStyle w:val="FootnoteText"/>
      </w:pPr>
      <w:r>
        <w:rPr>
          <w:rStyle w:val="FootnoteReference"/>
        </w:rPr>
        <w:footnoteRef/>
      </w:r>
      <w:r>
        <w:t xml:space="preserve"> </w:t>
      </w:r>
      <w:r>
        <w:t xml:space="preserve">Wright 2015, PMID 25649658.</w:t>
      </w:r>
    </w:p>
  </w:footnote>
  <w:footnote w:id="1736">
    <w:p>
      <w:pPr>
        <w:pStyle w:val="FootnoteText"/>
      </w:pPr>
      <w:r>
        <w:rPr>
          <w:rStyle w:val="FootnoteReference"/>
        </w:rPr>
        <w:footnoteRef/>
      </w:r>
      <w:r>
        <w:t xml:space="preserve"> </w:t>
      </w:r>
      <w:r>
        <w:t xml:space="preserve">Monnier 1977, PMID 862769.</w:t>
      </w:r>
    </w:p>
  </w:footnote>
  <w:footnote w:id="1737">
    <w:p>
      <w:pPr>
        <w:pStyle w:val="FootnoteText"/>
      </w:pPr>
      <w:r>
        <w:rPr>
          <w:rStyle w:val="FootnoteReference"/>
        </w:rPr>
        <w:footnoteRef/>
      </w:r>
      <w:r>
        <w:t xml:space="preserve"> </w:t>
      </w:r>
      <w:r>
        <w:t xml:space="preserve">Kovalzon 2006, PMID 16539679.</w:t>
      </w:r>
    </w:p>
  </w:footnote>
  <w:footnote w:id="1738">
    <w:p>
      <w:pPr>
        <w:pStyle w:val="FootnoteText"/>
      </w:pPr>
      <w:r>
        <w:rPr>
          <w:rStyle w:val="FootnoteReference"/>
        </w:rPr>
        <w:footnoteRef/>
      </w:r>
      <w:r>
        <w:t xml:space="preserve"> </w:t>
      </w:r>
      <w:r>
        <w:t xml:space="preserve">Zlokovic 1988, PMID 3420012.</w:t>
      </w:r>
    </w:p>
  </w:footnote>
  <w:footnote w:id="1740">
    <w:p>
      <w:pPr>
        <w:pStyle w:val="FootnoteText"/>
      </w:pPr>
      <w:r>
        <w:rPr>
          <w:rStyle w:val="FootnoteReference"/>
        </w:rPr>
        <w:footnoteRef/>
      </w:r>
      <w:r>
        <w:t xml:space="preserve"> </w:t>
      </w:r>
      <w:r>
        <w:t xml:space="preserve">Schneider-Helmert 1981, PMID 6895513.</w:t>
      </w:r>
    </w:p>
  </w:footnote>
  <w:footnote w:id="1741">
    <w:p>
      <w:pPr>
        <w:pStyle w:val="FootnoteText"/>
      </w:pPr>
      <w:r>
        <w:rPr>
          <w:rStyle w:val="FootnoteReference"/>
        </w:rPr>
        <w:footnoteRef/>
      </w:r>
      <w:r>
        <w:t xml:space="preserve"> </w:t>
      </w:r>
      <w:r>
        <w:t xml:space="preserve">Schneider-Helmert 1987, PMID 3622582.</w:t>
      </w:r>
    </w:p>
  </w:footnote>
  <w:footnote w:id="1742">
    <w:p>
      <w:pPr>
        <w:pStyle w:val="FootnoteText"/>
      </w:pPr>
      <w:r>
        <w:rPr>
          <w:rStyle w:val="FootnoteReference"/>
        </w:rPr>
        <w:footnoteRef/>
      </w:r>
      <w:r>
        <w:t xml:space="preserve"> </w:t>
      </w:r>
      <w:r>
        <w:t xml:space="preserve">Monti 1987, PMID 3583493.</w:t>
      </w:r>
    </w:p>
  </w:footnote>
  <w:footnote w:id="1743">
    <w:p>
      <w:pPr>
        <w:pStyle w:val="FootnoteText"/>
      </w:pPr>
      <w:r>
        <w:rPr>
          <w:rStyle w:val="FootnoteReference"/>
        </w:rPr>
        <w:footnoteRef/>
      </w:r>
      <w:r>
        <w:t xml:space="preserve"> </w:t>
      </w:r>
      <w:r>
        <w:t xml:space="preserve">Bes 1992, PMID 1299794.</w:t>
      </w:r>
    </w:p>
  </w:footnote>
  <w:footnote w:id="1745">
    <w:p>
      <w:pPr>
        <w:pStyle w:val="FootnoteText"/>
      </w:pPr>
      <w:r>
        <w:rPr>
          <w:rStyle w:val="FootnoteReference"/>
        </w:rPr>
        <w:footnoteRef/>
      </w:r>
      <w:r>
        <w:t xml:space="preserve"> </w:t>
      </w:r>
      <w:r>
        <w:t xml:space="preserve">Dick 1984, PMID 6548969.</w:t>
      </w:r>
    </w:p>
  </w:footnote>
  <w:footnote w:id="1746">
    <w:p>
      <w:pPr>
        <w:pStyle w:val="FootnoteText"/>
      </w:pPr>
      <w:r>
        <w:rPr>
          <w:rStyle w:val="FootnoteReference"/>
        </w:rPr>
        <w:footnoteRef/>
      </w:r>
      <w:r>
        <w:t xml:space="preserve"> </w:t>
      </w:r>
      <w:r>
        <w:t xml:space="preserve">Backmund 1998, PMID 9617990.</w:t>
      </w:r>
    </w:p>
  </w:footnote>
  <w:footnote w:id="1747">
    <w:p>
      <w:pPr>
        <w:pStyle w:val="FootnoteText"/>
      </w:pPr>
      <w:r>
        <w:rPr>
          <w:rStyle w:val="FootnoteReference"/>
        </w:rPr>
        <w:footnoteRef/>
      </w:r>
      <w:r>
        <w:t xml:space="preserve"> </w:t>
      </w:r>
      <w:r>
        <w:t xml:space="preserve">Larbig 1984, PMID 6548970.</w:t>
      </w:r>
    </w:p>
  </w:footnote>
  <w:footnote w:id="1748">
    <w:p>
      <w:pPr>
        <w:pStyle w:val="FootnoteText"/>
      </w:pPr>
      <w:r>
        <w:rPr>
          <w:rStyle w:val="FootnoteReference"/>
        </w:rPr>
        <w:footnoteRef/>
      </w:r>
      <w:r>
        <w:t xml:space="preserve"> </w:t>
      </w:r>
      <w:r>
        <w:t xml:space="preserve">Schneider-Helmert 1984, PMID 6548968.</w:t>
      </w:r>
    </w:p>
  </w:footnote>
  <w:footnote w:id="1749">
    <w:p>
      <w:pPr>
        <w:pStyle w:val="FootnoteText"/>
      </w:pPr>
      <w:r>
        <w:rPr>
          <w:rStyle w:val="FootnoteReference"/>
        </w:rPr>
        <w:footnoteRef/>
      </w:r>
      <w:r>
        <w:t xml:space="preserve"> </w:t>
      </w:r>
      <w:r>
        <w:t xml:space="preserve">Kresiun 2014, PMID 25739189.</w:t>
      </w:r>
    </w:p>
  </w:footnote>
  <w:footnote w:id="1751">
    <w:p>
      <w:pPr>
        <w:pStyle w:val="FootnoteText"/>
      </w:pPr>
      <w:r>
        <w:rPr>
          <w:rStyle w:val="FootnoteReference"/>
        </w:rPr>
        <w:footnoteRef/>
      </w:r>
      <w:r>
        <w:t xml:space="preserve"> </w:t>
      </w:r>
      <w:r>
        <w:t xml:space="preserve">Bjartell 1989, PMID 2554357.</w:t>
      </w:r>
    </w:p>
  </w:footnote>
  <w:footnote w:id="1752">
    <w:p>
      <w:pPr>
        <w:pStyle w:val="FootnoteText"/>
      </w:pPr>
      <w:r>
        <w:rPr>
          <w:rStyle w:val="FootnoteReference"/>
        </w:rPr>
        <w:footnoteRef/>
      </w:r>
      <w:r>
        <w:t xml:space="preserve"> </w:t>
      </w:r>
      <w:r>
        <w:t xml:space="preserve">Späth-Schwalbe 1995, PMID 7777652.</w:t>
      </w:r>
    </w:p>
  </w:footnote>
  <w:footnote w:id="1753">
    <w:p>
      <w:pPr>
        <w:pStyle w:val="FootnoteText"/>
      </w:pPr>
      <w:r>
        <w:rPr>
          <w:rStyle w:val="FootnoteReference"/>
        </w:rPr>
        <w:footnoteRef/>
      </w:r>
      <w:r>
        <w:t xml:space="preserve"> </w:t>
      </w:r>
      <w:r>
        <w:t xml:space="preserve">Giusti 1993, PMID 8475226.</w:t>
      </w:r>
    </w:p>
  </w:footnote>
  <w:footnote w:id="1754">
    <w:p>
      <w:pPr>
        <w:pStyle w:val="FootnoteText"/>
      </w:pPr>
      <w:r>
        <w:rPr>
          <w:rStyle w:val="FootnoteReference"/>
        </w:rPr>
        <w:footnoteRef/>
      </w:r>
      <w:r>
        <w:t xml:space="preserve"> </w:t>
      </w:r>
      <w:r>
        <w:t xml:space="preserve">Pomfrett 2009, PMID 19142086.</w:t>
      </w:r>
    </w:p>
  </w:footnote>
  <w:footnote w:id="1757">
    <w:p>
      <w:pPr>
        <w:pStyle w:val="FootnoteText"/>
      </w:pPr>
      <w:r>
        <w:rPr>
          <w:rStyle w:val="FootnoteReference"/>
        </w:rPr>
        <w:footnoteRef/>
      </w:r>
      <w:r>
        <w:t xml:space="preserve"> </w:t>
      </w:r>
      <w:r>
        <w:t xml:space="preserve">Kovalzon 2006, PMID 16539679.</w:t>
      </w:r>
    </w:p>
  </w:footnote>
  <w:footnote w:id="1758">
    <w:p>
      <w:pPr>
        <w:pStyle w:val="FootnoteText"/>
      </w:pPr>
      <w:r>
        <w:rPr>
          <w:rStyle w:val="FootnoteReference"/>
        </w:rPr>
        <w:footnoteRef/>
      </w:r>
      <w:r>
        <w:t xml:space="preserve"> </w:t>
      </w:r>
      <w:r>
        <w:t xml:space="preserve">Voĭtenkov 2009, PMID 20405733.</w:t>
      </w:r>
    </w:p>
  </w:footnote>
  <w:footnote w:id="1760">
    <w:p>
      <w:pPr>
        <w:pStyle w:val="FootnoteText"/>
      </w:pPr>
      <w:r>
        <w:rPr>
          <w:rStyle w:val="FootnoteReference"/>
        </w:rPr>
        <w:footnoteRef/>
      </w:r>
      <w:r>
        <w:t xml:space="preserve"> </w:t>
      </w:r>
      <w:r>
        <w:t xml:space="preserve">Dick 1984, PMID 6548969.</w:t>
      </w:r>
    </w:p>
  </w:footnote>
  <w:footnote w:id="1761">
    <w:p>
      <w:pPr>
        <w:pStyle w:val="FootnoteText"/>
      </w:pPr>
      <w:r>
        <w:rPr>
          <w:rStyle w:val="FootnoteReference"/>
        </w:rPr>
        <w:footnoteRef/>
      </w:r>
      <w:r>
        <w:t xml:space="preserve"> </w:t>
      </w:r>
      <w:r>
        <w:t xml:space="preserve">Pomfrett 2009, PMID 19142086.</w:t>
      </w:r>
    </w:p>
  </w:footnote>
  <w:footnote w:id="1768">
    <w:p>
      <w:pPr>
        <w:pStyle w:val="FootnoteText"/>
      </w:pPr>
      <w:r>
        <w:rPr>
          <w:rStyle w:val="FootnoteReference"/>
        </w:rPr>
        <w:footnoteRef/>
      </w:r>
      <w:r>
        <w:t xml:space="preserve"> </w:t>
      </w:r>
      <w:r>
        <w:t xml:space="preserve">Khavinson 2003, PMID 12937682.</w:t>
      </w:r>
    </w:p>
  </w:footnote>
  <w:footnote w:id="1769">
    <w:p>
      <w:pPr>
        <w:pStyle w:val="FootnoteText"/>
      </w:pPr>
      <w:r>
        <w:rPr>
          <w:rStyle w:val="FootnoteReference"/>
        </w:rPr>
        <w:footnoteRef/>
      </w:r>
      <w:r>
        <w:t xml:space="preserve"> </w:t>
      </w:r>
      <w:r>
        <w:t xml:space="preserve">Khavinson 2003, PMID 14647006.</w:t>
      </w:r>
    </w:p>
  </w:footnote>
  <w:footnote w:id="1770">
    <w:p>
      <w:pPr>
        <w:pStyle w:val="FootnoteText"/>
      </w:pPr>
      <w:r>
        <w:rPr>
          <w:rStyle w:val="FootnoteReference"/>
        </w:rPr>
        <w:footnoteRef/>
      </w:r>
      <w:r>
        <w:t xml:space="preserve"> </w:t>
      </w:r>
      <w:r>
        <w:t xml:space="preserve">Araj 2025, PMID 40141333.</w:t>
      </w:r>
    </w:p>
  </w:footnote>
  <w:footnote w:id="1772">
    <w:p>
      <w:pPr>
        <w:pStyle w:val="FootnoteText"/>
      </w:pPr>
      <w:r>
        <w:rPr>
          <w:rStyle w:val="FootnoteReference"/>
        </w:rPr>
        <w:footnoteRef/>
      </w:r>
      <w:r>
        <w:t xml:space="preserve"> </w:t>
      </w:r>
      <w:r>
        <w:t xml:space="preserve">Jain 2026, PMID 42884164.</w:t>
      </w:r>
    </w:p>
  </w:footnote>
  <w:footnote w:id="1773">
    <w:p>
      <w:pPr>
        <w:pStyle w:val="FootnoteText"/>
      </w:pPr>
      <w:r>
        <w:rPr>
          <w:rStyle w:val="FootnoteReference"/>
        </w:rPr>
        <w:footnoteRef/>
      </w:r>
      <w:r>
        <w:t xml:space="preserve"> </w:t>
      </w:r>
      <w:r>
        <w:t xml:space="preserve">Khavinson 2002, PMID 12195242.</w:t>
      </w:r>
    </w:p>
  </w:footnote>
  <w:footnote w:id="1775">
    <w:p>
      <w:pPr>
        <w:pStyle w:val="FootnoteText"/>
      </w:pPr>
      <w:r>
        <w:rPr>
          <w:rStyle w:val="FootnoteReference"/>
        </w:rPr>
        <w:footnoteRef/>
      </w:r>
      <w:r>
        <w:t xml:space="preserve"> </w:t>
      </w:r>
      <w:r>
        <w:t xml:space="preserve">Khavinson 2003, PMID 14523363.</w:t>
      </w:r>
    </w:p>
  </w:footnote>
  <w:footnote w:id="1777">
    <w:p>
      <w:pPr>
        <w:pStyle w:val="FootnoteText"/>
      </w:pPr>
      <w:r>
        <w:rPr>
          <w:rStyle w:val="FootnoteReference"/>
        </w:rPr>
        <w:footnoteRef/>
      </w:r>
      <w:r>
        <w:t xml:space="preserve"> </w:t>
      </w:r>
      <w:r>
        <w:t xml:space="preserve">Khavinson 2003, PMID 12937682.</w:t>
      </w:r>
    </w:p>
  </w:footnote>
  <w:footnote w:id="1778">
    <w:p>
      <w:pPr>
        <w:pStyle w:val="FootnoteText"/>
      </w:pPr>
      <w:r>
        <w:rPr>
          <w:rStyle w:val="FootnoteReference"/>
        </w:rPr>
        <w:footnoteRef/>
      </w:r>
      <w:r>
        <w:t xml:space="preserve"> </w:t>
      </w:r>
      <w:r>
        <w:t xml:space="preserve">Khavinson 2004, PMID 15455129.</w:t>
      </w:r>
    </w:p>
  </w:footnote>
  <w:footnote w:id="1779">
    <w:p>
      <w:pPr>
        <w:pStyle w:val="FootnoteText"/>
      </w:pPr>
      <w:r>
        <w:rPr>
          <w:rStyle w:val="FootnoteReference"/>
        </w:rPr>
        <w:footnoteRef/>
      </w:r>
      <w:r>
        <w:t xml:space="preserve"> </w:t>
      </w:r>
      <w:r>
        <w:t xml:space="preserve">Al-Dulaimi 2025, PMID 40908429.</w:t>
      </w:r>
    </w:p>
  </w:footnote>
  <w:footnote w:id="1780">
    <w:p>
      <w:pPr>
        <w:pStyle w:val="FootnoteText"/>
      </w:pPr>
      <w:r>
        <w:rPr>
          <w:rStyle w:val="FootnoteReference"/>
        </w:rPr>
        <w:footnoteRef/>
      </w:r>
      <w:r>
        <w:t xml:space="preserve"> </w:t>
      </w:r>
      <w:r>
        <w:t xml:space="preserve">Khavinson 2019, PMID 31761987.</w:t>
      </w:r>
    </w:p>
  </w:footnote>
  <w:footnote w:id="1783">
    <w:p>
      <w:pPr>
        <w:pStyle w:val="FootnoteText"/>
      </w:pPr>
      <w:r>
        <w:rPr>
          <w:rStyle w:val="FootnoteReference"/>
        </w:rPr>
        <w:footnoteRef/>
      </w:r>
      <w:r>
        <w:t xml:space="preserve"> </w:t>
      </w:r>
      <w:r>
        <w:t xml:space="preserve">Anisimov 2003, PMID 14501183.</w:t>
      </w:r>
    </w:p>
  </w:footnote>
  <w:footnote w:id="1784">
    <w:p>
      <w:pPr>
        <w:pStyle w:val="FootnoteText"/>
      </w:pPr>
      <w:r>
        <w:rPr>
          <w:rStyle w:val="FootnoteReference"/>
        </w:rPr>
        <w:footnoteRef/>
      </w:r>
      <w:r>
        <w:t xml:space="preserve"> </w:t>
      </w:r>
      <w:r>
        <w:t xml:space="preserve">Khavinson 2000, PMID 11087911.</w:t>
      </w:r>
    </w:p>
  </w:footnote>
  <w:footnote w:id="1785">
    <w:p>
      <w:pPr>
        <w:pStyle w:val="FootnoteText"/>
      </w:pPr>
      <w:r>
        <w:rPr>
          <w:rStyle w:val="FootnoteReference"/>
        </w:rPr>
        <w:footnoteRef/>
      </w:r>
      <w:r>
        <w:t xml:space="preserve"> </w:t>
      </w:r>
      <w:r>
        <w:t xml:space="preserve">Khavinson 2003, PMID 12910293.</w:t>
      </w:r>
    </w:p>
  </w:footnote>
  <w:footnote w:id="1786">
    <w:p>
      <w:pPr>
        <w:pStyle w:val="FootnoteText"/>
      </w:pPr>
      <w:r>
        <w:rPr>
          <w:rStyle w:val="FootnoteReference"/>
        </w:rPr>
        <w:footnoteRef/>
      </w:r>
      <w:r>
        <w:t xml:space="preserve"> </w:t>
      </w:r>
      <w:r>
        <w:t xml:space="preserve">Yue 2022, PMID 35413689.</w:t>
      </w:r>
    </w:p>
  </w:footnote>
  <w:footnote w:id="1788">
    <w:p>
      <w:pPr>
        <w:pStyle w:val="FootnoteText"/>
      </w:pPr>
      <w:r>
        <w:rPr>
          <w:rStyle w:val="FootnoteReference"/>
        </w:rPr>
        <w:footnoteRef/>
      </w:r>
      <w:r>
        <w:t xml:space="preserve"> </w:t>
      </w:r>
      <w:r>
        <w:t xml:space="preserve">Al-Dulaimi 2025, PMID 40908429.</w:t>
      </w:r>
    </w:p>
  </w:footnote>
  <w:footnote w:id="1789">
    <w:p>
      <w:pPr>
        <w:pStyle w:val="FootnoteText"/>
      </w:pPr>
      <w:r>
        <w:rPr>
          <w:rStyle w:val="FootnoteReference"/>
        </w:rPr>
        <w:footnoteRef/>
      </w:r>
      <w:r>
        <w:t xml:space="preserve"> </w:t>
      </w:r>
      <w:r>
        <w:t xml:space="preserve">Anisimov 2003, PMID 14501183.</w:t>
      </w:r>
    </w:p>
  </w:footnote>
  <w:footnote w:id="1790">
    <w:p>
      <w:pPr>
        <w:pStyle w:val="FootnoteText"/>
      </w:pPr>
      <w:r>
        <w:rPr>
          <w:rStyle w:val="FootnoteReference"/>
        </w:rPr>
        <w:footnoteRef/>
      </w:r>
      <w:r>
        <w:t xml:space="preserve"> </w:t>
      </w:r>
      <w:r>
        <w:t xml:space="preserve">Jain 2026, PMID 42884164.</w:t>
      </w:r>
    </w:p>
  </w:footnote>
  <w:footnote w:id="1793">
    <w:p>
      <w:pPr>
        <w:pStyle w:val="FootnoteText"/>
      </w:pPr>
      <w:r>
        <w:rPr>
          <w:rStyle w:val="FootnoteReference"/>
        </w:rPr>
        <w:footnoteRef/>
      </w:r>
      <w:r>
        <w:t xml:space="preserve"> </w:t>
      </w:r>
      <w:r>
        <w:t xml:space="preserve">NCT07888595.</w:t>
      </w:r>
    </w:p>
  </w:footnote>
  <w:footnote w:id="1798">
    <w:p>
      <w:pPr>
        <w:pStyle w:val="FootnoteText"/>
      </w:pPr>
      <w:r>
        <w:rPr>
          <w:rStyle w:val="FootnoteReference"/>
        </w:rPr>
        <w:footnoteRef/>
      </w:r>
      <w:r>
        <w:t xml:space="preserve"> </w:t>
      </w:r>
      <w:r>
        <w:t xml:space="preserve">Fedoreyeva 2011, PMID 22117547.</w:t>
      </w:r>
    </w:p>
  </w:footnote>
  <w:footnote w:id="1799">
    <w:p>
      <w:pPr>
        <w:pStyle w:val="FootnoteText"/>
      </w:pPr>
      <w:r>
        <w:rPr>
          <w:rStyle w:val="FootnoteReference"/>
        </w:rPr>
        <w:footnoteRef/>
      </w:r>
      <w:r>
        <w:t xml:space="preserve"> </w:t>
      </w:r>
      <w:r>
        <w:t xml:space="preserve">Khavinson 2011, PMID 21978084.</w:t>
      </w:r>
    </w:p>
  </w:footnote>
  <w:footnote w:id="1800">
    <w:p>
      <w:pPr>
        <w:pStyle w:val="FootnoteText"/>
      </w:pPr>
      <w:r>
        <w:rPr>
          <w:rStyle w:val="FootnoteReference"/>
        </w:rPr>
        <w:footnoteRef/>
      </w:r>
      <w:r>
        <w:t xml:space="preserve"> </w:t>
      </w:r>
      <w:r>
        <w:t xml:space="preserve">Khavinson 2020, PMID 33396470.</w:t>
      </w:r>
    </w:p>
  </w:footnote>
  <w:footnote w:id="1802">
    <w:p>
      <w:pPr>
        <w:pStyle w:val="FootnoteText"/>
      </w:pPr>
      <w:r>
        <w:rPr>
          <w:rStyle w:val="FootnoteReference"/>
        </w:rPr>
        <w:footnoteRef/>
      </w:r>
      <w:r>
        <w:t xml:space="preserve"> </w:t>
      </w:r>
      <w:r>
        <w:t xml:space="preserve">Meshchaninov 2015, PMID 26390612.</w:t>
      </w:r>
    </w:p>
  </w:footnote>
  <w:footnote w:id="1804">
    <w:p>
      <w:pPr>
        <w:pStyle w:val="FootnoteText"/>
      </w:pPr>
      <w:r>
        <w:rPr>
          <w:rStyle w:val="FootnoteReference"/>
        </w:rPr>
        <w:footnoteRef/>
      </w:r>
      <w:r>
        <w:t xml:space="preserve"> </w:t>
      </w:r>
      <w:r>
        <w:t xml:space="preserve">Arutjunyan 2012, PMID 22567179.</w:t>
      </w:r>
    </w:p>
  </w:footnote>
  <w:footnote w:id="1805">
    <w:p>
      <w:pPr>
        <w:pStyle w:val="FootnoteText"/>
      </w:pPr>
      <w:r>
        <w:rPr>
          <w:rStyle w:val="FootnoteReference"/>
        </w:rPr>
        <w:footnoteRef/>
      </w:r>
      <w:r>
        <w:t xml:space="preserve"> </w:t>
      </w:r>
      <w:r>
        <w:t xml:space="preserve">Mendzheritsky 2015, PMID 28509493.</w:t>
      </w:r>
    </w:p>
  </w:footnote>
  <w:footnote w:id="1806">
    <w:p>
      <w:pPr>
        <w:pStyle w:val="FootnoteText"/>
      </w:pPr>
      <w:r>
        <w:rPr>
          <w:rStyle w:val="FootnoteReference"/>
        </w:rPr>
        <w:footnoteRef/>
      </w:r>
      <w:r>
        <w:t xml:space="preserve"> </w:t>
      </w:r>
      <w:r>
        <w:t xml:space="preserve">Khavinson 2011, PMID 21978084.</w:t>
      </w:r>
    </w:p>
  </w:footnote>
  <w:footnote w:id="1808">
    <w:p>
      <w:pPr>
        <w:pStyle w:val="FootnoteText"/>
      </w:pPr>
      <w:r>
        <w:rPr>
          <w:rStyle w:val="FootnoteReference"/>
        </w:rPr>
        <w:footnoteRef/>
      </w:r>
      <w:r>
        <w:t xml:space="preserve"> </w:t>
      </w:r>
      <w:r>
        <w:t xml:space="preserve">Meshchaninov 2015, PMID 26390612.</w:t>
      </w:r>
    </w:p>
  </w:footnote>
  <w:footnote w:id="1815">
    <w:p>
      <w:pPr>
        <w:pStyle w:val="FootnoteText"/>
      </w:pPr>
      <w:r>
        <w:rPr>
          <w:rStyle w:val="FootnoteReference"/>
        </w:rPr>
        <w:footnoteRef/>
      </w:r>
      <w:r>
        <w:t xml:space="preserve"> </w:t>
      </w:r>
      <w:r>
        <w:t xml:space="preserve">Lee 2015, PMID 25738459.</w:t>
      </w:r>
    </w:p>
  </w:footnote>
  <w:footnote w:id="1816">
    <w:p>
      <w:pPr>
        <w:pStyle w:val="FootnoteText"/>
      </w:pPr>
      <w:r>
        <w:rPr>
          <w:rStyle w:val="FootnoteReference"/>
        </w:rPr>
        <w:footnoteRef/>
      </w:r>
      <w:r>
        <w:t xml:space="preserve"> </w:t>
      </w:r>
      <w:r>
        <w:t xml:space="preserve">Kim 2018, PMID 29983246.</w:t>
      </w:r>
    </w:p>
  </w:footnote>
  <w:footnote w:id="1817">
    <w:p>
      <w:pPr>
        <w:pStyle w:val="FootnoteText"/>
      </w:pPr>
      <w:r>
        <w:rPr>
          <w:rStyle w:val="FootnoteReference"/>
        </w:rPr>
        <w:footnoteRef/>
      </w:r>
      <w:r>
        <w:t xml:space="preserve"> </w:t>
      </w:r>
      <w:r>
        <w:t xml:space="preserve">Reynolds 2021, PMID 33473109.</w:t>
      </w:r>
    </w:p>
  </w:footnote>
  <w:footnote w:id="1819">
    <w:p>
      <w:pPr>
        <w:pStyle w:val="FootnoteText"/>
      </w:pPr>
      <w:r>
        <w:rPr>
          <w:rStyle w:val="FootnoteReference"/>
        </w:rPr>
        <w:footnoteRef/>
      </w:r>
      <w:r>
        <w:t xml:space="preserve"> </w:t>
      </w:r>
      <w:r>
        <w:t xml:space="preserve">NCT03998514.</w:t>
      </w:r>
    </w:p>
  </w:footnote>
  <w:footnote w:id="1820">
    <w:p>
      <w:pPr>
        <w:pStyle w:val="FootnoteText"/>
      </w:pPr>
      <w:r>
        <w:rPr>
          <w:rStyle w:val="FootnoteReference"/>
        </w:rPr>
        <w:footnoteRef/>
      </w:r>
      <w:r>
        <w:t xml:space="preserve"> </w:t>
      </w:r>
      <w:r>
        <w:t xml:space="preserve">Du 2018, PMID 29691953 ; Kirik 2023, PMID 37750635 ; Qin 2018, PMID 29242099.</w:t>
      </w:r>
    </w:p>
  </w:footnote>
  <w:footnote w:id="1821">
    <w:p>
      <w:pPr>
        <w:pStyle w:val="FootnoteText"/>
      </w:pPr>
      <w:r>
        <w:rPr>
          <w:rStyle w:val="FootnoteReference"/>
        </w:rPr>
        <w:footnoteRef/>
      </w:r>
      <w:r>
        <w:t xml:space="preserve"> </w:t>
      </w:r>
      <w:r>
        <w:t xml:space="preserve">Du 2018, PMID 29691953.</w:t>
      </w:r>
    </w:p>
  </w:footnote>
  <w:footnote w:id="1822">
    <w:p>
      <w:pPr>
        <w:pStyle w:val="FootnoteText"/>
      </w:pPr>
      <w:r>
        <w:rPr>
          <w:rStyle w:val="FootnoteReference"/>
        </w:rPr>
        <w:footnoteRef/>
      </w:r>
      <w:r>
        <w:t xml:space="preserve"> </w:t>
      </w:r>
      <w:r>
        <w:t xml:space="preserve">Ikonomidis 2020, PMID 32052315.</w:t>
      </w:r>
    </w:p>
  </w:footnote>
  <w:footnote w:id="1823">
    <w:p>
      <w:pPr>
        <w:pStyle w:val="FootnoteText"/>
      </w:pPr>
      <w:r>
        <w:rPr>
          <w:rStyle w:val="FootnoteReference"/>
        </w:rPr>
        <w:footnoteRef/>
      </w:r>
      <w:r>
        <w:t xml:space="preserve"> </w:t>
      </w:r>
      <w:r>
        <w:t xml:space="preserve">Cuyàs 2022, PMID 36490309.</w:t>
      </w:r>
    </w:p>
  </w:footnote>
  <w:footnote w:id="1824">
    <w:p>
      <w:pPr>
        <w:pStyle w:val="FootnoteText"/>
      </w:pPr>
      <w:r>
        <w:rPr>
          <w:rStyle w:val="FootnoteReference"/>
        </w:rPr>
        <w:footnoteRef/>
      </w:r>
      <w:r>
        <w:t xml:space="preserve"> </w:t>
      </w:r>
      <w:r>
        <w:t xml:space="preserve">Zempo 2021, PMID 33468709.</w:t>
      </w:r>
    </w:p>
  </w:footnote>
  <w:footnote w:id="1826">
    <w:p>
      <w:pPr>
        <w:pStyle w:val="FootnoteText"/>
      </w:pPr>
      <w:r>
        <w:rPr>
          <w:rStyle w:val="FootnoteReference"/>
        </w:rPr>
        <w:footnoteRef/>
      </w:r>
      <w:r>
        <w:t xml:space="preserve"> </w:t>
      </w:r>
      <w:r>
        <w:t xml:space="preserve">NCT03998514.</w:t>
      </w:r>
    </w:p>
  </w:footnote>
  <w:footnote w:id="1829">
    <w:p>
      <w:pPr>
        <w:pStyle w:val="FootnoteText"/>
      </w:pPr>
      <w:r>
        <w:rPr>
          <w:rStyle w:val="FootnoteReference"/>
        </w:rPr>
        <w:footnoteRef/>
      </w:r>
      <w:r>
        <w:t xml:space="preserve"> </w:t>
      </w:r>
      <w:r>
        <w:t xml:space="preserve">Lee 2015, PMID 25738459.</w:t>
      </w:r>
    </w:p>
  </w:footnote>
  <w:footnote w:id="1830">
    <w:p>
      <w:pPr>
        <w:pStyle w:val="FootnoteText"/>
      </w:pPr>
      <w:r>
        <w:rPr>
          <w:rStyle w:val="FootnoteReference"/>
        </w:rPr>
        <w:footnoteRef/>
      </w:r>
      <w:r>
        <w:t xml:space="preserve"> </w:t>
      </w:r>
      <w:r>
        <w:t xml:space="preserve">Kumagai 2021, PMID 33554779.</w:t>
      </w:r>
    </w:p>
  </w:footnote>
  <w:footnote w:id="1831">
    <w:p>
      <w:pPr>
        <w:pStyle w:val="FootnoteText"/>
      </w:pPr>
      <w:r>
        <w:rPr>
          <w:rStyle w:val="FootnoteReference"/>
        </w:rPr>
        <w:footnoteRef/>
      </w:r>
      <w:r>
        <w:t xml:space="preserve"> </w:t>
      </w:r>
      <w:r>
        <w:t xml:space="preserve">Reynolds 2021, PMID 33473109.</w:t>
      </w:r>
    </w:p>
  </w:footnote>
  <w:footnote w:id="1832">
    <w:p>
      <w:pPr>
        <w:pStyle w:val="FootnoteText"/>
      </w:pPr>
      <w:r>
        <w:rPr>
          <w:rStyle w:val="FootnoteReference"/>
        </w:rPr>
        <w:footnoteRef/>
      </w:r>
      <w:r>
        <w:t xml:space="preserve"> </w:t>
      </w:r>
      <w:r>
        <w:t xml:space="preserve">Kong 2025, PMID 40855115.</w:t>
      </w:r>
    </w:p>
  </w:footnote>
  <w:footnote w:id="1834">
    <w:p>
      <w:pPr>
        <w:pStyle w:val="FootnoteText"/>
      </w:pPr>
      <w:r>
        <w:rPr>
          <w:rStyle w:val="FootnoteReference"/>
        </w:rPr>
        <w:footnoteRef/>
      </w:r>
      <w:r>
        <w:t xml:space="preserve"> </w:t>
      </w:r>
      <w:r>
        <w:t xml:space="preserve">Yin 2024, PMID 39321430.</w:t>
      </w:r>
    </w:p>
  </w:footnote>
  <w:footnote w:id="1835">
    <w:p>
      <w:pPr>
        <w:pStyle w:val="FootnoteText"/>
      </w:pPr>
      <w:r>
        <w:rPr>
          <w:rStyle w:val="FootnoteReference"/>
        </w:rPr>
        <w:footnoteRef/>
      </w:r>
      <w:r>
        <w:t xml:space="preserve"> </w:t>
      </w:r>
      <w:r>
        <w:t xml:space="preserve">Shen 2025, PMID 39581216.</w:t>
      </w:r>
    </w:p>
  </w:footnote>
  <w:footnote w:id="1838">
    <w:p>
      <w:pPr>
        <w:pStyle w:val="FootnoteText"/>
      </w:pPr>
      <w:r>
        <w:rPr>
          <w:rStyle w:val="FootnoteReference"/>
        </w:rPr>
        <w:footnoteRef/>
      </w:r>
      <w:r>
        <w:t xml:space="preserve"> </w:t>
      </w:r>
      <w:r>
        <w:t xml:space="preserve">NCT07678073.</w:t>
      </w:r>
    </w:p>
  </w:footnote>
  <w:footnote w:id="1839">
    <w:p>
      <w:pPr>
        <w:pStyle w:val="FootnoteText"/>
      </w:pPr>
      <w:r>
        <w:rPr>
          <w:rStyle w:val="FootnoteReference"/>
        </w:rPr>
        <w:footnoteRef/>
      </w:r>
      <w:r>
        <w:t xml:space="preserve"> </w:t>
      </w:r>
      <w:r>
        <w:t xml:space="preserve">NCT03878706.</w:t>
      </w:r>
    </w:p>
  </w:footnote>
  <w:footnote w:id="1844">
    <w:p>
      <w:pPr>
        <w:pStyle w:val="FootnoteText"/>
      </w:pPr>
      <w:r>
        <w:rPr>
          <w:rStyle w:val="FootnoteReference"/>
        </w:rPr>
        <w:footnoteRef/>
      </w:r>
      <w:r>
        <w:t xml:space="preserve"> </w:t>
      </w:r>
      <w:r>
        <w:t xml:space="preserve">Hashimoto 2001, PMID 11717357.</w:t>
      </w:r>
    </w:p>
  </w:footnote>
  <w:footnote w:id="1845">
    <w:p>
      <w:pPr>
        <w:pStyle w:val="FootnoteText"/>
      </w:pPr>
      <w:r>
        <w:rPr>
          <w:rStyle w:val="FootnoteReference"/>
        </w:rPr>
        <w:footnoteRef/>
      </w:r>
      <w:r>
        <w:t xml:space="preserve"> </w:t>
      </w:r>
      <w:r>
        <w:t xml:space="preserve">Hashimoto 2009, PMID 19386761.</w:t>
      </w:r>
    </w:p>
  </w:footnote>
  <w:footnote w:id="1846">
    <w:p>
      <w:pPr>
        <w:pStyle w:val="FootnoteText"/>
      </w:pPr>
      <w:r>
        <w:rPr>
          <w:rStyle w:val="FootnoteReference"/>
        </w:rPr>
        <w:footnoteRef/>
      </w:r>
      <w:r>
        <w:t xml:space="preserve"> </w:t>
      </w:r>
      <w:r>
        <w:t xml:space="preserve">Miller 2022, PMID 35499074.</w:t>
      </w:r>
    </w:p>
  </w:footnote>
  <w:footnote w:id="1848">
    <w:p>
      <w:pPr>
        <w:pStyle w:val="FootnoteText"/>
      </w:pPr>
      <w:r>
        <w:rPr>
          <w:rStyle w:val="FootnoteReference"/>
        </w:rPr>
        <w:footnoteRef/>
      </w:r>
      <w:r>
        <w:t xml:space="preserve"> </w:t>
      </w:r>
      <w:r>
        <w:t xml:space="preserve">Lee 2014, PMID 25040290.</w:t>
      </w:r>
    </w:p>
  </w:footnote>
  <w:footnote w:id="1852">
    <w:p>
      <w:pPr>
        <w:pStyle w:val="FootnoteText"/>
      </w:pPr>
      <w:r>
        <w:rPr>
          <w:rStyle w:val="FootnoteReference"/>
        </w:rPr>
        <w:footnoteRef/>
      </w:r>
      <w:r>
        <w:t xml:space="preserve"> </w:t>
      </w:r>
      <w:r>
        <w:t xml:space="preserve">Yen 2020, PMID 32575074.</w:t>
      </w:r>
    </w:p>
  </w:footnote>
  <w:footnote w:id="1853">
    <w:p>
      <w:pPr>
        <w:pStyle w:val="FootnoteText"/>
      </w:pPr>
      <w:r>
        <w:rPr>
          <w:rStyle w:val="FootnoteReference"/>
        </w:rPr>
        <w:footnoteRef/>
      </w:r>
      <w:r>
        <w:t xml:space="preserve"> </w:t>
      </w:r>
      <w:r>
        <w:t xml:space="preserve">Muzumdar 2010, PMID 20651283.</w:t>
      </w:r>
    </w:p>
  </w:footnote>
  <w:footnote w:id="1854">
    <w:p>
      <w:pPr>
        <w:pStyle w:val="FootnoteText"/>
      </w:pPr>
      <w:r>
        <w:rPr>
          <w:rStyle w:val="FootnoteReference"/>
        </w:rPr>
        <w:footnoteRef/>
      </w:r>
      <w:r>
        <w:t xml:space="preserve"> </w:t>
      </w:r>
      <w:r>
        <w:t xml:space="preserve">Qin 2018, PMID 30004252.</w:t>
      </w:r>
    </w:p>
  </w:footnote>
  <w:footnote w:id="1855">
    <w:p>
      <w:pPr>
        <w:pStyle w:val="FootnoteText"/>
      </w:pPr>
      <w:r>
        <w:rPr>
          <w:rStyle w:val="FootnoteReference"/>
        </w:rPr>
        <w:footnoteRef/>
      </w:r>
      <w:r>
        <w:t xml:space="preserve"> </w:t>
      </w:r>
      <w:r>
        <w:t xml:space="preserve">Miller 2024, PMID 38520065.</w:t>
      </w:r>
    </w:p>
  </w:footnote>
  <w:footnote w:id="1856">
    <w:p>
      <w:pPr>
        <w:pStyle w:val="FootnoteText"/>
      </w:pPr>
      <w:r>
        <w:rPr>
          <w:rStyle w:val="FootnoteReference"/>
        </w:rPr>
        <w:footnoteRef/>
      </w:r>
      <w:r>
        <w:t xml:space="preserve"> </w:t>
      </w:r>
      <w:r>
        <w:t xml:space="preserve">Nashine 2017, PMID 28726777.</w:t>
      </w:r>
    </w:p>
  </w:footnote>
  <w:footnote w:id="1858">
    <w:p>
      <w:pPr>
        <w:pStyle w:val="FootnoteText"/>
      </w:pPr>
      <w:r>
        <w:rPr>
          <w:rStyle w:val="FootnoteReference"/>
        </w:rPr>
        <w:footnoteRef/>
      </w:r>
      <w:r>
        <w:t xml:space="preserve"> </w:t>
      </w:r>
      <w:r>
        <w:t xml:space="preserve">Moreno Ayala 2020, PMID 32444831.</w:t>
      </w:r>
    </w:p>
  </w:footnote>
  <w:footnote w:id="1859">
    <w:p>
      <w:pPr>
        <w:pStyle w:val="FootnoteText"/>
      </w:pPr>
      <w:r>
        <w:rPr>
          <w:rStyle w:val="FootnoteReference"/>
        </w:rPr>
        <w:footnoteRef/>
      </w:r>
      <w:r>
        <w:t xml:space="preserve"> </w:t>
      </w:r>
      <w:r>
        <w:t xml:space="preserve">Mendelsohn 2018, PMID 30058454.</w:t>
      </w:r>
    </w:p>
  </w:footnote>
  <w:footnote w:id="1862">
    <w:p>
      <w:pPr>
        <w:pStyle w:val="FootnoteText"/>
      </w:pPr>
      <w:r>
        <w:rPr>
          <w:rStyle w:val="FootnoteReference"/>
        </w:rPr>
        <w:footnoteRef/>
      </w:r>
      <w:r>
        <w:t xml:space="preserve"> </w:t>
      </w:r>
      <w:r>
        <w:t xml:space="preserve">NCT07678073.</w:t>
      </w:r>
    </w:p>
  </w:footnote>
  <w:footnote w:id="1867">
    <w:p>
      <w:pPr>
        <w:pStyle w:val="FootnoteText"/>
      </w:pPr>
      <w:r>
        <w:rPr>
          <w:rStyle w:val="FootnoteReference"/>
        </w:rPr>
        <w:footnoteRef/>
      </w:r>
      <w:r>
        <w:t xml:space="preserve"> </w:t>
      </w:r>
      <w:r>
        <w:t xml:space="preserve">Szeto 2014, PMID 24117165.</w:t>
      </w:r>
    </w:p>
  </w:footnote>
  <w:footnote w:id="1869">
    <w:p>
      <w:pPr>
        <w:pStyle w:val="FootnoteText"/>
      </w:pPr>
      <w:r>
        <w:rPr>
          <w:rStyle w:val="FootnoteReference"/>
        </w:rPr>
        <w:footnoteRef/>
      </w:r>
      <w:r>
        <w:t xml:space="preserve"> </w:t>
      </w:r>
      <w:r>
        <w:t xml:space="preserve">NCT03098797.</w:t>
      </w:r>
    </w:p>
  </w:footnote>
  <w:footnote w:id="1870">
    <w:p>
      <w:pPr>
        <w:pStyle w:val="FootnoteText"/>
      </w:pPr>
      <w:r>
        <w:rPr>
          <w:rStyle w:val="FootnoteReference"/>
        </w:rPr>
        <w:footnoteRef/>
      </w:r>
      <w:r>
        <w:t xml:space="preserve"> </w:t>
      </w:r>
      <w:r>
        <w:t xml:space="preserve">Reid Thompson 2021, PMID 33077895.</w:t>
      </w:r>
    </w:p>
  </w:footnote>
  <w:footnote w:id="1871">
    <w:p>
      <w:pPr>
        <w:pStyle w:val="FootnoteText"/>
      </w:pPr>
      <w:r>
        <w:rPr>
          <w:rStyle w:val="FootnoteReference"/>
        </w:rPr>
        <w:footnoteRef/>
      </w:r>
      <w:r>
        <w:t xml:space="preserve"> </w:t>
      </w:r>
      <w:r>
        <w:t xml:space="preserve">Reid Thompson 2021, PMID 33077895.</w:t>
      </w:r>
    </w:p>
  </w:footnote>
  <w:footnote w:id="1872">
    <w:p>
      <w:pPr>
        <w:pStyle w:val="FootnoteText"/>
      </w:pPr>
      <w:r>
        <w:rPr>
          <w:rStyle w:val="FootnoteReference"/>
        </w:rPr>
        <w:footnoteRef/>
      </w:r>
      <w:r>
        <w:t xml:space="preserve"> </w:t>
      </w:r>
      <w:r>
        <w:t xml:space="preserve">Thompson 2024, PMID 38602181.</w:t>
      </w:r>
    </w:p>
  </w:footnote>
  <w:footnote w:id="1873">
    <w:p>
      <w:pPr>
        <w:pStyle w:val="FootnoteText"/>
      </w:pPr>
      <w:r>
        <w:rPr>
          <w:rStyle w:val="FootnoteReference"/>
        </w:rPr>
        <w:footnoteRef/>
      </w:r>
      <w:r>
        <w:t xml:space="preserve"> </w:t>
      </w:r>
      <w:r>
        <w:t xml:space="preserve">Hornby 2022, PMID 36056411.</w:t>
      </w:r>
    </w:p>
  </w:footnote>
  <w:footnote w:id="1874">
    <w:p>
      <w:pPr>
        <w:pStyle w:val="FootnoteText"/>
      </w:pPr>
      <w:r>
        <w:rPr>
          <w:rStyle w:val="FootnoteReference"/>
        </w:rPr>
        <w:footnoteRef/>
      </w:r>
      <w:r>
        <w:t xml:space="preserve"> </w:t>
      </w:r>
      <w:r>
        <w:t xml:space="preserve">Shirley 2026, PMID 41335372.</w:t>
      </w:r>
    </w:p>
  </w:footnote>
  <w:footnote w:id="1875">
    <w:p>
      <w:pPr>
        <w:pStyle w:val="FootnoteText"/>
      </w:pPr>
      <w:r>
        <w:rPr>
          <w:rStyle w:val="FootnoteReference"/>
        </w:rPr>
        <w:footnoteRef/>
      </w:r>
      <w:r>
        <w:t xml:space="preserve"> </w:t>
      </w:r>
      <w:r>
        <w:t xml:space="preserve">NCT07531251.</w:t>
      </w:r>
    </w:p>
  </w:footnote>
  <w:footnote w:id="1877">
    <w:p>
      <w:pPr>
        <w:pStyle w:val="FootnoteText"/>
      </w:pPr>
      <w:r>
        <w:rPr>
          <w:rStyle w:val="FootnoteReference"/>
        </w:rPr>
        <w:footnoteRef/>
      </w:r>
      <w:r>
        <w:t xml:space="preserve"> </w:t>
      </w:r>
      <w:r>
        <w:t xml:space="preserve">NCT03323749.</w:t>
      </w:r>
    </w:p>
  </w:footnote>
  <w:footnote w:id="1878">
    <w:p>
      <w:pPr>
        <w:pStyle w:val="FootnoteText"/>
      </w:pPr>
      <w:r>
        <w:rPr>
          <w:rStyle w:val="FootnoteReference"/>
        </w:rPr>
        <w:footnoteRef/>
      </w:r>
      <w:r>
        <w:t xml:space="preserve"> </w:t>
      </w:r>
      <w:r>
        <w:t xml:space="preserve">Karaa 2023, PMID 37268435.</w:t>
      </w:r>
    </w:p>
  </w:footnote>
  <w:footnote w:id="1879">
    <w:p>
      <w:pPr>
        <w:pStyle w:val="FootnoteText"/>
      </w:pPr>
      <w:r>
        <w:rPr>
          <w:rStyle w:val="FootnoteReference"/>
        </w:rPr>
        <w:footnoteRef/>
      </w:r>
      <w:r>
        <w:t xml:space="preserve"> </w:t>
      </w:r>
      <w:r>
        <w:t xml:space="preserve">Karaa 2024, PMID 39574155.</w:t>
      </w:r>
    </w:p>
  </w:footnote>
  <w:footnote w:id="1880">
    <w:p>
      <w:pPr>
        <w:pStyle w:val="FootnoteText"/>
      </w:pPr>
      <w:r>
        <w:rPr>
          <w:rStyle w:val="FootnoteReference"/>
        </w:rPr>
        <w:footnoteRef/>
      </w:r>
      <w:r>
        <w:t xml:space="preserve"> </w:t>
      </w:r>
      <w:r>
        <w:t xml:space="preserve">NCT05162768.</w:t>
      </w:r>
    </w:p>
  </w:footnote>
  <w:footnote w:id="1882">
    <w:p>
      <w:pPr>
        <w:pStyle w:val="FootnoteText"/>
      </w:pPr>
      <w:r>
        <w:rPr>
          <w:rStyle w:val="FootnoteReference"/>
        </w:rPr>
        <w:footnoteRef/>
      </w:r>
      <w:r>
        <w:t xml:space="preserve"> </w:t>
      </w:r>
      <w:r>
        <w:t xml:space="preserve">Gibson 2016, PMID 26586786 ; Butler 2020, PMID 32068002.</w:t>
      </w:r>
    </w:p>
  </w:footnote>
  <w:footnote w:id="1883">
    <w:p>
      <w:pPr>
        <w:pStyle w:val="FootnoteText"/>
      </w:pPr>
      <w:r>
        <w:rPr>
          <w:rStyle w:val="FootnoteReference"/>
        </w:rPr>
        <w:footnoteRef/>
      </w:r>
      <w:r>
        <w:t xml:space="preserve"> </w:t>
      </w:r>
      <w:r>
        <w:t xml:space="preserve">Ehlers 2025, PMID 39605874.</w:t>
      </w:r>
    </w:p>
  </w:footnote>
  <w:footnote w:id="1884">
    <w:p>
      <w:pPr>
        <w:pStyle w:val="FootnoteText"/>
      </w:pPr>
      <w:r>
        <w:rPr>
          <w:rStyle w:val="FootnoteReference"/>
        </w:rPr>
        <w:footnoteRef/>
      </w:r>
      <w:r>
        <w:t xml:space="preserve"> </w:t>
      </w:r>
      <w:r>
        <w:t xml:space="preserve">NCT06373731.</w:t>
      </w:r>
    </w:p>
  </w:footnote>
  <w:footnote w:id="1885">
    <w:p>
      <w:pPr>
        <w:pStyle w:val="FootnoteText"/>
      </w:pPr>
      <w:r>
        <w:rPr>
          <w:rStyle w:val="FootnoteReference"/>
        </w:rPr>
        <w:footnoteRef/>
      </w:r>
      <w:r>
        <w:t xml:space="preserve"> </w:t>
      </w:r>
      <w:r>
        <w:t xml:space="preserve">Roshanravan 2021, PMID 34264994.</w:t>
      </w:r>
    </w:p>
  </w:footnote>
  <w:footnote w:id="1888">
    <w:p>
      <w:pPr>
        <w:pStyle w:val="FootnoteText"/>
      </w:pPr>
      <w:r>
        <w:rPr>
          <w:rStyle w:val="FootnoteReference"/>
        </w:rPr>
        <w:footnoteRef/>
      </w:r>
      <w:r>
        <w:t xml:space="preserve"> </w:t>
      </w:r>
      <w:r>
        <w:t xml:space="preserve">Szeto 2014, PMID 24117165.</w:t>
      </w:r>
    </w:p>
  </w:footnote>
  <w:footnote w:id="1889">
    <w:p>
      <w:pPr>
        <w:pStyle w:val="FootnoteText"/>
      </w:pPr>
      <w:r>
        <w:rPr>
          <w:rStyle w:val="FootnoteReference"/>
        </w:rPr>
        <w:footnoteRef/>
      </w:r>
      <w:r>
        <w:t xml:space="preserve"> </w:t>
      </w:r>
      <w:r>
        <w:t xml:space="preserve">Sabbah 2016, PMID 26839394.</w:t>
      </w:r>
    </w:p>
  </w:footnote>
  <w:footnote w:id="1890">
    <w:p>
      <w:pPr>
        <w:pStyle w:val="FootnoteText"/>
      </w:pPr>
      <w:r>
        <w:rPr>
          <w:rStyle w:val="FootnoteReference"/>
        </w:rPr>
        <w:footnoteRef/>
      </w:r>
      <w:r>
        <w:t xml:space="preserve"> </w:t>
      </w:r>
      <w:r>
        <w:t xml:space="preserve">Schauer 2026, PMID 41596703.</w:t>
      </w:r>
    </w:p>
  </w:footnote>
  <w:footnote w:id="1892">
    <w:p>
      <w:pPr>
        <w:pStyle w:val="FootnoteText"/>
      </w:pPr>
      <w:r>
        <w:rPr>
          <w:rStyle w:val="FootnoteReference"/>
        </w:rPr>
        <w:footnoteRef/>
      </w:r>
      <w:r>
        <w:t xml:space="preserve"> </w:t>
      </w:r>
      <w:r>
        <w:t xml:space="preserve">Karaa 2020, PMID 32096613.</w:t>
      </w:r>
    </w:p>
  </w:footnote>
  <w:footnote w:id="1893">
    <w:p>
      <w:pPr>
        <w:pStyle w:val="FootnoteText"/>
      </w:pPr>
      <w:r>
        <w:rPr>
          <w:rStyle w:val="FootnoteReference"/>
        </w:rPr>
        <w:footnoteRef/>
      </w:r>
      <w:r>
        <w:t xml:space="preserve"> </w:t>
      </w:r>
      <w:r>
        <w:t xml:space="preserve">Ehlers 2025, PMID 39605874.</w:t>
      </w:r>
    </w:p>
  </w:footnote>
  <w:footnote w:id="1894">
    <w:p>
      <w:pPr>
        <w:pStyle w:val="FootnoteText"/>
      </w:pPr>
      <w:r>
        <w:rPr>
          <w:rStyle w:val="FootnoteReference"/>
        </w:rPr>
        <w:footnoteRef/>
      </w:r>
      <w:r>
        <w:t xml:space="preserve"> </w:t>
      </w:r>
      <w:r>
        <w:t xml:space="preserve">Karaa 2023, PMID 37268435.</w:t>
      </w:r>
    </w:p>
  </w:footnote>
  <w:footnote w:id="1895">
    <w:p>
      <w:pPr>
        <w:pStyle w:val="FootnoteText"/>
      </w:pPr>
      <w:r>
        <w:rPr>
          <w:rStyle w:val="FootnoteReference"/>
        </w:rPr>
        <w:footnoteRef/>
      </w:r>
      <w:r>
        <w:t xml:space="preserve"> </w:t>
      </w:r>
      <w:r>
        <w:t xml:space="preserve">Thompson 2024, PMID 38602181.</w:t>
      </w:r>
    </w:p>
  </w:footnote>
  <w:footnote w:id="1897">
    <w:p>
      <w:pPr>
        <w:pStyle w:val="FootnoteText"/>
      </w:pPr>
      <w:r>
        <w:rPr>
          <w:rStyle w:val="FootnoteReference"/>
        </w:rPr>
        <w:footnoteRef/>
      </w:r>
      <w:r>
        <w:t xml:space="preserve"> </w:t>
      </w:r>
      <w:r>
        <w:t xml:space="preserve">NCT04689360.</w:t>
      </w:r>
    </w:p>
  </w:footnote>
  <w:footnote w:id="1899">
    <w:p>
      <w:pPr>
        <w:pStyle w:val="FootnoteText"/>
      </w:pPr>
      <w:r>
        <w:rPr>
          <w:rStyle w:val="FootnoteReference"/>
        </w:rPr>
        <w:footnoteRef/>
      </w:r>
      <w:r>
        <w:t xml:space="preserve"> </w:t>
      </w:r>
      <w:r>
        <w:t xml:space="preserve">NCT06373731.</w:t>
      </w:r>
    </w:p>
  </w:footnote>
  <w:footnote w:id="1900">
    <w:p>
      <w:pPr>
        <w:pStyle w:val="FootnoteText"/>
      </w:pPr>
      <w:r>
        <w:rPr>
          <w:rStyle w:val="FootnoteReference"/>
        </w:rPr>
        <w:footnoteRef/>
      </w:r>
      <w:r>
        <w:t xml:space="preserve"> </w:t>
      </w:r>
      <w:r>
        <w:t xml:space="preserve">NCT07531251.</w:t>
      </w:r>
    </w:p>
  </w:footnote>
  <w:footnote w:id="1901">
    <w:p>
      <w:pPr>
        <w:pStyle w:val="FootnoteText"/>
      </w:pPr>
      <w:r>
        <w:rPr>
          <w:rStyle w:val="FootnoteReference"/>
        </w:rPr>
        <w:footnoteRef/>
      </w:r>
      <w:r>
        <w:t xml:space="preserve"> </w:t>
      </w:r>
      <w:r>
        <w:t xml:space="preserve">NCT05162768.</w:t>
      </w:r>
    </w:p>
  </w:footnote>
  <w:footnote w:id="1902">
    <w:p>
      <w:pPr>
        <w:pStyle w:val="FootnoteText"/>
      </w:pPr>
      <w:r>
        <w:rPr>
          <w:rStyle w:val="FootnoteReference"/>
        </w:rPr>
        <w:footnoteRef/>
      </w:r>
      <w:r>
        <w:t xml:space="preserve"> </w:t>
      </w:r>
      <w:r>
        <w:t xml:space="preserve">NCT07275424.</w:t>
      </w:r>
    </w:p>
  </w:footnote>
  <w:footnote w:id="1907">
    <w:p>
      <w:pPr>
        <w:pStyle w:val="FootnoteText"/>
      </w:pPr>
      <w:r>
        <w:rPr>
          <w:rStyle w:val="FootnoteReference"/>
        </w:rPr>
        <w:footnoteRef/>
      </w:r>
      <w:r>
        <w:t xml:space="preserve"> </w:t>
      </w:r>
      <w:r>
        <w:t xml:space="preserve">Baar 2017, PMID 28340339.</w:t>
      </w:r>
    </w:p>
  </w:footnote>
  <w:footnote w:id="1908">
    <w:p>
      <w:pPr>
        <w:pStyle w:val="FootnoteText"/>
      </w:pPr>
      <w:r>
        <w:rPr>
          <w:rStyle w:val="FootnoteReference"/>
        </w:rPr>
        <w:footnoteRef/>
      </w:r>
      <w:r>
        <w:t xml:space="preserve"> </w:t>
      </w:r>
      <w:r>
        <w:t xml:space="preserve">Bourgeois 2025, PMID 40593617.</w:t>
      </w:r>
    </w:p>
  </w:footnote>
  <w:footnote w:id="1909">
    <w:p>
      <w:pPr>
        <w:pStyle w:val="FootnoteText"/>
      </w:pPr>
      <w:r>
        <w:rPr>
          <w:rStyle w:val="FootnoteReference"/>
        </w:rPr>
        <w:footnoteRef/>
      </w:r>
      <w:r>
        <w:t xml:space="preserve"> </w:t>
      </w:r>
      <w:r>
        <w:t xml:space="preserve">Justice 2019, PMID 30616998.</w:t>
      </w:r>
    </w:p>
  </w:footnote>
  <w:footnote w:id="1910">
    <w:p>
      <w:pPr>
        <w:pStyle w:val="FootnoteText"/>
      </w:pPr>
      <w:r>
        <w:rPr>
          <w:rStyle w:val="FootnoteReference"/>
        </w:rPr>
        <w:footnoteRef/>
      </w:r>
      <w:r>
        <w:t xml:space="preserve"> </w:t>
      </w:r>
      <w:r>
        <w:t xml:space="preserve">Farr 2024, PMID 38956196.</w:t>
      </w:r>
    </w:p>
  </w:footnote>
  <w:footnote w:id="1913">
    <w:p>
      <w:pPr>
        <w:pStyle w:val="FootnoteText"/>
      </w:pPr>
      <w:r>
        <w:rPr>
          <w:rStyle w:val="FootnoteReference"/>
        </w:rPr>
        <w:footnoteRef/>
      </w:r>
      <w:r>
        <w:t xml:space="preserve"> </w:t>
      </w:r>
      <w:r>
        <w:t xml:space="preserve">Huang 2021, PMID 33996787.</w:t>
      </w:r>
    </w:p>
  </w:footnote>
  <w:footnote w:id="1915">
    <w:p>
      <w:pPr>
        <w:pStyle w:val="FootnoteText"/>
      </w:pPr>
      <w:r>
        <w:rPr>
          <w:rStyle w:val="FootnoteReference"/>
        </w:rPr>
        <w:footnoteRef/>
      </w:r>
      <w:r>
        <w:t xml:space="preserve"> </w:t>
      </w:r>
      <w:r>
        <w:t xml:space="preserve">Baar 2017, PMID 28340339.</w:t>
      </w:r>
    </w:p>
  </w:footnote>
  <w:footnote w:id="1916">
    <w:p>
      <w:pPr>
        <w:pStyle w:val="FootnoteText"/>
      </w:pPr>
      <w:r>
        <w:rPr>
          <w:rStyle w:val="FootnoteReference"/>
        </w:rPr>
        <w:footnoteRef/>
      </w:r>
      <w:r>
        <w:t xml:space="preserve"> </w:t>
      </w:r>
      <w:r>
        <w:t xml:space="preserve">Born 2023, PMID 36515093.</w:t>
      </w:r>
    </w:p>
  </w:footnote>
  <w:footnote w:id="1918">
    <w:p>
      <w:pPr>
        <w:pStyle w:val="FootnoteText"/>
      </w:pPr>
      <w:r>
        <w:rPr>
          <w:rStyle w:val="FootnoteReference"/>
        </w:rPr>
        <w:footnoteRef/>
      </w:r>
      <w:r>
        <w:t xml:space="preserve"> </w:t>
      </w:r>
      <w:r>
        <w:t xml:space="preserve">Born 2023, PMID 36515093.</w:t>
      </w:r>
    </w:p>
  </w:footnote>
  <w:footnote w:id="1919">
    <w:p>
      <w:pPr>
        <w:pStyle w:val="FootnoteText"/>
      </w:pPr>
      <w:r>
        <w:rPr>
          <w:rStyle w:val="FootnoteReference"/>
        </w:rPr>
        <w:footnoteRef/>
      </w:r>
      <w:r>
        <w:t xml:space="preserve"> </w:t>
      </w:r>
      <w:r>
        <w:t xml:space="preserve">Bourgeois 2025, PMID 40593617.</w:t>
      </w:r>
    </w:p>
  </w:footnote>
  <w:footnote w:id="1927">
    <w:p>
      <w:pPr>
        <w:pStyle w:val="FootnoteText"/>
      </w:pPr>
      <w:r>
        <w:rPr>
          <w:rStyle w:val="FootnoteReference"/>
        </w:rPr>
        <w:footnoteRef/>
      </w:r>
      <w:r>
        <w:t xml:space="preserve"> </w:t>
      </w:r>
      <w:r>
        <w:t xml:space="preserve">Allen 2011, PMID 21875351.</w:t>
      </w:r>
    </w:p>
  </w:footnote>
  <w:footnote w:id="1928">
    <w:p>
      <w:pPr>
        <w:pStyle w:val="FootnoteText"/>
      </w:pPr>
      <w:r>
        <w:rPr>
          <w:rStyle w:val="FootnoteReference"/>
        </w:rPr>
        <w:footnoteRef/>
      </w:r>
      <w:r>
        <w:t xml:space="preserve"> </w:t>
      </w:r>
      <w:r>
        <w:t xml:space="preserve">Richie 2015, PMID 24791752.</w:t>
      </w:r>
    </w:p>
  </w:footnote>
  <w:footnote w:id="1929">
    <w:p>
      <w:pPr>
        <w:pStyle w:val="FootnoteText"/>
      </w:pPr>
      <w:r>
        <w:rPr>
          <w:rStyle w:val="FootnoteReference"/>
        </w:rPr>
        <w:footnoteRef/>
      </w:r>
      <w:r>
        <w:t xml:space="preserve"> </w:t>
      </w:r>
      <w:r>
        <w:t xml:space="preserve">Sinha 2018, PMID 28853742.</w:t>
      </w:r>
    </w:p>
  </w:footnote>
  <w:footnote w:id="1931">
    <w:p>
      <w:pPr>
        <w:pStyle w:val="FootnoteText"/>
      </w:pPr>
      <w:r>
        <w:rPr>
          <w:rStyle w:val="FootnoteReference"/>
        </w:rPr>
        <w:footnoteRef/>
      </w:r>
      <w:r>
        <w:t xml:space="preserve"> </w:t>
      </w:r>
      <w:r>
        <w:t xml:space="preserve">Leal 2014, PMID 24619793.</w:t>
      </w:r>
    </w:p>
  </w:footnote>
  <w:footnote w:id="1932">
    <w:p>
      <w:pPr>
        <w:pStyle w:val="FootnoteText"/>
      </w:pPr>
      <w:r>
        <w:rPr>
          <w:rStyle w:val="FootnoteReference"/>
        </w:rPr>
        <w:footnoteRef/>
      </w:r>
      <w:r>
        <w:t xml:space="preserve"> </w:t>
      </w:r>
      <w:r>
        <w:t xml:space="preserve">Hauser 2009, PMID 19230029.</w:t>
      </w:r>
    </w:p>
  </w:footnote>
  <w:footnote w:id="1933">
    <w:p>
      <w:pPr>
        <w:pStyle w:val="FootnoteText"/>
      </w:pPr>
      <w:r>
        <w:rPr>
          <w:rStyle w:val="FootnoteReference"/>
        </w:rPr>
        <w:footnoteRef/>
      </w:r>
      <w:r>
        <w:t xml:space="preserve"> </w:t>
      </w:r>
      <w:r>
        <w:t xml:space="preserve">Mischley 2017, PMID 28436395.</w:t>
      </w:r>
    </w:p>
  </w:footnote>
  <w:footnote w:id="1934">
    <w:p>
      <w:pPr>
        <w:pStyle w:val="FootnoteText"/>
      </w:pPr>
      <w:r>
        <w:rPr>
          <w:rStyle w:val="FootnoteReference"/>
        </w:rPr>
        <w:footnoteRef/>
      </w:r>
      <w:r>
        <w:t xml:space="preserve"> </w:t>
      </w:r>
      <w:r>
        <w:t xml:space="preserve">Bozic 2020, PMID 32960827.</w:t>
      </w:r>
    </w:p>
  </w:footnote>
  <w:footnote w:id="1935">
    <w:p>
      <w:pPr>
        <w:pStyle w:val="FootnoteText"/>
      </w:pPr>
      <w:r>
        <w:rPr>
          <w:rStyle w:val="FootnoteReference"/>
        </w:rPr>
        <w:footnoteRef/>
      </w:r>
      <w:r>
        <w:t xml:space="preserve"> </w:t>
      </w:r>
      <w:r>
        <w:t xml:space="preserve">Søndergård 2021, PMID 33740389.</w:t>
      </w:r>
    </w:p>
  </w:footnote>
  <w:footnote w:id="1936">
    <w:p>
      <w:pPr>
        <w:pStyle w:val="FootnoteText"/>
      </w:pPr>
      <w:r>
        <w:rPr>
          <w:rStyle w:val="FootnoteReference"/>
        </w:rPr>
        <w:footnoteRef/>
      </w:r>
      <w:r>
        <w:t xml:space="preserve"> </w:t>
      </w:r>
      <w:r>
        <w:t xml:space="preserve">Honda 2017, PMID 28789631.</w:t>
      </w:r>
    </w:p>
  </w:footnote>
  <w:footnote w:id="1937">
    <w:p>
      <w:pPr>
        <w:pStyle w:val="FootnoteText"/>
      </w:pPr>
      <w:r>
        <w:rPr>
          <w:rStyle w:val="FootnoteReference"/>
        </w:rPr>
        <w:footnoteRef/>
      </w:r>
      <w:r>
        <w:t xml:space="preserve"> </w:t>
      </w:r>
      <w:r>
        <w:t xml:space="preserve">Arrivi 2023, PMID 36083043.</w:t>
      </w:r>
    </w:p>
  </w:footnote>
  <w:footnote w:id="1939">
    <w:p>
      <w:pPr>
        <w:pStyle w:val="FootnoteText"/>
      </w:pPr>
      <w:r>
        <w:rPr>
          <w:rStyle w:val="FootnoteReference"/>
        </w:rPr>
        <w:footnoteRef/>
      </w:r>
      <w:r>
        <w:t xml:space="preserve"> </w:t>
      </w:r>
      <w:r>
        <w:t xml:space="preserve">Arjinpathana 2012, PMID 20524875.</w:t>
      </w:r>
    </w:p>
  </w:footnote>
  <w:footnote w:id="1940">
    <w:p>
      <w:pPr>
        <w:pStyle w:val="FootnoteText"/>
      </w:pPr>
      <w:r>
        <w:rPr>
          <w:rStyle w:val="FootnoteReference"/>
        </w:rPr>
        <w:footnoteRef/>
      </w:r>
      <w:r>
        <w:t xml:space="preserve"> </w:t>
      </w:r>
      <w:r>
        <w:t xml:space="preserve">Dilokthornsakul 2019, PMID 30895708.</w:t>
      </w:r>
    </w:p>
  </w:footnote>
  <w:footnote w:id="1941">
    <w:p>
      <w:pPr>
        <w:pStyle w:val="FootnoteText"/>
      </w:pPr>
      <w:r>
        <w:rPr>
          <w:rStyle w:val="FootnoteReference"/>
        </w:rPr>
        <w:footnoteRef/>
      </w:r>
      <w:r>
        <w:t xml:space="preserve"> </w:t>
      </w:r>
      <w:r>
        <w:t xml:space="preserve">Sarkar 2025, PMID 39444151.</w:t>
      </w:r>
    </w:p>
  </w:footnote>
  <w:footnote w:id="1942">
    <w:p>
      <w:pPr>
        <w:pStyle w:val="FootnoteText"/>
      </w:pPr>
      <w:r>
        <w:rPr>
          <w:rStyle w:val="FootnoteReference"/>
        </w:rPr>
        <w:footnoteRef/>
      </w:r>
      <w:r>
        <w:t xml:space="preserve"> </w:t>
      </w:r>
      <w:r>
        <w:t xml:space="preserve">Sarkar 2025, PMID 39444151.</w:t>
      </w:r>
    </w:p>
  </w:footnote>
  <w:footnote w:id="1943">
    <w:p>
      <w:pPr>
        <w:pStyle w:val="FootnoteText"/>
      </w:pPr>
      <w:r>
        <w:rPr>
          <w:rStyle w:val="FootnoteReference"/>
        </w:rPr>
        <w:footnoteRef/>
      </w:r>
      <w:r>
        <w:t xml:space="preserve"> </w:t>
      </w:r>
      <w:r>
        <w:t xml:space="preserve">Davids 2016, PMID 27499402.</w:t>
      </w:r>
    </w:p>
  </w:footnote>
  <w:footnote w:id="1944">
    <w:p>
      <w:pPr>
        <w:pStyle w:val="FootnoteText"/>
      </w:pPr>
      <w:r>
        <w:rPr>
          <w:rStyle w:val="FootnoteReference"/>
        </w:rPr>
        <w:footnoteRef/>
      </w:r>
      <w:r>
        <w:t xml:space="preserve"> </w:t>
      </w:r>
      <w:r>
        <w:t xml:space="preserve">Dadzie 2016, PMID 27581922.</w:t>
      </w:r>
    </w:p>
  </w:footnote>
  <w:footnote w:id="1948">
    <w:p>
      <w:pPr>
        <w:pStyle w:val="FootnoteText"/>
      </w:pPr>
      <w:r>
        <w:rPr>
          <w:rStyle w:val="FootnoteReference"/>
        </w:rPr>
        <w:footnoteRef/>
      </w:r>
      <w:r>
        <w:t xml:space="preserve"> </w:t>
      </w:r>
      <w:r>
        <w:t xml:space="preserve">Mischley 2017, PMID 28436395.</w:t>
      </w:r>
    </w:p>
  </w:footnote>
  <w:footnote w:id="1949">
    <w:p>
      <w:pPr>
        <w:pStyle w:val="FootnoteText"/>
      </w:pPr>
      <w:r>
        <w:rPr>
          <w:rStyle w:val="FootnoteReference"/>
        </w:rPr>
        <w:footnoteRef/>
      </w:r>
      <w:r>
        <w:t xml:space="preserve"> </w:t>
      </w:r>
      <w:r>
        <w:t xml:space="preserve">Davids 2016, PMID 27499402.</w:t>
      </w:r>
    </w:p>
  </w:footnote>
  <w:footnote w:id="1950">
    <w:p>
      <w:pPr>
        <w:pStyle w:val="FootnoteText"/>
      </w:pPr>
      <w:r>
        <w:rPr>
          <w:rStyle w:val="FootnoteReference"/>
        </w:rPr>
        <w:footnoteRef/>
      </w:r>
      <w:r>
        <w:t xml:space="preserve"> </w:t>
      </w:r>
      <w:r>
        <w:t xml:space="preserve">Leal 2014, PMID 24619793.</w:t>
      </w:r>
    </w:p>
  </w:footnote>
  <w:footnote w:id="1953">
    <w:p>
      <w:pPr>
        <w:pStyle w:val="FootnoteText"/>
      </w:pPr>
      <w:r>
        <w:rPr>
          <w:rStyle w:val="FootnoteReference"/>
        </w:rPr>
        <w:footnoteRef/>
      </w:r>
      <w:r>
        <w:t xml:space="preserve"> </w:t>
      </w:r>
      <w:r>
        <w:t xml:space="preserve">NCT07448415.</w:t>
      </w:r>
    </w:p>
  </w:footnote>
  <w:footnote w:id="1958">
    <w:p>
      <w:pPr>
        <w:pStyle w:val="FootnoteText"/>
      </w:pPr>
      <w:r>
        <w:rPr>
          <w:rStyle w:val="FootnoteReference"/>
        </w:rPr>
        <w:footnoteRef/>
      </w:r>
      <w:r>
        <w:t xml:space="preserve"> </w:t>
      </w:r>
      <w:r>
        <w:t xml:space="preserve">Hadley 2006, PMID 16412534.</w:t>
      </w:r>
    </w:p>
  </w:footnote>
  <w:footnote w:id="1959">
    <w:p>
      <w:pPr>
        <w:pStyle w:val="FootnoteText"/>
      </w:pPr>
      <w:r>
        <w:rPr>
          <w:rStyle w:val="FootnoteReference"/>
        </w:rPr>
        <w:footnoteRef/>
      </w:r>
      <w:r>
        <w:t xml:space="preserve"> </w:t>
      </w:r>
      <w:r>
        <w:t xml:space="preserve">Hadley 2005, PMID 15996790.</w:t>
      </w:r>
    </w:p>
  </w:footnote>
  <w:footnote w:id="1964">
    <w:p>
      <w:pPr>
        <w:pStyle w:val="FootnoteText"/>
      </w:pPr>
      <w:r>
        <w:rPr>
          <w:rStyle w:val="FootnoteReference"/>
        </w:rPr>
        <w:footnoteRef/>
      </w:r>
      <w:r>
        <w:t xml:space="preserve"> </w:t>
      </w:r>
      <w:r>
        <w:t xml:space="preserve">Hadley 2006, PMID 16412534.</w:t>
      </w:r>
    </w:p>
  </w:footnote>
  <w:footnote w:id="1965">
    <w:p>
      <w:pPr>
        <w:pStyle w:val="FootnoteText"/>
      </w:pPr>
      <w:r>
        <w:rPr>
          <w:rStyle w:val="FootnoteReference"/>
        </w:rPr>
        <w:footnoteRef/>
      </w:r>
      <w:r>
        <w:t xml:space="preserve"> </w:t>
      </w:r>
      <w:r>
        <w:t xml:space="preserve">Dhillon 2019, PMID 31429064.</w:t>
      </w:r>
    </w:p>
  </w:footnote>
  <w:footnote w:id="1967">
    <w:p>
      <w:pPr>
        <w:pStyle w:val="FootnoteText"/>
      </w:pPr>
      <w:r>
        <w:rPr>
          <w:rStyle w:val="FootnoteReference"/>
        </w:rPr>
        <w:footnoteRef/>
      </w:r>
      <w:r>
        <w:t xml:space="preserve"> </w:t>
      </w:r>
      <w:r>
        <w:t xml:space="preserve">Hadley 2005, PMID 15996790.</w:t>
      </w:r>
    </w:p>
  </w:footnote>
  <w:footnote w:id="1968">
    <w:p>
      <w:pPr>
        <w:pStyle w:val="FootnoteText"/>
      </w:pPr>
      <w:r>
        <w:rPr>
          <w:rStyle w:val="FootnoteReference"/>
        </w:rPr>
        <w:footnoteRef/>
      </w:r>
      <w:r>
        <w:t xml:space="preserve"> </w:t>
      </w:r>
      <w:r>
        <w:t xml:space="preserve">Pfaus 2022, PMID 33455598.</w:t>
      </w:r>
    </w:p>
  </w:footnote>
  <w:footnote w:id="1969">
    <w:p>
      <w:pPr>
        <w:pStyle w:val="FootnoteText"/>
      </w:pPr>
      <w:r>
        <w:rPr>
          <w:rStyle w:val="FootnoteReference"/>
        </w:rPr>
        <w:footnoteRef/>
      </w:r>
      <w:r>
        <w:t xml:space="preserve"> </w:t>
      </w:r>
      <w:r>
        <w:t xml:space="preserve">Pfaus 2022, PMID 33455598.</w:t>
      </w:r>
    </w:p>
  </w:footnote>
  <w:footnote w:id="1970">
    <w:p>
      <w:pPr>
        <w:pStyle w:val="FootnoteText"/>
      </w:pPr>
      <w:r>
        <w:rPr>
          <w:rStyle w:val="FootnoteReference"/>
        </w:rPr>
        <w:footnoteRef/>
      </w:r>
      <w:r>
        <w:t xml:space="preserve"> </w:t>
      </w:r>
      <w:r>
        <w:t xml:space="preserve">Thurston 2022, PMID 36189794.</w:t>
      </w:r>
    </w:p>
  </w:footnote>
  <w:footnote w:id="1972">
    <w:p>
      <w:pPr>
        <w:pStyle w:val="FootnoteText"/>
      </w:pPr>
      <w:r>
        <w:rPr>
          <w:rStyle w:val="FootnoteReference"/>
        </w:rPr>
        <w:footnoteRef/>
      </w:r>
      <w:r>
        <w:t xml:space="preserve"> </w:t>
      </w:r>
      <w:r>
        <w:t xml:space="preserve">Diamond 2004, PMID 14963471.</w:t>
      </w:r>
    </w:p>
  </w:footnote>
  <w:footnote w:id="1973">
    <w:p>
      <w:pPr>
        <w:pStyle w:val="FootnoteText"/>
      </w:pPr>
      <w:r>
        <w:rPr>
          <w:rStyle w:val="FootnoteReference"/>
        </w:rPr>
        <w:footnoteRef/>
      </w:r>
      <w:r>
        <w:t xml:space="preserve"> </w:t>
      </w:r>
      <w:r>
        <w:t xml:space="preserve">Rosen 2004, PMID 14999221.</w:t>
      </w:r>
    </w:p>
  </w:footnote>
  <w:footnote w:id="1974">
    <w:p>
      <w:pPr>
        <w:pStyle w:val="FootnoteText"/>
      </w:pPr>
      <w:r>
        <w:rPr>
          <w:rStyle w:val="FootnoteReference"/>
        </w:rPr>
        <w:footnoteRef/>
      </w:r>
      <w:r>
        <w:t xml:space="preserve"> </w:t>
      </w:r>
      <w:r>
        <w:t xml:space="preserve">Diamond 2005, PMID 15833522.</w:t>
      </w:r>
    </w:p>
  </w:footnote>
  <w:footnote w:id="1975">
    <w:p>
      <w:pPr>
        <w:pStyle w:val="FootnoteText"/>
      </w:pPr>
      <w:r>
        <w:rPr>
          <w:rStyle w:val="FootnoteReference"/>
        </w:rPr>
        <w:footnoteRef/>
      </w:r>
      <w:r>
        <w:t xml:space="preserve"> </w:t>
      </w:r>
      <w:r>
        <w:t xml:space="preserve">Safarinejad 2008, PMID 18206919.</w:t>
      </w:r>
    </w:p>
  </w:footnote>
  <w:footnote w:id="1976">
    <w:p>
      <w:pPr>
        <w:pStyle w:val="FootnoteText"/>
      </w:pPr>
      <w:r>
        <w:rPr>
          <w:rStyle w:val="FootnoteReference"/>
        </w:rPr>
        <w:footnoteRef/>
      </w:r>
      <w:r>
        <w:t xml:space="preserve"> </w:t>
      </w:r>
      <w:r>
        <w:t xml:space="preserve">Safarinejad 2008, PMID 18179455.</w:t>
      </w:r>
    </w:p>
  </w:footnote>
  <w:footnote w:id="1978">
    <w:p>
      <w:pPr>
        <w:pStyle w:val="FootnoteText"/>
      </w:pPr>
      <w:r>
        <w:rPr>
          <w:rStyle w:val="FootnoteReference"/>
        </w:rPr>
        <w:footnoteRef/>
      </w:r>
      <w:r>
        <w:t xml:space="preserve"> </w:t>
      </w:r>
      <w:r>
        <w:t xml:space="preserve">Diamond 2006, PMID 16839319.</w:t>
      </w:r>
    </w:p>
  </w:footnote>
  <w:footnote w:id="1979">
    <w:p>
      <w:pPr>
        <w:pStyle w:val="FootnoteText"/>
      </w:pPr>
      <w:r>
        <w:rPr>
          <w:rStyle w:val="FootnoteReference"/>
        </w:rPr>
        <w:footnoteRef/>
      </w:r>
      <w:r>
        <w:t xml:space="preserve"> </w:t>
      </w:r>
      <w:r>
        <w:t xml:space="preserve">Clayton 2016, PMID 27181790 ; NCT01382719.</w:t>
      </w:r>
    </w:p>
  </w:footnote>
  <w:footnote w:id="1980">
    <w:p>
      <w:pPr>
        <w:pStyle w:val="FootnoteText"/>
      </w:pPr>
      <w:r>
        <w:rPr>
          <w:rStyle w:val="FootnoteReference"/>
        </w:rPr>
        <w:footnoteRef/>
      </w:r>
      <w:r>
        <w:t xml:space="preserve"> </w:t>
      </w:r>
      <w:r>
        <w:t xml:space="preserve">Althof 2019, PMID 31277966.</w:t>
      </w:r>
    </w:p>
  </w:footnote>
  <w:footnote w:id="1982">
    <w:p>
      <w:pPr>
        <w:pStyle w:val="FootnoteText"/>
      </w:pPr>
      <w:r>
        <w:rPr>
          <w:rStyle w:val="FootnoteReference"/>
        </w:rPr>
        <w:footnoteRef/>
      </w:r>
      <w:r>
        <w:t xml:space="preserve"> </w:t>
      </w:r>
      <w:r>
        <w:t xml:space="preserve">NCT02333071, NCT02338960.</w:t>
      </w:r>
    </w:p>
  </w:footnote>
  <w:footnote w:id="1983">
    <w:p>
      <w:pPr>
        <w:pStyle w:val="FootnoteText"/>
      </w:pPr>
      <w:r>
        <w:rPr>
          <w:rStyle w:val="FootnoteReference"/>
        </w:rPr>
        <w:footnoteRef/>
      </w:r>
      <w:r>
        <w:t xml:space="preserve"> </w:t>
      </w:r>
      <w:r>
        <w:t xml:space="preserve">Kingsberg 2019, PMID 31599840.</w:t>
      </w:r>
    </w:p>
  </w:footnote>
  <w:footnote w:id="1984">
    <w:p>
      <w:pPr>
        <w:pStyle w:val="FootnoteText"/>
      </w:pPr>
      <w:r>
        <w:rPr>
          <w:rStyle w:val="FootnoteReference"/>
        </w:rPr>
        <w:footnoteRef/>
      </w:r>
      <w:r>
        <w:t xml:space="preserve"> </w:t>
      </w:r>
      <w:r>
        <w:t xml:space="preserve">Koochaki 2021, PMID 33538638.</w:t>
      </w:r>
    </w:p>
  </w:footnote>
  <w:footnote w:id="1986">
    <w:p>
      <w:pPr>
        <w:pStyle w:val="FootnoteText"/>
      </w:pPr>
      <w:r>
        <w:rPr>
          <w:rStyle w:val="FootnoteReference"/>
        </w:rPr>
        <w:footnoteRef/>
      </w:r>
      <w:r>
        <w:t xml:space="preserve"> </w:t>
      </w:r>
      <w:r>
        <w:t xml:space="preserve">Spielmans 2021, PMID 33678061.</w:t>
      </w:r>
    </w:p>
  </w:footnote>
  <w:footnote w:id="1987">
    <w:p>
      <w:pPr>
        <w:pStyle w:val="FootnoteText"/>
      </w:pPr>
      <w:r>
        <w:rPr>
          <w:rStyle w:val="FootnoteReference"/>
        </w:rPr>
        <w:footnoteRef/>
      </w:r>
      <w:r>
        <w:t xml:space="preserve"> </w:t>
      </w:r>
      <w:r>
        <w:t xml:space="preserve">Clayton 2022, PMID 35147466.</w:t>
      </w:r>
    </w:p>
  </w:footnote>
  <w:footnote w:id="1989">
    <w:p>
      <w:pPr>
        <w:pStyle w:val="FootnoteText"/>
      </w:pPr>
      <w:r>
        <w:rPr>
          <w:rStyle w:val="FootnoteReference"/>
        </w:rPr>
        <w:footnoteRef/>
      </w:r>
      <w:r>
        <w:t xml:space="preserve"> </w:t>
      </w:r>
      <w:r>
        <w:t xml:space="preserve">Weinberger 2018, PMID 29995725.</w:t>
      </w:r>
    </w:p>
  </w:footnote>
  <w:footnote w:id="1990">
    <w:p>
      <w:pPr>
        <w:pStyle w:val="FootnoteText"/>
      </w:pPr>
      <w:r>
        <w:rPr>
          <w:rStyle w:val="FootnoteReference"/>
        </w:rPr>
        <w:footnoteRef/>
      </w:r>
      <w:r>
        <w:t xml:space="preserve"> </w:t>
      </w:r>
      <w:r>
        <w:t xml:space="preserve">Toledo 2026, PMID 40543759.</w:t>
      </w:r>
    </w:p>
  </w:footnote>
  <w:footnote w:id="1991">
    <w:p>
      <w:pPr>
        <w:pStyle w:val="FootnoteText"/>
      </w:pPr>
      <w:r>
        <w:rPr>
          <w:rStyle w:val="FootnoteReference"/>
        </w:rPr>
        <w:footnoteRef/>
      </w:r>
      <w:r>
        <w:t xml:space="preserve"> </w:t>
      </w:r>
      <w:r>
        <w:t xml:space="preserve">Ashour 2026, PMID 42254382.</w:t>
      </w:r>
    </w:p>
  </w:footnote>
  <w:footnote w:id="1993">
    <w:p>
      <w:pPr>
        <w:pStyle w:val="FootnoteText"/>
      </w:pPr>
      <w:r>
        <w:rPr>
          <w:rStyle w:val="FootnoteReference"/>
        </w:rPr>
        <w:footnoteRef/>
      </w:r>
      <w:r>
        <w:t xml:space="preserve"> </w:t>
      </w:r>
      <w:r>
        <w:t xml:space="preserve">Clayton 2017, PMID 28189361.</w:t>
      </w:r>
    </w:p>
  </w:footnote>
  <w:footnote w:id="1994">
    <w:p>
      <w:pPr>
        <w:pStyle w:val="FootnoteText"/>
      </w:pPr>
      <w:r>
        <w:rPr>
          <w:rStyle w:val="FootnoteReference"/>
        </w:rPr>
        <w:footnoteRef/>
      </w:r>
      <w:r>
        <w:t xml:space="preserve"> </w:t>
      </w:r>
      <w:r>
        <w:t xml:space="preserve">Spana 2022, PMID 35170192.</w:t>
      </w:r>
    </w:p>
  </w:footnote>
  <w:footnote w:id="1995">
    <w:p>
      <w:pPr>
        <w:pStyle w:val="FootnoteText"/>
      </w:pPr>
      <w:r>
        <w:rPr>
          <w:rStyle w:val="FootnoteReference"/>
        </w:rPr>
        <w:footnoteRef/>
      </w:r>
      <w:r>
        <w:t xml:space="preserve"> </w:t>
      </w:r>
      <w:r>
        <w:t xml:space="preserve">Thurston 2022, PMID 36189794 ; NCT04179734.</w:t>
      </w:r>
    </w:p>
  </w:footnote>
  <w:footnote w:id="1998">
    <w:p>
      <w:pPr>
        <w:pStyle w:val="FootnoteText"/>
      </w:pPr>
      <w:r>
        <w:rPr>
          <w:rStyle w:val="FootnoteReference"/>
        </w:rPr>
        <w:footnoteRef/>
      </w:r>
      <w:r>
        <w:t xml:space="preserve"> </w:t>
      </w:r>
      <w:r>
        <w:t xml:space="preserve">Pfaus 2022, PMID 33455598.</w:t>
      </w:r>
    </w:p>
  </w:footnote>
  <w:footnote w:id="1999">
    <w:p>
      <w:pPr>
        <w:pStyle w:val="FootnoteText"/>
      </w:pPr>
      <w:r>
        <w:rPr>
          <w:rStyle w:val="FootnoteReference"/>
        </w:rPr>
        <w:footnoteRef/>
      </w:r>
      <w:r>
        <w:t xml:space="preserve"> </w:t>
      </w:r>
      <w:r>
        <w:t xml:space="preserve">Borland 2025, PMID 39793696.</w:t>
      </w:r>
    </w:p>
  </w:footnote>
  <w:footnote w:id="2000">
    <w:p>
      <w:pPr>
        <w:pStyle w:val="FootnoteText"/>
      </w:pPr>
      <w:r>
        <w:rPr>
          <w:rStyle w:val="FootnoteReference"/>
        </w:rPr>
        <w:footnoteRef/>
      </w:r>
      <w:r>
        <w:t xml:space="preserve"> </w:t>
      </w:r>
      <w:r>
        <w:t xml:space="preserve">Suzuki 2024, PMID 39197897.</w:t>
      </w:r>
    </w:p>
  </w:footnote>
  <w:footnote w:id="2002">
    <w:p>
      <w:pPr>
        <w:pStyle w:val="FootnoteText"/>
      </w:pPr>
      <w:r>
        <w:rPr>
          <w:rStyle w:val="FootnoteReference"/>
        </w:rPr>
        <w:footnoteRef/>
      </w:r>
      <w:r>
        <w:t xml:space="preserve"> </w:t>
      </w:r>
      <w:r>
        <w:t xml:space="preserve">Clayton 2022, PMID 35147466.</w:t>
      </w:r>
    </w:p>
  </w:footnote>
  <w:footnote w:id="2003">
    <w:p>
      <w:pPr>
        <w:pStyle w:val="FootnoteText"/>
      </w:pPr>
      <w:r>
        <w:rPr>
          <w:rStyle w:val="FootnoteReference"/>
        </w:rPr>
        <w:footnoteRef/>
      </w:r>
      <w:r>
        <w:t xml:space="preserve"> </w:t>
      </w:r>
      <w:r>
        <w:t xml:space="preserve">NCT03973047.</w:t>
      </w:r>
    </w:p>
  </w:footnote>
  <w:footnote w:id="2004">
    <w:p>
      <w:pPr>
        <w:pStyle w:val="FootnoteText"/>
      </w:pPr>
      <w:r>
        <w:rPr>
          <w:rStyle w:val="FootnoteReference"/>
        </w:rPr>
        <w:footnoteRef/>
      </w:r>
      <w:r>
        <w:t xml:space="preserve"> </w:t>
      </w:r>
      <w:r>
        <w:t xml:space="preserve">White 2017, PMID 27977473.</w:t>
      </w:r>
    </w:p>
  </w:footnote>
  <w:footnote w:id="2005">
    <w:p>
      <w:pPr>
        <w:pStyle w:val="FootnoteText"/>
      </w:pPr>
      <w:r>
        <w:rPr>
          <w:rStyle w:val="FootnoteReference"/>
        </w:rPr>
        <w:footnoteRef/>
      </w:r>
      <w:r>
        <w:t xml:space="preserve"> </w:t>
      </w:r>
      <w:r>
        <w:t xml:space="preserve">Clayton 2022, PMID 35147466.</w:t>
      </w:r>
    </w:p>
  </w:footnote>
  <w:footnote w:id="2006">
    <w:p>
      <w:pPr>
        <w:pStyle w:val="FootnoteText"/>
      </w:pPr>
      <w:r>
        <w:rPr>
          <w:rStyle w:val="FootnoteReference"/>
        </w:rPr>
        <w:footnoteRef/>
      </w:r>
      <w:r>
        <w:t xml:space="preserve"> </w:t>
      </w:r>
      <w:r>
        <w:t xml:space="preserve">Clayton 2022, PMID 35147466.</w:t>
      </w:r>
    </w:p>
  </w:footnote>
  <w:footnote w:id="2008">
    <w:p>
      <w:pPr>
        <w:pStyle w:val="FootnoteText"/>
      </w:pPr>
      <w:r>
        <w:rPr>
          <w:rStyle w:val="FootnoteReference"/>
        </w:rPr>
        <w:footnoteRef/>
      </w:r>
      <w:r>
        <w:t xml:space="preserve"> </w:t>
      </w:r>
      <w:r>
        <w:t xml:space="preserve">NCT06867835.</w:t>
      </w:r>
    </w:p>
  </w:footnote>
  <w:footnote w:id="2010">
    <w:p>
      <w:pPr>
        <w:pStyle w:val="FootnoteText"/>
      </w:pPr>
      <w:r>
        <w:rPr>
          <w:rStyle w:val="FootnoteReference"/>
        </w:rPr>
        <w:footnoteRef/>
      </w:r>
      <w:r>
        <w:t xml:space="preserve"> </w:t>
      </w:r>
      <w:r>
        <w:t xml:space="preserve">Mestria 2021, PMID 33245851.</w:t>
      </w:r>
    </w:p>
  </w:footnote>
  <w:footnote w:id="2013">
    <w:p>
      <w:pPr>
        <w:pStyle w:val="FootnoteText"/>
      </w:pPr>
      <w:r>
        <w:rPr>
          <w:rStyle w:val="FootnoteReference"/>
        </w:rPr>
        <w:footnoteRef/>
      </w:r>
      <w:r>
        <w:t xml:space="preserve"> </w:t>
      </w:r>
      <w:r>
        <w:t xml:space="preserve">NCT04943068.</w:t>
      </w:r>
    </w:p>
  </w:footnote>
  <w:footnote w:id="2015">
    <w:p>
      <w:pPr>
        <w:pStyle w:val="FootnoteText"/>
      </w:pPr>
      <w:r>
        <w:rPr>
          <w:rStyle w:val="FootnoteReference"/>
        </w:rPr>
        <w:footnoteRef/>
      </w:r>
      <w:r>
        <w:t xml:space="preserve"> </w:t>
      </w:r>
      <w:r>
        <w:t xml:space="preserve">NCT06565611.</w:t>
      </w:r>
    </w:p>
  </w:footnote>
  <w:footnote w:id="2016">
    <w:p>
      <w:pPr>
        <w:pStyle w:val="FootnoteText"/>
      </w:pPr>
      <w:r>
        <w:rPr>
          <w:rStyle w:val="FootnoteReference"/>
        </w:rPr>
        <w:footnoteRef/>
      </w:r>
      <w:r>
        <w:t xml:space="preserve"> </w:t>
      </w:r>
      <w:r>
        <w:t xml:space="preserve">NCT05709444.</w:t>
      </w:r>
    </w:p>
  </w:footnote>
  <w:footnote w:id="2017">
    <w:p>
      <w:pPr>
        <w:pStyle w:val="FootnoteText"/>
      </w:pPr>
      <w:r>
        <w:rPr>
          <w:rStyle w:val="FootnoteReference"/>
        </w:rPr>
        <w:footnoteRef/>
      </w:r>
      <w:r>
        <w:t xml:space="preserve"> </w:t>
      </w:r>
      <w:r>
        <w:t xml:space="preserve">NCT06867835.</w:t>
      </w:r>
    </w:p>
  </w:footnote>
  <w:footnote w:id="2021">
    <w:p>
      <w:pPr>
        <w:pStyle w:val="FootnoteText"/>
      </w:pPr>
      <w:r>
        <w:rPr>
          <w:rStyle w:val="FootnoteReference"/>
        </w:rPr>
        <w:footnoteRef/>
      </w:r>
      <w:r>
        <w:t xml:space="preserve"> </w:t>
      </w:r>
      <w:r>
        <w:t xml:space="preserve">Dorr 1996, PMID 8637402.</w:t>
      </w:r>
    </w:p>
  </w:footnote>
  <w:footnote w:id="2022">
    <w:p>
      <w:pPr>
        <w:pStyle w:val="FootnoteText"/>
      </w:pPr>
      <w:r>
        <w:rPr>
          <w:rStyle w:val="FootnoteReference"/>
        </w:rPr>
        <w:footnoteRef/>
      </w:r>
      <w:r>
        <w:t xml:space="preserve"> </w:t>
      </w:r>
      <w:r>
        <w:t xml:space="preserve">Hadley 2006, PMID 16412534.</w:t>
      </w:r>
    </w:p>
  </w:footnote>
  <w:footnote w:id="2024">
    <w:p>
      <w:pPr>
        <w:pStyle w:val="FootnoteText"/>
      </w:pPr>
      <w:r>
        <w:rPr>
          <w:rStyle w:val="FootnoteReference"/>
        </w:rPr>
        <w:footnoteRef/>
      </w:r>
      <w:r>
        <w:t xml:space="preserve"> </w:t>
      </w:r>
      <w:r>
        <w:t xml:space="preserve">Langan 2011, PMID 21547334.</w:t>
      </w:r>
    </w:p>
  </w:footnote>
  <w:footnote w:id="2026">
    <w:p>
      <w:pPr>
        <w:pStyle w:val="FootnoteText"/>
      </w:pPr>
      <w:r>
        <w:rPr>
          <w:rStyle w:val="FootnoteReference"/>
        </w:rPr>
        <w:footnoteRef/>
      </w:r>
      <w:r>
        <w:t xml:space="preserve"> </w:t>
      </w:r>
      <w:r>
        <w:t xml:space="preserve">Dorr 1996, PMID 8637402.</w:t>
      </w:r>
    </w:p>
  </w:footnote>
  <w:footnote w:id="2027">
    <w:p>
      <w:pPr>
        <w:pStyle w:val="FootnoteText"/>
      </w:pPr>
      <w:r>
        <w:rPr>
          <w:rStyle w:val="FootnoteReference"/>
        </w:rPr>
        <w:footnoteRef/>
      </w:r>
      <w:r>
        <w:t xml:space="preserve"> </w:t>
      </w:r>
      <w:r>
        <w:t xml:space="preserve">Wessells 1998, PMID 9679884 ; Wessells 2000, PMID 11018622.</w:t>
      </w:r>
    </w:p>
  </w:footnote>
  <w:footnote w:id="2028">
    <w:p>
      <w:pPr>
        <w:pStyle w:val="FootnoteText"/>
      </w:pPr>
      <w:r>
        <w:rPr>
          <w:rStyle w:val="FootnoteReference"/>
        </w:rPr>
        <w:footnoteRef/>
      </w:r>
      <w:r>
        <w:t xml:space="preserve"> </w:t>
      </w:r>
      <w:r>
        <w:t xml:space="preserve">Wessells 2000, PMID 11035391.</w:t>
      </w:r>
    </w:p>
  </w:footnote>
  <w:footnote w:id="2030">
    <w:p>
      <w:pPr>
        <w:pStyle w:val="FootnoteText"/>
      </w:pPr>
      <w:r>
        <w:rPr>
          <w:rStyle w:val="FootnoteReference"/>
        </w:rPr>
        <w:footnoteRef/>
      </w:r>
      <w:r>
        <w:t xml:space="preserve"> </w:t>
      </w:r>
      <w:r>
        <w:t xml:space="preserve">Dorr 2000, PMID 11045725.</w:t>
      </w:r>
    </w:p>
  </w:footnote>
  <w:footnote w:id="2031">
    <w:p>
      <w:pPr>
        <w:pStyle w:val="FootnoteText"/>
      </w:pPr>
      <w:r>
        <w:rPr>
          <w:rStyle w:val="FootnoteReference"/>
        </w:rPr>
        <w:footnoteRef/>
      </w:r>
      <w:r>
        <w:t xml:space="preserve"> </w:t>
      </w:r>
      <w:r>
        <w:t xml:space="preserve">Dorr 2004, PMID 15262693.</w:t>
      </w:r>
    </w:p>
  </w:footnote>
  <w:footnote w:id="2033">
    <w:p>
      <w:pPr>
        <w:pStyle w:val="FootnoteText"/>
      </w:pPr>
      <w:r>
        <w:rPr>
          <w:rStyle w:val="FootnoteReference"/>
        </w:rPr>
        <w:footnoteRef/>
      </w:r>
      <w:r>
        <w:t xml:space="preserve"> </w:t>
      </w:r>
      <w:r>
        <w:t xml:space="preserve">Evans-Brown 2009, PMID 19224885.</w:t>
      </w:r>
    </w:p>
  </w:footnote>
  <w:footnote w:id="2034">
    <w:p>
      <w:pPr>
        <w:pStyle w:val="FootnoteText"/>
      </w:pPr>
      <w:r>
        <w:rPr>
          <w:rStyle w:val="FootnoteReference"/>
        </w:rPr>
        <w:footnoteRef/>
      </w:r>
      <w:r>
        <w:t xml:space="preserve"> </w:t>
      </w:r>
      <w:r>
        <w:t xml:space="preserve">Brennan 2017, PMID 26806443.</w:t>
      </w:r>
    </w:p>
  </w:footnote>
  <w:footnote w:id="2035">
    <w:p>
      <w:pPr>
        <w:pStyle w:val="FootnoteText"/>
      </w:pPr>
      <w:r>
        <w:rPr>
          <w:rStyle w:val="FootnoteReference"/>
        </w:rPr>
        <w:footnoteRef/>
      </w:r>
      <w:r>
        <w:t xml:space="preserve"> </w:t>
      </w:r>
      <w:r>
        <w:t xml:space="preserve">Gilhooley 2021, PMID 34464955.</w:t>
      </w:r>
    </w:p>
  </w:footnote>
  <w:footnote w:id="2036">
    <w:p>
      <w:pPr>
        <w:pStyle w:val="FootnoteText"/>
      </w:pPr>
      <w:r>
        <w:rPr>
          <w:rStyle w:val="FootnoteReference"/>
        </w:rPr>
        <w:footnoteRef/>
      </w:r>
      <w:r>
        <w:t xml:space="preserve"> </w:t>
      </w:r>
      <w:r>
        <w:t xml:space="preserve">Callaghan 2018, PMID 30142729.</w:t>
      </w:r>
    </w:p>
  </w:footnote>
  <w:footnote w:id="2037">
    <w:p>
      <w:pPr>
        <w:pStyle w:val="FootnoteText"/>
      </w:pPr>
      <w:r>
        <w:rPr>
          <w:rStyle w:val="FootnoteReference"/>
        </w:rPr>
        <w:footnoteRef/>
      </w:r>
      <w:r>
        <w:t xml:space="preserve"> </w:t>
      </w:r>
      <w:r>
        <w:t xml:space="preserve">Orr 2025, PMID 38808957 ; Herlihy 2025, PMID 39148422 ; Sidhu 2026, PMID 41559011.</w:t>
      </w:r>
    </w:p>
  </w:footnote>
  <w:footnote w:id="2040">
    <w:p>
      <w:pPr>
        <w:pStyle w:val="FootnoteText"/>
      </w:pPr>
      <w:r>
        <w:rPr>
          <w:rStyle w:val="FootnoteReference"/>
        </w:rPr>
        <w:footnoteRef/>
      </w:r>
      <w:r>
        <w:t xml:space="preserve"> </w:t>
      </w:r>
      <w:r>
        <w:t xml:space="preserve">Strader 2007, PMID 17567964.</w:t>
      </w:r>
    </w:p>
  </w:footnote>
  <w:footnote w:id="2041">
    <w:p>
      <w:pPr>
        <w:pStyle w:val="FootnoteText"/>
      </w:pPr>
      <w:r>
        <w:rPr>
          <w:rStyle w:val="FootnoteReference"/>
        </w:rPr>
        <w:footnoteRef/>
      </w:r>
      <w:r>
        <w:t xml:space="preserve"> </w:t>
      </w:r>
      <w:r>
        <w:t xml:space="preserve">Jain 2018, PMID 29812984.</w:t>
      </w:r>
    </w:p>
  </w:footnote>
  <w:footnote w:id="2042">
    <w:p>
      <w:pPr>
        <w:pStyle w:val="FootnoteText"/>
      </w:pPr>
      <w:r>
        <w:rPr>
          <w:rStyle w:val="FootnoteReference"/>
        </w:rPr>
        <w:footnoteRef/>
      </w:r>
      <w:r>
        <w:t xml:space="preserve"> </w:t>
      </w:r>
      <w:r>
        <w:t xml:space="preserve">Minakova 2019, PMID 30629642.</w:t>
      </w:r>
    </w:p>
  </w:footnote>
  <w:footnote w:id="2044">
    <w:p>
      <w:pPr>
        <w:pStyle w:val="FootnoteText"/>
      </w:pPr>
      <w:r>
        <w:rPr>
          <w:rStyle w:val="FootnoteReference"/>
        </w:rPr>
        <w:footnoteRef/>
      </w:r>
      <w:r>
        <w:t xml:space="preserve"> </w:t>
      </w:r>
      <w:r>
        <w:t xml:space="preserve">Dorr 1996, PMID 8637402 ; Wessells 2000, PMID 11035391.</w:t>
      </w:r>
    </w:p>
  </w:footnote>
  <w:footnote w:id="2045">
    <w:p>
      <w:pPr>
        <w:pStyle w:val="FootnoteText"/>
      </w:pPr>
      <w:r>
        <w:rPr>
          <w:rStyle w:val="FootnoteReference"/>
        </w:rPr>
        <w:footnoteRef/>
      </w:r>
      <w:r>
        <w:t xml:space="preserve"> </w:t>
      </w:r>
      <w:r>
        <w:t xml:space="preserve">Paurobally 2013, PMID 22182016.</w:t>
      </w:r>
    </w:p>
  </w:footnote>
  <w:footnote w:id="2046">
    <w:p>
      <w:pPr>
        <w:pStyle w:val="FootnoteText"/>
      </w:pPr>
      <w:r>
        <w:rPr>
          <w:rStyle w:val="FootnoteReference"/>
        </w:rPr>
        <w:footnoteRef/>
      </w:r>
      <w:r>
        <w:t xml:space="preserve"> </w:t>
      </w:r>
      <w:r>
        <w:t xml:space="preserve">Bonchev 2026, PMID 41752902.</w:t>
      </w:r>
    </w:p>
  </w:footnote>
  <w:footnote w:id="2047">
    <w:p>
      <w:pPr>
        <w:pStyle w:val="FootnoteText"/>
      </w:pPr>
      <w:r>
        <w:rPr>
          <w:rStyle w:val="FootnoteReference"/>
        </w:rPr>
        <w:footnoteRef/>
      </w:r>
      <w:r>
        <w:t xml:space="preserve"> </w:t>
      </w:r>
      <w:r>
        <w:t xml:space="preserve">Ume 2026, PMID 42212476.</w:t>
      </w:r>
    </w:p>
  </w:footnote>
  <w:footnote w:id="2049">
    <w:p>
      <w:pPr>
        <w:pStyle w:val="FootnoteText"/>
      </w:pPr>
      <w:r>
        <w:rPr>
          <w:rStyle w:val="FootnoteReference"/>
        </w:rPr>
        <w:footnoteRef/>
      </w:r>
      <w:r>
        <w:t xml:space="preserve"> </w:t>
      </w:r>
      <w:r>
        <w:t xml:space="preserve">Cousen 2009, PMID 19575725 ; Thestrup-Pedersen 2011, PMID 21453640.</w:t>
      </w:r>
    </w:p>
  </w:footnote>
  <w:footnote w:id="2050">
    <w:p>
      <w:pPr>
        <w:pStyle w:val="FootnoteText"/>
      </w:pPr>
      <w:r>
        <w:rPr>
          <w:rStyle w:val="FootnoteReference"/>
        </w:rPr>
        <w:footnoteRef/>
      </w:r>
      <w:r>
        <w:t xml:space="preserve"> </w:t>
      </w:r>
      <w:r>
        <w:t xml:space="preserve">Reid 2013, PMID 23914578.</w:t>
      </w:r>
    </w:p>
  </w:footnote>
  <w:footnote w:id="2051">
    <w:p>
      <w:pPr>
        <w:pStyle w:val="FootnoteText"/>
      </w:pPr>
      <w:r>
        <w:rPr>
          <w:rStyle w:val="FootnoteReference"/>
        </w:rPr>
        <w:footnoteRef/>
      </w:r>
      <w:r>
        <w:t xml:space="preserve"> </w:t>
      </w:r>
      <w:r>
        <w:t xml:space="preserve">Paurobally 2011, PMID 21564053 ; Ong 2012, PMID 22724573.</w:t>
      </w:r>
    </w:p>
  </w:footnote>
  <w:footnote w:id="2052">
    <w:p>
      <w:pPr>
        <w:pStyle w:val="FootnoteText"/>
      </w:pPr>
      <w:r>
        <w:rPr>
          <w:rStyle w:val="FootnoteReference"/>
        </w:rPr>
        <w:footnoteRef/>
      </w:r>
      <w:r>
        <w:t xml:space="preserve"> </w:t>
      </w:r>
      <w:r>
        <w:t xml:space="preserve">Hjuler 2014, PMID 24355990.</w:t>
      </w:r>
    </w:p>
  </w:footnote>
  <w:footnote w:id="2053">
    <w:p>
      <w:pPr>
        <w:pStyle w:val="FootnoteText"/>
      </w:pPr>
      <w:r>
        <w:rPr>
          <w:rStyle w:val="FootnoteReference"/>
        </w:rPr>
        <w:footnoteRef/>
      </w:r>
      <w:r>
        <w:t xml:space="preserve"> </w:t>
      </w:r>
      <w:r>
        <w:t xml:space="preserve">Yassin Alsabbagh 2025, PMID 40210573.</w:t>
      </w:r>
    </w:p>
  </w:footnote>
  <w:footnote w:id="2054">
    <w:p>
      <w:pPr>
        <w:pStyle w:val="FootnoteText"/>
      </w:pPr>
      <w:r>
        <w:rPr>
          <w:rStyle w:val="FootnoteReference"/>
        </w:rPr>
        <w:footnoteRef/>
      </w:r>
      <w:r>
        <w:t xml:space="preserve"> </w:t>
      </w:r>
      <w:r>
        <w:t xml:space="preserve">Burian 2019, PMID 31119650.</w:t>
      </w:r>
    </w:p>
  </w:footnote>
  <w:footnote w:id="2055">
    <w:p>
      <w:pPr>
        <w:pStyle w:val="FootnoteText"/>
      </w:pPr>
      <w:r>
        <w:rPr>
          <w:rStyle w:val="FootnoteReference"/>
        </w:rPr>
        <w:footnoteRef/>
      </w:r>
      <w:r>
        <w:t xml:space="preserve"> </w:t>
      </w:r>
      <w:r>
        <w:t xml:space="preserve">Habbema 2017, PMID 28266027.</w:t>
      </w:r>
    </w:p>
  </w:footnote>
  <w:footnote w:id="2057">
    <w:p>
      <w:pPr>
        <w:pStyle w:val="FootnoteText"/>
      </w:pPr>
      <w:r>
        <w:rPr>
          <w:rStyle w:val="FootnoteReference"/>
        </w:rPr>
        <w:footnoteRef/>
      </w:r>
      <w:r>
        <w:t xml:space="preserve"> </w:t>
      </w:r>
      <w:r>
        <w:t xml:space="preserve">Devlin 2013, PMID 23537392 ; Dreyer 2019, PMID 30796078.</w:t>
      </w:r>
    </w:p>
  </w:footnote>
  <w:footnote w:id="2058">
    <w:p>
      <w:pPr>
        <w:pStyle w:val="FootnoteText"/>
      </w:pPr>
      <w:r>
        <w:rPr>
          <w:rStyle w:val="FootnoteReference"/>
        </w:rPr>
        <w:footnoteRef/>
      </w:r>
      <w:r>
        <w:t xml:space="preserve"> </w:t>
      </w:r>
      <w:r>
        <w:t xml:space="preserve">Mallory 2021, PMID 33460908.</w:t>
      </w:r>
    </w:p>
  </w:footnote>
  <w:footnote w:id="2059">
    <w:p>
      <w:pPr>
        <w:pStyle w:val="FootnoteText"/>
      </w:pPr>
      <w:r>
        <w:rPr>
          <w:rStyle w:val="FootnoteReference"/>
        </w:rPr>
        <w:footnoteRef/>
      </w:r>
      <w:r>
        <w:t xml:space="preserve"> </w:t>
      </w:r>
      <w:r>
        <w:t xml:space="preserve">Dreyer 2019, PMID 30796078.</w:t>
      </w:r>
    </w:p>
  </w:footnote>
  <w:footnote w:id="2060">
    <w:p>
      <w:pPr>
        <w:pStyle w:val="FootnoteText"/>
      </w:pPr>
      <w:r>
        <w:rPr>
          <w:rStyle w:val="FootnoteReference"/>
        </w:rPr>
        <w:footnoteRef/>
      </w:r>
      <w:r>
        <w:t xml:space="preserve"> </w:t>
      </w:r>
      <w:r>
        <w:t xml:space="preserve">Nelson 2012, PMID 23121206.</w:t>
      </w:r>
    </w:p>
  </w:footnote>
  <w:footnote w:id="2061">
    <w:p>
      <w:pPr>
        <w:pStyle w:val="FootnoteText"/>
      </w:pPr>
      <w:r>
        <w:rPr>
          <w:rStyle w:val="FootnoteReference"/>
        </w:rPr>
        <w:footnoteRef/>
      </w:r>
      <w:r>
        <w:t xml:space="preserve"> </w:t>
      </w:r>
      <w:r>
        <w:t xml:space="preserve">Peters 2020, PMID 31953620.</w:t>
      </w:r>
    </w:p>
  </w:footnote>
  <w:footnote w:id="2062">
    <w:p>
      <w:pPr>
        <w:pStyle w:val="FootnoteText"/>
      </w:pPr>
      <w:r>
        <w:rPr>
          <w:rStyle w:val="FootnoteReference"/>
        </w:rPr>
        <w:footnoteRef/>
      </w:r>
      <w:r>
        <w:t xml:space="preserve"> </w:t>
      </w:r>
      <w:r>
        <w:t xml:space="preserve">Kaski 2013, PMID 23648958.</w:t>
      </w:r>
    </w:p>
  </w:footnote>
  <w:footnote w:id="2063">
    <w:p>
      <w:pPr>
        <w:pStyle w:val="FootnoteText"/>
      </w:pPr>
      <w:r>
        <w:rPr>
          <w:rStyle w:val="FootnoteReference"/>
        </w:rPr>
        <w:footnoteRef/>
      </w:r>
      <w:r>
        <w:t xml:space="preserve"> </w:t>
      </w:r>
      <w:r>
        <w:t xml:space="preserve">Dickson 2025, PMID 41487785.</w:t>
      </w:r>
    </w:p>
  </w:footnote>
  <w:footnote w:id="2065">
    <w:p>
      <w:pPr>
        <w:pStyle w:val="FootnoteText"/>
      </w:pPr>
      <w:r>
        <w:rPr>
          <w:rStyle w:val="FootnoteReference"/>
        </w:rPr>
        <w:footnoteRef/>
      </w:r>
      <w:r>
        <w:t xml:space="preserve"> </w:t>
      </w:r>
      <w:r>
        <w:t xml:space="preserve">Breindahl 2015, PMID 24771717.</w:t>
      </w:r>
    </w:p>
  </w:footnote>
  <w:footnote w:id="2066">
    <w:p>
      <w:pPr>
        <w:pStyle w:val="FootnoteText"/>
      </w:pPr>
      <w:r>
        <w:rPr>
          <w:rStyle w:val="FootnoteReference"/>
        </w:rPr>
        <w:footnoteRef/>
      </w:r>
      <w:r>
        <w:t xml:space="preserve"> </w:t>
      </w:r>
      <w:r>
        <w:t xml:space="preserve">Deville 2024, PMID 39302005.</w:t>
      </w:r>
    </w:p>
  </w:footnote>
  <w:footnote w:id="2067">
    <w:p>
      <w:pPr>
        <w:pStyle w:val="FootnoteText"/>
      </w:pPr>
      <w:r>
        <w:rPr>
          <w:rStyle w:val="FootnoteReference"/>
        </w:rPr>
        <w:footnoteRef/>
      </w:r>
      <w:r>
        <w:t xml:space="preserve"> </w:t>
      </w:r>
      <w:r>
        <w:t xml:space="preserve">Gilhooley 2021, PMID 34464955.</w:t>
      </w:r>
    </w:p>
  </w:footnote>
  <w:footnote w:id="2070">
    <w:p>
      <w:pPr>
        <w:pStyle w:val="FootnoteText"/>
      </w:pPr>
      <w:r>
        <w:rPr>
          <w:rStyle w:val="FootnoteReference"/>
        </w:rPr>
        <w:footnoteRef/>
      </w:r>
      <w:r>
        <w:t xml:space="preserve"> </w:t>
      </w:r>
      <w:r>
        <w:t xml:space="preserve">Habbema 2017, PMID 28266027.</w:t>
      </w:r>
    </w:p>
  </w:footnote>
  <w:footnote w:id="2071">
    <w:p>
      <w:pPr>
        <w:pStyle w:val="FootnoteText"/>
      </w:pPr>
      <w:r>
        <w:rPr>
          <w:rStyle w:val="FootnoteReference"/>
        </w:rPr>
        <w:footnoteRef/>
      </w:r>
      <w:r>
        <w:t xml:space="preserve"> </w:t>
      </w:r>
      <w:r>
        <w:t xml:space="preserve">Yassin Alsabbagh 2025, PMID 40210573.</w:t>
      </w:r>
    </w:p>
  </w:footnote>
  <w:footnote w:id="2076">
    <w:p>
      <w:pPr>
        <w:pStyle w:val="FootnoteText"/>
      </w:pPr>
      <w:r>
        <w:rPr>
          <w:rStyle w:val="FootnoteReference"/>
        </w:rPr>
        <w:footnoteRef/>
      </w:r>
      <w:r>
        <w:t xml:space="preserve"> </w:t>
      </w:r>
      <w:r>
        <w:t xml:space="preserve">Hadley 2006, PMID 16412534.</w:t>
      </w:r>
    </w:p>
  </w:footnote>
  <w:footnote w:id="2077">
    <w:p>
      <w:pPr>
        <w:pStyle w:val="FootnoteText"/>
      </w:pPr>
      <w:r>
        <w:rPr>
          <w:rStyle w:val="FootnoteReference"/>
        </w:rPr>
        <w:footnoteRef/>
      </w:r>
      <w:r>
        <w:t xml:space="preserve"> </w:t>
      </w:r>
      <w:r>
        <w:t xml:space="preserve">Homey 2025, PMID 40082741.</w:t>
      </w:r>
    </w:p>
  </w:footnote>
  <w:footnote w:id="2079">
    <w:p>
      <w:pPr>
        <w:pStyle w:val="FootnoteText"/>
      </w:pPr>
      <w:r>
        <w:rPr>
          <w:rStyle w:val="FootnoteReference"/>
        </w:rPr>
        <w:footnoteRef/>
      </w:r>
      <w:r>
        <w:t xml:space="preserve"> </w:t>
      </w:r>
      <w:r>
        <w:t xml:space="preserve">Homey 2025, PMID 40082741.</w:t>
      </w:r>
    </w:p>
  </w:footnote>
  <w:footnote w:id="2080">
    <w:p>
      <w:pPr>
        <w:pStyle w:val="FootnoteText"/>
      </w:pPr>
      <w:r>
        <w:rPr>
          <w:rStyle w:val="FootnoteReference"/>
        </w:rPr>
        <w:footnoteRef/>
      </w:r>
      <w:r>
        <w:t xml:space="preserve"> </w:t>
      </w:r>
      <w:r>
        <w:t xml:space="preserve">Minder 2023, PMID 37109595.</w:t>
      </w:r>
    </w:p>
  </w:footnote>
  <w:footnote w:id="2082">
    <w:p>
      <w:pPr>
        <w:pStyle w:val="FootnoteText"/>
      </w:pPr>
      <w:r>
        <w:rPr>
          <w:rStyle w:val="FootnoteReference"/>
        </w:rPr>
        <w:footnoteRef/>
      </w:r>
      <w:r>
        <w:t xml:space="preserve"> </w:t>
      </w:r>
      <w:r>
        <w:t xml:space="preserve">Dorr 2000, PMID 11045725.</w:t>
      </w:r>
    </w:p>
  </w:footnote>
  <w:footnote w:id="2083">
    <w:p>
      <w:pPr>
        <w:pStyle w:val="FootnoteText"/>
      </w:pPr>
      <w:r>
        <w:rPr>
          <w:rStyle w:val="FootnoteReference"/>
        </w:rPr>
        <w:footnoteRef/>
      </w:r>
      <w:r>
        <w:t xml:space="preserve"> </w:t>
      </w:r>
      <w:r>
        <w:t xml:space="preserve">Dorr 2004, PMID 15262693.</w:t>
      </w:r>
    </w:p>
  </w:footnote>
  <w:footnote w:id="2084">
    <w:p>
      <w:pPr>
        <w:pStyle w:val="FootnoteText"/>
      </w:pPr>
      <w:r>
        <w:rPr>
          <w:rStyle w:val="FootnoteReference"/>
        </w:rPr>
        <w:footnoteRef/>
      </w:r>
      <w:r>
        <w:t xml:space="preserve"> </w:t>
      </w:r>
      <w:r>
        <w:t xml:space="preserve">Fitzgerald 2006, PMID 16293341.</w:t>
      </w:r>
    </w:p>
  </w:footnote>
  <w:footnote w:id="2086">
    <w:p>
      <w:pPr>
        <w:pStyle w:val="FootnoteText"/>
      </w:pPr>
      <w:r>
        <w:rPr>
          <w:rStyle w:val="FootnoteReference"/>
        </w:rPr>
        <w:footnoteRef/>
      </w:r>
      <w:r>
        <w:t xml:space="preserve"> </w:t>
      </w:r>
      <w:r>
        <w:t xml:space="preserve">Harms 2009, PMID 19656325.</w:t>
      </w:r>
    </w:p>
  </w:footnote>
  <w:footnote w:id="2087">
    <w:p>
      <w:pPr>
        <w:pStyle w:val="FootnoteText"/>
      </w:pPr>
      <w:r>
        <w:rPr>
          <w:rStyle w:val="FootnoteReference"/>
        </w:rPr>
        <w:footnoteRef/>
      </w:r>
      <w:r>
        <w:t xml:space="preserve"> </w:t>
      </w:r>
      <w:r>
        <w:t xml:space="preserve">Langendonk 2015, PMID 26132941 ; NCT00979745, NCT01605136.</w:t>
      </w:r>
    </w:p>
  </w:footnote>
  <w:footnote w:id="2088">
    <w:p>
      <w:pPr>
        <w:pStyle w:val="FootnoteText"/>
      </w:pPr>
      <w:r>
        <w:rPr>
          <w:rStyle w:val="FootnoteReference"/>
        </w:rPr>
        <w:footnoteRef/>
      </w:r>
      <w:r>
        <w:t xml:space="preserve"> </w:t>
      </w:r>
      <w:r>
        <w:t xml:space="preserve">Heerfordt 2023, PMID 36525819.</w:t>
      </w:r>
    </w:p>
  </w:footnote>
  <w:footnote w:id="2090">
    <w:p>
      <w:pPr>
        <w:pStyle w:val="FootnoteText"/>
      </w:pPr>
      <w:r>
        <w:rPr>
          <w:rStyle w:val="FootnoteReference"/>
        </w:rPr>
        <w:footnoteRef/>
      </w:r>
      <w:r>
        <w:t xml:space="preserve"> </w:t>
      </w:r>
      <w:r>
        <w:t xml:space="preserve">Biolcati 2015, PMID 25494545.</w:t>
      </w:r>
    </w:p>
  </w:footnote>
  <w:footnote w:id="2091">
    <w:p>
      <w:pPr>
        <w:pStyle w:val="FootnoteText"/>
      </w:pPr>
      <w:r>
        <w:rPr>
          <w:rStyle w:val="FootnoteReference"/>
        </w:rPr>
        <w:footnoteRef/>
      </w:r>
      <w:r>
        <w:t xml:space="preserve"> </w:t>
      </w:r>
      <w:r>
        <w:t xml:space="preserve">Wensink 2020, PMID 32186677.</w:t>
      </w:r>
    </w:p>
  </w:footnote>
  <w:footnote w:id="2092">
    <w:p>
      <w:pPr>
        <w:pStyle w:val="FootnoteText"/>
      </w:pPr>
      <w:r>
        <w:rPr>
          <w:rStyle w:val="FootnoteReference"/>
        </w:rPr>
        <w:footnoteRef/>
      </w:r>
      <w:r>
        <w:t xml:space="preserve"> </w:t>
      </w:r>
      <w:r>
        <w:t xml:space="preserve">Seidl-Philipp 2026, PMID 41793078.</w:t>
      </w:r>
    </w:p>
  </w:footnote>
  <w:footnote w:id="2094">
    <w:p>
      <w:pPr>
        <w:pStyle w:val="FootnoteText"/>
      </w:pPr>
      <w:r>
        <w:rPr>
          <w:rStyle w:val="FootnoteReference"/>
        </w:rPr>
        <w:footnoteRef/>
      </w:r>
      <w:r>
        <w:t xml:space="preserve"> </w:t>
      </w:r>
      <w:r>
        <w:t xml:space="preserve">Minder 2023, PMID 37109595.</w:t>
      </w:r>
    </w:p>
  </w:footnote>
  <w:footnote w:id="2095">
    <w:p>
      <w:pPr>
        <w:pStyle w:val="FootnoteText"/>
      </w:pPr>
      <w:r>
        <w:rPr>
          <w:rStyle w:val="FootnoteReference"/>
        </w:rPr>
        <w:footnoteRef/>
      </w:r>
      <w:r>
        <w:t xml:space="preserve"> </w:t>
      </w:r>
      <w:r>
        <w:t xml:space="preserve">Kluijver 2024, PMID 38634774.</w:t>
      </w:r>
    </w:p>
  </w:footnote>
  <w:footnote w:id="2096">
    <w:p>
      <w:pPr>
        <w:pStyle w:val="FootnoteText"/>
      </w:pPr>
      <w:r>
        <w:rPr>
          <w:rStyle w:val="FootnoteReference"/>
        </w:rPr>
        <w:footnoteRef/>
      </w:r>
      <w:r>
        <w:t xml:space="preserve"> </w:t>
      </w:r>
      <w:r>
        <w:t xml:space="preserve">Lengweiler 2015, PMID 25402764.</w:t>
      </w:r>
    </w:p>
  </w:footnote>
  <w:footnote w:id="2098">
    <w:p>
      <w:pPr>
        <w:pStyle w:val="FootnoteText"/>
      </w:pPr>
      <w:r>
        <w:rPr>
          <w:rStyle w:val="FootnoteReference"/>
        </w:rPr>
        <w:footnoteRef/>
      </w:r>
      <w:r>
        <w:t xml:space="preserve"> </w:t>
      </w:r>
      <w:r>
        <w:t xml:space="preserve">Grimes 2013, PMID 23407924.</w:t>
      </w:r>
    </w:p>
  </w:footnote>
  <w:footnote w:id="2099">
    <w:p>
      <w:pPr>
        <w:pStyle w:val="FootnoteText"/>
      </w:pPr>
      <w:r>
        <w:rPr>
          <w:rStyle w:val="FootnoteReference"/>
        </w:rPr>
        <w:footnoteRef/>
      </w:r>
      <w:r>
        <w:t xml:space="preserve"> </w:t>
      </w:r>
      <w:r>
        <w:t xml:space="preserve">Lim 2015, PMID 25230094 ; NCT01430195.</w:t>
      </w:r>
    </w:p>
  </w:footnote>
  <w:footnote w:id="2100">
    <w:p>
      <w:pPr>
        <w:pStyle w:val="FootnoteText"/>
      </w:pPr>
      <w:r>
        <w:rPr>
          <w:rStyle w:val="FootnoteReference"/>
        </w:rPr>
        <w:footnoteRef/>
      </w:r>
      <w:r>
        <w:t xml:space="preserve"> </w:t>
      </w:r>
      <w:r>
        <w:t xml:space="preserve">Passeron 2015, PMID 25607635.</w:t>
      </w:r>
    </w:p>
  </w:footnote>
  <w:footnote w:id="2101">
    <w:p>
      <w:pPr>
        <w:pStyle w:val="FootnoteText"/>
      </w:pPr>
      <w:r>
        <w:rPr>
          <w:rStyle w:val="FootnoteReference"/>
        </w:rPr>
        <w:footnoteRef/>
      </w:r>
      <w:r>
        <w:t xml:space="preserve"> </w:t>
      </w:r>
      <w:r>
        <w:t xml:space="preserve">Toh 2020, PMID 31987791.</w:t>
      </w:r>
    </w:p>
  </w:footnote>
  <w:footnote w:id="2103">
    <w:p>
      <w:pPr>
        <w:pStyle w:val="FootnoteText"/>
      </w:pPr>
      <w:r>
        <w:rPr>
          <w:rStyle w:val="FootnoteReference"/>
        </w:rPr>
        <w:footnoteRef/>
      </w:r>
      <w:r>
        <w:t xml:space="preserve"> </w:t>
      </w:r>
      <w:r>
        <w:t xml:space="preserve">Haylett 2011, PMID 20969564.</w:t>
      </w:r>
    </w:p>
  </w:footnote>
  <w:footnote w:id="2104">
    <w:p>
      <w:pPr>
        <w:pStyle w:val="FootnoteText"/>
      </w:pPr>
      <w:r>
        <w:rPr>
          <w:rStyle w:val="FootnoteReference"/>
        </w:rPr>
        <w:footnoteRef/>
      </w:r>
      <w:r>
        <w:t xml:space="preserve"> </w:t>
      </w:r>
      <w:r>
        <w:t xml:space="preserve">Böhm 2014, PMID 22845050.</w:t>
      </w:r>
    </w:p>
  </w:footnote>
  <w:footnote w:id="2105">
    <w:p>
      <w:pPr>
        <w:pStyle w:val="FootnoteText"/>
      </w:pPr>
      <w:r>
        <w:rPr>
          <w:rStyle w:val="FootnoteReference"/>
        </w:rPr>
        <w:footnoteRef/>
      </w:r>
      <w:r>
        <w:t xml:space="preserve"> </w:t>
      </w:r>
      <w:r>
        <w:t xml:space="preserve">Biolcati 2014, PMID 24256215.</w:t>
      </w:r>
    </w:p>
  </w:footnote>
  <w:footnote w:id="2106">
    <w:p>
      <w:pPr>
        <w:pStyle w:val="FootnoteText"/>
      </w:pPr>
      <w:r>
        <w:rPr>
          <w:rStyle w:val="FootnoteReference"/>
        </w:rPr>
        <w:footnoteRef/>
      </w:r>
      <w:r>
        <w:t xml:space="preserve"> </w:t>
      </w:r>
      <w:r>
        <w:t xml:space="preserve">Stanislaus 2023, PMID 37496004.</w:t>
      </w:r>
    </w:p>
  </w:footnote>
  <w:footnote w:id="2107">
    <w:p>
      <w:pPr>
        <w:pStyle w:val="FootnoteText"/>
      </w:pPr>
      <w:r>
        <w:rPr>
          <w:rStyle w:val="FootnoteReference"/>
        </w:rPr>
        <w:footnoteRef/>
      </w:r>
      <w:r>
        <w:t xml:space="preserve"> </w:t>
      </w:r>
      <w:r>
        <w:t xml:space="preserve">Griffin 2026, PMID 42678656.</w:t>
      </w:r>
    </w:p>
  </w:footnote>
  <w:footnote w:id="2110">
    <w:p>
      <w:pPr>
        <w:pStyle w:val="FootnoteText"/>
      </w:pPr>
      <w:r>
        <w:rPr>
          <w:rStyle w:val="FootnoteReference"/>
        </w:rPr>
        <w:footnoteRef/>
      </w:r>
      <w:r>
        <w:t xml:space="preserve"> </w:t>
      </w:r>
      <w:r>
        <w:t xml:space="preserve">Biolcati 2014, PMID 24256215.</w:t>
      </w:r>
    </w:p>
  </w:footnote>
  <w:footnote w:id="2111">
    <w:p>
      <w:pPr>
        <w:pStyle w:val="FootnoteText"/>
      </w:pPr>
      <w:r>
        <w:rPr>
          <w:rStyle w:val="FootnoteReference"/>
        </w:rPr>
        <w:footnoteRef/>
      </w:r>
      <w:r>
        <w:t xml:space="preserve"> </w:t>
      </w:r>
      <w:r>
        <w:t xml:space="preserve">Chawathe 2026, PMID 41547183.</w:t>
      </w:r>
    </w:p>
  </w:footnote>
  <w:footnote w:id="2113">
    <w:p>
      <w:pPr>
        <w:pStyle w:val="FootnoteText"/>
      </w:pPr>
      <w:r>
        <w:rPr>
          <w:rStyle w:val="FootnoteReference"/>
        </w:rPr>
        <w:footnoteRef/>
      </w:r>
      <w:r>
        <w:t xml:space="preserve"> </w:t>
      </w:r>
      <w:r>
        <w:t xml:space="preserve">Langendonk 2015, PMID 26132941 ; Wensink 2020, PMID 32186677 ; Biolcati 2015, PMID 25494545.</w:t>
      </w:r>
    </w:p>
  </w:footnote>
  <w:footnote w:id="2114">
    <w:p>
      <w:pPr>
        <w:pStyle w:val="FootnoteText"/>
      </w:pPr>
      <w:r>
        <w:rPr>
          <w:rStyle w:val="FootnoteReference"/>
        </w:rPr>
        <w:footnoteRef/>
      </w:r>
      <w:r>
        <w:t xml:space="preserve"> </w:t>
      </w:r>
      <w:r>
        <w:t xml:space="preserve">Arisi 2021, PMID 33721252.</w:t>
      </w:r>
    </w:p>
  </w:footnote>
  <w:footnote w:id="2115">
    <w:p>
      <w:pPr>
        <w:pStyle w:val="FootnoteText"/>
      </w:pPr>
      <w:r>
        <w:rPr>
          <w:rStyle w:val="FootnoteReference"/>
        </w:rPr>
        <w:footnoteRef/>
      </w:r>
      <w:r>
        <w:t xml:space="preserve"> </w:t>
      </w:r>
      <w:r>
        <w:t xml:space="preserve">von Bartenwerffer 2011, PMID 21597671.</w:t>
      </w:r>
    </w:p>
  </w:footnote>
  <w:footnote w:id="2116">
    <w:p>
      <w:pPr>
        <w:pStyle w:val="FootnoteText"/>
      </w:pPr>
      <w:r>
        <w:rPr>
          <w:rStyle w:val="FootnoteReference"/>
        </w:rPr>
        <w:footnoteRef/>
      </w:r>
      <w:r>
        <w:t xml:space="preserve"> </w:t>
      </w:r>
      <w:r>
        <w:t xml:space="preserve">Kluijver 2024, PMID 38634774.</w:t>
      </w:r>
    </w:p>
  </w:footnote>
  <w:footnote w:id="2118">
    <w:p>
      <w:pPr>
        <w:pStyle w:val="FootnoteText"/>
      </w:pPr>
      <w:r>
        <w:rPr>
          <w:rStyle w:val="FootnoteReference"/>
        </w:rPr>
        <w:footnoteRef/>
      </w:r>
      <w:r>
        <w:t xml:space="preserve"> </w:t>
      </w:r>
      <w:r>
        <w:t xml:space="preserve">Barman-Aksözen 2026, PMID 41885813.</w:t>
      </w:r>
    </w:p>
  </w:footnote>
  <w:footnote w:id="2119">
    <w:p>
      <w:pPr>
        <w:pStyle w:val="FootnoteText"/>
      </w:pPr>
      <w:r>
        <w:rPr>
          <w:rStyle w:val="FootnoteReference"/>
        </w:rPr>
        <w:footnoteRef/>
      </w:r>
      <w:r>
        <w:t xml:space="preserve"> </w:t>
      </w:r>
      <w:r>
        <w:t xml:space="preserve">Minder 2026, PMID 41542313.</w:t>
      </w:r>
    </w:p>
  </w:footnote>
  <w:footnote w:id="2121">
    <w:p>
      <w:pPr>
        <w:pStyle w:val="FootnoteText"/>
      </w:pPr>
      <w:r>
        <w:rPr>
          <w:rStyle w:val="FootnoteReference"/>
        </w:rPr>
        <w:footnoteRef/>
      </w:r>
      <w:r>
        <w:t xml:space="preserve"> </w:t>
      </w:r>
      <w:r>
        <w:t xml:space="preserve">Habbema 2017, PMID 28266027.</w:t>
      </w:r>
    </w:p>
  </w:footnote>
  <w:footnote w:id="2124">
    <w:p>
      <w:pPr>
        <w:pStyle w:val="FootnoteText"/>
      </w:pPr>
      <w:r>
        <w:rPr>
          <w:rStyle w:val="FootnoteReference"/>
        </w:rPr>
        <w:footnoteRef/>
      </w:r>
      <w:r>
        <w:t xml:space="preserve"> </w:t>
      </w:r>
      <w:r>
        <w:t xml:space="preserve">Homey 2025, PMID 40082741.</w:t>
      </w:r>
    </w:p>
  </w:footnote>
  <w:footnote w:id="2125">
    <w:p>
      <w:pPr>
        <w:pStyle w:val="FootnoteText"/>
      </w:pPr>
      <w:r>
        <w:rPr>
          <w:rStyle w:val="FootnoteReference"/>
        </w:rPr>
        <w:footnoteRef/>
      </w:r>
      <w:r>
        <w:t xml:space="preserve"> </w:t>
      </w:r>
      <w:r>
        <w:t xml:space="preserve">Homey 2025, PMID 40082741 ; Seidl-Philipp 2026, PMID 41793078.</w:t>
      </w:r>
    </w:p>
  </w:footnote>
  <w:footnote w:id="2126">
    <w:p>
      <w:pPr>
        <w:pStyle w:val="FootnoteText"/>
      </w:pPr>
      <w:r>
        <w:rPr>
          <w:rStyle w:val="FootnoteReference"/>
        </w:rPr>
        <w:footnoteRef/>
      </w:r>
      <w:r>
        <w:t xml:space="preserve"> </w:t>
      </w:r>
      <w:r>
        <w:t xml:space="preserve">Barman-Aksözen 2024, PMID 38791830.</w:t>
      </w:r>
    </w:p>
  </w:footnote>
  <w:footnote w:id="2128">
    <w:p>
      <w:pPr>
        <w:pStyle w:val="FootnoteText"/>
      </w:pPr>
      <w:r>
        <w:rPr>
          <w:rStyle w:val="FootnoteReference"/>
        </w:rPr>
        <w:footnoteRef/>
      </w:r>
      <w:r>
        <w:t xml:space="preserve"> </w:t>
      </w:r>
      <w:r>
        <w:t xml:space="preserve">NCT06109649.</w:t>
      </w:r>
    </w:p>
  </w:footnote>
  <w:footnote w:id="2129">
    <w:p>
      <w:pPr>
        <w:pStyle w:val="FootnoteText"/>
      </w:pPr>
      <w:r>
        <w:rPr>
          <w:rStyle w:val="FootnoteReference"/>
        </w:rPr>
        <w:footnoteRef/>
      </w:r>
      <w:r>
        <w:t xml:space="preserve"> </w:t>
      </w:r>
      <w:r>
        <w:t xml:space="preserve">NCT05210582.</w:t>
      </w:r>
    </w:p>
  </w:footnote>
  <w:footnote w:id="2130">
    <w:p>
      <w:pPr>
        <w:pStyle w:val="FootnoteText"/>
      </w:pPr>
      <w:r>
        <w:rPr>
          <w:rStyle w:val="FootnoteReference"/>
        </w:rPr>
        <w:footnoteRef/>
      </w:r>
      <w:r>
        <w:t xml:space="preserve"> </w:t>
      </w:r>
      <w:r>
        <w:t xml:space="preserve">NCT05370235, NCT05159752.</w:t>
      </w:r>
    </w:p>
  </w:footnote>
  <w:footnote w:id="2131">
    <w:p>
      <w:pPr>
        <w:pStyle w:val="FootnoteText"/>
      </w:pPr>
      <w:r>
        <w:rPr>
          <w:rStyle w:val="FootnoteReference"/>
        </w:rPr>
        <w:footnoteRef/>
      </w:r>
      <w:r>
        <w:t xml:space="preserve"> </w:t>
      </w:r>
      <w:r>
        <w:t xml:space="preserve">NCT06388642.</w:t>
      </w:r>
    </w:p>
  </w:footnote>
  <w:footnote w:id="2132">
    <w:p>
      <w:pPr>
        <w:pStyle w:val="FootnoteText"/>
      </w:pPr>
      <w:r>
        <w:rPr>
          <w:rStyle w:val="FootnoteReference"/>
        </w:rPr>
        <w:footnoteRef/>
      </w:r>
      <w:r>
        <w:t xml:space="preserve"> </w:t>
      </w:r>
      <w:r>
        <w:t xml:space="preserve">Barman-Aksözen 2026, PMID 41885813.</w:t>
      </w:r>
    </w:p>
  </w:footnote>
  <w:footnote w:id="2136">
    <w:p>
      <w:pPr>
        <w:pStyle w:val="FootnoteText"/>
      </w:pPr>
      <w:r>
        <w:rPr>
          <w:rStyle w:val="FootnoteReference"/>
        </w:rPr>
        <w:footnoteRef/>
      </w:r>
      <w:r>
        <w:t xml:space="preserve"> </w:t>
      </w:r>
      <w:r>
        <w:t xml:space="preserve">Lee 1996, PMID 8944003.</w:t>
      </w:r>
    </w:p>
  </w:footnote>
  <w:footnote w:id="2137">
    <w:p>
      <w:pPr>
        <w:pStyle w:val="FootnoteText"/>
      </w:pPr>
      <w:r>
        <w:rPr>
          <w:rStyle w:val="FootnoteReference"/>
        </w:rPr>
        <w:footnoteRef/>
      </w:r>
      <w:r>
        <w:t xml:space="preserve"> </w:t>
      </w:r>
      <w:r>
        <w:t xml:space="preserve">Ohtaki 2001, PMID 11385580.</w:t>
      </w:r>
    </w:p>
  </w:footnote>
  <w:footnote w:id="2139">
    <w:p>
      <w:pPr>
        <w:pStyle w:val="FootnoteText"/>
      </w:pPr>
      <w:r>
        <w:rPr>
          <w:rStyle w:val="FootnoteReference"/>
        </w:rPr>
        <w:footnoteRef/>
      </w:r>
      <w:r>
        <w:t xml:space="preserve"> </w:t>
      </w:r>
      <w:r>
        <w:t xml:space="preserve">de Roux 2003, PMID 12944565 ; Seminara 2003, PMID 14573733.</w:t>
      </w:r>
    </w:p>
  </w:footnote>
  <w:footnote w:id="2141">
    <w:p>
      <w:pPr>
        <w:pStyle w:val="FootnoteText"/>
      </w:pPr>
      <w:r>
        <w:rPr>
          <w:rStyle w:val="FootnoteReference"/>
        </w:rPr>
        <w:footnoteRef/>
      </w:r>
      <w:r>
        <w:t xml:space="preserve"> </w:t>
      </w:r>
      <w:r>
        <w:t xml:space="preserve">Dhillo 2005, PMID 16174713.</w:t>
      </w:r>
    </w:p>
  </w:footnote>
  <w:footnote w:id="2142">
    <w:p>
      <w:pPr>
        <w:pStyle w:val="FootnoteText"/>
      </w:pPr>
      <w:r>
        <w:rPr>
          <w:rStyle w:val="FootnoteReference"/>
        </w:rPr>
        <w:footnoteRef/>
      </w:r>
      <w:r>
        <w:t xml:space="preserve"> </w:t>
      </w:r>
      <w:r>
        <w:t xml:space="preserve">Dhillo 2007, PMID 17635940.</w:t>
      </w:r>
    </w:p>
  </w:footnote>
  <w:footnote w:id="2143">
    <w:p>
      <w:pPr>
        <w:pStyle w:val="FootnoteText"/>
      </w:pPr>
      <w:r>
        <w:rPr>
          <w:rStyle w:val="FootnoteReference"/>
        </w:rPr>
        <w:footnoteRef/>
      </w:r>
      <w:r>
        <w:t xml:space="preserve"> </w:t>
      </w:r>
      <w:r>
        <w:t xml:space="preserve">George 2011, PMID 21632807.</w:t>
      </w:r>
    </w:p>
  </w:footnote>
  <w:footnote w:id="2144">
    <w:p>
      <w:pPr>
        <w:pStyle w:val="FootnoteText"/>
      </w:pPr>
      <w:r>
        <w:rPr>
          <w:rStyle w:val="FootnoteReference"/>
        </w:rPr>
        <w:footnoteRef/>
      </w:r>
      <w:r>
        <w:t xml:space="preserve"> </w:t>
      </w:r>
      <w:r>
        <w:t xml:space="preserve">Chan 2018, PMID 29669934.</w:t>
      </w:r>
    </w:p>
  </w:footnote>
  <w:footnote w:id="2146">
    <w:p>
      <w:pPr>
        <w:pStyle w:val="FootnoteText"/>
      </w:pPr>
      <w:r>
        <w:rPr>
          <w:rStyle w:val="FootnoteReference"/>
        </w:rPr>
        <w:footnoteRef/>
      </w:r>
      <w:r>
        <w:t xml:space="preserve"> </w:t>
      </w:r>
      <w:r>
        <w:t xml:space="preserve">Jayasena 2014, PMID 25036713 ; NCT01667406.</w:t>
      </w:r>
    </w:p>
  </w:footnote>
  <w:footnote w:id="2147">
    <w:p>
      <w:pPr>
        <w:pStyle w:val="FootnoteText"/>
      </w:pPr>
      <w:r>
        <w:rPr>
          <w:rStyle w:val="FootnoteReference"/>
        </w:rPr>
        <w:footnoteRef/>
      </w:r>
      <w:r>
        <w:t xml:space="preserve"> </w:t>
      </w:r>
      <w:r>
        <w:t xml:space="preserve">Abbara 2015, PMID 26192876.</w:t>
      </w:r>
    </w:p>
  </w:footnote>
  <w:footnote w:id="2148">
    <w:p>
      <w:pPr>
        <w:pStyle w:val="FootnoteText"/>
      </w:pPr>
      <w:r>
        <w:rPr>
          <w:rStyle w:val="FootnoteReference"/>
        </w:rPr>
        <w:footnoteRef/>
      </w:r>
      <w:r>
        <w:t xml:space="preserve"> </w:t>
      </w:r>
      <w:r>
        <w:t xml:space="preserve">Abbara 2017, PMID 28854728.</w:t>
      </w:r>
    </w:p>
  </w:footnote>
  <w:footnote w:id="2149">
    <w:p>
      <w:pPr>
        <w:pStyle w:val="FootnoteText"/>
      </w:pPr>
      <w:r>
        <w:rPr>
          <w:rStyle w:val="FootnoteReference"/>
        </w:rPr>
        <w:footnoteRef/>
      </w:r>
      <w:r>
        <w:t xml:space="preserve"> </w:t>
      </w:r>
      <w:r>
        <w:t xml:space="preserve">Abbara 2017, PMID 28854728.</w:t>
      </w:r>
    </w:p>
  </w:footnote>
  <w:footnote w:id="2150">
    <w:p>
      <w:pPr>
        <w:pStyle w:val="FootnoteText"/>
      </w:pPr>
      <w:r>
        <w:rPr>
          <w:rStyle w:val="FootnoteReference"/>
        </w:rPr>
        <w:footnoteRef/>
      </w:r>
      <w:r>
        <w:t xml:space="preserve"> </w:t>
      </w:r>
      <w:r>
        <w:t xml:space="preserve">Abbara 2020, PMID 33196464.</w:t>
      </w:r>
    </w:p>
  </w:footnote>
  <w:footnote w:id="2151">
    <w:p>
      <w:pPr>
        <w:pStyle w:val="FootnoteText"/>
      </w:pPr>
      <w:r>
        <w:rPr>
          <w:rStyle w:val="FootnoteReference"/>
        </w:rPr>
        <w:footnoteRef/>
      </w:r>
      <w:r>
        <w:t xml:space="preserve"> </w:t>
      </w:r>
      <w:r>
        <w:t xml:space="preserve">Abbara 2024, PMID 37925096.</w:t>
      </w:r>
    </w:p>
  </w:footnote>
  <w:footnote w:id="2153">
    <w:p>
      <w:pPr>
        <w:pStyle w:val="FootnoteText"/>
      </w:pPr>
      <w:r>
        <w:rPr>
          <w:rStyle w:val="FootnoteReference"/>
        </w:rPr>
        <w:footnoteRef/>
      </w:r>
      <w:r>
        <w:t xml:space="preserve"> </w:t>
      </w:r>
      <w:r>
        <w:t xml:space="preserve">Jayasena 2009, PMID 19820030.</w:t>
      </w:r>
    </w:p>
  </w:footnote>
  <w:footnote w:id="2154">
    <w:p>
      <w:pPr>
        <w:pStyle w:val="FootnoteText"/>
      </w:pPr>
      <w:r>
        <w:rPr>
          <w:rStyle w:val="FootnoteReference"/>
        </w:rPr>
        <w:footnoteRef/>
      </w:r>
      <w:r>
        <w:t xml:space="preserve"> </w:t>
      </w:r>
      <w:r>
        <w:t xml:space="preserve">Jayasena 2010, PMID 20980998.</w:t>
      </w:r>
    </w:p>
  </w:footnote>
  <w:footnote w:id="2155">
    <w:p>
      <w:pPr>
        <w:pStyle w:val="FootnoteText"/>
      </w:pPr>
      <w:r>
        <w:rPr>
          <w:rStyle w:val="FootnoteReference"/>
        </w:rPr>
        <w:footnoteRef/>
      </w:r>
      <w:r>
        <w:t xml:space="preserve"> </w:t>
      </w:r>
      <w:r>
        <w:t xml:space="preserve">Jayasena 2014, PMID 24517142.</w:t>
      </w:r>
    </w:p>
  </w:footnote>
  <w:footnote w:id="2156">
    <w:p>
      <w:pPr>
        <w:pStyle w:val="FootnoteText"/>
      </w:pPr>
      <w:r>
        <w:rPr>
          <w:rStyle w:val="FootnoteReference"/>
        </w:rPr>
        <w:footnoteRef/>
      </w:r>
      <w:r>
        <w:t xml:space="preserve"> </w:t>
      </w:r>
      <w:r>
        <w:t xml:space="preserve">Young 2013, PMID 22377698.</w:t>
      </w:r>
    </w:p>
  </w:footnote>
  <w:footnote w:id="2157">
    <w:p>
      <w:pPr>
        <w:pStyle w:val="FootnoteText"/>
      </w:pPr>
      <w:r>
        <w:rPr>
          <w:rStyle w:val="FootnoteReference"/>
        </w:rPr>
        <w:footnoteRef/>
      </w:r>
      <w:r>
        <w:t xml:space="preserve"> </w:t>
      </w:r>
      <w:r>
        <w:t xml:space="preserve">Romero-Ruiz 2019, PMID 31820802.</w:t>
      </w:r>
    </w:p>
  </w:footnote>
  <w:footnote w:id="2159">
    <w:p>
      <w:pPr>
        <w:pStyle w:val="FootnoteText"/>
      </w:pPr>
      <w:r>
        <w:rPr>
          <w:rStyle w:val="FootnoteReference"/>
        </w:rPr>
        <w:footnoteRef/>
      </w:r>
      <w:r>
        <w:t xml:space="preserve"> </w:t>
      </w:r>
      <w:r>
        <w:t xml:space="preserve">George 2013, PMID 23153270.</w:t>
      </w:r>
    </w:p>
  </w:footnote>
  <w:footnote w:id="2160">
    <w:p>
      <w:pPr>
        <w:pStyle w:val="FootnoteText"/>
      </w:pPr>
      <w:r>
        <w:rPr>
          <w:rStyle w:val="FootnoteReference"/>
        </w:rPr>
        <w:footnoteRef/>
      </w:r>
      <w:r>
        <w:t xml:space="preserve"> </w:t>
      </w:r>
      <w:r>
        <w:t xml:space="preserve">Yeung 2026, PMID 42549827.</w:t>
      </w:r>
    </w:p>
  </w:footnote>
  <w:footnote w:id="2162">
    <w:p>
      <w:pPr>
        <w:pStyle w:val="FootnoteText"/>
      </w:pPr>
      <w:r>
        <w:rPr>
          <w:rStyle w:val="FootnoteReference"/>
        </w:rPr>
        <w:footnoteRef/>
      </w:r>
      <w:r>
        <w:t xml:space="preserve"> </w:t>
      </w:r>
      <w:r>
        <w:t xml:space="preserve">Mills 2023, PMID 36735255.</w:t>
      </w:r>
    </w:p>
  </w:footnote>
  <w:footnote w:id="2163">
    <w:p>
      <w:pPr>
        <w:pStyle w:val="FootnoteText"/>
      </w:pPr>
      <w:r>
        <w:rPr>
          <w:rStyle w:val="FootnoteReference"/>
        </w:rPr>
        <w:footnoteRef/>
      </w:r>
      <w:r>
        <w:t xml:space="preserve"> </w:t>
      </w:r>
      <w:r>
        <w:t xml:space="preserve">Thurston 2022, PMID 36287566.</w:t>
      </w:r>
    </w:p>
  </w:footnote>
  <w:footnote w:id="2164">
    <w:p>
      <w:pPr>
        <w:pStyle w:val="FootnoteText"/>
      </w:pPr>
      <w:r>
        <w:rPr>
          <w:rStyle w:val="FootnoteReference"/>
        </w:rPr>
        <w:footnoteRef/>
      </w:r>
      <w:r>
        <w:t xml:space="preserve"> </w:t>
      </w:r>
      <w:r>
        <w:t xml:space="preserve">Mills 2025, PMID 40036336.</w:t>
      </w:r>
    </w:p>
  </w:footnote>
  <w:footnote w:id="2166">
    <w:p>
      <w:pPr>
        <w:pStyle w:val="FootnoteText"/>
      </w:pPr>
      <w:r>
        <w:rPr>
          <w:rStyle w:val="FootnoteReference"/>
        </w:rPr>
        <w:footnoteRef/>
      </w:r>
      <w:r>
        <w:t xml:space="preserve"> </w:t>
      </w:r>
      <w:r>
        <w:t xml:space="preserve">Mills 2025, PMID 40215751.</w:t>
      </w:r>
    </w:p>
  </w:footnote>
  <w:footnote w:id="2168">
    <w:p>
      <w:pPr>
        <w:pStyle w:val="FootnoteText"/>
      </w:pPr>
      <w:r>
        <w:rPr>
          <w:rStyle w:val="FootnoteReference"/>
        </w:rPr>
        <w:footnoteRef/>
      </w:r>
      <w:r>
        <w:t xml:space="preserve"> </w:t>
      </w:r>
      <w:r>
        <w:t xml:space="preserve">Comninos 2022, PMID 35244717.</w:t>
      </w:r>
    </w:p>
  </w:footnote>
  <w:footnote w:id="2169">
    <w:p>
      <w:pPr>
        <w:pStyle w:val="FootnoteText"/>
      </w:pPr>
      <w:r>
        <w:rPr>
          <w:rStyle w:val="FootnoteReference"/>
        </w:rPr>
        <w:footnoteRef/>
      </w:r>
      <w:r>
        <w:t xml:space="preserve"> </w:t>
      </w:r>
      <w:r>
        <w:t xml:space="preserve">Izzi-Engbeaya 2018, PMID 29974637.</w:t>
      </w:r>
    </w:p>
  </w:footnote>
  <w:footnote w:id="2170">
    <w:p>
      <w:pPr>
        <w:pStyle w:val="FootnoteText"/>
      </w:pPr>
      <w:r>
        <w:rPr>
          <w:rStyle w:val="FootnoteReference"/>
        </w:rPr>
        <w:footnoteRef/>
      </w:r>
      <w:r>
        <w:t xml:space="preserve"> </w:t>
      </w:r>
      <w:r>
        <w:t xml:space="preserve">Galbiati 2025, PMID 39965102.</w:t>
      </w:r>
    </w:p>
  </w:footnote>
  <w:footnote w:id="2172">
    <w:p>
      <w:pPr>
        <w:pStyle w:val="FootnoteText"/>
      </w:pPr>
      <w:r>
        <w:rPr>
          <w:rStyle w:val="FootnoteReference"/>
        </w:rPr>
        <w:footnoteRef/>
      </w:r>
      <w:r>
        <w:t xml:space="preserve"> </w:t>
      </w:r>
      <w:r>
        <w:t xml:space="preserve">MacLean 2014, PMID 24762108.</w:t>
      </w:r>
    </w:p>
  </w:footnote>
  <w:footnote w:id="2173">
    <w:p>
      <w:pPr>
        <w:pStyle w:val="FootnoteText"/>
      </w:pPr>
      <w:r>
        <w:rPr>
          <w:rStyle w:val="FootnoteReference"/>
        </w:rPr>
        <w:footnoteRef/>
      </w:r>
      <w:r>
        <w:t xml:space="preserve"> </w:t>
      </w:r>
      <w:r>
        <w:t xml:space="preserve">NCT02369796, NCT02381288.</w:t>
      </w:r>
    </w:p>
  </w:footnote>
  <w:footnote w:id="2176">
    <w:p>
      <w:pPr>
        <w:pStyle w:val="FootnoteText"/>
      </w:pPr>
      <w:r>
        <w:rPr>
          <w:rStyle w:val="FootnoteReference"/>
        </w:rPr>
        <w:footnoteRef/>
      </w:r>
      <w:r>
        <w:t xml:space="preserve"> </w:t>
      </w:r>
      <w:r>
        <w:t xml:space="preserve">Seminara 2003, PMID 14573733.</w:t>
      </w:r>
    </w:p>
  </w:footnote>
  <w:footnote w:id="2177">
    <w:p>
      <w:pPr>
        <w:pStyle w:val="FootnoteText"/>
      </w:pPr>
      <w:r>
        <w:rPr>
          <w:rStyle w:val="FootnoteReference"/>
        </w:rPr>
        <w:footnoteRef/>
      </w:r>
      <w:r>
        <w:t xml:space="preserve"> </w:t>
      </w:r>
      <w:r>
        <w:t xml:space="preserve">Lee 1996, PMID 8944003 ; Ohtaki 2001, PMID 11385580.</w:t>
      </w:r>
    </w:p>
  </w:footnote>
  <w:footnote w:id="2178">
    <w:p>
      <w:pPr>
        <w:pStyle w:val="FootnoteText"/>
      </w:pPr>
      <w:r>
        <w:rPr>
          <w:rStyle w:val="FootnoteReference"/>
        </w:rPr>
        <w:footnoteRef/>
      </w:r>
      <w:r>
        <w:t xml:space="preserve"> </w:t>
      </w:r>
      <w:r>
        <w:t xml:space="preserve">Romero-Ruiz 2019, PMID 31820802.</w:t>
      </w:r>
    </w:p>
  </w:footnote>
  <w:footnote w:id="2179">
    <w:p>
      <w:pPr>
        <w:pStyle w:val="FootnoteText"/>
      </w:pPr>
      <w:r>
        <w:rPr>
          <w:rStyle w:val="FootnoteReference"/>
        </w:rPr>
        <w:footnoteRef/>
      </w:r>
      <w:r>
        <w:t xml:space="preserve"> </w:t>
      </w:r>
      <w:r>
        <w:t xml:space="preserve">Koysombat 2025, PMID 39813600.</w:t>
      </w:r>
    </w:p>
  </w:footnote>
  <w:footnote w:id="2181">
    <w:p>
      <w:pPr>
        <w:pStyle w:val="FootnoteText"/>
      </w:pPr>
      <w:r>
        <w:rPr>
          <w:rStyle w:val="FootnoteReference"/>
        </w:rPr>
        <w:footnoteRef/>
      </w:r>
      <w:r>
        <w:t xml:space="preserve"> </w:t>
      </w:r>
      <w:r>
        <w:t xml:space="preserve">Jayasena 2010, PMID 20980998 ; Thurston 2022, PMID 36287566 ; Mills 2025, PMID 40215751.</w:t>
      </w:r>
    </w:p>
  </w:footnote>
  <w:footnote w:id="2182">
    <w:p>
      <w:pPr>
        <w:pStyle w:val="FootnoteText"/>
      </w:pPr>
      <w:r>
        <w:rPr>
          <w:rStyle w:val="FootnoteReference"/>
        </w:rPr>
        <w:footnoteRef/>
      </w:r>
      <w:r>
        <w:t xml:space="preserve"> </w:t>
      </w:r>
      <w:r>
        <w:t xml:space="preserve">Jayasena 2014, PMID 24863252.</w:t>
      </w:r>
    </w:p>
  </w:footnote>
  <w:footnote w:id="2183">
    <w:p>
      <w:pPr>
        <w:pStyle w:val="FootnoteText"/>
      </w:pPr>
      <w:r>
        <w:rPr>
          <w:rStyle w:val="FootnoteReference"/>
        </w:rPr>
        <w:footnoteRef/>
      </w:r>
      <w:r>
        <w:t xml:space="preserve"> </w:t>
      </w:r>
      <w:r>
        <w:t xml:space="preserve">Mills 2025, PMID 40036336.</w:t>
      </w:r>
    </w:p>
  </w:footnote>
  <w:footnote w:id="2184">
    <w:p>
      <w:pPr>
        <w:pStyle w:val="FootnoteText"/>
      </w:pPr>
      <w:r>
        <w:rPr>
          <w:rStyle w:val="FootnoteReference"/>
        </w:rPr>
        <w:footnoteRef/>
      </w:r>
      <w:r>
        <w:t xml:space="preserve"> </w:t>
      </w:r>
      <w:r>
        <w:t xml:space="preserve">MacLean 2014, PMID 24762108.</w:t>
      </w:r>
    </w:p>
  </w:footnote>
  <w:footnote w:id="2190">
    <w:p>
      <w:pPr>
        <w:pStyle w:val="FootnoteText"/>
      </w:pPr>
      <w:r>
        <w:rPr>
          <w:rStyle w:val="FootnoteReference"/>
        </w:rPr>
        <w:footnoteRef/>
      </w:r>
      <w:r>
        <w:t xml:space="preserve"> </w:t>
      </w:r>
      <w:r>
        <w:t xml:space="preserve">NCT07224490.</w:t>
      </w:r>
    </w:p>
  </w:footnote>
  <w:footnote w:id="2191">
    <w:p>
      <w:pPr>
        <w:pStyle w:val="FootnoteText"/>
      </w:pPr>
      <w:r>
        <w:rPr>
          <w:rStyle w:val="FootnoteReference"/>
        </w:rPr>
        <w:footnoteRef/>
      </w:r>
      <w:r>
        <w:t xml:space="preserve"> </w:t>
      </w:r>
      <w:r>
        <w:t xml:space="preserve">NCT04648969.</w:t>
      </w:r>
    </w:p>
  </w:footnote>
  <w:footnote w:id="2197">
    <w:p>
      <w:pPr>
        <w:pStyle w:val="FootnoteText"/>
      </w:pPr>
      <w:r>
        <w:rPr>
          <w:rStyle w:val="FootnoteReference"/>
        </w:rPr>
        <w:footnoteRef/>
      </w:r>
      <w:r>
        <w:t xml:space="preserve"> </w:t>
      </w:r>
      <w:r>
        <w:t xml:space="preserve">Leng 2016, PMID 26049207.</w:t>
      </w:r>
    </w:p>
  </w:footnote>
  <w:footnote w:id="2198">
    <w:p>
      <w:pPr>
        <w:pStyle w:val="FootnoteText"/>
      </w:pPr>
      <w:r>
        <w:rPr>
          <w:rStyle w:val="FootnoteReference"/>
        </w:rPr>
        <w:footnoteRef/>
      </w:r>
      <w:r>
        <w:t xml:space="preserve"> </w:t>
      </w:r>
      <w:r>
        <w:t xml:space="preserve">Lee 2018, PMID 28289281.</w:t>
      </w:r>
    </w:p>
  </w:footnote>
  <w:footnote w:id="2199">
    <w:p>
      <w:pPr>
        <w:pStyle w:val="FootnoteText"/>
      </w:pPr>
      <w:r>
        <w:rPr>
          <w:rStyle w:val="FootnoteReference"/>
        </w:rPr>
        <w:footnoteRef/>
      </w:r>
      <w:r>
        <w:t xml:space="preserve"> </w:t>
      </w:r>
      <w:r>
        <w:t xml:space="preserve">Lee 2020, PMID 32494001.</w:t>
      </w:r>
    </w:p>
  </w:footnote>
  <w:footnote w:id="2200">
    <w:p>
      <w:pPr>
        <w:pStyle w:val="FootnoteText"/>
      </w:pPr>
      <w:r>
        <w:rPr>
          <w:rStyle w:val="FootnoteReference"/>
        </w:rPr>
        <w:footnoteRef/>
      </w:r>
      <w:r>
        <w:t xml:space="preserve"> </w:t>
      </w:r>
      <w:r>
        <w:t xml:space="preserve">Martins 2020, PMID 32127545.</w:t>
      </w:r>
    </w:p>
  </w:footnote>
  <w:footnote w:id="2201">
    <w:p>
      <w:pPr>
        <w:pStyle w:val="FootnoteText"/>
      </w:pPr>
      <w:r>
        <w:rPr>
          <w:rStyle w:val="FootnoteReference"/>
        </w:rPr>
        <w:footnoteRef/>
      </w:r>
      <w:r>
        <w:t xml:space="preserve"> </w:t>
      </w:r>
      <w:r>
        <w:t xml:space="preserve">Valstad 2017, PMID 28442403.</w:t>
      </w:r>
    </w:p>
  </w:footnote>
  <w:footnote w:id="2202">
    <w:p>
      <w:pPr>
        <w:pStyle w:val="FootnoteText"/>
      </w:pPr>
      <w:r>
        <w:rPr>
          <w:rStyle w:val="FootnoteReference"/>
        </w:rPr>
        <w:footnoteRef/>
      </w:r>
      <w:r>
        <w:t xml:space="preserve"> </w:t>
      </w:r>
      <w:r>
        <w:t xml:space="preserve">Leng 2016, PMID 26049207.</w:t>
      </w:r>
    </w:p>
  </w:footnote>
  <w:footnote w:id="2203">
    <w:p>
      <w:pPr>
        <w:pStyle w:val="FootnoteText"/>
      </w:pPr>
      <w:r>
        <w:rPr>
          <w:rStyle w:val="FootnoteReference"/>
        </w:rPr>
        <w:footnoteRef/>
      </w:r>
      <w:r>
        <w:t xml:space="preserve"> </w:t>
      </w:r>
      <w:r>
        <w:t xml:space="preserve">Quintana 2021, PMID 32807845.</w:t>
      </w:r>
    </w:p>
  </w:footnote>
  <w:footnote w:id="2205">
    <w:p>
      <w:pPr>
        <w:pStyle w:val="FootnoteText"/>
      </w:pPr>
      <w:r>
        <w:rPr>
          <w:rStyle w:val="FootnoteReference"/>
        </w:rPr>
        <w:footnoteRef/>
      </w:r>
      <w:r>
        <w:t xml:space="preserve"> </w:t>
      </w:r>
      <w:r>
        <w:t xml:space="preserve">Salati 2019, PMID 31032882.</w:t>
      </w:r>
    </w:p>
  </w:footnote>
  <w:footnote w:id="2208">
    <w:p>
      <w:pPr>
        <w:pStyle w:val="FootnoteText"/>
      </w:pPr>
      <w:r>
        <w:rPr>
          <w:rStyle w:val="FootnoteReference"/>
        </w:rPr>
        <w:footnoteRef/>
      </w:r>
      <w:r>
        <w:t xml:space="preserve"> </w:t>
      </w:r>
      <w:r>
        <w:t xml:space="preserve">Kosfeld 2005, PMID 15931222.</w:t>
      </w:r>
    </w:p>
  </w:footnote>
  <w:footnote w:id="2209">
    <w:p>
      <w:pPr>
        <w:pStyle w:val="FootnoteText"/>
      </w:pPr>
      <w:r>
        <w:rPr>
          <w:rStyle w:val="FootnoteReference"/>
        </w:rPr>
        <w:footnoteRef/>
      </w:r>
      <w:r>
        <w:t xml:space="preserve"> </w:t>
      </w:r>
      <w:r>
        <w:t xml:space="preserve">Heinrichs 2003, PMID 14675803.</w:t>
      </w:r>
    </w:p>
  </w:footnote>
  <w:footnote w:id="2210">
    <w:p>
      <w:pPr>
        <w:pStyle w:val="FootnoteText"/>
      </w:pPr>
      <w:r>
        <w:rPr>
          <w:rStyle w:val="FootnoteReference"/>
        </w:rPr>
        <w:footnoteRef/>
      </w:r>
      <w:r>
        <w:t xml:space="preserve"> </w:t>
      </w:r>
      <w:r>
        <w:t xml:space="preserve">Leppanen 2017, PMID 28467893.</w:t>
      </w:r>
    </w:p>
  </w:footnote>
  <w:footnote w:id="2212">
    <w:p>
      <w:pPr>
        <w:pStyle w:val="FootnoteText"/>
      </w:pPr>
      <w:r>
        <w:rPr>
          <w:rStyle w:val="FootnoteReference"/>
        </w:rPr>
        <w:footnoteRef/>
      </w:r>
      <w:r>
        <w:t xml:space="preserve"> </w:t>
      </w:r>
      <w:r>
        <w:t xml:space="preserve">Nave 2015, PMID 26581735.</w:t>
      </w:r>
    </w:p>
  </w:footnote>
  <w:footnote w:id="2213">
    <w:p>
      <w:pPr>
        <w:pStyle w:val="FootnoteText"/>
      </w:pPr>
      <w:r>
        <w:rPr>
          <w:rStyle w:val="FootnoteReference"/>
        </w:rPr>
        <w:footnoteRef/>
      </w:r>
      <w:r>
        <w:t xml:space="preserve"> </w:t>
      </w:r>
      <w:r>
        <w:t xml:space="preserve">Walum 2016, PMID 26210057.</w:t>
      </w:r>
    </w:p>
  </w:footnote>
  <w:footnote w:id="2214">
    <w:p>
      <w:pPr>
        <w:pStyle w:val="FootnoteText"/>
      </w:pPr>
      <w:r>
        <w:rPr>
          <w:rStyle w:val="FootnoteReference"/>
        </w:rPr>
        <w:footnoteRef/>
      </w:r>
      <w:r>
        <w:t xml:space="preserve"> </w:t>
      </w:r>
      <w:r>
        <w:t xml:space="preserve">Declerck 2020, PMID 32514040.</w:t>
      </w:r>
    </w:p>
  </w:footnote>
  <w:footnote w:id="2215">
    <w:p>
      <w:pPr>
        <w:pStyle w:val="FootnoteText"/>
      </w:pPr>
      <w:r>
        <w:rPr>
          <w:rStyle w:val="FootnoteReference"/>
        </w:rPr>
        <w:footnoteRef/>
      </w:r>
      <w:r>
        <w:t xml:space="preserve"> </w:t>
      </w:r>
      <w:r>
        <w:t xml:space="preserve">Vogt 2026, PMID 42561025.</w:t>
      </w:r>
    </w:p>
  </w:footnote>
  <w:footnote w:id="2216">
    <w:p>
      <w:pPr>
        <w:pStyle w:val="FootnoteText"/>
      </w:pPr>
      <w:r>
        <w:rPr>
          <w:rStyle w:val="FootnoteReference"/>
        </w:rPr>
        <w:footnoteRef/>
      </w:r>
      <w:r>
        <w:t xml:space="preserve"> </w:t>
      </w:r>
      <w:r>
        <w:t xml:space="preserve">Iversen 2026, PMID 41389446.</w:t>
      </w:r>
    </w:p>
  </w:footnote>
  <w:footnote w:id="2218">
    <w:p>
      <w:pPr>
        <w:pStyle w:val="FootnoteText"/>
      </w:pPr>
      <w:r>
        <w:rPr>
          <w:rStyle w:val="FootnoteReference"/>
        </w:rPr>
        <w:footnoteRef/>
      </w:r>
      <w:r>
        <w:t xml:space="preserve"> </w:t>
      </w:r>
      <w:r>
        <w:t xml:space="preserve">Sikich 2021, PMID 34644471.</w:t>
      </w:r>
    </w:p>
  </w:footnote>
  <w:footnote w:id="2219">
    <w:p>
      <w:pPr>
        <w:pStyle w:val="FootnoteText"/>
      </w:pPr>
      <w:r>
        <w:rPr>
          <w:rStyle w:val="FootnoteReference"/>
        </w:rPr>
        <w:footnoteRef/>
      </w:r>
      <w:r>
        <w:t xml:space="preserve"> </w:t>
      </w:r>
      <w:r>
        <w:t xml:space="preserve">Preti 2014, PMID 24679173.</w:t>
      </w:r>
    </w:p>
  </w:footnote>
  <w:footnote w:id="2220">
    <w:p>
      <w:pPr>
        <w:pStyle w:val="FootnoteText"/>
      </w:pPr>
      <w:r>
        <w:rPr>
          <w:rStyle w:val="FootnoteReference"/>
        </w:rPr>
        <w:footnoteRef/>
      </w:r>
      <w:r>
        <w:t xml:space="preserve"> </w:t>
      </w:r>
      <w:r>
        <w:t xml:space="preserve">Sikich 2021, PMID 34644471 ; NCT01944046.</w:t>
      </w:r>
    </w:p>
  </w:footnote>
  <w:footnote w:id="2221">
    <w:p>
      <w:pPr>
        <w:pStyle w:val="FootnoteText"/>
      </w:pPr>
      <w:r>
        <w:rPr>
          <w:rStyle w:val="FootnoteReference"/>
        </w:rPr>
        <w:footnoteRef/>
      </w:r>
      <w:r>
        <w:t xml:space="preserve"> </w:t>
      </w:r>
      <w:r>
        <w:t xml:space="preserve">Yatawara 2016, PMID 26503762.</w:t>
      </w:r>
    </w:p>
  </w:footnote>
  <w:footnote w:id="2222">
    <w:p>
      <w:pPr>
        <w:pStyle w:val="FootnoteText"/>
      </w:pPr>
      <w:r>
        <w:rPr>
          <w:rStyle w:val="FootnoteReference"/>
        </w:rPr>
        <w:footnoteRef/>
      </w:r>
      <w:r>
        <w:t xml:space="preserve"> </w:t>
      </w:r>
      <w:r>
        <w:t xml:space="preserve">Guastella 2023, PMID 36302965.</w:t>
      </w:r>
    </w:p>
  </w:footnote>
  <w:footnote w:id="2223">
    <w:p>
      <w:pPr>
        <w:pStyle w:val="FootnoteText"/>
      </w:pPr>
      <w:r>
        <w:rPr>
          <w:rStyle w:val="FootnoteReference"/>
        </w:rPr>
        <w:footnoteRef/>
      </w:r>
      <w:r>
        <w:t xml:space="preserve"> </w:t>
      </w:r>
      <w:r>
        <w:t xml:space="preserve">Guastella 2015, PMID 25087908.</w:t>
      </w:r>
    </w:p>
  </w:footnote>
  <w:footnote w:id="2224">
    <w:p>
      <w:pPr>
        <w:pStyle w:val="FootnoteText"/>
      </w:pPr>
      <w:r>
        <w:rPr>
          <w:rStyle w:val="FootnoteReference"/>
        </w:rPr>
        <w:footnoteRef/>
      </w:r>
      <w:r>
        <w:t xml:space="preserve"> </w:t>
      </w:r>
      <w:r>
        <w:t xml:space="preserve">Moerkerke 2024, PMID 38167302.</w:t>
      </w:r>
    </w:p>
  </w:footnote>
  <w:footnote w:id="2225">
    <w:p>
      <w:pPr>
        <w:pStyle w:val="FootnoteText"/>
      </w:pPr>
      <w:r>
        <w:rPr>
          <w:rStyle w:val="FootnoteReference"/>
        </w:rPr>
        <w:footnoteRef/>
      </w:r>
      <w:r>
        <w:t xml:space="preserve"> </w:t>
      </w:r>
      <w:r>
        <w:t xml:space="preserve">Moerkerke 2024, PMID 39709442.</w:t>
      </w:r>
    </w:p>
  </w:footnote>
  <w:footnote w:id="2226">
    <w:p>
      <w:pPr>
        <w:pStyle w:val="FootnoteText"/>
      </w:pPr>
      <w:r>
        <w:rPr>
          <w:rStyle w:val="FootnoteReference"/>
        </w:rPr>
        <w:footnoteRef/>
      </w:r>
      <w:r>
        <w:t xml:space="preserve"> </w:t>
      </w:r>
      <w:r>
        <w:t xml:space="preserve">Keech 2018, PMID 29032324.</w:t>
      </w:r>
    </w:p>
  </w:footnote>
  <w:footnote w:id="2227">
    <w:p>
      <w:pPr>
        <w:pStyle w:val="FootnoteText"/>
      </w:pPr>
      <w:r>
        <w:rPr>
          <w:rStyle w:val="FootnoteReference"/>
        </w:rPr>
        <w:footnoteRef/>
      </w:r>
      <w:r>
        <w:t xml:space="preserve"> </w:t>
      </w:r>
      <w:r>
        <w:t xml:space="preserve">Huang 2021, PMID 33400920.</w:t>
      </w:r>
    </w:p>
  </w:footnote>
  <w:footnote w:id="2228">
    <w:p>
      <w:pPr>
        <w:pStyle w:val="FootnoteText"/>
      </w:pPr>
      <w:r>
        <w:rPr>
          <w:rStyle w:val="FootnoteReference"/>
        </w:rPr>
        <w:footnoteRef/>
      </w:r>
      <w:r>
        <w:t xml:space="preserve"> </w:t>
      </w:r>
      <w:r>
        <w:t xml:space="preserve">Bonnieux 2026, PMID 42134427.</w:t>
      </w:r>
    </w:p>
  </w:footnote>
  <w:footnote w:id="2229">
    <w:p>
      <w:pPr>
        <w:pStyle w:val="FootnoteText"/>
      </w:pPr>
      <w:r>
        <w:rPr>
          <w:rStyle w:val="FootnoteReference"/>
        </w:rPr>
        <w:footnoteRef/>
      </w:r>
      <w:r>
        <w:t xml:space="preserve"> </w:t>
      </w:r>
      <w:r>
        <w:t xml:space="preserve">Boulton 2026, PMID 42144048.</w:t>
      </w:r>
    </w:p>
  </w:footnote>
  <w:footnote w:id="2231">
    <w:p>
      <w:pPr>
        <w:pStyle w:val="FootnoteText"/>
      </w:pPr>
      <w:r>
        <w:rPr>
          <w:rStyle w:val="FootnoteReference"/>
        </w:rPr>
        <w:footnoteRef/>
      </w:r>
      <w:r>
        <w:t xml:space="preserve"> </w:t>
      </w:r>
      <w:r>
        <w:t xml:space="preserve">Jarskog 2017, PMID 28094169.</w:t>
      </w:r>
    </w:p>
  </w:footnote>
  <w:footnote w:id="2232">
    <w:p>
      <w:pPr>
        <w:pStyle w:val="FootnoteText"/>
      </w:pPr>
      <w:r>
        <w:rPr>
          <w:rStyle w:val="FootnoteReference"/>
        </w:rPr>
        <w:footnoteRef/>
      </w:r>
      <w:r>
        <w:t xml:space="preserve"> </w:t>
      </w:r>
      <w:r>
        <w:t xml:space="preserve">Sabe 2021, PMID 33890987.</w:t>
      </w:r>
    </w:p>
  </w:footnote>
  <w:footnote w:id="2233">
    <w:p>
      <w:pPr>
        <w:pStyle w:val="FootnoteText"/>
      </w:pPr>
      <w:r>
        <w:rPr>
          <w:rStyle w:val="FootnoteReference"/>
        </w:rPr>
        <w:footnoteRef/>
      </w:r>
      <w:r>
        <w:t xml:space="preserve"> </w:t>
      </w:r>
      <w:r>
        <w:t xml:space="preserve">Bonnieux 2026, PMID 42134427.</w:t>
      </w:r>
    </w:p>
  </w:footnote>
  <w:footnote w:id="2234">
    <w:p>
      <w:pPr>
        <w:pStyle w:val="FootnoteText"/>
      </w:pPr>
      <w:r>
        <w:rPr>
          <w:rStyle w:val="FootnoteReference"/>
        </w:rPr>
        <w:footnoteRef/>
      </w:r>
      <w:r>
        <w:t xml:space="preserve"> </w:t>
      </w:r>
      <w:r>
        <w:t xml:space="preserve">Melby 2019, PMID 30784955.</w:t>
      </w:r>
    </w:p>
  </w:footnote>
  <w:footnote w:id="2235">
    <w:p>
      <w:pPr>
        <w:pStyle w:val="FootnoteText"/>
      </w:pPr>
      <w:r>
        <w:rPr>
          <w:rStyle w:val="FootnoteReference"/>
        </w:rPr>
        <w:footnoteRef/>
      </w:r>
      <w:r>
        <w:t xml:space="preserve"> </w:t>
      </w:r>
      <w:r>
        <w:t xml:space="preserve">Santos 2026, PMID 42335670.</w:t>
      </w:r>
    </w:p>
  </w:footnote>
  <w:footnote w:id="2236">
    <w:p>
      <w:pPr>
        <w:pStyle w:val="FootnoteText"/>
      </w:pPr>
      <w:r>
        <w:rPr>
          <w:rStyle w:val="FootnoteReference"/>
        </w:rPr>
        <w:footnoteRef/>
      </w:r>
      <w:r>
        <w:t xml:space="preserve"> </w:t>
      </w:r>
      <w:r>
        <w:t xml:space="preserve">Pérez-Arqueros 2025, PMID 39366103.</w:t>
      </w:r>
    </w:p>
  </w:footnote>
  <w:footnote w:id="2237">
    <w:p>
      <w:pPr>
        <w:pStyle w:val="FootnoteText"/>
      </w:pPr>
      <w:r>
        <w:rPr>
          <w:rStyle w:val="FootnoteReference"/>
        </w:rPr>
        <w:footnoteRef/>
      </w:r>
      <w:r>
        <w:t xml:space="preserve"> </w:t>
      </w:r>
      <w:r>
        <w:t xml:space="preserve">Riem 2025, PMID 40614394.</w:t>
      </w:r>
    </w:p>
  </w:footnote>
  <w:footnote w:id="2239">
    <w:p>
      <w:pPr>
        <w:pStyle w:val="FootnoteText"/>
      </w:pPr>
      <w:r>
        <w:rPr>
          <w:rStyle w:val="FootnoteReference"/>
        </w:rPr>
        <w:footnoteRef/>
      </w:r>
      <w:r>
        <w:t xml:space="preserve"> </w:t>
      </w:r>
      <w:r>
        <w:t xml:space="preserve">Chen 2021, PMID 34600216.</w:t>
      </w:r>
    </w:p>
  </w:footnote>
  <w:footnote w:id="2240">
    <w:p>
      <w:pPr>
        <w:pStyle w:val="FootnoteText"/>
      </w:pPr>
      <w:r>
        <w:rPr>
          <w:rStyle w:val="FootnoteReference"/>
        </w:rPr>
        <w:footnoteRef/>
      </w:r>
      <w:r>
        <w:t xml:space="preserve"> </w:t>
      </w:r>
      <w:r>
        <w:t xml:space="preserve">Plessow 2024, PMID 38815173.</w:t>
      </w:r>
    </w:p>
  </w:footnote>
  <w:footnote w:id="2241">
    <w:p>
      <w:pPr>
        <w:pStyle w:val="FootnoteText"/>
      </w:pPr>
      <w:r>
        <w:rPr>
          <w:rStyle w:val="FootnoteReference"/>
        </w:rPr>
        <w:footnoteRef/>
      </w:r>
      <w:r>
        <w:t xml:space="preserve"> </w:t>
      </w:r>
      <w:r>
        <w:t xml:space="preserve">Espinoza 2021, PMID 34029521.</w:t>
      </w:r>
    </w:p>
  </w:footnote>
  <w:footnote w:id="2242">
    <w:p>
      <w:pPr>
        <w:pStyle w:val="FootnoteText"/>
      </w:pPr>
      <w:r>
        <w:rPr>
          <w:rStyle w:val="FootnoteReference"/>
        </w:rPr>
        <w:footnoteRef/>
      </w:r>
      <w:r>
        <w:t xml:space="preserve"> </w:t>
      </w:r>
      <w:r>
        <w:t xml:space="preserve">Shalma 2023, PMID 36774885.</w:t>
      </w:r>
    </w:p>
  </w:footnote>
  <w:footnote w:id="2243">
    <w:p>
      <w:pPr>
        <w:pStyle w:val="FootnoteText"/>
      </w:pPr>
      <w:r>
        <w:rPr>
          <w:rStyle w:val="FootnoteReference"/>
        </w:rPr>
        <w:footnoteRef/>
      </w:r>
      <w:r>
        <w:t xml:space="preserve"> </w:t>
      </w:r>
      <w:r>
        <w:t xml:space="preserve">Hollander 2021, PMID 33190843.</w:t>
      </w:r>
    </w:p>
  </w:footnote>
  <w:footnote w:id="2244">
    <w:p>
      <w:pPr>
        <w:pStyle w:val="FootnoteText"/>
      </w:pPr>
      <w:r>
        <w:rPr>
          <w:rStyle w:val="FootnoteReference"/>
        </w:rPr>
        <w:footnoteRef/>
      </w:r>
      <w:r>
        <w:t xml:space="preserve"> </w:t>
      </w:r>
      <w:r>
        <w:t xml:space="preserve">Lopes 2023, PMID 36463692.</w:t>
      </w:r>
    </w:p>
  </w:footnote>
  <w:footnote w:id="2246">
    <w:p>
      <w:pPr>
        <w:pStyle w:val="FootnoteText"/>
      </w:pPr>
      <w:r>
        <w:rPr>
          <w:rStyle w:val="FootnoteReference"/>
        </w:rPr>
        <w:footnoteRef/>
      </w:r>
      <w:r>
        <w:t xml:space="preserve"> </w:t>
      </w:r>
      <w:r>
        <w:t xml:space="preserve">Burri 2008, PMID 18375074.</w:t>
      </w:r>
    </w:p>
  </w:footnote>
  <w:footnote w:id="2247">
    <w:p>
      <w:pPr>
        <w:pStyle w:val="FootnoteText"/>
      </w:pPr>
      <w:r>
        <w:rPr>
          <w:rStyle w:val="FootnoteReference"/>
        </w:rPr>
        <w:footnoteRef/>
      </w:r>
      <w:r>
        <w:t xml:space="preserve"> </w:t>
      </w:r>
      <w:r>
        <w:t xml:space="preserve">Weinberger 2018, PMID 29995725.</w:t>
      </w:r>
    </w:p>
  </w:footnote>
  <w:footnote w:id="2249">
    <w:p>
      <w:pPr>
        <w:pStyle w:val="FootnoteText"/>
      </w:pPr>
      <w:r>
        <w:rPr>
          <w:rStyle w:val="FootnoteReference"/>
        </w:rPr>
        <w:footnoteRef/>
      </w:r>
      <w:r>
        <w:t xml:space="preserve"> </w:t>
      </w:r>
      <w:r>
        <w:t xml:space="preserve">Atila 2023, PMID 37192642.</w:t>
      </w:r>
    </w:p>
  </w:footnote>
  <w:footnote w:id="2250">
    <w:p>
      <w:pPr>
        <w:pStyle w:val="FootnoteText"/>
      </w:pPr>
      <w:r>
        <w:rPr>
          <w:rStyle w:val="FootnoteReference"/>
        </w:rPr>
        <w:footnoteRef/>
      </w:r>
      <w:r>
        <w:t xml:space="preserve"> </w:t>
      </w:r>
      <w:r>
        <w:t xml:space="preserve">NCT06036004.</w:t>
      </w:r>
    </w:p>
  </w:footnote>
  <w:footnote w:id="2253">
    <w:p>
      <w:pPr>
        <w:pStyle w:val="FootnoteText"/>
      </w:pPr>
      <w:r>
        <w:rPr>
          <w:rStyle w:val="FootnoteReference"/>
        </w:rPr>
        <w:footnoteRef/>
      </w:r>
      <w:r>
        <w:t xml:space="preserve"> </w:t>
      </w:r>
      <w:r>
        <w:t xml:space="preserve">Minakova 2019, PMID 30629642.</w:t>
      </w:r>
    </w:p>
  </w:footnote>
  <w:footnote w:id="2254">
    <w:p>
      <w:pPr>
        <w:pStyle w:val="FootnoteText"/>
      </w:pPr>
      <w:r>
        <w:rPr>
          <w:rStyle w:val="FootnoteReference"/>
        </w:rPr>
        <w:footnoteRef/>
      </w:r>
      <w:r>
        <w:t xml:space="preserve"> </w:t>
      </w:r>
      <w:r>
        <w:t xml:space="preserve">Lee 2020, PMID 32494001.</w:t>
      </w:r>
    </w:p>
  </w:footnote>
  <w:footnote w:id="2256">
    <w:p>
      <w:pPr>
        <w:pStyle w:val="FootnoteText"/>
      </w:pPr>
      <w:r>
        <w:rPr>
          <w:rStyle w:val="FootnoteReference"/>
        </w:rPr>
        <w:footnoteRef/>
      </w:r>
      <w:r>
        <w:t xml:space="preserve"> </w:t>
      </w:r>
      <w:r>
        <w:t xml:space="preserve">MacDonald 2011, PMID 21429671.</w:t>
      </w:r>
    </w:p>
  </w:footnote>
  <w:footnote w:id="2257">
    <w:p>
      <w:pPr>
        <w:pStyle w:val="FootnoteText"/>
      </w:pPr>
      <w:r>
        <w:rPr>
          <w:rStyle w:val="FootnoteReference"/>
        </w:rPr>
        <w:footnoteRef/>
      </w:r>
      <w:r>
        <w:t xml:space="preserve"> </w:t>
      </w:r>
      <w:r>
        <w:t xml:space="preserve">Sikich 2021, PMID 34644471.</w:t>
      </w:r>
    </w:p>
  </w:footnote>
  <w:footnote w:id="2258">
    <w:p>
      <w:pPr>
        <w:pStyle w:val="FootnoteText"/>
      </w:pPr>
      <w:r>
        <w:rPr>
          <w:rStyle w:val="FootnoteReference"/>
        </w:rPr>
        <w:footnoteRef/>
      </w:r>
      <w:r>
        <w:t xml:space="preserve"> </w:t>
      </w:r>
      <w:r>
        <w:t xml:space="preserve">Rung 2021, PMID 33982141.</w:t>
      </w:r>
    </w:p>
  </w:footnote>
  <w:footnote w:id="2259">
    <w:p>
      <w:pPr>
        <w:pStyle w:val="FootnoteText"/>
      </w:pPr>
      <w:r>
        <w:rPr>
          <w:rStyle w:val="FootnoteReference"/>
        </w:rPr>
        <w:footnoteRef/>
      </w:r>
      <w:r>
        <w:t xml:space="preserve"> </w:t>
      </w:r>
      <w:r>
        <w:t xml:space="preserve">Yatawara 2016, PMID 26503762.</w:t>
      </w:r>
    </w:p>
  </w:footnote>
  <w:footnote w:id="2261">
    <w:p>
      <w:pPr>
        <w:pStyle w:val="FootnoteText"/>
      </w:pPr>
      <w:r>
        <w:rPr>
          <w:rStyle w:val="FootnoteReference"/>
        </w:rPr>
        <w:footnoteRef/>
      </w:r>
      <w:r>
        <w:t xml:space="preserve"> </w:t>
      </w:r>
      <w:r>
        <w:t xml:space="preserve">Mayer-Hubner 1996, PMID 8596357.</w:t>
      </w:r>
    </w:p>
  </w:footnote>
  <w:footnote w:id="2262">
    <w:p>
      <w:pPr>
        <w:pStyle w:val="FootnoteText"/>
      </w:pPr>
      <w:r>
        <w:rPr>
          <w:rStyle w:val="FootnoteReference"/>
        </w:rPr>
        <w:footnoteRef/>
      </w:r>
      <w:r>
        <w:t xml:space="preserve"> </w:t>
      </w:r>
      <w:r>
        <w:t xml:space="preserve">Meusel 2021, PMID 33296278.</w:t>
      </w:r>
    </w:p>
  </w:footnote>
  <w:footnote w:id="2267">
    <w:p>
      <w:pPr>
        <w:pStyle w:val="FootnoteText"/>
      </w:pPr>
      <w:r>
        <w:rPr>
          <w:rStyle w:val="FootnoteReference"/>
        </w:rPr>
        <w:footnoteRef/>
      </w:r>
      <w:r>
        <w:t xml:space="preserve"> </w:t>
      </w:r>
      <w:r>
        <w:t xml:space="preserve">NCT04903002.</w:t>
      </w:r>
    </w:p>
  </w:footnote>
  <w:footnote w:id="2268">
    <w:p>
      <w:pPr>
        <w:pStyle w:val="FootnoteText"/>
      </w:pPr>
      <w:r>
        <w:rPr>
          <w:rStyle w:val="FootnoteReference"/>
        </w:rPr>
        <w:footnoteRef/>
      </w:r>
      <w:r>
        <w:t xml:space="preserve"> </w:t>
      </w:r>
      <w:r>
        <w:t xml:space="preserve">NCT06036004.</w:t>
      </w:r>
    </w:p>
  </w:footnote>
  <w:footnote w:id="2269">
    <w:p>
      <w:pPr>
        <w:pStyle w:val="FootnoteText"/>
      </w:pPr>
      <w:r>
        <w:rPr>
          <w:rStyle w:val="FootnoteReference"/>
        </w:rPr>
        <w:footnoteRef/>
      </w:r>
      <w:r>
        <w:t xml:space="preserve"> </w:t>
      </w:r>
      <w:r>
        <w:t xml:space="preserve">NCT05754073.</w:t>
      </w:r>
    </w:p>
  </w:footnote>
  <w:footnote w:id="2270">
    <w:p>
      <w:pPr>
        <w:pStyle w:val="FootnoteText"/>
      </w:pPr>
      <w:r>
        <w:rPr>
          <w:rStyle w:val="FootnoteReference"/>
        </w:rPr>
        <w:footnoteRef/>
      </w:r>
      <w:r>
        <w:t xml:space="preserve"> </w:t>
      </w:r>
      <w:r>
        <w:t xml:space="preserve">NCT05664516.</w:t>
      </w:r>
    </w:p>
  </w:footnote>
  <w:footnote w:id="2271">
    <w:p>
      <w:pPr>
        <w:pStyle w:val="FootnoteText"/>
      </w:pPr>
      <w:r>
        <w:rPr>
          <w:rStyle w:val="FootnoteReference"/>
        </w:rPr>
        <w:footnoteRef/>
      </w:r>
      <w:r>
        <w:t xml:space="preserve"> </w:t>
      </w:r>
      <w:r>
        <w:t xml:space="preserve">NCT07730294.</w:t>
      </w:r>
    </w:p>
  </w:footnote>
  <w:footnote w:id="2277">
    <w:p>
      <w:pPr>
        <w:pStyle w:val="FootnoteText"/>
      </w:pPr>
      <w:r>
        <w:rPr>
          <w:rStyle w:val="FootnoteReference"/>
        </w:rPr>
        <w:footnoteRef/>
      </w:r>
      <w:r>
        <w:t xml:space="preserve"> </w:t>
      </w:r>
      <w:r>
        <w:t xml:space="preserve">Steg 1985, PMID 2934695.</w:t>
      </w:r>
    </w:p>
  </w:footnote>
  <w:footnote w:id="2278">
    <w:p>
      <w:pPr>
        <w:pStyle w:val="FootnoteText"/>
      </w:pPr>
      <w:r>
        <w:rPr>
          <w:rStyle w:val="FootnoteReference"/>
        </w:rPr>
        <w:footnoteRef/>
      </w:r>
      <w:r>
        <w:t xml:space="preserve"> </w:t>
      </w:r>
      <w:r>
        <w:t xml:space="preserve">Segarra 1996, PMID 8773342 ; Falkenbach 1997, PMID 9189734.</w:t>
      </w:r>
    </w:p>
  </w:footnote>
  <w:footnote w:id="2279">
    <w:p>
      <w:pPr>
        <w:pStyle w:val="FootnoteText"/>
      </w:pPr>
      <w:r>
        <w:rPr>
          <w:rStyle w:val="FootnoteReference"/>
        </w:rPr>
        <w:footnoteRef/>
      </w:r>
      <w:r>
        <w:t xml:space="preserve"> </w:t>
      </w:r>
      <w:r>
        <w:t xml:space="preserve">Kandemir 2011, PMID 21448328.</w:t>
      </w:r>
    </w:p>
  </w:footnote>
  <w:footnote w:id="2280">
    <w:p>
      <w:pPr>
        <w:pStyle w:val="FootnoteText"/>
      </w:pPr>
      <w:r>
        <w:rPr>
          <w:rStyle w:val="FootnoteReference"/>
        </w:rPr>
        <w:footnoteRef/>
      </w:r>
      <w:r>
        <w:t xml:space="preserve"> </w:t>
      </w:r>
      <w:r>
        <w:t xml:space="preserve">Ab Rahim 2020, PMID 32871650.</w:t>
      </w:r>
    </w:p>
  </w:footnote>
  <w:footnote w:id="2281">
    <w:p>
      <w:pPr>
        <w:pStyle w:val="FootnoteText"/>
      </w:pPr>
      <w:r>
        <w:rPr>
          <w:rStyle w:val="FootnoteReference"/>
        </w:rPr>
        <w:footnoteRef/>
      </w:r>
      <w:r>
        <w:t xml:space="preserve"> </w:t>
      </w:r>
      <w:r>
        <w:t xml:space="preserve">Chioma 2025, PMID 41384863.</w:t>
      </w:r>
    </w:p>
  </w:footnote>
  <w:footnote w:id="2283">
    <w:p>
      <w:pPr>
        <w:pStyle w:val="FootnoteText"/>
      </w:pPr>
      <w:r>
        <w:rPr>
          <w:rStyle w:val="FootnoteReference"/>
        </w:rPr>
        <w:footnoteRef/>
      </w:r>
      <w:r>
        <w:t xml:space="preserve"> </w:t>
      </w:r>
      <w:r>
        <w:t xml:space="preserve">Quaas 2022, PMID 36378460.</w:t>
      </w:r>
    </w:p>
  </w:footnote>
  <w:footnote w:id="2284">
    <w:p>
      <w:pPr>
        <w:pStyle w:val="FootnoteText"/>
      </w:pPr>
      <w:r>
        <w:rPr>
          <w:rStyle w:val="FootnoteReference"/>
        </w:rPr>
        <w:footnoteRef/>
      </w:r>
      <w:r>
        <w:t xml:space="preserve"> </w:t>
      </w:r>
      <w:r>
        <w:t xml:space="preserve">Filicori 1994, PMID 7962297.</w:t>
      </w:r>
    </w:p>
  </w:footnote>
  <w:footnote w:id="2285">
    <w:p>
      <w:pPr>
        <w:pStyle w:val="FootnoteText"/>
      </w:pPr>
      <w:r>
        <w:rPr>
          <w:rStyle w:val="FootnoteReference"/>
        </w:rPr>
        <w:footnoteRef/>
      </w:r>
      <w:r>
        <w:t xml:space="preserve"> </w:t>
      </w:r>
      <w:r>
        <w:t xml:space="preserve">Santoro 1990, PMID 2122733.</w:t>
      </w:r>
    </w:p>
  </w:footnote>
  <w:footnote w:id="2286">
    <w:p>
      <w:pPr>
        <w:pStyle w:val="FootnoteText"/>
      </w:pPr>
      <w:r>
        <w:rPr>
          <w:rStyle w:val="FootnoteReference"/>
        </w:rPr>
        <w:footnoteRef/>
      </w:r>
      <w:r>
        <w:t xml:space="preserve"> </w:t>
      </w:r>
      <w:r>
        <w:t xml:space="preserve">Christin-Maitre 2007, PMID 17293247.</w:t>
      </w:r>
    </w:p>
  </w:footnote>
  <w:footnote w:id="2287">
    <w:p>
      <w:pPr>
        <w:pStyle w:val="FootnoteText"/>
      </w:pPr>
      <w:r>
        <w:rPr>
          <w:rStyle w:val="FootnoteReference"/>
        </w:rPr>
        <w:footnoteRef/>
      </w:r>
      <w:r>
        <w:t xml:space="preserve"> </w:t>
      </w:r>
      <w:r>
        <w:t xml:space="preserve">Quaas 2022, PMID 36378460.</w:t>
      </w:r>
    </w:p>
  </w:footnote>
  <w:footnote w:id="2289">
    <w:p>
      <w:pPr>
        <w:pStyle w:val="FootnoteText"/>
      </w:pPr>
      <w:r>
        <w:rPr>
          <w:rStyle w:val="FootnoteReference"/>
        </w:rPr>
        <w:footnoteRef/>
      </w:r>
      <w:r>
        <w:t xml:space="preserve"> </w:t>
      </w:r>
      <w:r>
        <w:t xml:space="preserve">Kliesch 1994, PMID 7921222.</w:t>
      </w:r>
    </w:p>
  </w:footnote>
  <w:footnote w:id="2290">
    <w:p>
      <w:pPr>
        <w:pStyle w:val="FootnoteText"/>
      </w:pPr>
      <w:r>
        <w:rPr>
          <w:rStyle w:val="FootnoteReference"/>
        </w:rPr>
        <w:footnoteRef/>
      </w:r>
      <w:r>
        <w:t xml:space="preserve"> </w:t>
      </w:r>
      <w:r>
        <w:t xml:space="preserve">Gong 2015, PMID 25978110.</w:t>
      </w:r>
    </w:p>
  </w:footnote>
  <w:footnote w:id="2291">
    <w:p>
      <w:pPr>
        <w:pStyle w:val="FootnoteText"/>
      </w:pPr>
      <w:r>
        <w:rPr>
          <w:rStyle w:val="FootnoteReference"/>
        </w:rPr>
        <w:footnoteRef/>
      </w:r>
      <w:r>
        <w:t xml:space="preserve"> </w:t>
      </w:r>
      <w:r>
        <w:t xml:space="preserve">Dwyer 2013, PMID 24037890.</w:t>
      </w:r>
    </w:p>
  </w:footnote>
  <w:footnote w:id="2293">
    <w:p>
      <w:pPr>
        <w:pStyle w:val="FootnoteText"/>
      </w:pPr>
      <w:r>
        <w:rPr>
          <w:rStyle w:val="FootnoteReference"/>
        </w:rPr>
        <w:footnoteRef/>
      </w:r>
      <w:r>
        <w:t xml:space="preserve"> </w:t>
      </w:r>
      <w:r>
        <w:t xml:space="preserve">Spinelli 2014, PMID 25106891.</w:t>
      </w:r>
    </w:p>
  </w:footnote>
  <w:footnote w:id="2294">
    <w:p>
      <w:pPr>
        <w:pStyle w:val="FootnoteText"/>
      </w:pPr>
      <w:r>
        <w:rPr>
          <w:rStyle w:val="FootnoteReference"/>
        </w:rPr>
        <w:footnoteRef/>
      </w:r>
      <w:r>
        <w:t xml:space="preserve"> </w:t>
      </w:r>
      <w:r>
        <w:t xml:space="preserve">Fiala 2022, PMID 35691791.</w:t>
      </w:r>
    </w:p>
  </w:footnote>
  <w:footnote w:id="2298">
    <w:p>
      <w:pPr>
        <w:pStyle w:val="FootnoteText"/>
      </w:pPr>
      <w:r>
        <w:rPr>
          <w:rStyle w:val="FootnoteReference"/>
        </w:rPr>
        <w:footnoteRef/>
      </w:r>
      <w:r>
        <w:t xml:space="preserve"> </w:t>
      </w:r>
      <w:r>
        <w:t xml:space="preserve">Santoro 1990, PMID 2122733 ; Christin-Maitre 2007, PMID 17293247.</w:t>
      </w:r>
    </w:p>
  </w:footnote>
  <w:footnote w:id="2302">
    <w:p>
      <w:pPr>
        <w:pStyle w:val="FootnoteText"/>
      </w:pPr>
      <w:r>
        <w:rPr>
          <w:rStyle w:val="FootnoteReference"/>
        </w:rPr>
        <w:footnoteRef/>
      </w:r>
      <w:r>
        <w:t xml:space="preserve"> </w:t>
      </w:r>
      <w:r>
        <w:t xml:space="preserve">Smit 2026, PMID 42644333.</w:t>
      </w:r>
    </w:p>
  </w:footnote>
  <w:footnote w:id="2303">
    <w:p>
      <w:pPr>
        <w:pStyle w:val="FootnoteText"/>
      </w:pPr>
      <w:r>
        <w:rPr>
          <w:rStyle w:val="FootnoteReference"/>
        </w:rPr>
        <w:footnoteRef/>
      </w:r>
      <w:r>
        <w:t xml:space="preserve"> </w:t>
      </w:r>
      <w:r>
        <w:t xml:space="preserve">Smit 2021, PMID 33550376.</w:t>
      </w:r>
    </w:p>
  </w:footnote>
  <w:footnote w:id="2304">
    <w:p>
      <w:pPr>
        <w:pStyle w:val="FootnoteText"/>
      </w:pPr>
      <w:r>
        <w:rPr>
          <w:rStyle w:val="FootnoteReference"/>
        </w:rPr>
        <w:footnoteRef/>
      </w:r>
      <w:r>
        <w:t xml:space="preserve"> </w:t>
      </w:r>
      <w:r>
        <w:t xml:space="preserve">Torrini 2023, PMID 36858006.</w:t>
      </w:r>
    </w:p>
  </w:footnote>
  <w:footnote w:id="2307">
    <w:p>
      <w:pPr>
        <w:pStyle w:val="FootnoteText"/>
      </w:pPr>
      <w:r>
        <w:rPr>
          <w:rStyle w:val="FootnoteReference"/>
        </w:rPr>
        <w:footnoteRef/>
      </w:r>
      <w:r>
        <w:t xml:space="preserve"> </w:t>
      </w:r>
      <w:r>
        <w:t xml:space="preserve">NCT07152730.</w:t>
      </w:r>
    </w:p>
  </w:footnote>
  <w:footnote w:id="2308">
    <w:p>
      <w:pPr>
        <w:pStyle w:val="FootnoteText"/>
      </w:pPr>
      <w:r>
        <w:rPr>
          <w:rStyle w:val="FootnoteReference"/>
        </w:rPr>
        <w:footnoteRef/>
      </w:r>
      <w:r>
        <w:t xml:space="preserve"> </w:t>
      </w:r>
      <w:r>
        <w:t xml:space="preserve">NCT02310074.</w:t>
      </w:r>
    </w:p>
  </w:footnote>
  <w:footnote w:id="2309">
    <w:p>
      <w:pPr>
        <w:pStyle w:val="FootnoteText"/>
      </w:pPr>
      <w:r>
        <w:rPr>
          <w:rStyle w:val="FootnoteReference"/>
        </w:rPr>
        <w:footnoteRef/>
      </w:r>
      <w:r>
        <w:t xml:space="preserve"> </w:t>
      </w:r>
      <w:r>
        <w:t xml:space="preserve">NCT03989024.</w:t>
      </w:r>
    </w:p>
  </w:footnote>
  <w:footnote w:id="2314">
    <w:p>
      <w:pPr>
        <w:pStyle w:val="FootnoteText"/>
      </w:pPr>
      <w:r>
        <w:rPr>
          <w:rStyle w:val="FootnoteReference"/>
        </w:rPr>
        <w:footnoteRef/>
      </w:r>
      <w:r>
        <w:t xml:space="preserve"> </w:t>
      </w:r>
      <w:r>
        <w:t xml:space="preserve">Myung 2025, PMID 40324552.</w:t>
      </w:r>
    </w:p>
  </w:footnote>
  <w:footnote w:id="2320">
    <w:p>
      <w:pPr>
        <w:pStyle w:val="FootnoteText"/>
      </w:pPr>
      <w:r>
        <w:rPr>
          <w:rStyle w:val="FootnoteReference"/>
        </w:rPr>
        <w:footnoteRef/>
      </w:r>
      <w:r>
        <w:t xml:space="preserve"> </w:t>
      </w:r>
      <w:r>
        <w:t xml:space="preserve">Iwai 2005, PMID 16076145.</w:t>
      </w:r>
    </w:p>
  </w:footnote>
  <w:footnote w:id="2321">
    <w:p>
      <w:pPr>
        <w:pStyle w:val="FootnoteText"/>
      </w:pPr>
      <w:r>
        <w:rPr>
          <w:rStyle w:val="FootnoteReference"/>
        </w:rPr>
        <w:footnoteRef/>
      </w:r>
      <w:r>
        <w:t xml:space="preserve"> </w:t>
      </w:r>
      <w:r>
        <w:t xml:space="preserve">Yamamoto 2016, PMID 26934933.</w:t>
      </w:r>
    </w:p>
  </w:footnote>
  <w:footnote w:id="2322">
    <w:p>
      <w:pPr>
        <w:pStyle w:val="FootnoteText"/>
      </w:pPr>
      <w:r>
        <w:rPr>
          <w:rStyle w:val="FootnoteReference"/>
        </w:rPr>
        <w:footnoteRef/>
      </w:r>
      <w:r>
        <w:t xml:space="preserve"> </w:t>
      </w:r>
      <w:r>
        <w:t xml:space="preserve">Shaw 2017, PMID 27852613.</w:t>
      </w:r>
    </w:p>
  </w:footnote>
  <w:footnote w:id="2323">
    <w:p>
      <w:pPr>
        <w:pStyle w:val="FootnoteText"/>
      </w:pPr>
      <w:r>
        <w:rPr>
          <w:rStyle w:val="FootnoteReference"/>
        </w:rPr>
        <w:footnoteRef/>
      </w:r>
      <w:r>
        <w:t xml:space="preserve"> </w:t>
      </w:r>
      <w:r>
        <w:t xml:space="preserve">Stenbæk 2016, PMID 26655163.</w:t>
      </w:r>
    </w:p>
  </w:footnote>
  <w:footnote w:id="2325">
    <w:p>
      <w:pPr>
        <w:pStyle w:val="FootnoteText"/>
      </w:pPr>
      <w:r>
        <w:rPr>
          <w:rStyle w:val="FootnoteReference"/>
        </w:rPr>
        <w:footnoteRef/>
      </w:r>
      <w:r>
        <w:t xml:space="preserve"> </w:t>
      </w:r>
      <w:r>
        <w:t xml:space="preserve">Hexsel 2017, PMID 28786550.</w:t>
      </w:r>
    </w:p>
  </w:footnote>
  <w:footnote w:id="2326">
    <w:p>
      <w:pPr>
        <w:pStyle w:val="FootnoteText"/>
      </w:pPr>
      <w:r>
        <w:rPr>
          <w:rStyle w:val="FootnoteReference"/>
        </w:rPr>
        <w:footnoteRef/>
      </w:r>
      <w:r>
        <w:t xml:space="preserve"> </w:t>
      </w:r>
      <w:r>
        <w:t xml:space="preserve">Sugihara 2018, PMID 30061579.</w:t>
      </w:r>
    </w:p>
  </w:footnote>
  <w:footnote w:id="2328">
    <w:p>
      <w:pPr>
        <w:pStyle w:val="FootnoteText"/>
      </w:pPr>
      <w:r>
        <w:rPr>
          <w:rStyle w:val="FootnoteReference"/>
        </w:rPr>
        <w:footnoteRef/>
      </w:r>
      <w:r>
        <w:t xml:space="preserve"> </w:t>
      </w:r>
      <w:r>
        <w:t xml:space="preserve">de Miranda 2021, PMID 33742704.</w:t>
      </w:r>
    </w:p>
  </w:footnote>
  <w:footnote w:id="2329">
    <w:p>
      <w:pPr>
        <w:pStyle w:val="FootnoteText"/>
      </w:pPr>
      <w:r>
        <w:rPr>
          <w:rStyle w:val="FootnoteReference"/>
        </w:rPr>
        <w:footnoteRef/>
      </w:r>
      <w:r>
        <w:t xml:space="preserve"> </w:t>
      </w:r>
      <w:r>
        <w:t xml:space="preserve">Pu 2023, PMID 37432180.</w:t>
      </w:r>
    </w:p>
  </w:footnote>
  <w:footnote w:id="2330">
    <w:p>
      <w:pPr>
        <w:pStyle w:val="FootnoteText"/>
      </w:pPr>
      <w:r>
        <w:rPr>
          <w:rStyle w:val="FootnoteReference"/>
        </w:rPr>
        <w:footnoteRef/>
      </w:r>
      <w:r>
        <w:t xml:space="preserve"> </w:t>
      </w:r>
      <w:r>
        <w:t xml:space="preserve">Danessa 2025, PMID 40826844.</w:t>
      </w:r>
    </w:p>
  </w:footnote>
  <w:footnote w:id="2331">
    <w:p>
      <w:pPr>
        <w:pStyle w:val="FootnoteText"/>
      </w:pPr>
      <w:r>
        <w:rPr>
          <w:rStyle w:val="FootnoteReference"/>
        </w:rPr>
        <w:footnoteRef/>
      </w:r>
      <w:r>
        <w:t xml:space="preserve"> </w:t>
      </w:r>
      <w:r>
        <w:t xml:space="preserve">Myung 2025, PMID 40324552.</w:t>
      </w:r>
    </w:p>
  </w:footnote>
  <w:footnote w:id="2333">
    <w:p>
      <w:pPr>
        <w:pStyle w:val="FootnoteText"/>
      </w:pPr>
      <w:r>
        <w:rPr>
          <w:rStyle w:val="FootnoteReference"/>
        </w:rPr>
        <w:footnoteRef/>
      </w:r>
      <w:r>
        <w:t xml:space="preserve"> </w:t>
      </w:r>
      <w:r>
        <w:t xml:space="preserve">García-Coronado 2019, PMID 30368550.</w:t>
      </w:r>
    </w:p>
  </w:footnote>
  <w:footnote w:id="2334">
    <w:p>
      <w:pPr>
        <w:pStyle w:val="FootnoteText"/>
      </w:pPr>
      <w:r>
        <w:rPr>
          <w:rStyle w:val="FootnoteReference"/>
        </w:rPr>
        <w:footnoteRef/>
      </w:r>
      <w:r>
        <w:t xml:space="preserve"> </w:t>
      </w:r>
      <w:r>
        <w:t xml:space="preserve">Liang 2024, PMID 38218227.</w:t>
      </w:r>
    </w:p>
  </w:footnote>
  <w:footnote w:id="2335">
    <w:p>
      <w:pPr>
        <w:pStyle w:val="FootnoteText"/>
      </w:pPr>
      <w:r>
        <w:rPr>
          <w:rStyle w:val="FootnoteReference"/>
        </w:rPr>
        <w:footnoteRef/>
      </w:r>
      <w:r>
        <w:t xml:space="preserve"> </w:t>
      </w:r>
      <w:r>
        <w:t xml:space="preserve">Lin 2023, PMID 37717022.</w:t>
      </w:r>
    </w:p>
  </w:footnote>
  <w:footnote w:id="2336">
    <w:p>
      <w:pPr>
        <w:pStyle w:val="FootnoteText"/>
      </w:pPr>
      <w:r>
        <w:rPr>
          <w:rStyle w:val="FootnoteReference"/>
        </w:rPr>
        <w:footnoteRef/>
      </w:r>
      <w:r>
        <w:t xml:space="preserve"> </w:t>
      </w:r>
      <w:r>
        <w:t xml:space="preserve">Simental-Mendía 2025, PMID 39212129.</w:t>
      </w:r>
    </w:p>
  </w:footnote>
  <w:footnote w:id="2337">
    <w:p>
      <w:pPr>
        <w:pStyle w:val="FootnoteText"/>
      </w:pPr>
      <w:r>
        <w:rPr>
          <w:rStyle w:val="FootnoteReference"/>
        </w:rPr>
        <w:footnoteRef/>
      </w:r>
      <w:r>
        <w:t xml:space="preserve"> </w:t>
      </w:r>
      <w:r>
        <w:t xml:space="preserve">Liu 2018, PMID 29018060.</w:t>
      </w:r>
    </w:p>
  </w:footnote>
  <w:footnote w:id="2339">
    <w:p>
      <w:pPr>
        <w:pStyle w:val="FootnoteText"/>
      </w:pPr>
      <w:r>
        <w:rPr>
          <w:rStyle w:val="FootnoteReference"/>
        </w:rPr>
        <w:footnoteRef/>
      </w:r>
      <w:r>
        <w:t xml:space="preserve"> </w:t>
      </w:r>
      <w:r>
        <w:t xml:space="preserve">Trentham 1993, PMID 8378772.</w:t>
      </w:r>
    </w:p>
  </w:footnote>
  <w:footnote w:id="2340">
    <w:p>
      <w:pPr>
        <w:pStyle w:val="FootnoteText"/>
      </w:pPr>
      <w:r>
        <w:rPr>
          <w:rStyle w:val="FootnoteReference"/>
        </w:rPr>
        <w:footnoteRef/>
      </w:r>
      <w:r>
        <w:t xml:space="preserve"> </w:t>
      </w:r>
      <w:r>
        <w:t xml:space="preserve">Barnett 1998, PMID 9485087.</w:t>
      </w:r>
    </w:p>
  </w:footnote>
  <w:footnote w:id="2343">
    <w:p>
      <w:pPr>
        <w:pStyle w:val="FootnoteText"/>
      </w:pPr>
      <w:r>
        <w:rPr>
          <w:rStyle w:val="FootnoteReference"/>
        </w:rPr>
        <w:footnoteRef/>
      </w:r>
      <w:r>
        <w:t xml:space="preserve"> </w:t>
      </w:r>
      <w:r>
        <w:t xml:space="preserve">Zdzieblik 2015, PMID 26353786.</w:t>
      </w:r>
    </w:p>
  </w:footnote>
  <w:footnote w:id="2344">
    <w:p>
      <w:pPr>
        <w:pStyle w:val="FootnoteText"/>
      </w:pPr>
      <w:r>
        <w:rPr>
          <w:rStyle w:val="FootnoteReference"/>
        </w:rPr>
        <w:footnoteRef/>
      </w:r>
      <w:r>
        <w:t xml:space="preserve"> </w:t>
      </w:r>
      <w:r>
        <w:t xml:space="preserve">Oikawa 2020, PMID 31919527.</w:t>
      </w:r>
    </w:p>
  </w:footnote>
  <w:footnote w:id="2345">
    <w:p>
      <w:pPr>
        <w:pStyle w:val="FootnoteText"/>
      </w:pPr>
      <w:r>
        <w:rPr>
          <w:rStyle w:val="FootnoteReference"/>
        </w:rPr>
        <w:footnoteRef/>
      </w:r>
      <w:r>
        <w:t xml:space="preserve"> </w:t>
      </w:r>
      <w:r>
        <w:t xml:space="preserve">Jacinto 2022, PMID 35042187.</w:t>
      </w:r>
    </w:p>
  </w:footnote>
  <w:footnote w:id="2346">
    <w:p>
      <w:pPr>
        <w:pStyle w:val="FootnoteText"/>
      </w:pPr>
      <w:r>
        <w:rPr>
          <w:rStyle w:val="FootnoteReference"/>
        </w:rPr>
        <w:footnoteRef/>
      </w:r>
      <w:r>
        <w:t xml:space="preserve"> </w:t>
      </w:r>
      <w:r>
        <w:t xml:space="preserve">Kirmse 2024, PMID 39086044.</w:t>
      </w:r>
    </w:p>
  </w:footnote>
  <w:footnote w:id="2347">
    <w:p>
      <w:pPr>
        <w:pStyle w:val="FootnoteText"/>
      </w:pPr>
      <w:r>
        <w:rPr>
          <w:rStyle w:val="FootnoteReference"/>
        </w:rPr>
        <w:footnoteRef/>
      </w:r>
      <w:r>
        <w:t xml:space="preserve"> </w:t>
      </w:r>
      <w:r>
        <w:t xml:space="preserve">Bischof 2024, PMID 39060741.</w:t>
      </w:r>
    </w:p>
  </w:footnote>
  <w:footnote w:id="2348">
    <w:p>
      <w:pPr>
        <w:pStyle w:val="FootnoteText"/>
      </w:pPr>
      <w:r>
        <w:rPr>
          <w:rStyle w:val="FootnoteReference"/>
        </w:rPr>
        <w:footnoteRef/>
      </w:r>
      <w:r>
        <w:t xml:space="preserve"> </w:t>
      </w:r>
      <w:r>
        <w:t xml:space="preserve">Khatri 2021, PMID 34491424.</w:t>
      </w:r>
    </w:p>
  </w:footnote>
  <w:footnote w:id="2350">
    <w:p>
      <w:pPr>
        <w:pStyle w:val="FootnoteText"/>
      </w:pPr>
      <w:r>
        <w:rPr>
          <w:rStyle w:val="FootnoteReference"/>
        </w:rPr>
        <w:footnoteRef/>
      </w:r>
      <w:r>
        <w:t xml:space="preserve"> </w:t>
      </w:r>
      <w:r>
        <w:t xml:space="preserve">Jalili 2023, PMID 35658958.</w:t>
      </w:r>
    </w:p>
  </w:footnote>
  <w:footnote w:id="2353">
    <w:p>
      <w:pPr>
        <w:pStyle w:val="FootnoteText"/>
      </w:pPr>
      <w:r>
        <w:rPr>
          <w:rStyle w:val="FootnoteReference"/>
        </w:rPr>
        <w:footnoteRef/>
      </w:r>
      <w:r>
        <w:t xml:space="preserve"> </w:t>
      </w:r>
      <w:r>
        <w:t xml:space="preserve">Asserin 2015, PMID 26362110.</w:t>
      </w:r>
    </w:p>
  </w:footnote>
  <w:footnote w:id="2354">
    <w:p>
      <w:pPr>
        <w:pStyle w:val="FootnoteText"/>
      </w:pPr>
      <w:r>
        <w:rPr>
          <w:rStyle w:val="FootnoteReference"/>
        </w:rPr>
        <w:footnoteRef/>
      </w:r>
      <w:r>
        <w:t xml:space="preserve"> </w:t>
      </w:r>
      <w:r>
        <w:t xml:space="preserve">Inacio 2024, PMID 38892477.</w:t>
      </w:r>
    </w:p>
  </w:footnote>
  <w:footnote w:id="2355">
    <w:p>
      <w:pPr>
        <w:pStyle w:val="FootnoteText"/>
      </w:pPr>
      <w:r>
        <w:rPr>
          <w:rStyle w:val="FootnoteReference"/>
        </w:rPr>
        <w:footnoteRef/>
      </w:r>
      <w:r>
        <w:t xml:space="preserve"> </w:t>
      </w:r>
      <w:r>
        <w:t xml:space="preserve">Bischof 2026, PMID 41168365.</w:t>
      </w:r>
    </w:p>
  </w:footnote>
  <w:footnote w:id="2357">
    <w:p>
      <w:pPr>
        <w:pStyle w:val="FootnoteText"/>
      </w:pPr>
      <w:r>
        <w:rPr>
          <w:rStyle w:val="FootnoteReference"/>
        </w:rPr>
        <w:footnoteRef/>
      </w:r>
      <w:r>
        <w:t xml:space="preserve"> </w:t>
      </w:r>
      <w:r>
        <w:t xml:space="preserve">Liang 2024, PMID 38218227.</w:t>
      </w:r>
    </w:p>
  </w:footnote>
  <w:footnote w:id="2358">
    <w:p>
      <w:pPr>
        <w:pStyle w:val="FootnoteText"/>
      </w:pPr>
      <w:r>
        <w:rPr>
          <w:rStyle w:val="FootnoteReference"/>
        </w:rPr>
        <w:footnoteRef/>
      </w:r>
      <w:r>
        <w:t xml:space="preserve"> </w:t>
      </w:r>
      <w:r>
        <w:t xml:space="preserve">Knight 2006, PMID 17021603.</w:t>
      </w:r>
    </w:p>
  </w:footnote>
  <w:footnote w:id="2361">
    <w:p>
      <w:pPr>
        <w:pStyle w:val="FootnoteText"/>
      </w:pPr>
      <w:r>
        <w:rPr>
          <w:rStyle w:val="FootnoteReference"/>
        </w:rPr>
        <w:footnoteRef/>
      </w:r>
      <w:r>
        <w:t xml:space="preserve"> </w:t>
      </w:r>
      <w:r>
        <w:t xml:space="preserve">NCT04998188.</w:t>
      </w:r>
    </w:p>
  </w:footnote>
  <w:footnote w:id="2362">
    <w:p>
      <w:pPr>
        <w:pStyle w:val="FootnoteText"/>
      </w:pPr>
      <w:r>
        <w:rPr>
          <w:rStyle w:val="FootnoteReference"/>
        </w:rPr>
        <w:footnoteRef/>
      </w:r>
      <w:r>
        <w:t xml:space="preserve"> </w:t>
      </w:r>
      <w:r>
        <w:t xml:space="preserve">NCT07800780.</w:t>
      </w:r>
    </w:p>
  </w:footnote>
  <w:footnote w:id="2363">
    <w:p>
      <w:pPr>
        <w:pStyle w:val="FootnoteText"/>
      </w:pPr>
      <w:r>
        <w:rPr>
          <w:rStyle w:val="FootnoteReference"/>
        </w:rPr>
        <w:footnoteRef/>
      </w:r>
      <w:r>
        <w:t xml:space="preserve"> </w:t>
      </w:r>
      <w:r>
        <w:t xml:space="preserve">NCT05823727.</w:t>
      </w:r>
    </w:p>
  </w:footnote>
  <w:footnote w:id="2364">
    <w:p>
      <w:pPr>
        <w:pStyle w:val="FootnoteText"/>
      </w:pPr>
      <w:r>
        <w:rPr>
          <w:rStyle w:val="FootnoteReference"/>
        </w:rPr>
        <w:footnoteRef/>
      </w:r>
      <w:r>
        <w:t xml:space="preserve"> </w:t>
      </w:r>
      <w:r>
        <w:t xml:space="preserve">NCT07473037.</w:t>
      </w:r>
    </w:p>
  </w:footnote>
  <w:footnote w:id="2365">
    <w:p>
      <w:pPr>
        <w:pStyle w:val="FootnoteText"/>
      </w:pPr>
      <w:r>
        <w:rPr>
          <w:rStyle w:val="FootnoteReference"/>
        </w:rPr>
        <w:footnoteRef/>
      </w:r>
      <w:r>
        <w:t xml:space="preserve"> </w:t>
      </w:r>
      <w:r>
        <w:t xml:space="preserve">NCT07456449.</w:t>
      </w:r>
    </w:p>
  </w:footnote>
  <w:footnote w:id="2366">
    <w:p>
      <w:pPr>
        <w:pStyle w:val="FootnoteText"/>
      </w:pPr>
      <w:r>
        <w:rPr>
          <w:rStyle w:val="FootnoteReference"/>
        </w:rPr>
        <w:footnoteRef/>
      </w:r>
      <w:r>
        <w:t xml:space="preserve"> </w:t>
      </w:r>
      <w:r>
        <w:t xml:space="preserve">NCT07229014.</w:t>
      </w:r>
    </w:p>
  </w:footnote>
  <w:footnote w:id="2367">
    <w:p>
      <w:pPr>
        <w:pStyle w:val="FootnoteText"/>
      </w:pPr>
      <w:r>
        <w:rPr>
          <w:rStyle w:val="FootnoteReference"/>
        </w:rPr>
        <w:footnoteRef/>
      </w:r>
      <w:r>
        <w:t xml:space="preserve"> </w:t>
      </w:r>
      <w:r>
        <w:t xml:space="preserve">Myung 2025, PMID 40324552.</w:t>
      </w:r>
    </w:p>
  </w:footnote>
  <w:footnote w:id="2372">
    <w:p>
      <w:pPr>
        <w:pStyle w:val="FootnoteText"/>
      </w:pPr>
      <w:r>
        <w:rPr>
          <w:rStyle w:val="FootnoteReference"/>
        </w:rPr>
        <w:footnoteRef/>
      </w:r>
      <w:r>
        <w:t xml:space="preserve"> </w:t>
      </w:r>
      <w:r>
        <w:t xml:space="preserve">Nakamura 1995, PMID 7673515.</w:t>
      </w:r>
    </w:p>
  </w:footnote>
  <w:footnote w:id="2373">
    <w:p>
      <w:pPr>
        <w:pStyle w:val="FootnoteText"/>
      </w:pPr>
      <w:r>
        <w:rPr>
          <w:rStyle w:val="FootnoteReference"/>
        </w:rPr>
        <w:footnoteRef/>
      </w:r>
      <w:r>
        <w:t xml:space="preserve"> </w:t>
      </w:r>
      <w:r>
        <w:t xml:space="preserve">Foltz 2007, PMID 17374660.</w:t>
      </w:r>
    </w:p>
  </w:footnote>
  <w:footnote w:id="2374">
    <w:p>
      <w:pPr>
        <w:pStyle w:val="FootnoteText"/>
      </w:pPr>
      <w:r>
        <w:rPr>
          <w:rStyle w:val="FootnoteReference"/>
        </w:rPr>
        <w:footnoteRef/>
      </w:r>
      <w:r>
        <w:t xml:space="preserve"> </w:t>
      </w:r>
      <w:r>
        <w:t xml:space="preserve">Wuerzner 2009, PMID 19506528.</w:t>
      </w:r>
    </w:p>
  </w:footnote>
  <w:footnote w:id="2377">
    <w:p>
      <w:pPr>
        <w:pStyle w:val="FootnoteText"/>
      </w:pPr>
      <w:r>
        <w:rPr>
          <w:rStyle w:val="FootnoteReference"/>
        </w:rPr>
        <w:footnoteRef/>
      </w:r>
      <w:r>
        <w:t xml:space="preserve"> </w:t>
      </w:r>
      <w:r>
        <w:t xml:space="preserve">Geleijnse 2010, PMID 19884823.</w:t>
      </w:r>
    </w:p>
  </w:footnote>
  <w:footnote w:id="2379">
    <w:p>
      <w:pPr>
        <w:pStyle w:val="FootnoteText"/>
      </w:pPr>
      <w:r>
        <w:rPr>
          <w:rStyle w:val="FootnoteReference"/>
        </w:rPr>
        <w:footnoteRef/>
      </w:r>
      <w:r>
        <w:t xml:space="preserve"> </w:t>
      </w:r>
      <w:r>
        <w:t xml:space="preserve">Jauhiainen 2012, PMID 22617279.</w:t>
      </w:r>
    </w:p>
  </w:footnote>
  <w:footnote w:id="2380">
    <w:p>
      <w:pPr>
        <w:pStyle w:val="FootnoteText"/>
      </w:pPr>
      <w:r>
        <w:rPr>
          <w:rStyle w:val="FootnoteReference"/>
        </w:rPr>
        <w:footnoteRef/>
      </w:r>
      <w:r>
        <w:t xml:space="preserve"> </w:t>
      </w:r>
      <w:r>
        <w:t xml:space="preserve">Turpeinen 2012, PMID 22398753.</w:t>
      </w:r>
    </w:p>
  </w:footnote>
  <w:footnote w:id="2381">
    <w:p>
      <w:pPr>
        <w:pStyle w:val="FootnoteText"/>
      </w:pPr>
      <w:r>
        <w:rPr>
          <w:rStyle w:val="FootnoteReference"/>
        </w:rPr>
        <w:footnoteRef/>
      </w:r>
      <w:r>
        <w:t xml:space="preserve"> </w:t>
      </w:r>
      <w:r>
        <w:t xml:space="preserve">Cicero 2011, PMID 21753776 ; Cicero 2016, PMID 26683986.</w:t>
      </w:r>
    </w:p>
  </w:footnote>
  <w:footnote w:id="2382">
    <w:p>
      <w:pPr>
        <w:pStyle w:val="FootnoteText"/>
      </w:pPr>
      <w:r>
        <w:rPr>
          <w:rStyle w:val="FootnoteReference"/>
        </w:rPr>
        <w:footnoteRef/>
      </w:r>
      <w:r>
        <w:t xml:space="preserve"> </w:t>
      </w:r>
      <w:r>
        <w:t xml:space="preserve">Germino 2010, PMID 20433527.</w:t>
      </w:r>
    </w:p>
  </w:footnote>
  <w:footnote w:id="2383">
    <w:p>
      <w:pPr>
        <w:pStyle w:val="FootnoteText"/>
      </w:pPr>
      <w:r>
        <w:rPr>
          <w:rStyle w:val="FootnoteReference"/>
        </w:rPr>
        <w:footnoteRef/>
      </w:r>
      <w:r>
        <w:t xml:space="preserve"> </w:t>
      </w:r>
      <w:r>
        <w:t xml:space="preserve">par ex. Akazawa 2018, PMID 29703414.</w:t>
      </w:r>
    </w:p>
  </w:footnote>
  <w:footnote w:id="2385">
    <w:p>
      <w:pPr>
        <w:pStyle w:val="FootnoteText"/>
      </w:pPr>
      <w:r>
        <w:rPr>
          <w:rStyle w:val="FootnoteReference"/>
        </w:rPr>
        <w:footnoteRef/>
      </w:r>
      <w:r>
        <w:t xml:space="preserve"> </w:t>
      </w:r>
      <w:r>
        <w:t xml:space="preserve">Fekete 2015, PMID 25608938.</w:t>
      </w:r>
    </w:p>
  </w:footnote>
  <w:footnote w:id="2388">
    <w:p>
      <w:pPr>
        <w:pStyle w:val="FootnoteText"/>
      </w:pPr>
      <w:r>
        <w:rPr>
          <w:rStyle w:val="FootnoteReference"/>
        </w:rPr>
        <w:footnoteRef/>
      </w:r>
      <w:r>
        <w:t xml:space="preserve"> </w:t>
      </w:r>
      <w:r>
        <w:t xml:space="preserve">Nakamura 1995, PMID 7673515.</w:t>
      </w:r>
    </w:p>
  </w:footnote>
  <w:footnote w:id="2389">
    <w:p>
      <w:pPr>
        <w:pStyle w:val="FootnoteText"/>
      </w:pPr>
      <w:r>
        <w:rPr>
          <w:rStyle w:val="FootnoteReference"/>
        </w:rPr>
        <w:footnoteRef/>
      </w:r>
      <w:r>
        <w:t xml:space="preserve"> </w:t>
      </w:r>
      <w:r>
        <w:t xml:space="preserve">Hirota 2011, PMID 21221598.</w:t>
      </w:r>
    </w:p>
  </w:footnote>
  <w:footnote w:id="2390">
    <w:p>
      <w:pPr>
        <w:pStyle w:val="FootnoteText"/>
      </w:pPr>
      <w:r>
        <w:rPr>
          <w:rStyle w:val="FootnoteReference"/>
        </w:rPr>
        <w:footnoteRef/>
      </w:r>
      <w:r>
        <w:t xml:space="preserve"> </w:t>
      </w:r>
      <w:r>
        <w:t xml:space="preserve">Foltz 2007, PMID 17374660.</w:t>
      </w:r>
    </w:p>
  </w:footnote>
  <w:footnote w:id="2391">
    <w:p>
      <w:pPr>
        <w:pStyle w:val="FootnoteText"/>
      </w:pPr>
      <w:r>
        <w:rPr>
          <w:rStyle w:val="FootnoteReference"/>
        </w:rPr>
        <w:footnoteRef/>
      </w:r>
      <w:r>
        <w:t xml:space="preserve"> </w:t>
      </w:r>
      <w:r>
        <w:t xml:space="preserve">Gregory 2024, PMID 37904282.</w:t>
      </w:r>
    </w:p>
  </w:footnote>
  <w:footnote w:id="2392">
    <w:p>
      <w:pPr>
        <w:pStyle w:val="FootnoteText"/>
      </w:pPr>
      <w:r>
        <w:rPr>
          <w:rStyle w:val="FootnoteReference"/>
        </w:rPr>
        <w:footnoteRef/>
      </w:r>
      <w:r>
        <w:t xml:space="preserve"> </w:t>
      </w:r>
      <w:r>
        <w:t xml:space="preserve">Dent 2007, PMID 17383063.</w:t>
      </w:r>
    </w:p>
  </w:footnote>
  <w:footnote w:id="2393">
    <w:p>
      <w:pPr>
        <w:pStyle w:val="FootnoteText"/>
      </w:pPr>
      <w:r>
        <w:rPr>
          <w:rStyle w:val="FootnoteReference"/>
        </w:rPr>
        <w:footnoteRef/>
      </w:r>
      <w:r>
        <w:t xml:space="preserve"> </w:t>
      </w:r>
      <w:r>
        <w:t xml:space="preserve">Ponstein-Simarro Doorten 2009, PMID 18955104.</w:t>
      </w:r>
    </w:p>
  </w:footnote>
  <w:footnote w:id="2395">
    <w:p>
      <w:pPr>
        <w:pStyle w:val="FootnoteText"/>
      </w:pPr>
      <w:r>
        <w:rPr>
          <w:rStyle w:val="FootnoteReference"/>
        </w:rPr>
        <w:footnoteRef/>
      </w:r>
      <w:r>
        <w:t xml:space="preserve"> </w:t>
      </w:r>
      <w:r>
        <w:t xml:space="preserve">par ex. Jauhiainen 2005, PMID 16364832.</w:t>
      </w:r>
    </w:p>
  </w:footnote>
  <w:footnote w:id="2398">
    <w:p>
      <w:pPr>
        <w:pStyle w:val="FootnoteText"/>
      </w:pPr>
      <w:r>
        <w:rPr>
          <w:rStyle w:val="FootnoteReference"/>
        </w:rPr>
        <w:footnoteRef/>
      </w:r>
      <w:r>
        <w:t xml:space="preserve"> </w:t>
      </w:r>
      <w:r>
        <w:t xml:space="preserve">NCT00924157.</w:t>
      </w:r>
    </w:p>
  </w:footnote>
  <w:footnote w:id="2403">
    <w:p>
      <w:pPr>
        <w:pStyle w:val="FootnoteText"/>
      </w:pPr>
      <w:r>
        <w:rPr>
          <w:rStyle w:val="FootnoteReference"/>
        </w:rPr>
        <w:footnoteRef/>
      </w:r>
      <w:r>
        <w:t xml:space="preserve"> </w:t>
      </w:r>
      <w:r>
        <w:t xml:space="preserve">Baguet 2010, PMID 20671038.</w:t>
      </w:r>
    </w:p>
  </w:footnote>
  <w:footnote w:id="2404">
    <w:p>
      <w:pPr>
        <w:pStyle w:val="FootnoteText"/>
      </w:pPr>
      <w:r>
        <w:rPr>
          <w:rStyle w:val="FootnoteReference"/>
        </w:rPr>
        <w:footnoteRef/>
      </w:r>
      <w:r>
        <w:t xml:space="preserve"> </w:t>
      </w:r>
      <w:r>
        <w:t xml:space="preserve">Gardner 1991, PMID 1910085.</w:t>
      </w:r>
    </w:p>
  </w:footnote>
  <w:footnote w:id="2405">
    <w:p>
      <w:pPr>
        <w:pStyle w:val="FootnoteText"/>
      </w:pPr>
      <w:r>
        <w:rPr>
          <w:rStyle w:val="FootnoteReference"/>
        </w:rPr>
        <w:footnoteRef/>
      </w:r>
      <w:r>
        <w:t xml:space="preserve"> </w:t>
      </w:r>
      <w:r>
        <w:t xml:space="preserve">Baba 2024, PMID 39215872.</w:t>
      </w:r>
    </w:p>
  </w:footnote>
  <w:footnote w:id="2407">
    <w:p>
      <w:pPr>
        <w:pStyle w:val="FootnoteText"/>
      </w:pPr>
      <w:r>
        <w:rPr>
          <w:rStyle w:val="FootnoteReference"/>
        </w:rPr>
        <w:footnoteRef/>
      </w:r>
      <w:r>
        <w:t xml:space="preserve"> </w:t>
      </w:r>
      <w:r>
        <w:t xml:space="preserve">Harris 2006, PMID 16554972.</w:t>
      </w:r>
    </w:p>
  </w:footnote>
  <w:footnote w:id="2408">
    <w:p>
      <w:pPr>
        <w:pStyle w:val="FootnoteText"/>
      </w:pPr>
      <w:r>
        <w:rPr>
          <w:rStyle w:val="FootnoteReference"/>
        </w:rPr>
        <w:footnoteRef/>
      </w:r>
      <w:r>
        <w:t xml:space="preserve"> </w:t>
      </w:r>
      <w:r>
        <w:t xml:space="preserve">Yamaguchi 2021, PMID 33148972.</w:t>
      </w:r>
    </w:p>
  </w:footnote>
  <w:footnote w:id="2409">
    <w:p>
      <w:pPr>
        <w:pStyle w:val="FootnoteText"/>
      </w:pPr>
      <w:r>
        <w:rPr>
          <w:rStyle w:val="FootnoteReference"/>
        </w:rPr>
        <w:footnoteRef/>
      </w:r>
      <w:r>
        <w:t xml:space="preserve"> </w:t>
      </w:r>
      <w:r>
        <w:t xml:space="preserve">Rezende 2020, PMID 32922303.</w:t>
      </w:r>
    </w:p>
  </w:footnote>
  <w:footnote w:id="2412">
    <w:p>
      <w:pPr>
        <w:pStyle w:val="FootnoteText"/>
      </w:pPr>
      <w:r>
        <w:rPr>
          <w:rStyle w:val="FootnoteReference"/>
        </w:rPr>
        <w:footnoteRef/>
      </w:r>
      <w:r>
        <w:t xml:space="preserve"> </w:t>
      </w:r>
      <w:r>
        <w:t xml:space="preserve">Saunders 2017, PMID 27797728.</w:t>
      </w:r>
    </w:p>
  </w:footnote>
  <w:footnote w:id="2413">
    <w:p>
      <w:pPr>
        <w:pStyle w:val="FootnoteText"/>
      </w:pPr>
      <w:r>
        <w:rPr>
          <w:rStyle w:val="FootnoteReference"/>
        </w:rPr>
        <w:footnoteRef/>
      </w:r>
      <w:r>
        <w:t xml:space="preserve"> </w:t>
      </w:r>
      <w:r>
        <w:t xml:space="preserve">Derave 2007, PMID 17690198.</w:t>
      </w:r>
    </w:p>
  </w:footnote>
  <w:footnote w:id="2414">
    <w:p>
      <w:pPr>
        <w:pStyle w:val="FootnoteText"/>
      </w:pPr>
      <w:r>
        <w:rPr>
          <w:rStyle w:val="FootnoteReference"/>
        </w:rPr>
        <w:footnoteRef/>
      </w:r>
      <w:r>
        <w:t xml:space="preserve"> </w:t>
      </w:r>
      <w:r>
        <w:t xml:space="preserve">Chung 2014, PMID 24457999.</w:t>
      </w:r>
    </w:p>
  </w:footnote>
  <w:footnote w:id="2415">
    <w:p>
      <w:pPr>
        <w:pStyle w:val="FootnoteText"/>
      </w:pPr>
      <w:r>
        <w:rPr>
          <w:rStyle w:val="FootnoteReference"/>
        </w:rPr>
        <w:footnoteRef/>
      </w:r>
      <w:r>
        <w:t xml:space="preserve"> </w:t>
      </w:r>
      <w:r>
        <w:t xml:space="preserve">O’Toole 2026, PMID 42308284.</w:t>
      </w:r>
    </w:p>
  </w:footnote>
  <w:footnote w:id="2417">
    <w:p>
      <w:pPr>
        <w:pStyle w:val="FootnoteText"/>
      </w:pPr>
      <w:r>
        <w:rPr>
          <w:rStyle w:val="FootnoteReference"/>
        </w:rPr>
        <w:footnoteRef/>
      </w:r>
      <w:r>
        <w:t xml:space="preserve"> </w:t>
      </w:r>
      <w:r>
        <w:t xml:space="preserve">Peng 2020, PMID 31987255.</w:t>
      </w:r>
    </w:p>
  </w:footnote>
  <w:footnote w:id="2418">
    <w:p>
      <w:pPr>
        <w:pStyle w:val="FootnoteText"/>
      </w:pPr>
      <w:r>
        <w:rPr>
          <w:rStyle w:val="FootnoteReference"/>
        </w:rPr>
        <w:footnoteRef/>
      </w:r>
      <w:r>
        <w:t xml:space="preserve"> </w:t>
      </w:r>
      <w:r>
        <w:t xml:space="preserve">Matthews 2021, PMID 34333586.</w:t>
      </w:r>
    </w:p>
  </w:footnote>
  <w:footnote w:id="2419">
    <w:p>
      <w:pPr>
        <w:pStyle w:val="FootnoteText"/>
      </w:pPr>
      <w:r>
        <w:rPr>
          <w:rStyle w:val="FootnoteReference"/>
        </w:rPr>
        <w:footnoteRef/>
      </w:r>
      <w:r>
        <w:t xml:space="preserve"> </w:t>
      </w:r>
      <w:r>
        <w:t xml:space="preserve">Li 2025, PMID 40999397.</w:t>
      </w:r>
    </w:p>
  </w:footnote>
  <w:footnote w:id="2421">
    <w:p>
      <w:pPr>
        <w:pStyle w:val="FootnoteText"/>
      </w:pPr>
      <w:r>
        <w:rPr>
          <w:rStyle w:val="FootnoteReference"/>
        </w:rPr>
        <w:footnoteRef/>
      </w:r>
      <w:r>
        <w:t xml:space="preserve"> </w:t>
      </w:r>
      <w:r>
        <w:t xml:space="preserve">Saadati 2024, PMID 38086332.</w:t>
      </w:r>
    </w:p>
  </w:footnote>
  <w:footnote w:id="2423">
    <w:p>
      <w:pPr>
        <w:pStyle w:val="FootnoteText"/>
      </w:pPr>
      <w:r>
        <w:rPr>
          <w:rStyle w:val="FootnoteReference"/>
        </w:rPr>
        <w:footnoteRef/>
      </w:r>
      <w:r>
        <w:t xml:space="preserve"> </w:t>
      </w:r>
      <w:r>
        <w:t xml:space="preserve">Hisatsune 2016, PMID 26682691.</w:t>
      </w:r>
    </w:p>
  </w:footnote>
  <w:footnote w:id="2424">
    <w:p>
      <w:pPr>
        <w:pStyle w:val="FootnoteText"/>
      </w:pPr>
      <w:r>
        <w:rPr>
          <w:rStyle w:val="FootnoteReference"/>
        </w:rPr>
        <w:footnoteRef/>
      </w:r>
      <w:r>
        <w:t xml:space="preserve"> </w:t>
      </w:r>
      <w:r>
        <w:t xml:space="preserve">Masuoka 2019, PMID 31319510.</w:t>
      </w:r>
    </w:p>
  </w:footnote>
  <w:footnote w:id="2425">
    <w:p>
      <w:pPr>
        <w:pStyle w:val="FootnoteText"/>
      </w:pPr>
      <w:r>
        <w:rPr>
          <w:rStyle w:val="FootnoteReference"/>
        </w:rPr>
        <w:footnoteRef/>
      </w:r>
      <w:r>
        <w:t xml:space="preserve"> </w:t>
      </w:r>
      <w:r>
        <w:t xml:space="preserve">O’Toole 2025, PMID 39919936.</w:t>
      </w:r>
    </w:p>
  </w:footnote>
  <w:footnote w:id="2426">
    <w:p>
      <w:pPr>
        <w:pStyle w:val="FootnoteText"/>
      </w:pPr>
      <w:r>
        <w:rPr>
          <w:rStyle w:val="FootnoteReference"/>
        </w:rPr>
        <w:footnoteRef/>
      </w:r>
      <w:r>
        <w:t xml:space="preserve"> </w:t>
      </w:r>
      <w:r>
        <w:t xml:space="preserve">Hsiao 2026, PMID 42123986.</w:t>
      </w:r>
    </w:p>
  </w:footnote>
  <w:footnote w:id="2427">
    <w:p>
      <w:pPr>
        <w:pStyle w:val="FootnoteText"/>
      </w:pPr>
      <w:r>
        <w:rPr>
          <w:rStyle w:val="FootnoteReference"/>
        </w:rPr>
        <w:footnoteRef/>
      </w:r>
      <w:r>
        <w:t xml:space="preserve"> </w:t>
      </w:r>
      <w:r>
        <w:t xml:space="preserve">Kabthymer 2025, PMID 38545720.</w:t>
      </w:r>
    </w:p>
  </w:footnote>
  <w:footnote w:id="2428">
    <w:p>
      <w:pPr>
        <w:pStyle w:val="FootnoteText"/>
      </w:pPr>
      <w:r>
        <w:rPr>
          <w:rStyle w:val="FootnoteReference"/>
        </w:rPr>
        <w:footnoteRef/>
      </w:r>
      <w:r>
        <w:t xml:space="preserve"> </w:t>
      </w:r>
      <w:r>
        <w:t xml:space="preserve">Chez 2002, PMID 12585724.</w:t>
      </w:r>
    </w:p>
  </w:footnote>
  <w:footnote w:id="2429">
    <w:p>
      <w:pPr>
        <w:pStyle w:val="FootnoteText"/>
      </w:pPr>
      <w:r>
        <w:rPr>
          <w:rStyle w:val="FootnoteReference"/>
        </w:rPr>
        <w:footnoteRef/>
      </w:r>
      <w:r>
        <w:t xml:space="preserve"> </w:t>
      </w:r>
      <w:r>
        <w:t xml:space="preserve">Abraham 2020, PMID 33170378.</w:t>
      </w:r>
    </w:p>
  </w:footnote>
  <w:footnote w:id="2431">
    <w:p>
      <w:pPr>
        <w:pStyle w:val="FootnoteText"/>
      </w:pPr>
      <w:r>
        <w:rPr>
          <w:rStyle w:val="FootnoteReference"/>
        </w:rPr>
        <w:footnoteRef/>
      </w:r>
      <w:r>
        <w:t xml:space="preserve"> </w:t>
      </w:r>
      <w:r>
        <w:t xml:space="preserve">Yehia 2019, PMID 30592963.</w:t>
      </w:r>
    </w:p>
  </w:footnote>
  <w:footnote w:id="2432">
    <w:p>
      <w:pPr>
        <w:pStyle w:val="FootnoteText"/>
      </w:pPr>
      <w:r>
        <w:rPr>
          <w:rStyle w:val="FootnoteReference"/>
        </w:rPr>
        <w:footnoteRef/>
      </w:r>
      <w:r>
        <w:t xml:space="preserve"> </w:t>
      </w:r>
      <w:r>
        <w:t xml:space="preserve">Lombardi 2015, PMID 25287762.</w:t>
      </w:r>
    </w:p>
  </w:footnote>
  <w:footnote w:id="2433">
    <w:p>
      <w:pPr>
        <w:pStyle w:val="FootnoteText"/>
      </w:pPr>
      <w:r>
        <w:rPr>
          <w:rStyle w:val="FootnoteReference"/>
        </w:rPr>
        <w:footnoteRef/>
      </w:r>
      <w:r>
        <w:t xml:space="preserve"> </w:t>
      </w:r>
      <w:r>
        <w:t xml:space="preserve">Baraniuk 2013, PMID 23618477.</w:t>
      </w:r>
    </w:p>
  </w:footnote>
  <w:footnote w:id="2434">
    <w:p>
      <w:pPr>
        <w:pStyle w:val="FootnoteText"/>
      </w:pPr>
      <w:r>
        <w:rPr>
          <w:rStyle w:val="FootnoteReference"/>
        </w:rPr>
        <w:footnoteRef/>
      </w:r>
      <w:r>
        <w:t xml:space="preserve"> </w:t>
      </w:r>
      <w:r>
        <w:t xml:space="preserve">Babizhayev 2012, PMID 21756141.</w:t>
      </w:r>
    </w:p>
  </w:footnote>
  <w:footnote w:id="2436">
    <w:p>
      <w:pPr>
        <w:pStyle w:val="FootnoteText"/>
      </w:pPr>
      <w:r>
        <w:rPr>
          <w:rStyle w:val="FootnoteReference"/>
        </w:rPr>
        <w:footnoteRef/>
      </w:r>
      <w:r>
        <w:t xml:space="preserve"> </w:t>
      </w:r>
      <w:r>
        <w:t xml:space="preserve">Shen 2022, PMID 35999163.</w:t>
      </w:r>
    </w:p>
  </w:footnote>
  <w:footnote w:id="2437">
    <w:p>
      <w:pPr>
        <w:pStyle w:val="FootnoteText"/>
      </w:pPr>
      <w:r>
        <w:rPr>
          <w:rStyle w:val="FootnoteReference"/>
        </w:rPr>
        <w:footnoteRef/>
      </w:r>
      <w:r>
        <w:t xml:space="preserve"> </w:t>
      </w:r>
      <w:r>
        <w:t xml:space="preserve">Dubois 2017, PMID 28245346.</w:t>
      </w:r>
    </w:p>
  </w:footnote>
  <w:footnote w:id="2440">
    <w:p>
      <w:pPr>
        <w:pStyle w:val="FootnoteText"/>
      </w:pPr>
      <w:r>
        <w:rPr>
          <w:rStyle w:val="FootnoteReference"/>
        </w:rPr>
        <w:footnoteRef/>
      </w:r>
      <w:r>
        <w:t xml:space="preserve"> </w:t>
      </w:r>
      <w:r>
        <w:t xml:space="preserve">Matthews 2021, PMID 34333586.</w:t>
      </w:r>
    </w:p>
  </w:footnote>
  <w:footnote w:id="2441">
    <w:p>
      <w:pPr>
        <w:pStyle w:val="FootnoteText"/>
      </w:pPr>
      <w:r>
        <w:rPr>
          <w:rStyle w:val="FootnoteReference"/>
        </w:rPr>
        <w:footnoteRef/>
      </w:r>
      <w:r>
        <w:t xml:space="preserve"> </w:t>
      </w:r>
      <w:r>
        <w:t xml:space="preserve">Qiu 2020, PMID 32803273.</w:t>
      </w:r>
    </w:p>
  </w:footnote>
  <w:footnote w:id="2443">
    <w:p>
      <w:pPr>
        <w:pStyle w:val="FootnoteText"/>
      </w:pPr>
      <w:r>
        <w:rPr>
          <w:rStyle w:val="FootnoteReference"/>
        </w:rPr>
        <w:footnoteRef/>
      </w:r>
      <w:r>
        <w:t xml:space="preserve"> </w:t>
      </w:r>
      <w:r>
        <w:t xml:space="preserve">Baba 2024, PMID 39215872.</w:t>
      </w:r>
    </w:p>
  </w:footnote>
  <w:footnote w:id="2444">
    <w:p>
      <w:pPr>
        <w:pStyle w:val="FootnoteText"/>
      </w:pPr>
      <w:r>
        <w:rPr>
          <w:rStyle w:val="FootnoteReference"/>
        </w:rPr>
        <w:footnoteRef/>
      </w:r>
      <w:r>
        <w:t xml:space="preserve"> </w:t>
      </w:r>
      <w:r>
        <w:t xml:space="preserve">Dolan 2019, PMID 30980076.</w:t>
      </w:r>
    </w:p>
  </w:footnote>
  <w:footnote w:id="2447">
    <w:p>
      <w:pPr>
        <w:pStyle w:val="FootnoteText"/>
      </w:pPr>
      <w:r>
        <w:rPr>
          <w:rStyle w:val="FootnoteReference"/>
        </w:rPr>
        <w:footnoteRef/>
      </w:r>
      <w:r>
        <w:t xml:space="preserve"> </w:t>
      </w:r>
      <w:r>
        <w:t xml:space="preserve">NCT06480760.</w:t>
      </w:r>
    </w:p>
  </w:footnote>
  <w:footnote w:id="2448">
    <w:p>
      <w:pPr>
        <w:pStyle w:val="FootnoteText"/>
      </w:pPr>
      <w:r>
        <w:rPr>
          <w:rStyle w:val="FootnoteReference"/>
        </w:rPr>
        <w:footnoteRef/>
      </w:r>
      <w:r>
        <w:t xml:space="preserve"> </w:t>
      </w:r>
      <w:r>
        <w:t xml:space="preserve">NCT07475546.</w:t>
      </w:r>
    </w:p>
  </w:footnote>
  <w:footnote w:id="2449">
    <w:p>
      <w:pPr>
        <w:pStyle w:val="FootnoteText"/>
      </w:pPr>
      <w:r>
        <w:rPr>
          <w:rStyle w:val="FootnoteReference"/>
        </w:rPr>
        <w:footnoteRef/>
      </w:r>
      <w:r>
        <w:t xml:space="preserve"> </w:t>
      </w:r>
      <w:r>
        <w:t xml:space="preserve">NCT03314987.</w:t>
      </w:r>
    </w:p>
  </w:footnote>
  <w:footnote w:id="2453">
    <w:p>
      <w:pPr>
        <w:pStyle w:val="FootnoteText"/>
      </w:pPr>
      <w:r>
        <w:rPr>
          <w:rStyle w:val="FootnoteReference"/>
        </w:rPr>
        <w:footnoteRef/>
      </w:r>
      <w:r>
        <w:t xml:space="preserve"> </w:t>
      </w:r>
      <w:r>
        <w:t xml:space="preserve">Pickart 1973, PMID 4349963.</w:t>
      </w:r>
    </w:p>
  </w:footnote>
  <w:footnote w:id="2455">
    <w:p>
      <w:pPr>
        <w:pStyle w:val="FootnoteText"/>
      </w:pPr>
      <w:r>
        <w:rPr>
          <w:rStyle w:val="FootnoteReference"/>
        </w:rPr>
        <w:footnoteRef/>
      </w:r>
      <w:r>
        <w:t xml:space="preserve"> </w:t>
      </w:r>
      <w:r>
        <w:t xml:space="preserve">Pickart 1980, PMID 7453802.</w:t>
      </w:r>
    </w:p>
  </w:footnote>
  <w:footnote w:id="2456">
    <w:p>
      <w:pPr>
        <w:pStyle w:val="FootnoteText"/>
      </w:pPr>
      <w:r>
        <w:rPr>
          <w:rStyle w:val="FootnoteReference"/>
        </w:rPr>
        <w:footnoteRef/>
      </w:r>
      <w:r>
        <w:t xml:space="preserve"> </w:t>
      </w:r>
      <w:r>
        <w:t xml:space="preserve">Maquart 1988, PMID 3169264.</w:t>
      </w:r>
    </w:p>
  </w:footnote>
  <w:footnote w:id="2457">
    <w:p>
      <w:pPr>
        <w:pStyle w:val="FootnoteText"/>
      </w:pPr>
      <w:r>
        <w:rPr>
          <w:rStyle w:val="FootnoteReference"/>
        </w:rPr>
        <w:footnoteRef/>
      </w:r>
      <w:r>
        <w:t xml:space="preserve"> </w:t>
      </w:r>
      <w:r>
        <w:t xml:space="preserve">Pickart 2015, PMID 26236730 ; Pickart 2018, PMID 29986520.</w:t>
      </w:r>
    </w:p>
  </w:footnote>
  <w:footnote w:id="2458">
    <w:p>
      <w:pPr>
        <w:pStyle w:val="FootnoteText"/>
      </w:pPr>
      <w:r>
        <w:rPr>
          <w:rStyle w:val="FootnoteReference"/>
        </w:rPr>
        <w:footnoteRef/>
      </w:r>
      <w:r>
        <w:t xml:space="preserve"> </w:t>
      </w:r>
      <w:r>
        <w:t xml:space="preserve">Mortazavi 2025, PMID 39963574.</w:t>
      </w:r>
    </w:p>
  </w:footnote>
  <w:footnote w:id="2459">
    <w:p>
      <w:pPr>
        <w:pStyle w:val="FootnoteText"/>
      </w:pPr>
      <w:r>
        <w:rPr>
          <w:rStyle w:val="FootnoteReference"/>
        </w:rPr>
        <w:footnoteRef/>
      </w:r>
      <w:r>
        <w:t xml:space="preserve"> </w:t>
      </w:r>
      <w:r>
        <w:t xml:space="preserve">Trzaska 2026, PMID 42790608.</w:t>
      </w:r>
    </w:p>
  </w:footnote>
  <w:footnote w:id="2462">
    <w:p>
      <w:pPr>
        <w:pStyle w:val="FootnoteText"/>
      </w:pPr>
      <w:r>
        <w:rPr>
          <w:rStyle w:val="FootnoteReference"/>
        </w:rPr>
        <w:footnoteRef/>
      </w:r>
      <w:r>
        <w:t xml:space="preserve"> </w:t>
      </w:r>
      <w:r>
        <w:t xml:space="preserve">Nukaly 2026, PMID 41924746.</w:t>
      </w:r>
    </w:p>
  </w:footnote>
  <w:footnote w:id="2463">
    <w:p>
      <w:pPr>
        <w:pStyle w:val="FootnoteText"/>
      </w:pPr>
      <w:r>
        <w:rPr>
          <w:rStyle w:val="FootnoteReference"/>
        </w:rPr>
        <w:footnoteRef/>
      </w:r>
      <w:r>
        <w:t xml:space="preserve"> </w:t>
      </w:r>
      <w:r>
        <w:t xml:space="preserve">Mayfield 2026, PMID 41476424.</w:t>
      </w:r>
    </w:p>
  </w:footnote>
  <w:footnote w:id="2464">
    <w:p>
      <w:pPr>
        <w:pStyle w:val="FootnoteText"/>
      </w:pPr>
      <w:r>
        <w:rPr>
          <w:rStyle w:val="FootnoteReference"/>
        </w:rPr>
        <w:footnoteRef/>
      </w:r>
      <w:r>
        <w:t xml:space="preserve"> </w:t>
      </w:r>
      <w:r>
        <w:t xml:space="preserve">Mendias 2026, PMID 41966639.</w:t>
      </w:r>
    </w:p>
  </w:footnote>
  <w:footnote w:id="2466">
    <w:p>
      <w:pPr>
        <w:pStyle w:val="FootnoteText"/>
      </w:pPr>
      <w:r>
        <w:rPr>
          <w:rStyle w:val="FootnoteReference"/>
        </w:rPr>
        <w:footnoteRef/>
      </w:r>
      <w:r>
        <w:t xml:space="preserve"> </w:t>
      </w:r>
      <w:r>
        <w:t xml:space="preserve">Maquart 1988, PMID 3169264.</w:t>
      </w:r>
    </w:p>
  </w:footnote>
  <w:footnote w:id="2467">
    <w:p>
      <w:pPr>
        <w:pStyle w:val="FootnoteText"/>
      </w:pPr>
      <w:r>
        <w:rPr>
          <w:rStyle w:val="FootnoteReference"/>
        </w:rPr>
        <w:footnoteRef/>
      </w:r>
      <w:r>
        <w:t xml:space="preserve"> </w:t>
      </w:r>
      <w:r>
        <w:t xml:space="preserve">Canapp 2003, PMID 14648529.</w:t>
      </w:r>
    </w:p>
  </w:footnote>
  <w:footnote w:id="2468">
    <w:p>
      <w:pPr>
        <w:pStyle w:val="FootnoteText"/>
      </w:pPr>
      <w:r>
        <w:rPr>
          <w:rStyle w:val="FootnoteReference"/>
        </w:rPr>
        <w:footnoteRef/>
      </w:r>
      <w:r>
        <w:t xml:space="preserve"> </w:t>
      </w:r>
      <w:r>
        <w:t xml:space="preserve">Wang 2017, PMID 28370978.</w:t>
      </w:r>
    </w:p>
  </w:footnote>
  <w:footnote w:id="2469">
    <w:p>
      <w:pPr>
        <w:pStyle w:val="FootnoteText"/>
      </w:pPr>
      <w:r>
        <w:rPr>
          <w:rStyle w:val="FootnoteReference"/>
        </w:rPr>
        <w:footnoteRef/>
      </w:r>
      <w:r>
        <w:t xml:space="preserve"> </w:t>
      </w:r>
      <w:r>
        <w:t xml:space="preserve">Ma 2020, PMID 31809714.</w:t>
      </w:r>
    </w:p>
  </w:footnote>
  <w:footnote w:id="2470">
    <w:p>
      <w:pPr>
        <w:pStyle w:val="FootnoteText"/>
      </w:pPr>
      <w:r>
        <w:rPr>
          <w:rStyle w:val="FootnoteReference"/>
        </w:rPr>
        <w:footnoteRef/>
      </w:r>
      <w:r>
        <w:t xml:space="preserve"> </w:t>
      </w:r>
      <w:r>
        <w:t xml:space="preserve">Fu 2015, PMID 25731775.</w:t>
      </w:r>
    </w:p>
  </w:footnote>
  <w:footnote w:id="2471">
    <w:p>
      <w:pPr>
        <w:pStyle w:val="FootnoteText"/>
      </w:pPr>
      <w:r>
        <w:rPr>
          <w:rStyle w:val="FootnoteReference"/>
        </w:rPr>
        <w:footnoteRef/>
      </w:r>
      <w:r>
        <w:t xml:space="preserve"> </w:t>
      </w:r>
      <w:r>
        <w:t xml:space="preserve">Mazzola 2026, PMID 42245779.</w:t>
      </w:r>
    </w:p>
  </w:footnote>
  <w:footnote w:id="2473">
    <w:p>
      <w:pPr>
        <w:pStyle w:val="FootnoteText"/>
      </w:pPr>
      <w:r>
        <w:rPr>
          <w:rStyle w:val="FootnoteReference"/>
        </w:rPr>
        <w:footnoteRef/>
      </w:r>
      <w:r>
        <w:t xml:space="preserve"> </w:t>
      </w:r>
      <w:r>
        <w:t xml:space="preserve">Pickart 1980, PMID 7453802.</w:t>
      </w:r>
    </w:p>
  </w:footnote>
  <w:footnote w:id="2474">
    <w:p>
      <w:pPr>
        <w:pStyle w:val="FootnoteText"/>
      </w:pPr>
      <w:r>
        <w:rPr>
          <w:rStyle w:val="FootnoteReference"/>
        </w:rPr>
        <w:footnoteRef/>
      </w:r>
      <w:r>
        <w:t xml:space="preserve"> </w:t>
      </w:r>
      <w:r>
        <w:t xml:space="preserve">Moiz 2026, PMID 42757290.</w:t>
      </w:r>
    </w:p>
  </w:footnote>
  <w:footnote w:id="2477">
    <w:p>
      <w:pPr>
        <w:pStyle w:val="FootnoteText"/>
      </w:pPr>
      <w:r>
        <w:rPr>
          <w:rStyle w:val="FootnoteReference"/>
        </w:rPr>
        <w:footnoteRef/>
      </w:r>
      <w:r>
        <w:t xml:space="preserve"> </w:t>
      </w:r>
      <w:r>
        <w:t xml:space="preserve">NCT07706361.</w:t>
      </w:r>
    </w:p>
  </w:footnote>
  <w:footnote w:id="2482">
    <w:p>
      <w:pPr>
        <w:pStyle w:val="FootnoteText"/>
      </w:pPr>
      <w:r>
        <w:rPr>
          <w:rStyle w:val="FootnoteReference"/>
        </w:rPr>
        <w:footnoteRef/>
      </w:r>
      <w:r>
        <w:t xml:space="preserve"> </w:t>
      </w:r>
      <w:r>
        <w:t xml:space="preserve">Katayama 1993, PMID 8486721.</w:t>
      </w:r>
    </w:p>
  </w:footnote>
  <w:footnote w:id="2483">
    <w:p>
      <w:pPr>
        <w:pStyle w:val="FootnoteText"/>
      </w:pPr>
      <w:r>
        <w:rPr>
          <w:rStyle w:val="FootnoteReference"/>
        </w:rPr>
        <w:footnoteRef/>
      </w:r>
      <w:r>
        <w:t xml:space="preserve"> </w:t>
      </w:r>
      <w:r>
        <w:t xml:space="preserve">Jones 2013, PMID 23320752.</w:t>
      </w:r>
    </w:p>
  </w:footnote>
  <w:footnote w:id="2484">
    <w:p>
      <w:pPr>
        <w:pStyle w:val="FootnoteText"/>
      </w:pPr>
      <w:r>
        <w:rPr>
          <w:rStyle w:val="FootnoteReference"/>
        </w:rPr>
        <w:footnoteRef/>
      </w:r>
      <w:r>
        <w:t xml:space="preserve"> </w:t>
      </w:r>
      <w:r>
        <w:t xml:space="preserve">Trzaska 2026, PMID 42790608.</w:t>
      </w:r>
    </w:p>
  </w:footnote>
  <w:footnote w:id="2486">
    <w:p>
      <w:pPr>
        <w:pStyle w:val="FootnoteText"/>
      </w:pPr>
      <w:r>
        <w:rPr>
          <w:rStyle w:val="FootnoteReference"/>
        </w:rPr>
        <w:footnoteRef/>
      </w:r>
      <w:r>
        <w:t xml:space="preserve"> </w:t>
      </w:r>
      <w:r>
        <w:t xml:space="preserve">Kaczvinsky 2009, PMID 19735523.</w:t>
      </w:r>
    </w:p>
  </w:footnote>
  <w:footnote w:id="2487">
    <w:p>
      <w:pPr>
        <w:pStyle w:val="FootnoteText"/>
      </w:pPr>
      <w:r>
        <w:rPr>
          <w:rStyle w:val="FootnoteReference"/>
        </w:rPr>
        <w:footnoteRef/>
      </w:r>
      <w:r>
        <w:t xml:space="preserve"> </w:t>
      </w:r>
      <w:r>
        <w:t xml:space="preserve">Nukaly 2026, PMID 41924746.</w:t>
      </w:r>
    </w:p>
  </w:footnote>
  <w:footnote w:id="2489">
    <w:p>
      <w:pPr>
        <w:pStyle w:val="FootnoteText"/>
      </w:pPr>
      <w:r>
        <w:rPr>
          <w:rStyle w:val="FootnoteReference"/>
        </w:rPr>
        <w:footnoteRef/>
      </w:r>
      <w:r>
        <w:t xml:space="preserve"> </w:t>
      </w:r>
      <w:r>
        <w:t xml:space="preserve">Katayama 1993, PMID 8486721 ; Jones 2013, PMID 23320752.</w:t>
      </w:r>
    </w:p>
  </w:footnote>
  <w:footnote w:id="2490">
    <w:p>
      <w:pPr>
        <w:pStyle w:val="FootnoteText"/>
      </w:pPr>
      <w:r>
        <w:rPr>
          <w:rStyle w:val="FootnoteReference"/>
        </w:rPr>
        <w:footnoteRef/>
      </w:r>
      <w:r>
        <w:t xml:space="preserve"> </w:t>
      </w:r>
      <w:r>
        <w:t xml:space="preserve">Park 2017, PMID 30603464.</w:t>
      </w:r>
    </w:p>
  </w:footnote>
  <w:footnote w:id="2491">
    <w:p>
      <w:pPr>
        <w:pStyle w:val="FootnoteText"/>
      </w:pPr>
      <w:r>
        <w:rPr>
          <w:rStyle w:val="FootnoteReference"/>
        </w:rPr>
        <w:footnoteRef/>
      </w:r>
      <w:r>
        <w:t xml:space="preserve"> </w:t>
      </w:r>
      <w:r>
        <w:t xml:space="preserve">Kachooeian 2022, PMID 35874243.</w:t>
      </w:r>
    </w:p>
  </w:footnote>
  <w:footnote w:id="2493">
    <w:p>
      <w:pPr>
        <w:pStyle w:val="FootnoteText"/>
      </w:pPr>
      <w:r>
        <w:rPr>
          <w:rStyle w:val="FootnoteReference"/>
        </w:rPr>
        <w:footnoteRef/>
      </w:r>
      <w:r>
        <w:t xml:space="preserve"> </w:t>
      </w:r>
      <w:r>
        <w:t xml:space="preserve">Röper 2004, PMID 15127162.</w:t>
      </w:r>
    </w:p>
  </w:footnote>
  <w:footnote w:id="2494">
    <w:p>
      <w:pPr>
        <w:pStyle w:val="FootnoteText"/>
      </w:pPr>
      <w:r>
        <w:rPr>
          <w:rStyle w:val="FootnoteReference"/>
        </w:rPr>
        <w:footnoteRef/>
      </w:r>
      <w:r>
        <w:t xml:space="preserve"> </w:t>
      </w:r>
      <w:r>
        <w:t xml:space="preserve">Bjerke 2026, PMID 41953401.</w:t>
      </w:r>
    </w:p>
  </w:footnote>
  <w:footnote w:id="2501">
    <w:p>
      <w:pPr>
        <w:pStyle w:val="FootnoteText"/>
      </w:pPr>
      <w:r>
        <w:rPr>
          <w:rStyle w:val="FootnoteReference"/>
        </w:rPr>
        <w:footnoteRef/>
      </w:r>
      <w:r>
        <w:t xml:space="preserve"> </w:t>
      </w:r>
      <w:r>
        <w:t xml:space="preserve">Blanes-Mira 2002, PMID 18498523.</w:t>
      </w:r>
    </w:p>
  </w:footnote>
  <w:footnote w:id="2502">
    <w:p>
      <w:pPr>
        <w:pStyle w:val="FootnoteText"/>
      </w:pPr>
      <w:r>
        <w:rPr>
          <w:rStyle w:val="FootnoteReference"/>
        </w:rPr>
        <w:footnoteRef/>
      </w:r>
      <w:r>
        <w:t xml:space="preserve"> </w:t>
      </w:r>
      <w:r>
        <w:t xml:space="preserve">Kraeling 2015, PMID 24754410.</w:t>
      </w:r>
    </w:p>
  </w:footnote>
  <w:footnote w:id="2503">
    <w:p>
      <w:pPr>
        <w:pStyle w:val="FootnoteText"/>
      </w:pPr>
      <w:r>
        <w:rPr>
          <w:rStyle w:val="FootnoteReference"/>
        </w:rPr>
        <w:footnoteRef/>
      </w:r>
      <w:r>
        <w:t xml:space="preserve"> </w:t>
      </w:r>
      <w:r>
        <w:t xml:space="preserve">Zdrada-Nowak 2025, PMID 40565185.</w:t>
      </w:r>
    </w:p>
  </w:footnote>
  <w:footnote w:id="2505">
    <w:p>
      <w:pPr>
        <w:pStyle w:val="FootnoteText"/>
      </w:pPr>
      <w:r>
        <w:rPr>
          <w:rStyle w:val="FootnoteReference"/>
        </w:rPr>
        <w:footnoteRef/>
      </w:r>
      <w:r>
        <w:t xml:space="preserve"> </w:t>
      </w:r>
      <w:r>
        <w:t xml:space="preserve">Wang 2013, PMID 23607739.</w:t>
      </w:r>
    </w:p>
  </w:footnote>
  <w:footnote w:id="2506">
    <w:p>
      <w:pPr>
        <w:pStyle w:val="FootnoteText"/>
      </w:pPr>
      <w:r>
        <w:rPr>
          <w:rStyle w:val="FootnoteReference"/>
        </w:rPr>
        <w:footnoteRef/>
      </w:r>
      <w:r>
        <w:t xml:space="preserve"> </w:t>
      </w:r>
      <w:r>
        <w:t xml:space="preserve">NCT01750346.</w:t>
      </w:r>
    </w:p>
  </w:footnote>
  <w:footnote w:id="2507">
    <w:p>
      <w:pPr>
        <w:pStyle w:val="FootnoteText"/>
      </w:pPr>
      <w:r>
        <w:rPr>
          <w:rStyle w:val="FootnoteReference"/>
        </w:rPr>
        <w:footnoteRef/>
      </w:r>
      <w:r>
        <w:t xml:space="preserve"> </w:t>
      </w:r>
      <w:r>
        <w:t xml:space="preserve">An 2019, PMID 33911590.</w:t>
      </w:r>
    </w:p>
  </w:footnote>
  <w:footnote w:id="2508">
    <w:p>
      <w:pPr>
        <w:pStyle w:val="FootnoteText"/>
      </w:pPr>
      <w:r>
        <w:rPr>
          <w:rStyle w:val="FootnoteReference"/>
        </w:rPr>
        <w:footnoteRef/>
      </w:r>
      <w:r>
        <w:t xml:space="preserve"> </w:t>
      </w:r>
      <w:r>
        <w:t xml:space="preserve">NCT02597777.</w:t>
      </w:r>
    </w:p>
  </w:footnote>
  <w:footnote w:id="2509">
    <w:p>
      <w:pPr>
        <w:pStyle w:val="FootnoteText"/>
      </w:pPr>
      <w:r>
        <w:rPr>
          <w:rStyle w:val="FootnoteReference"/>
        </w:rPr>
        <w:footnoteRef/>
      </w:r>
      <w:r>
        <w:t xml:space="preserve"> </w:t>
      </w:r>
      <w:r>
        <w:t xml:space="preserve">NCT01381484.</w:t>
      </w:r>
    </w:p>
  </w:footnote>
  <w:footnote w:id="2512">
    <w:p>
      <w:pPr>
        <w:pStyle w:val="FootnoteText"/>
      </w:pPr>
      <w:r>
        <w:rPr>
          <w:rStyle w:val="FootnoteReference"/>
        </w:rPr>
        <w:footnoteRef/>
      </w:r>
      <w:r>
        <w:t xml:space="preserve"> </w:t>
      </w:r>
      <w:r>
        <w:t xml:space="preserve">Blanes-Mira 2002, PMID 18498523.</w:t>
      </w:r>
    </w:p>
  </w:footnote>
  <w:footnote w:id="2513">
    <w:p>
      <w:pPr>
        <w:pStyle w:val="FootnoteText"/>
      </w:pPr>
      <w:r>
        <w:rPr>
          <w:rStyle w:val="FootnoteReference"/>
        </w:rPr>
        <w:footnoteRef/>
      </w:r>
      <w:r>
        <w:t xml:space="preserve"> </w:t>
      </w:r>
      <w:r>
        <w:t xml:space="preserve">Grosicki 2014, PMID 24644551.</w:t>
      </w:r>
    </w:p>
  </w:footnote>
  <w:footnote w:id="2514">
    <w:p>
      <w:pPr>
        <w:pStyle w:val="FootnoteText"/>
      </w:pPr>
      <w:r>
        <w:rPr>
          <w:rStyle w:val="FootnoteReference"/>
        </w:rPr>
        <w:footnoteRef/>
      </w:r>
      <w:r>
        <w:t xml:space="preserve"> </w:t>
      </w:r>
      <w:r>
        <w:t xml:space="preserve">Wang 2013, PMID 23464592.</w:t>
      </w:r>
    </w:p>
  </w:footnote>
  <w:footnote w:id="2515">
    <w:p>
      <w:pPr>
        <w:pStyle w:val="FootnoteText"/>
      </w:pPr>
      <w:r>
        <w:rPr>
          <w:rStyle w:val="FootnoteReference"/>
        </w:rPr>
        <w:footnoteRef/>
      </w:r>
      <w:r>
        <w:t xml:space="preserve"> </w:t>
      </w:r>
      <w:r>
        <w:t xml:space="preserve">Kraeling 2015, PMID 24754410.</w:t>
      </w:r>
    </w:p>
  </w:footnote>
  <w:footnote w:id="2517">
    <w:p>
      <w:pPr>
        <w:pStyle w:val="FootnoteText"/>
      </w:pPr>
      <w:r>
        <w:rPr>
          <w:rStyle w:val="FootnoteReference"/>
        </w:rPr>
        <w:footnoteRef/>
      </w:r>
      <w:r>
        <w:t xml:space="preserve"> </w:t>
      </w:r>
      <w:r>
        <w:t xml:space="preserve">Johnson 2025, PMID 40673537.</w:t>
      </w:r>
    </w:p>
  </w:footnote>
  <w:footnote w:id="2518">
    <w:p>
      <w:pPr>
        <w:pStyle w:val="FootnoteText"/>
      </w:pPr>
      <w:r>
        <w:rPr>
          <w:rStyle w:val="FootnoteReference"/>
        </w:rPr>
        <w:footnoteRef/>
      </w:r>
      <w:r>
        <w:t xml:space="preserve"> </w:t>
      </w:r>
      <w:r>
        <w:t xml:space="preserve">Chen 2021, PMID 33748252.</w:t>
      </w:r>
    </w:p>
  </w:footnote>
  <w:footnote w:id="2539">
    <w:p>
      <w:pPr>
        <w:pStyle w:val="FootnoteText"/>
      </w:pPr>
      <w:r>
        <w:rPr>
          <w:rStyle w:val="FootnoteReference"/>
        </w:rPr>
        <w:footnoteRef/>
      </w:r>
      <w:r>
        <w:t xml:space="preserve"> </w:t>
      </w:r>
      <w:r>
        <w:t xml:space="preserve">Gao 2026, PMID 42251595.</w:t>
      </w:r>
    </w:p>
  </w:footnote>
  <w:footnote w:id="2540">
    <w:p>
      <w:pPr>
        <w:pStyle w:val="FootnoteText"/>
      </w:pPr>
      <w:r>
        <w:rPr>
          <w:rStyle w:val="FootnoteReference"/>
        </w:rPr>
        <w:footnoteRef/>
      </w:r>
      <w:r>
        <w:t xml:space="preserve"> </w:t>
      </w:r>
      <w:r>
        <w:t xml:space="preserve">NCT06662383.</w:t>
      </w:r>
    </w:p>
  </w:footnote>
  <w:footnote w:id="2542">
    <w:p>
      <w:pPr>
        <w:pStyle w:val="FootnoteText"/>
      </w:pPr>
      <w:r>
        <w:rPr>
          <w:rStyle w:val="FootnoteReference"/>
        </w:rPr>
        <w:footnoteRef/>
      </w:r>
      <w:r>
        <w:t xml:space="preserve"> </w:t>
      </w:r>
      <w:r>
        <w:t xml:space="preserve">Rubino 2021, PMID 33755728.</w:t>
      </w:r>
    </w:p>
  </w:footnote>
  <w:footnote w:id="2543">
    <w:p>
      <w:pPr>
        <w:pStyle w:val="FootnoteText"/>
      </w:pPr>
      <w:r>
        <w:rPr>
          <w:rStyle w:val="FootnoteReference"/>
        </w:rPr>
        <w:footnoteRef/>
      </w:r>
      <w:r>
        <w:t xml:space="preserve"> </w:t>
      </w:r>
      <w:r>
        <w:t xml:space="preserve">Aronne 2024, PMID 38078870.</w:t>
      </w:r>
    </w:p>
  </w:footnote>
  <w:footnote w:id="2546">
    <w:p>
      <w:pPr>
        <w:pStyle w:val="FootnoteText"/>
      </w:pPr>
      <w:r>
        <w:rPr>
          <w:rStyle w:val="FootnoteReference"/>
        </w:rPr>
        <w:footnoteRef/>
      </w:r>
      <w:r>
        <w:t xml:space="preserve"> </w:t>
      </w:r>
      <w:r>
        <w:t xml:space="preserve">Edelman 2006, PMID 17003291.</w:t>
      </w:r>
    </w:p>
  </w:footnote>
  <w:footnote w:id="2548">
    <w:p>
      <w:pPr>
        <w:pStyle w:val="FootnoteText"/>
      </w:pPr>
      <w:r>
        <w:rPr>
          <w:rStyle w:val="FootnoteReference"/>
        </w:rPr>
        <w:footnoteRef/>
      </w:r>
      <w:r>
        <w:t xml:space="preserve"> </w:t>
      </w:r>
      <w:r>
        <w:t xml:space="preserve">Kristensen 2019, PMID 31422062.</w:t>
      </w:r>
    </w:p>
  </w:footnote>
  <w:footnote w:id="2549">
    <w:p>
      <w:pPr>
        <w:pStyle w:val="FootnoteText"/>
      </w:pPr>
      <w:r>
        <w:rPr>
          <w:rStyle w:val="FootnoteReference"/>
        </w:rPr>
        <w:footnoteRef/>
      </w:r>
      <w:r>
        <w:t xml:space="preserve"> </w:t>
      </w:r>
      <w:r>
        <w:t xml:space="preserve">Kosiborod 2023, PMID 37622681.</w:t>
      </w:r>
    </w:p>
  </w:footnote>
  <w:footnote w:id="2550">
    <w:p>
      <w:pPr>
        <w:pStyle w:val="FootnoteText"/>
      </w:pPr>
      <w:r>
        <w:rPr>
          <w:rStyle w:val="FootnoteReference"/>
        </w:rPr>
        <w:footnoteRef/>
      </w:r>
      <w:r>
        <w:t xml:space="preserve"> </w:t>
      </w:r>
      <w:r>
        <w:t xml:space="preserve">NCT05556512.</w:t>
      </w:r>
    </w:p>
  </w:footnote>
  <w:footnote w:id="2551">
    <w:p>
      <w:pPr>
        <w:pStyle w:val="FootnoteText"/>
      </w:pPr>
      <w:r>
        <w:rPr>
          <w:rStyle w:val="FootnoteReference"/>
        </w:rPr>
        <w:footnoteRef/>
      </w:r>
      <w:r>
        <w:t xml:space="preserve"> </w:t>
      </w:r>
      <w:r>
        <w:t xml:space="preserve">NCT06383390.</w:t>
      </w:r>
    </w:p>
  </w:footnote>
  <w:footnote w:id="2552">
    <w:p>
      <w:pPr>
        <w:pStyle w:val="FootnoteText"/>
      </w:pPr>
      <w:r>
        <w:rPr>
          <w:rStyle w:val="FootnoteReference"/>
        </w:rPr>
        <w:footnoteRef/>
      </w:r>
      <w:r>
        <w:t xml:space="preserve"> </w:t>
      </w:r>
      <w:r>
        <w:t xml:space="preserve">NCT05669755.</w:t>
      </w:r>
    </w:p>
  </w:footnote>
  <w:footnote w:id="2553">
    <w:p>
      <w:pPr>
        <w:pStyle w:val="FootnoteText"/>
      </w:pPr>
      <w:r>
        <w:rPr>
          <w:rStyle w:val="FootnoteReference"/>
        </w:rPr>
        <w:footnoteRef/>
      </w:r>
      <w:r>
        <w:t xml:space="preserve"> </w:t>
      </w:r>
      <w:r>
        <w:t xml:space="preserve">NCT07037433.</w:t>
      </w:r>
    </w:p>
  </w:footnote>
  <w:footnote w:id="2554">
    <w:p>
      <w:pPr>
        <w:pStyle w:val="FootnoteText"/>
      </w:pPr>
      <w:r>
        <w:rPr>
          <w:rStyle w:val="FootnoteReference"/>
        </w:rPr>
        <w:footnoteRef/>
      </w:r>
      <w:r>
        <w:t xml:space="preserve"> </w:t>
      </w:r>
      <w:r>
        <w:t xml:space="preserve">NCT07241390.</w:t>
      </w:r>
    </w:p>
  </w:footnote>
  <w:footnote w:id="2556">
    <w:p>
      <w:pPr>
        <w:pStyle w:val="FootnoteText"/>
      </w:pPr>
      <w:r>
        <w:rPr>
          <w:rStyle w:val="FootnoteReference"/>
        </w:rPr>
        <w:footnoteRef/>
      </w:r>
      <w:r>
        <w:t xml:space="preserve"> </w:t>
      </w:r>
      <w:r>
        <w:t xml:space="preserve">Perkovic 2024, PMID 38785209.</w:t>
      </w:r>
    </w:p>
  </w:footnote>
  <w:footnote w:id="2557">
    <w:p>
      <w:pPr>
        <w:pStyle w:val="FootnoteText"/>
      </w:pPr>
      <w:r>
        <w:rPr>
          <w:rStyle w:val="FootnoteReference"/>
        </w:rPr>
        <w:footnoteRef/>
      </w:r>
      <w:r>
        <w:t xml:space="preserve"> </w:t>
      </w:r>
      <w:r>
        <w:t xml:space="preserve">Mann 2017, PMID 28854085.</w:t>
      </w:r>
    </w:p>
  </w:footnote>
  <w:footnote w:id="2558">
    <w:p>
      <w:pPr>
        <w:pStyle w:val="FootnoteText"/>
      </w:pPr>
      <w:r>
        <w:rPr>
          <w:rStyle w:val="FootnoteReference"/>
        </w:rPr>
        <w:footnoteRef/>
      </w:r>
      <w:r>
        <w:t xml:space="preserve"> </w:t>
      </w:r>
      <w:r>
        <w:t xml:space="preserve">Gerstein 2019, PMID 31189509.</w:t>
      </w:r>
    </w:p>
  </w:footnote>
  <w:footnote w:id="2559">
    <w:p>
      <w:pPr>
        <w:pStyle w:val="FootnoteText"/>
      </w:pPr>
      <w:r>
        <w:rPr>
          <w:rStyle w:val="FootnoteReference"/>
        </w:rPr>
        <w:footnoteRef/>
      </w:r>
      <w:r>
        <w:t xml:space="preserve"> </w:t>
      </w:r>
      <w:r>
        <w:t xml:space="preserve">Kristensen 2019, PMID 31422062.</w:t>
      </w:r>
    </w:p>
  </w:footnote>
  <w:footnote w:id="2560">
    <w:p>
      <w:pPr>
        <w:pStyle w:val="FootnoteText"/>
      </w:pPr>
      <w:r>
        <w:rPr>
          <w:rStyle w:val="FootnoteReference"/>
        </w:rPr>
        <w:footnoteRef/>
      </w:r>
      <w:r>
        <w:t xml:space="preserve"> </w:t>
      </w:r>
      <w:r>
        <w:t xml:space="preserve">McGuire 2025, PMID 40162642.</w:t>
      </w:r>
    </w:p>
  </w:footnote>
  <w:footnote w:id="2561">
    <w:p>
      <w:pPr>
        <w:pStyle w:val="FootnoteText"/>
      </w:pPr>
      <w:r>
        <w:rPr>
          <w:rStyle w:val="FootnoteReference"/>
        </w:rPr>
        <w:footnoteRef/>
      </w:r>
      <w:r>
        <w:t xml:space="preserve"> </w:t>
      </w:r>
      <w:r>
        <w:t xml:space="preserve">NCT06632444.</w:t>
      </w:r>
    </w:p>
  </w:footnote>
  <w:footnote w:id="2562">
    <w:p>
      <w:pPr>
        <w:pStyle w:val="FootnoteText"/>
      </w:pPr>
      <w:r>
        <w:rPr>
          <w:rStyle w:val="FootnoteReference"/>
        </w:rPr>
        <w:footnoteRef/>
      </w:r>
      <w:r>
        <w:t xml:space="preserve"> </w:t>
      </w:r>
      <w:r>
        <w:t xml:space="preserve">NCT06632457.</w:t>
      </w:r>
    </w:p>
  </w:footnote>
  <w:footnote w:id="2564">
    <w:p>
      <w:pPr>
        <w:pStyle w:val="FootnoteText"/>
      </w:pPr>
      <w:r>
        <w:rPr>
          <w:rStyle w:val="FootnoteReference"/>
        </w:rPr>
        <w:footnoteRef/>
      </w:r>
      <w:r>
        <w:t xml:space="preserve"> </w:t>
      </w:r>
      <w:r>
        <w:t xml:space="preserve">Buse 2013, PMID 23141817.</w:t>
      </w:r>
    </w:p>
  </w:footnote>
  <w:footnote w:id="2565">
    <w:p>
      <w:pPr>
        <w:pStyle w:val="FootnoteText"/>
      </w:pPr>
      <w:r>
        <w:rPr>
          <w:rStyle w:val="FootnoteReference"/>
        </w:rPr>
        <w:footnoteRef/>
      </w:r>
      <w:r>
        <w:t xml:space="preserve"> </w:t>
      </w:r>
      <w:r>
        <w:t xml:space="preserve">Rubino 2022, PMID 35015037.</w:t>
      </w:r>
    </w:p>
  </w:footnote>
  <w:footnote w:id="2566">
    <w:p>
      <w:pPr>
        <w:pStyle w:val="FootnoteText"/>
      </w:pPr>
      <w:r>
        <w:rPr>
          <w:rStyle w:val="FootnoteReference"/>
        </w:rPr>
        <w:footnoteRef/>
      </w:r>
      <w:r>
        <w:t xml:space="preserve"> </w:t>
      </w:r>
      <w:r>
        <w:t xml:space="preserve">Frías 2021, PMID 34170647.</w:t>
      </w:r>
    </w:p>
  </w:footnote>
  <w:footnote w:id="2567">
    <w:p>
      <w:pPr>
        <w:pStyle w:val="FootnoteText"/>
      </w:pPr>
      <w:r>
        <w:rPr>
          <w:rStyle w:val="FootnoteReference"/>
        </w:rPr>
        <w:footnoteRef/>
      </w:r>
      <w:r>
        <w:t xml:space="preserve"> </w:t>
      </w:r>
      <w:r>
        <w:t xml:space="preserve">Yamauchi 2026, PMID 42009015.</w:t>
      </w:r>
    </w:p>
  </w:footnote>
  <w:footnote w:id="2568">
    <w:p>
      <w:pPr>
        <w:pStyle w:val="FootnoteText"/>
      </w:pPr>
      <w:r>
        <w:rPr>
          <w:rStyle w:val="FootnoteReference"/>
        </w:rPr>
        <w:footnoteRef/>
      </w:r>
      <w:r>
        <w:t xml:space="preserve"> </w:t>
      </w:r>
      <w:r>
        <w:t xml:space="preserve">Hsia 2026, PMID 42628555.</w:t>
      </w:r>
    </w:p>
  </w:footnote>
  <w:footnote w:id="2569">
    <w:p>
      <w:pPr>
        <w:pStyle w:val="FootnoteText"/>
      </w:pPr>
      <w:r>
        <w:rPr>
          <w:rStyle w:val="FootnoteReference"/>
        </w:rPr>
        <w:footnoteRef/>
      </w:r>
      <w:r>
        <w:t xml:space="preserve"> </w:t>
      </w:r>
      <w:r>
        <w:t xml:space="preserve">Kristensen 2019, PMID 31422062.</w:t>
      </w:r>
    </w:p>
  </w:footnote>
  <w:footnote w:id="2570">
    <w:p>
      <w:pPr>
        <w:pStyle w:val="FootnoteText"/>
      </w:pPr>
      <w:r>
        <w:rPr>
          <w:rStyle w:val="FootnoteReference"/>
        </w:rPr>
        <w:footnoteRef/>
      </w:r>
      <w:r>
        <w:t xml:space="preserve"> </w:t>
      </w:r>
      <w:r>
        <w:t xml:space="preserve">Sodhi 2023, PMID 37796527.</w:t>
      </w:r>
    </w:p>
  </w:footnote>
  <w:footnote w:id="2571">
    <w:p>
      <w:pPr>
        <w:pStyle w:val="FootnoteText"/>
      </w:pPr>
      <w:r>
        <w:rPr>
          <w:rStyle w:val="FootnoteReference"/>
        </w:rPr>
        <w:footnoteRef/>
      </w:r>
      <w:r>
        <w:t xml:space="preserve"> </w:t>
      </w:r>
      <w:r>
        <w:t xml:space="preserve">Silverii 2025, PMID 40437949.</w:t>
      </w:r>
    </w:p>
  </w:footnote>
  <w:footnote w:id="2572">
    <w:p>
      <w:pPr>
        <w:pStyle w:val="FootnoteText"/>
      </w:pPr>
      <w:r>
        <w:rPr>
          <w:rStyle w:val="FootnoteReference"/>
        </w:rPr>
        <w:footnoteRef/>
      </w:r>
      <w:r>
        <w:t xml:space="preserve"> </w:t>
      </w:r>
      <w:r>
        <w:t xml:space="preserve">Simonsen 2025, PMID 40098249.</w:t>
      </w:r>
    </w:p>
  </w:footnote>
  <w:footnote w:id="2573">
    <w:p>
      <w:pPr>
        <w:pStyle w:val="FootnoteText"/>
      </w:pPr>
      <w:r>
        <w:rPr>
          <w:rStyle w:val="FootnoteReference"/>
        </w:rPr>
        <w:footnoteRef/>
      </w:r>
      <w:r>
        <w:t xml:space="preserve"> </w:t>
      </w:r>
      <w:r>
        <w:t xml:space="preserve">Look 2025, PMID 39996356.</w:t>
      </w:r>
    </w:p>
  </w:footnote>
  <w:footnote w:id="2575">
    <w:p>
      <w:pPr>
        <w:pStyle w:val="FootnoteText"/>
      </w:pPr>
      <w:r>
        <w:rPr>
          <w:rStyle w:val="FootnoteReference"/>
        </w:rPr>
        <w:footnoteRef/>
      </w:r>
      <w:r>
        <w:t xml:space="preserve"> </w:t>
      </w:r>
      <w:r>
        <w:t xml:space="preserve">NCT06662383.</w:t>
      </w:r>
    </w:p>
  </w:footnote>
  <w:footnote w:id="2576">
    <w:p>
      <w:pPr>
        <w:pStyle w:val="FootnoteText"/>
      </w:pPr>
      <w:r>
        <w:rPr>
          <w:rStyle w:val="FootnoteReference"/>
        </w:rPr>
        <w:footnoteRef/>
      </w:r>
      <w:r>
        <w:t xml:space="preserve"> </w:t>
      </w:r>
      <w:r>
        <w:t xml:space="preserve">NCT06184568, NCT06884293.</w:t>
      </w:r>
    </w:p>
  </w:footnote>
  <w:footnote w:id="2581">
    <w:p>
      <w:pPr>
        <w:pStyle w:val="FootnoteText"/>
      </w:pPr>
      <w:r>
        <w:rPr>
          <w:rStyle w:val="FootnoteReference"/>
        </w:rPr>
        <w:footnoteRef/>
      </w:r>
      <w:r>
        <w:t xml:space="preserve"> </w:t>
      </w:r>
      <w:r>
        <w:t xml:space="preserve">Porsteinsson 2025, PMID 41393340.</w:t>
      </w:r>
    </w:p>
  </w:footnote>
  <w:footnote w:id="2583">
    <w:p>
      <w:pPr>
        <w:pStyle w:val="FootnoteText"/>
      </w:pPr>
      <w:r>
        <w:rPr>
          <w:rStyle w:val="FootnoteReference"/>
        </w:rPr>
        <w:footnoteRef/>
      </w:r>
      <w:r>
        <w:t xml:space="preserve"> </w:t>
      </w:r>
      <w:r>
        <w:t xml:space="preserve">Nass 2008, PMID 18981485.</w:t>
      </w:r>
    </w:p>
  </w:footnote>
  <w:footnote w:id="2585">
    <w:p>
      <w:pPr>
        <w:pStyle w:val="FootnoteText"/>
      </w:pPr>
      <w:r>
        <w:rPr>
          <w:rStyle w:val="FootnoteReference"/>
        </w:rPr>
        <w:footnoteRef/>
      </w:r>
      <w:r>
        <w:t xml:space="preserve"> </w:t>
      </w:r>
      <w:r>
        <w:t xml:space="preserve">Gajda 2019, PMID 30136411.</w:t>
      </w:r>
    </w:p>
  </w:footnote>
  <w:footnote w:id="2587">
    <w:p>
      <w:pPr>
        <w:pStyle w:val="FootnoteText"/>
      </w:pPr>
      <w:r>
        <w:rPr>
          <w:rStyle w:val="FootnoteReference"/>
        </w:rPr>
        <w:footnoteRef/>
      </w:r>
      <w:r>
        <w:t xml:space="preserve"> </w:t>
      </w:r>
      <w:r>
        <w:t xml:space="preserve">Beck 2014, PMID 25331030.</w:t>
      </w:r>
    </w:p>
  </w:footnote>
  <w:footnote w:id="2588">
    <w:p>
      <w:pPr>
        <w:pStyle w:val="FootnoteText"/>
      </w:pPr>
      <w:r>
        <w:rPr>
          <w:rStyle w:val="FootnoteReference"/>
        </w:rPr>
        <w:footnoteRef/>
      </w:r>
      <w:r>
        <w:t xml:space="preserve"> </w:t>
      </w:r>
      <w:r>
        <w:t xml:space="preserve">Leal 2014, PMID 24619793.</w:t>
      </w:r>
    </w:p>
  </w:footnote>
  <w:footnote w:id="2589">
    <w:p>
      <w:pPr>
        <w:pStyle w:val="FootnoteText"/>
      </w:pPr>
      <w:r>
        <w:rPr>
          <w:rStyle w:val="FootnoteReference"/>
        </w:rPr>
        <w:footnoteRef/>
      </w:r>
      <w:r>
        <w:t xml:space="preserve"> </w:t>
      </w:r>
      <w:r>
        <w:t xml:space="preserve">Myung 2025, PMID 40324552.</w:t>
      </w:r>
    </w:p>
  </w:footnote>
  <w:footnote w:id="2592">
    <w:p>
      <w:pPr>
        <w:pStyle w:val="FootnoteText"/>
      </w:pPr>
      <w:r>
        <w:rPr>
          <w:rStyle w:val="FootnoteReference"/>
        </w:rPr>
        <w:footnoteRef/>
      </w:r>
      <w:r>
        <w:t xml:space="preserve"> </w:t>
      </w:r>
      <w:r>
        <w:t xml:space="preserve">Breindahl 2015, PMID 24771717.</w:t>
      </w:r>
    </w:p>
  </w:footnote>
  <w:footnote w:id="2604">
    <w:p>
      <w:pPr>
        <w:pStyle w:val="FootnoteText"/>
      </w:pPr>
      <w:r>
        <w:rPr>
          <w:rStyle w:val="FootnoteReference"/>
        </w:rPr>
        <w:footnoteRef/>
      </w:r>
      <w:r>
        <w:t xml:space="preserve"> </w:t>
      </w:r>
      <w:r>
        <w:t xml:space="preserve">Simonsen 2025, PMID 40098249.</w:t>
      </w:r>
    </w:p>
  </w:footnote>
  <w:footnote w:id="2605">
    <w:p>
      <w:pPr>
        <w:pStyle w:val="FootnoteText"/>
      </w:pPr>
      <w:r>
        <w:rPr>
          <w:rStyle w:val="FootnoteReference"/>
        </w:rPr>
        <w:footnoteRef/>
      </w:r>
      <w:r>
        <w:t xml:space="preserve"> </w:t>
      </w:r>
      <w:r>
        <w:t xml:space="preserve">Yang 2026, PMID 41915388.</w:t>
      </w:r>
    </w:p>
  </w:footnote>
  <w:footnote w:id="2606">
    <w:p>
      <w:pPr>
        <w:pStyle w:val="FootnoteText"/>
      </w:pPr>
      <w:r>
        <w:rPr>
          <w:rStyle w:val="FootnoteReference"/>
        </w:rPr>
        <w:footnoteRef/>
      </w:r>
      <w:r>
        <w:t xml:space="preserve"> </w:t>
      </w:r>
      <w:r>
        <w:t xml:space="preserve">Ismaiel 2025, PMID 40804463.</w:t>
      </w:r>
    </w:p>
  </w:footnote>
  <w:footnote w:id="2607">
    <w:p>
      <w:pPr>
        <w:pStyle w:val="FootnoteText"/>
      </w:pPr>
      <w:r>
        <w:rPr>
          <w:rStyle w:val="FootnoteReference"/>
        </w:rPr>
        <w:footnoteRef/>
      </w:r>
      <w:r>
        <w:t xml:space="preserve"> </w:t>
      </w:r>
      <w:r>
        <w:t xml:space="preserve">Sanyal 2024, PMID 38847460.</w:t>
      </w:r>
    </w:p>
  </w:footnote>
  <w:footnote w:id="2608">
    <w:p>
      <w:pPr>
        <w:pStyle w:val="FootnoteText"/>
      </w:pPr>
      <w:r>
        <w:rPr>
          <w:rStyle w:val="FootnoteReference"/>
        </w:rPr>
        <w:footnoteRef/>
      </w:r>
      <w:r>
        <w:t xml:space="preserve"> </w:t>
      </w:r>
      <w:r>
        <w:t xml:space="preserve">Clayton 2022, PMID 35147466.</w:t>
      </w:r>
    </w:p>
  </w:footnote>
  <w:footnote w:id="2609">
    <w:p>
      <w:pPr>
        <w:pStyle w:val="FootnoteText"/>
      </w:pPr>
      <w:r>
        <w:rPr>
          <w:rStyle w:val="FootnoteReference"/>
        </w:rPr>
        <w:footnoteRef/>
      </w:r>
      <w:r>
        <w:t xml:space="preserve"> </w:t>
      </w:r>
      <w:r>
        <w:t xml:space="preserve">Edelman 2006, PMID 17003291.</w:t>
      </w:r>
    </w:p>
  </w:footnote>
  <w:footnote w:id="2610">
    <w:p>
      <w:pPr>
        <w:pStyle w:val="FootnoteText"/>
      </w:pPr>
      <w:r>
        <w:rPr>
          <w:rStyle w:val="FootnoteReference"/>
        </w:rPr>
        <w:footnoteRef/>
      </w:r>
      <w:r>
        <w:t xml:space="preserve"> </w:t>
      </w:r>
      <w:r>
        <w:t xml:space="preserve">Sridharan 2026, PMID 39924461.</w:t>
      </w:r>
    </w:p>
  </w:footnote>
  <w:footnote w:id="2611">
    <w:p>
      <w:pPr>
        <w:pStyle w:val="FootnoteText"/>
      </w:pPr>
      <w:r>
        <w:rPr>
          <w:rStyle w:val="FootnoteReference"/>
        </w:rPr>
        <w:footnoteRef/>
      </w:r>
      <w:r>
        <w:t xml:space="preserve"> </w:t>
      </w:r>
      <w:r>
        <w:t xml:space="preserve">Sodhi 2023, PMID 37796527.</w:t>
      </w:r>
    </w:p>
  </w:footnote>
  <w:footnote w:id="2612">
    <w:p>
      <w:pPr>
        <w:pStyle w:val="FootnoteText"/>
      </w:pPr>
      <w:r>
        <w:rPr>
          <w:rStyle w:val="FootnoteReference"/>
        </w:rPr>
        <w:footnoteRef/>
      </w:r>
      <w:r>
        <w:t xml:space="preserve"> </w:t>
      </w:r>
      <w:r>
        <w:t xml:space="preserve">Chiang 2025, PMID 40499738.</w:t>
      </w:r>
    </w:p>
  </w:footnote>
  <w:footnote w:id="2613">
    <w:p>
      <w:pPr>
        <w:pStyle w:val="FootnoteText"/>
      </w:pPr>
      <w:r>
        <w:rPr>
          <w:rStyle w:val="FootnoteReference"/>
        </w:rPr>
        <w:footnoteRef/>
      </w:r>
      <w:r>
        <w:t xml:space="preserve"> </w:t>
      </w:r>
      <w:r>
        <w:t xml:space="preserve">Crisafulli 2026, PMID 41183330.</w:t>
      </w:r>
    </w:p>
  </w:footnote>
  <w:footnote w:id="2615">
    <w:p>
      <w:pPr>
        <w:pStyle w:val="FootnoteText"/>
      </w:pPr>
      <w:r>
        <w:rPr>
          <w:rStyle w:val="FootnoteReference"/>
        </w:rPr>
        <w:footnoteRef/>
      </w:r>
      <w:r>
        <w:t xml:space="preserve"> </w:t>
      </w:r>
      <w:r>
        <w:t xml:space="preserve">He 2022, PMID 35344001.</w:t>
      </w:r>
    </w:p>
  </w:footnote>
  <w:footnote w:id="2616">
    <w:p>
      <w:pPr>
        <w:pStyle w:val="FootnoteText"/>
      </w:pPr>
      <w:r>
        <w:rPr>
          <w:rStyle w:val="FootnoteReference"/>
        </w:rPr>
        <w:footnoteRef/>
      </w:r>
      <w:r>
        <w:t xml:space="preserve"> </w:t>
      </w:r>
      <w:r>
        <w:t xml:space="preserve">Weghuber 2022, PMID 36322838.</w:t>
      </w:r>
    </w:p>
  </w:footnote>
  <w:footnote w:id="2617">
    <w:p>
      <w:pPr>
        <w:pStyle w:val="FootnoteText"/>
      </w:pPr>
      <w:r>
        <w:rPr>
          <w:rStyle w:val="FootnoteReference"/>
        </w:rPr>
        <w:footnoteRef/>
      </w:r>
      <w:r>
        <w:t xml:space="preserve"> </w:t>
      </w:r>
      <w:r>
        <w:t xml:space="preserve">Wen 2025, PMID 40988099.</w:t>
      </w:r>
    </w:p>
  </w:footnote>
  <w:footnote w:id="2619">
    <w:p>
      <w:pPr>
        <w:pStyle w:val="FootnoteText"/>
      </w:pPr>
      <w:r>
        <w:rPr>
          <w:rStyle w:val="FootnoteReference"/>
        </w:rPr>
        <w:footnoteRef/>
      </w:r>
      <w:r>
        <w:t xml:space="preserve"> </w:t>
      </w:r>
      <w:r>
        <w:t xml:space="preserve">Hegedüs 2018, PMID 29279300.</w:t>
      </w:r>
    </w:p>
  </w:footnote>
  <w:footnote w:id="2621">
    <w:p>
      <w:pPr>
        <w:pStyle w:val="FootnoteText"/>
      </w:pPr>
      <w:r>
        <w:rPr>
          <w:rStyle w:val="FootnoteReference"/>
        </w:rPr>
        <w:footnoteRef/>
      </w:r>
      <w:r>
        <w:t xml:space="preserve"> </w:t>
      </w:r>
      <w:r>
        <w:t xml:space="preserve">Marso 2016, PMID 27633186.</w:t>
      </w:r>
    </w:p>
  </w:footnote>
  <w:footnote w:id="2622">
    <w:p>
      <w:pPr>
        <w:pStyle w:val="FootnoteText"/>
      </w:pPr>
      <w:r>
        <w:rPr>
          <w:rStyle w:val="FootnoteReference"/>
        </w:rPr>
        <w:footnoteRef/>
      </w:r>
      <w:r>
        <w:t xml:space="preserve"> </w:t>
      </w:r>
      <w:r>
        <w:t xml:space="preserve">Natividade 2025, PMID 40810985.</w:t>
      </w:r>
    </w:p>
  </w:footnote>
  <w:footnote w:id="2623">
    <w:p>
      <w:pPr>
        <w:pStyle w:val="FootnoteText"/>
      </w:pPr>
      <w:r>
        <w:rPr>
          <w:rStyle w:val="FootnoteReference"/>
        </w:rPr>
        <w:footnoteRef/>
      </w:r>
      <w:r>
        <w:t xml:space="preserve"> </w:t>
      </w:r>
      <w:r>
        <w:t xml:space="preserve">Hathaway 2024, PMID 38958939.</w:t>
      </w:r>
    </w:p>
  </w:footnote>
  <w:footnote w:id="2624">
    <w:p>
      <w:pPr>
        <w:pStyle w:val="FootnoteText"/>
      </w:pPr>
      <w:r>
        <w:rPr>
          <w:rStyle w:val="FootnoteReference"/>
        </w:rPr>
        <w:footnoteRef/>
      </w:r>
      <w:r>
        <w:t xml:space="preserve"> </w:t>
      </w:r>
      <w:r>
        <w:t xml:space="preserve">Simonsen 2025, PMID 40098249.</w:t>
      </w:r>
    </w:p>
  </w:footnote>
  <w:footnote w:id="2625">
    <w:p>
      <w:pPr>
        <w:pStyle w:val="FootnoteText"/>
      </w:pPr>
      <w:r>
        <w:rPr>
          <w:rStyle w:val="FootnoteReference"/>
        </w:rPr>
        <w:footnoteRef/>
      </w:r>
      <w:r>
        <w:t xml:space="preserve"> </w:t>
      </w:r>
      <w:r>
        <w:t xml:space="preserve">Wang 2025, PMID 40788646.</w:t>
      </w:r>
    </w:p>
  </w:footnote>
  <w:footnote w:id="2626">
    <w:p>
      <w:pPr>
        <w:pStyle w:val="FootnoteText"/>
      </w:pPr>
      <w:r>
        <w:rPr>
          <w:rStyle w:val="FootnoteReference"/>
        </w:rPr>
        <w:footnoteRef/>
      </w:r>
      <w:r>
        <w:t xml:space="preserve"> </w:t>
      </w:r>
      <w:r>
        <w:t xml:space="preserve">Chou 2025, PMID 39491755.</w:t>
      </w:r>
    </w:p>
  </w:footnote>
  <w:footnote w:id="2627">
    <w:p>
      <w:pPr>
        <w:pStyle w:val="FootnoteText"/>
      </w:pPr>
      <w:r>
        <w:rPr>
          <w:rStyle w:val="FootnoteReference"/>
        </w:rPr>
        <w:footnoteRef/>
      </w:r>
      <w:r>
        <w:t xml:space="preserve"> </w:t>
      </w:r>
      <w:r>
        <w:t xml:space="preserve">Liu 2026, PMID 41475544.</w:t>
      </w:r>
    </w:p>
  </w:footnote>
  <w:footnote w:id="2629">
    <w:p>
      <w:pPr>
        <w:pStyle w:val="FootnoteText"/>
      </w:pPr>
      <w:r>
        <w:rPr>
          <w:rStyle w:val="FootnoteReference"/>
        </w:rPr>
        <w:footnoteRef/>
      </w:r>
      <w:r>
        <w:t xml:space="preserve"> </w:t>
      </w:r>
      <w:r>
        <w:t xml:space="preserve">Marso 2016, PMID 27633186.</w:t>
      </w:r>
    </w:p>
  </w:footnote>
  <w:footnote w:id="2630">
    <w:p>
      <w:pPr>
        <w:pStyle w:val="FootnoteText"/>
      </w:pPr>
      <w:r>
        <w:rPr>
          <w:rStyle w:val="FootnoteReference"/>
        </w:rPr>
        <w:footnoteRef/>
      </w:r>
      <w:r>
        <w:t xml:space="preserve"> </w:t>
      </w:r>
      <w:r>
        <w:t xml:space="preserve">Bellido 2026, PMID 42810372.</w:t>
      </w:r>
    </w:p>
  </w:footnote>
  <w:footnote w:id="2631">
    <w:p>
      <w:pPr>
        <w:pStyle w:val="FootnoteText"/>
      </w:pPr>
      <w:r>
        <w:rPr>
          <w:rStyle w:val="FootnoteReference"/>
        </w:rPr>
        <w:footnoteRef/>
      </w:r>
      <w:r>
        <w:t xml:space="preserve"> </w:t>
      </w:r>
      <w:r>
        <w:t xml:space="preserve">Liu 2007, PMID 17227934.</w:t>
      </w:r>
    </w:p>
  </w:footnote>
  <w:footnote w:id="2632">
    <w:p>
      <w:pPr>
        <w:pStyle w:val="FootnoteText"/>
      </w:pPr>
      <w:r>
        <w:rPr>
          <w:rStyle w:val="FootnoteReference"/>
        </w:rPr>
        <w:footnoteRef/>
      </w:r>
      <w:r>
        <w:t xml:space="preserve"> </w:t>
      </w:r>
      <w:r>
        <w:t xml:space="preserve">Adunsky 2011, PMID 21067829.</w:t>
      </w:r>
    </w:p>
  </w:footnote>
  <w:footnote w:id="2633">
    <w:p>
      <w:pPr>
        <w:pStyle w:val="FootnoteText"/>
      </w:pPr>
      <w:r>
        <w:rPr>
          <w:rStyle w:val="FootnoteReference"/>
        </w:rPr>
        <w:footnoteRef/>
      </w:r>
      <w:r>
        <w:t xml:space="preserve"> </w:t>
      </w:r>
      <w:r>
        <w:t xml:space="preserve">White 2017, PMID 27977473.</w:t>
      </w:r>
    </w:p>
  </w:footnote>
  <w:footnote w:id="2634">
    <w:p>
      <w:pPr>
        <w:pStyle w:val="FootnoteText"/>
      </w:pPr>
      <w:r>
        <w:rPr>
          <w:rStyle w:val="FootnoteReference"/>
        </w:rPr>
        <w:footnoteRef/>
      </w:r>
      <w:r>
        <w:t xml:space="preserve"> </w:t>
      </w:r>
      <w:r>
        <w:t xml:space="preserve">Lissy 2021, PMID 32961034.</w:t>
      </w:r>
    </w:p>
  </w:footnote>
  <w:footnote w:id="2635">
    <w:p>
      <w:pPr>
        <w:pStyle w:val="FootnoteText"/>
      </w:pPr>
      <w:r>
        <w:rPr>
          <w:rStyle w:val="FootnoteReference"/>
        </w:rPr>
        <w:footnoteRef/>
      </w:r>
      <w:r>
        <w:t xml:space="preserve"> </w:t>
      </w:r>
      <w:r>
        <w:t xml:space="preserve">Mayer-Hubner 1996, PMID 8596357.</w:t>
      </w:r>
    </w:p>
  </w:footnote>
  <w:footnote w:id="2636">
    <w:p>
      <w:pPr>
        <w:pStyle w:val="FootnoteText"/>
      </w:pPr>
      <w:r>
        <w:rPr>
          <w:rStyle w:val="FootnoteReference"/>
        </w:rPr>
        <w:footnoteRef/>
      </w:r>
      <w:r>
        <w:t xml:space="preserve"> </w:t>
      </w:r>
      <w:r>
        <w:t xml:space="preserve">Nelson 2012, PMID 23121206.</w:t>
      </w:r>
    </w:p>
  </w:footnote>
  <w:footnote w:id="2638">
    <w:p>
      <w:pPr>
        <w:pStyle w:val="FootnoteText"/>
      </w:pPr>
      <w:r>
        <w:rPr>
          <w:rStyle w:val="FootnoteReference"/>
        </w:rPr>
        <w:footnoteRef/>
      </w:r>
      <w:r>
        <w:t xml:space="preserve"> </w:t>
      </w:r>
      <w:r>
        <w:t xml:space="preserve">Han 2026, PMID 41852258.</w:t>
      </w:r>
    </w:p>
  </w:footnote>
  <w:footnote w:id="2639">
    <w:p>
      <w:pPr>
        <w:pStyle w:val="FootnoteText"/>
      </w:pPr>
      <w:r>
        <w:rPr>
          <w:rStyle w:val="FootnoteReference"/>
        </w:rPr>
        <w:footnoteRef/>
      </w:r>
      <w:r>
        <w:t xml:space="preserve"> </w:t>
      </w:r>
      <w:r>
        <w:t xml:space="preserve">Ueda 2024, PMID 39226030.</w:t>
      </w:r>
    </w:p>
  </w:footnote>
  <w:footnote w:id="2640">
    <w:p>
      <w:pPr>
        <w:pStyle w:val="FootnoteText"/>
      </w:pPr>
      <w:r>
        <w:rPr>
          <w:rStyle w:val="FootnoteReference"/>
        </w:rPr>
        <w:footnoteRef/>
      </w:r>
      <w:r>
        <w:t xml:space="preserve"> </w:t>
      </w:r>
      <w:r>
        <w:t xml:space="preserve">Wadden 2026, PMID 41537305.</w:t>
      </w:r>
    </w:p>
  </w:footnote>
  <w:footnote w:id="2641">
    <w:p>
      <w:pPr>
        <w:pStyle w:val="FootnoteText"/>
      </w:pPr>
      <w:r>
        <w:rPr>
          <w:rStyle w:val="FootnoteReference"/>
        </w:rPr>
        <w:footnoteRef/>
      </w:r>
      <w:r>
        <w:t xml:space="preserve"> </w:t>
      </w:r>
      <w:r>
        <w:t xml:space="preserve">Silva 2026, PMID 42115753.</w:t>
      </w:r>
    </w:p>
  </w:footnote>
  <w:footnote w:id="2643">
    <w:p>
      <w:pPr>
        <w:pStyle w:val="FootnoteText"/>
      </w:pPr>
      <w:r>
        <w:rPr>
          <w:rStyle w:val="FootnoteReference"/>
        </w:rPr>
        <w:footnoteRef/>
      </w:r>
      <w:r>
        <w:t xml:space="preserve"> </w:t>
      </w:r>
      <w:r>
        <w:t xml:space="preserve">Sridharan 2026, PMID 39924461.</w:t>
      </w:r>
    </w:p>
  </w:footnote>
  <w:footnote w:id="2644">
    <w:p>
      <w:pPr>
        <w:pStyle w:val="FootnoteText"/>
      </w:pPr>
      <w:r>
        <w:rPr>
          <w:rStyle w:val="FootnoteReference"/>
        </w:rPr>
        <w:footnoteRef/>
      </w:r>
      <w:r>
        <w:t xml:space="preserve"> </w:t>
      </w:r>
      <w:r>
        <w:t xml:space="preserve">Kanti 2021, PMID 34058738.</w:t>
      </w:r>
    </w:p>
  </w:footnote>
  <w:footnote w:id="2645">
    <w:p>
      <w:pPr>
        <w:pStyle w:val="FootnoteText"/>
      </w:pPr>
      <w:r>
        <w:rPr>
          <w:rStyle w:val="FootnoteReference"/>
        </w:rPr>
        <w:footnoteRef/>
      </w:r>
      <w:r>
        <w:t xml:space="preserve"> </w:t>
      </w:r>
      <w:r>
        <w:t xml:space="preserve">Clayton 2022, PMID 35147466.</w:t>
      </w:r>
    </w:p>
  </w:footnote>
  <w:footnote w:id="2646">
    <w:p>
      <w:pPr>
        <w:pStyle w:val="FootnoteText"/>
      </w:pPr>
      <w:r>
        <w:rPr>
          <w:rStyle w:val="FootnoteReference"/>
        </w:rPr>
        <w:footnoteRef/>
      </w:r>
      <w:r>
        <w:t xml:space="preserve"> </w:t>
      </w:r>
      <w:r>
        <w:t xml:space="preserve">Burian 2019, PMID 31119650.</w:t>
      </w:r>
    </w:p>
  </w:footnote>
  <w:footnote w:id="2647">
    <w:p>
      <w:pPr>
        <w:pStyle w:val="FootnoteText"/>
      </w:pPr>
      <w:r>
        <w:rPr>
          <w:rStyle w:val="FootnoteReference"/>
        </w:rPr>
        <w:footnoteRef/>
      </w:r>
      <w:r>
        <w:t xml:space="preserve"> </w:t>
      </w:r>
      <w:r>
        <w:t xml:space="preserve">Gupta 2026, PMID 42930571.</w:t>
      </w:r>
    </w:p>
  </w:footnote>
  <w:footnote w:id="2648">
    <w:p>
      <w:pPr>
        <w:pStyle w:val="FootnoteText"/>
      </w:pPr>
      <w:r>
        <w:rPr>
          <w:rStyle w:val="FootnoteReference"/>
        </w:rPr>
        <w:footnoteRef/>
      </w:r>
      <w:r>
        <w:t xml:space="preserve"> </w:t>
      </w:r>
      <w:r>
        <w:t xml:space="preserve">Bellido 2026, PMID 42810372.</w:t>
      </w:r>
    </w:p>
  </w:footnote>
  <w:footnote w:id="2649">
    <w:p>
      <w:pPr>
        <w:pStyle w:val="FootnoteText"/>
      </w:pPr>
      <w:r>
        <w:rPr>
          <w:rStyle w:val="FootnoteReference"/>
        </w:rPr>
        <w:footnoteRef/>
      </w:r>
      <w:r>
        <w:t xml:space="preserve"> </w:t>
      </w:r>
      <w:r>
        <w:t xml:space="preserve">Dolkar 2018, PMID 29665030.</w:t>
      </w:r>
    </w:p>
  </w:footnote>
  <w:footnote w:id="2651">
    <w:p>
      <w:pPr>
        <w:pStyle w:val="FootnoteText"/>
      </w:pPr>
      <w:r>
        <w:rPr>
          <w:rStyle w:val="FootnoteReference"/>
        </w:rPr>
        <w:footnoteRef/>
      </w:r>
      <w:r>
        <w:t xml:space="preserve"> </w:t>
      </w:r>
      <w:r>
        <w:t xml:space="preserve">Arimura 2016, PMID 27020037.</w:t>
      </w:r>
    </w:p>
  </w:footnote>
  <w:footnote w:id="2652">
    <w:p>
      <w:pPr>
        <w:pStyle w:val="FootnoteText"/>
      </w:pPr>
      <w:r>
        <w:rPr>
          <w:rStyle w:val="FootnoteReference"/>
        </w:rPr>
        <w:footnoteRef/>
      </w:r>
      <w:r>
        <w:t xml:space="preserve"> </w:t>
      </w:r>
      <w:r>
        <w:t xml:space="preserve">MacLean 2014, PMID 24762108.</w:t>
      </w:r>
    </w:p>
  </w:footnote>
  <w:footnote w:id="2653">
    <w:p>
      <w:pPr>
        <w:pStyle w:val="FootnoteText"/>
      </w:pPr>
      <w:r>
        <w:rPr>
          <w:rStyle w:val="FootnoteReference"/>
        </w:rPr>
        <w:footnoteRef/>
      </w:r>
      <w:r>
        <w:t xml:space="preserve"> </w:t>
      </w:r>
      <w:r>
        <w:t xml:space="preserve">Liu 2007, PMID 17227934.</w:t>
      </w:r>
    </w:p>
  </w:footnote>
  <w:footnote w:id="2655">
    <w:p>
      <w:pPr>
        <w:pStyle w:val="FootnoteText"/>
      </w:pPr>
      <w:r>
        <w:rPr>
          <w:rStyle w:val="FootnoteReference"/>
        </w:rPr>
        <w:footnoteRef/>
      </w:r>
      <w:r>
        <w:t xml:space="preserve"> </w:t>
      </w:r>
      <w:r>
        <w:t xml:space="preserve">Chernausek 2007, PMID 17192294.</w:t>
      </w:r>
    </w:p>
  </w:footnote>
  <w:footnote w:id="2656">
    <w:p>
      <w:pPr>
        <w:pStyle w:val="FootnoteText"/>
      </w:pPr>
      <w:r>
        <w:rPr>
          <w:rStyle w:val="FootnoteReference"/>
        </w:rPr>
        <w:footnoteRef/>
      </w:r>
      <w:r>
        <w:t xml:space="preserve"> </w:t>
      </w:r>
      <w:r>
        <w:t xml:space="preserve">Edelman 2006, PMID 17003291.</w:t>
      </w:r>
    </w:p>
  </w:footnote>
  <w:footnote w:id="2657">
    <w:p>
      <w:pPr>
        <w:pStyle w:val="FootnoteText"/>
      </w:pPr>
      <w:r>
        <w:rPr>
          <w:rStyle w:val="FootnoteReference"/>
        </w:rPr>
        <w:footnoteRef/>
      </w:r>
      <w:r>
        <w:t xml:space="preserve"> </w:t>
      </w:r>
      <w:r>
        <w:t xml:space="preserve">Kendall 2005, PMID 15855571.</w:t>
      </w:r>
    </w:p>
  </w:footnote>
  <w:footnote w:id="2658">
    <w:p>
      <w:pPr>
        <w:pStyle w:val="FootnoteText"/>
      </w:pPr>
      <w:r>
        <w:rPr>
          <w:rStyle w:val="FootnoteReference"/>
        </w:rPr>
        <w:footnoteRef/>
      </w:r>
      <w:r>
        <w:t xml:space="preserve"> </w:t>
      </w:r>
      <w:r>
        <w:t xml:space="preserve">Nass 2008, PMID 18981485.</w:t>
      </w:r>
    </w:p>
  </w:footnote>
  <w:footnote w:id="2659">
    <w:p>
      <w:pPr>
        <w:pStyle w:val="FootnoteText"/>
      </w:pPr>
      <w:r>
        <w:rPr>
          <w:rStyle w:val="FootnoteReference"/>
        </w:rPr>
        <w:footnoteRef/>
      </w:r>
      <w:r>
        <w:t xml:space="preserve"> </w:t>
      </w:r>
      <w:r>
        <w:t xml:space="preserve">Liu 2007, PMID 17227934.</w:t>
      </w:r>
    </w:p>
  </w:footnote>
  <w:footnote w:id="2663">
    <w:p>
      <w:pPr>
        <w:pStyle w:val="FootnoteText"/>
      </w:pPr>
      <w:r>
        <w:rPr>
          <w:rStyle w:val="FootnoteReference"/>
        </w:rPr>
        <w:footnoteRef/>
      </w:r>
      <w:r>
        <w:t xml:space="preserve"> </w:t>
      </w:r>
      <w:r>
        <w:t xml:space="preserve">Silverii 2025, PMID 40437949.</w:t>
      </w:r>
    </w:p>
  </w:footnote>
  <w:footnote w:id="2665">
    <w:p>
      <w:pPr>
        <w:pStyle w:val="FootnoteText"/>
      </w:pPr>
      <w:r>
        <w:rPr>
          <w:rStyle w:val="FootnoteReference"/>
        </w:rPr>
        <w:footnoteRef/>
      </w:r>
      <w:r>
        <w:t xml:space="preserve"> </w:t>
      </w:r>
      <w:r>
        <w:t xml:space="preserve">Renehan 2004, PMID 15110491.</w:t>
      </w:r>
    </w:p>
  </w:footnote>
  <w:footnote w:id="2666">
    <w:p>
      <w:pPr>
        <w:pStyle w:val="FootnoteText"/>
      </w:pPr>
      <w:r>
        <w:rPr>
          <w:rStyle w:val="FootnoteReference"/>
        </w:rPr>
        <w:footnoteRef/>
      </w:r>
      <w:r>
        <w:t xml:space="preserve"> </w:t>
      </w:r>
      <w:r>
        <w:t xml:space="preserve">Murphy 2020, PMID 32169310.</w:t>
      </w:r>
    </w:p>
  </w:footnote>
  <w:footnote w:id="2667">
    <w:p>
      <w:pPr>
        <w:pStyle w:val="FootnoteText"/>
      </w:pPr>
      <w:r>
        <w:rPr>
          <w:rStyle w:val="FootnoteReference"/>
        </w:rPr>
        <w:footnoteRef/>
      </w:r>
      <w:r>
        <w:t xml:space="preserve"> </w:t>
      </w:r>
      <w:r>
        <w:t xml:space="preserve">Murphy 2020, PMID 31884074.</w:t>
      </w:r>
    </w:p>
  </w:footnote>
  <w:footnote w:id="2668">
    <w:p>
      <w:pPr>
        <w:pStyle w:val="FootnoteText"/>
      </w:pPr>
      <w:r>
        <w:rPr>
          <w:rStyle w:val="FootnoteReference"/>
        </w:rPr>
        <w:footnoteRef/>
      </w:r>
      <w:r>
        <w:t xml:space="preserve"> </w:t>
      </w:r>
      <w:r>
        <w:t xml:space="preserve">Murphy 2020, PMID 32169310.</w:t>
      </w:r>
    </w:p>
  </w:footnote>
  <w:footnote w:id="2669">
    <w:p>
      <w:pPr>
        <w:pStyle w:val="FootnoteText"/>
      </w:pPr>
      <w:r>
        <w:rPr>
          <w:rStyle w:val="FootnoteReference"/>
        </w:rPr>
        <w:footnoteRef/>
      </w:r>
      <w:r>
        <w:t xml:space="preserve"> </w:t>
      </w:r>
      <w:r>
        <w:t xml:space="preserve">Dal 2018, PMID 29590449.</w:t>
      </w:r>
    </w:p>
  </w:footnote>
  <w:footnote w:id="2670">
    <w:p>
      <w:pPr>
        <w:pStyle w:val="FootnoteText"/>
      </w:pPr>
      <w:r>
        <w:rPr>
          <w:rStyle w:val="FootnoteReference"/>
        </w:rPr>
        <w:footnoteRef/>
      </w:r>
      <w:r>
        <w:t xml:space="preserve"> </w:t>
      </w:r>
      <w:r>
        <w:t xml:space="preserve">Guevara-Aguirre 2011, PMID 21325617.</w:t>
      </w:r>
    </w:p>
  </w:footnote>
  <w:footnote w:id="2671">
    <w:p>
      <w:pPr>
        <w:pStyle w:val="FootnoteText"/>
      </w:pPr>
      <w:r>
        <w:rPr>
          <w:rStyle w:val="FootnoteReference"/>
        </w:rPr>
        <w:footnoteRef/>
      </w:r>
      <w:r>
        <w:t xml:space="preserve"> </w:t>
      </w:r>
      <w:r>
        <w:t xml:space="preserve">Swerdlow 2017, PMID 28187225.</w:t>
      </w:r>
    </w:p>
  </w:footnote>
  <w:footnote w:id="2672">
    <w:p>
      <w:pPr>
        <w:pStyle w:val="FootnoteText"/>
      </w:pPr>
      <w:r>
        <w:rPr>
          <w:rStyle w:val="FootnoteReference"/>
        </w:rPr>
        <w:footnoteRef/>
      </w:r>
      <w:r>
        <w:t xml:space="preserve"> </w:t>
      </w:r>
      <w:r>
        <w:t xml:space="preserve">Child 2015, PMID 25810462.</w:t>
      </w:r>
    </w:p>
  </w:footnote>
  <w:footnote w:id="2673">
    <w:p>
      <w:pPr>
        <w:pStyle w:val="FootnoteText"/>
      </w:pPr>
      <w:r>
        <w:rPr>
          <w:rStyle w:val="FootnoteReference"/>
        </w:rPr>
        <w:footnoteRef/>
      </w:r>
      <w:r>
        <w:t xml:space="preserve"> </w:t>
      </w:r>
      <w:r>
        <w:t xml:space="preserve">Nass 2008, PMID 18981485.</w:t>
      </w:r>
    </w:p>
  </w:footnote>
  <w:footnote w:id="2675">
    <w:p>
      <w:pPr>
        <w:pStyle w:val="FootnoteText"/>
      </w:pPr>
      <w:r>
        <w:rPr>
          <w:rStyle w:val="FootnoteReference"/>
        </w:rPr>
        <w:footnoteRef/>
      </w:r>
      <w:r>
        <w:t xml:space="preserve"> </w:t>
      </w:r>
      <w:r>
        <w:t xml:space="preserve">Hsieh 2017, PMID 27847966.</w:t>
      </w:r>
    </w:p>
  </w:footnote>
  <w:footnote w:id="2676">
    <w:p>
      <w:pPr>
        <w:pStyle w:val="FootnoteText"/>
      </w:pPr>
      <w:r>
        <w:rPr>
          <w:rStyle w:val="FootnoteReference"/>
        </w:rPr>
        <w:footnoteRef/>
      </w:r>
      <w:r>
        <w:t xml:space="preserve"> </w:t>
      </w:r>
      <w:r>
        <w:t xml:space="preserve">Sikiric 2025, PMID 40573323.</w:t>
      </w:r>
    </w:p>
  </w:footnote>
  <w:footnote w:id="2677">
    <w:p>
      <w:pPr>
        <w:pStyle w:val="FootnoteText"/>
      </w:pPr>
      <w:r>
        <w:rPr>
          <w:rStyle w:val="FootnoteReference"/>
        </w:rPr>
        <w:footnoteRef/>
      </w:r>
      <w:r>
        <w:t xml:space="preserve"> </w:t>
      </w:r>
      <w:r>
        <w:t xml:space="preserve">Wang 2016, PMID 27596300.</w:t>
      </w:r>
    </w:p>
  </w:footnote>
  <w:footnote w:id="2678">
    <w:p>
      <w:pPr>
        <w:pStyle w:val="FootnoteText"/>
      </w:pPr>
      <w:r>
        <w:rPr>
          <w:rStyle w:val="FootnoteReference"/>
        </w:rPr>
        <w:footnoteRef/>
      </w:r>
      <w:r>
        <w:t xml:space="preserve"> </w:t>
      </w:r>
      <w:r>
        <w:t xml:space="preserve">Larsson 2007, PMID 17495241.</w:t>
      </w:r>
    </w:p>
  </w:footnote>
  <w:footnote w:id="2679">
    <w:p>
      <w:pPr>
        <w:pStyle w:val="FootnoteText"/>
      </w:pPr>
      <w:r>
        <w:rPr>
          <w:rStyle w:val="FootnoteReference"/>
        </w:rPr>
        <w:footnoteRef/>
      </w:r>
      <w:r>
        <w:t xml:space="preserve"> </w:t>
      </w:r>
      <w:r>
        <w:t xml:space="preserve">Moreno Ayala 2020, PMID 32444831.</w:t>
      </w:r>
    </w:p>
  </w:footnote>
  <w:footnote w:id="2680">
    <w:p>
      <w:pPr>
        <w:pStyle w:val="FootnoteText"/>
      </w:pPr>
      <w:r>
        <w:rPr>
          <w:rStyle w:val="FootnoteReference"/>
        </w:rPr>
        <w:footnoteRef/>
      </w:r>
      <w:r>
        <w:t xml:space="preserve"> </w:t>
      </w:r>
      <w:r>
        <w:t xml:space="preserve">Al-Dulaimi 2025, PMID 40908429.</w:t>
      </w:r>
    </w:p>
  </w:footnote>
  <w:footnote w:id="2681">
    <w:p>
      <w:pPr>
        <w:pStyle w:val="FootnoteText"/>
      </w:pPr>
      <w:r>
        <w:rPr>
          <w:rStyle w:val="FootnoteReference"/>
        </w:rPr>
        <w:footnoteRef/>
      </w:r>
      <w:r>
        <w:t xml:space="preserve"> </w:t>
      </w:r>
      <w:r>
        <w:t xml:space="preserve">Anisimov 2003, PMID 14501183.</w:t>
      </w:r>
    </w:p>
  </w:footnote>
  <w:footnote w:id="2682">
    <w:p>
      <w:pPr>
        <w:pStyle w:val="FootnoteText"/>
      </w:pPr>
      <w:r>
        <w:rPr>
          <w:rStyle w:val="FootnoteReference"/>
        </w:rPr>
        <w:footnoteRef/>
      </w:r>
      <w:r>
        <w:t xml:space="preserve"> </w:t>
      </w:r>
      <w:r>
        <w:t xml:space="preserve">Chen 2018, PMID 29843147.</w:t>
      </w:r>
    </w:p>
  </w:footnote>
  <w:footnote w:id="2683">
    <w:p>
      <w:pPr>
        <w:pStyle w:val="FootnoteText"/>
      </w:pPr>
      <w:r>
        <w:rPr>
          <w:rStyle w:val="FootnoteReference"/>
        </w:rPr>
        <w:footnoteRef/>
      </w:r>
      <w:r>
        <w:t xml:space="preserve"> </w:t>
      </w:r>
      <w:r>
        <w:t xml:space="preserve">Wright 2015, PMID 25649658.</w:t>
      </w:r>
    </w:p>
  </w:footnote>
  <w:footnote w:id="2685">
    <w:p>
      <w:pPr>
        <w:pStyle w:val="FootnoteText"/>
      </w:pPr>
      <w:r>
        <w:rPr>
          <w:rStyle w:val="FootnoteReference"/>
        </w:rPr>
        <w:footnoteRef/>
      </w:r>
      <w:r>
        <w:t xml:space="preserve"> </w:t>
      </w:r>
      <w:r>
        <w:t xml:space="preserve">Habbema 2017, PMID 28266027.</w:t>
      </w:r>
    </w:p>
  </w:footnote>
  <w:footnote w:id="2686">
    <w:p>
      <w:pPr>
        <w:pStyle w:val="FootnoteText"/>
      </w:pPr>
      <w:r>
        <w:rPr>
          <w:rStyle w:val="FootnoteReference"/>
        </w:rPr>
        <w:footnoteRef/>
      </w:r>
      <w:r>
        <w:t xml:space="preserve"> </w:t>
      </w:r>
      <w:r>
        <w:t xml:space="preserve">Burian 2019, PMID 31119650.</w:t>
      </w:r>
    </w:p>
  </w:footnote>
  <w:footnote w:id="2687">
    <w:p>
      <w:pPr>
        <w:pStyle w:val="FootnoteText"/>
      </w:pPr>
      <w:r>
        <w:rPr>
          <w:rStyle w:val="FootnoteReference"/>
        </w:rPr>
        <w:footnoteRef/>
      </w:r>
      <w:r>
        <w:t xml:space="preserve"> </w:t>
      </w:r>
      <w:r>
        <w:t xml:space="preserve">Arisi 2021, PMID 33721252.</w:t>
      </w:r>
    </w:p>
  </w:footnote>
  <w:footnote w:id="2688">
    <w:p>
      <w:pPr>
        <w:pStyle w:val="FootnoteText"/>
      </w:pPr>
      <w:r>
        <w:rPr>
          <w:rStyle w:val="FootnoteReference"/>
        </w:rPr>
        <w:footnoteRef/>
      </w:r>
      <w:r>
        <w:t xml:space="preserve"> </w:t>
      </w:r>
      <w:r>
        <w:t xml:space="preserve">Kanti 2021, PMID 34058738.</w:t>
      </w:r>
    </w:p>
  </w:footnote>
  <w:footnote w:id="2690">
    <w:p>
      <w:pPr>
        <w:pStyle w:val="FootnoteText"/>
      </w:pPr>
      <w:r>
        <w:rPr>
          <w:rStyle w:val="FootnoteReference"/>
        </w:rPr>
        <w:footnoteRef/>
      </w:r>
      <w:r>
        <w:t xml:space="preserve"> </w:t>
      </w:r>
      <w:r>
        <w:t xml:space="preserve">Bjerre Knudsen 2010, PMID 20203154.</w:t>
      </w:r>
    </w:p>
  </w:footnote>
  <w:footnote w:id="2691">
    <w:p>
      <w:pPr>
        <w:pStyle w:val="FootnoteText"/>
      </w:pPr>
      <w:r>
        <w:rPr>
          <w:rStyle w:val="FootnoteReference"/>
        </w:rPr>
        <w:footnoteRef/>
      </w:r>
      <w:r>
        <w:t xml:space="preserve"> </w:t>
      </w:r>
      <w:r>
        <w:t xml:space="preserve">Gier 2012, PMID 22031513.</w:t>
      </w:r>
    </w:p>
  </w:footnote>
  <w:footnote w:id="2692">
    <w:p>
      <w:pPr>
        <w:pStyle w:val="FootnoteText"/>
      </w:pPr>
      <w:r>
        <w:rPr>
          <w:rStyle w:val="FootnoteReference"/>
        </w:rPr>
        <w:footnoteRef/>
      </w:r>
      <w:r>
        <w:t xml:space="preserve"> </w:t>
      </w:r>
      <w:r>
        <w:t xml:space="preserve">Hegedüs 2018, PMID 29279300.</w:t>
      </w:r>
    </w:p>
  </w:footnote>
  <w:footnote w:id="2693">
    <w:p>
      <w:pPr>
        <w:pStyle w:val="FootnoteText"/>
      </w:pPr>
      <w:r>
        <w:rPr>
          <w:rStyle w:val="FootnoteReference"/>
        </w:rPr>
        <w:footnoteRef/>
      </w:r>
      <w:r>
        <w:t xml:space="preserve"> </w:t>
      </w:r>
      <w:r>
        <w:t xml:space="preserve">Bezin 2023, PMID 36356111.</w:t>
      </w:r>
    </w:p>
  </w:footnote>
  <w:footnote w:id="2694">
    <w:p>
      <w:pPr>
        <w:pStyle w:val="FootnoteText"/>
      </w:pPr>
      <w:r>
        <w:rPr>
          <w:rStyle w:val="FootnoteReference"/>
        </w:rPr>
        <w:footnoteRef/>
      </w:r>
      <w:r>
        <w:t xml:space="preserve"> </w:t>
      </w:r>
      <w:r>
        <w:t xml:space="preserve">Pasternak 2024, PMID 38683947.</w:t>
      </w:r>
    </w:p>
  </w:footnote>
  <w:footnote w:id="2695">
    <w:p>
      <w:pPr>
        <w:pStyle w:val="FootnoteText"/>
      </w:pPr>
      <w:r>
        <w:rPr>
          <w:rStyle w:val="FootnoteReference"/>
        </w:rPr>
        <w:footnoteRef/>
      </w:r>
      <w:r>
        <w:t xml:space="preserve"> </w:t>
      </w:r>
      <w:r>
        <w:t xml:space="preserve">Silverii 2025, PMID 40437949.</w:t>
      </w:r>
    </w:p>
  </w:footnote>
  <w:footnote w:id="2697">
    <w:p>
      <w:pPr>
        <w:pStyle w:val="FootnoteText"/>
      </w:pPr>
      <w:r>
        <w:rPr>
          <w:rStyle w:val="FootnoteReference"/>
        </w:rPr>
        <w:footnoteRef/>
      </w:r>
      <w:r>
        <w:t xml:space="preserve"> </w:t>
      </w:r>
      <w:r>
        <w:t xml:space="preserve">Wen 2025, PMID 40988099.</w:t>
      </w:r>
    </w:p>
  </w:footnote>
  <w:footnote w:id="2698">
    <w:p>
      <w:pPr>
        <w:pStyle w:val="FootnoteText"/>
      </w:pPr>
      <w:r>
        <w:rPr>
          <w:rStyle w:val="FootnoteReference"/>
        </w:rPr>
        <w:footnoteRef/>
      </w:r>
      <w:r>
        <w:t xml:space="preserve"> </w:t>
      </w:r>
      <w:r>
        <w:t xml:space="preserve">Wang 2024, PMID 38967919.</w:t>
      </w:r>
    </w:p>
  </w:footnote>
  <w:footnote w:id="2699">
    <w:p>
      <w:pPr>
        <w:pStyle w:val="FootnoteText"/>
      </w:pPr>
      <w:r>
        <w:rPr>
          <w:rStyle w:val="FootnoteReference"/>
        </w:rPr>
        <w:footnoteRef/>
      </w:r>
      <w:r>
        <w:t xml:space="preserve"> </w:t>
      </w:r>
      <w:r>
        <w:t xml:space="preserve">Rajan 2026, PMID 42541759.</w:t>
      </w:r>
    </w:p>
  </w:footnote>
  <w:footnote w:id="2704">
    <w:p>
      <w:pPr>
        <w:pStyle w:val="FootnoteText"/>
      </w:pPr>
      <w:r>
        <w:rPr>
          <w:rStyle w:val="FootnoteReference"/>
        </w:rPr>
        <w:footnoteRef/>
      </w:r>
      <w:r>
        <w:t xml:space="preserve"> </w:t>
      </w:r>
      <w:r>
        <w:t xml:space="preserve">Shankar 2014, PMID 24764037.</w:t>
      </w:r>
    </w:p>
  </w:footnote>
  <w:footnote w:id="2706">
    <w:p>
      <w:pPr>
        <w:pStyle w:val="FootnoteText"/>
      </w:pPr>
      <w:r>
        <w:rPr>
          <w:rStyle w:val="FootnoteReference"/>
        </w:rPr>
        <w:footnoteRef/>
      </w:r>
      <w:r>
        <w:t xml:space="preserve"> </w:t>
      </w:r>
      <w:r>
        <w:t xml:space="preserve">Buse 2011, PMID 21450987.</w:t>
      </w:r>
    </w:p>
  </w:footnote>
  <w:footnote w:id="2707">
    <w:p>
      <w:pPr>
        <w:pStyle w:val="FootnoteText"/>
      </w:pPr>
      <w:r>
        <w:rPr>
          <w:rStyle w:val="FootnoteReference"/>
        </w:rPr>
        <w:footnoteRef/>
      </w:r>
      <w:r>
        <w:t xml:space="preserve"> </w:t>
      </w:r>
      <w:r>
        <w:t xml:space="preserve">Mullins 2024, PMID 37700637.</w:t>
      </w:r>
    </w:p>
  </w:footnote>
  <w:footnote w:id="2709">
    <w:p>
      <w:pPr>
        <w:pStyle w:val="FootnoteText"/>
      </w:pPr>
      <w:r>
        <w:rPr>
          <w:rStyle w:val="FootnoteReference"/>
        </w:rPr>
        <w:footnoteRef/>
      </w:r>
      <w:r>
        <w:t xml:space="preserve"> </w:t>
      </w:r>
      <w:r>
        <w:t xml:space="preserve">Taj 2026, PMID 41395692.</w:t>
      </w:r>
    </w:p>
  </w:footnote>
  <w:footnote w:id="2710">
    <w:p>
      <w:pPr>
        <w:pStyle w:val="FootnoteText"/>
      </w:pPr>
      <w:r>
        <w:rPr>
          <w:rStyle w:val="FootnoteReference"/>
        </w:rPr>
        <w:footnoteRef/>
      </w:r>
      <w:r>
        <w:t xml:space="preserve"> </w:t>
      </w:r>
      <w:r>
        <w:t xml:space="preserve">Wysham 2015, PMID 25744115.</w:t>
      </w:r>
    </w:p>
  </w:footnote>
  <w:footnote w:id="2711">
    <w:p>
      <w:pPr>
        <w:pStyle w:val="FootnoteText"/>
      </w:pPr>
      <w:r>
        <w:rPr>
          <w:rStyle w:val="FootnoteReference"/>
        </w:rPr>
        <w:footnoteRef/>
      </w:r>
      <w:r>
        <w:t xml:space="preserve"> </w:t>
      </w:r>
      <w:r>
        <w:t xml:space="preserve">Chen 2021, PMID 33748252.</w:t>
      </w:r>
    </w:p>
  </w:footnote>
  <w:footnote w:id="2713">
    <w:p>
      <w:pPr>
        <w:pStyle w:val="FootnoteText"/>
      </w:pPr>
      <w:r>
        <w:rPr>
          <w:rStyle w:val="FootnoteReference"/>
        </w:rPr>
        <w:footnoteRef/>
      </w:r>
      <w:r>
        <w:t xml:space="preserve"> </w:t>
      </w:r>
      <w:r>
        <w:t xml:space="preserve">Anthony 2024, PMID 38363873.</w:t>
      </w:r>
    </w:p>
  </w:footnote>
  <w:footnote w:id="2714">
    <w:p>
      <w:pPr>
        <w:pStyle w:val="FootnoteText"/>
      </w:pPr>
      <w:r>
        <w:rPr>
          <w:rStyle w:val="FootnoteReference"/>
        </w:rPr>
        <w:footnoteRef/>
      </w:r>
      <w:r>
        <w:t xml:space="preserve"> </w:t>
      </w:r>
      <w:r>
        <w:t xml:space="preserve">Pradhan 2022, PMID 35136902.</w:t>
      </w:r>
    </w:p>
  </w:footnote>
  <w:footnote w:id="2715">
    <w:p>
      <w:pPr>
        <w:pStyle w:val="FootnoteText"/>
      </w:pPr>
      <w:r>
        <w:rPr>
          <w:rStyle w:val="FootnoteReference"/>
        </w:rPr>
        <w:footnoteRef/>
      </w:r>
      <w:r>
        <w:t xml:space="preserve"> </w:t>
      </w:r>
      <w:r>
        <w:t xml:space="preserve">Ornelas 2018, PMID 30350785.</w:t>
      </w:r>
    </w:p>
  </w:footnote>
  <w:footnote w:id="2716">
    <w:p>
      <w:pPr>
        <w:pStyle w:val="FootnoteText"/>
      </w:pPr>
      <w:r>
        <w:rPr>
          <w:rStyle w:val="FootnoteReference"/>
        </w:rPr>
        <w:footnoteRef/>
      </w:r>
      <w:r>
        <w:t xml:space="preserve"> </w:t>
      </w:r>
      <w:r>
        <w:t xml:space="preserve">Shamriz 2019, PMID 31296642.</w:t>
      </w:r>
    </w:p>
  </w:footnote>
  <w:footnote w:id="2717">
    <w:p>
      <w:pPr>
        <w:pStyle w:val="FootnoteText"/>
      </w:pPr>
      <w:r>
        <w:rPr>
          <w:rStyle w:val="FootnoteReference"/>
        </w:rPr>
        <w:footnoteRef/>
      </w:r>
      <w:r>
        <w:t xml:space="preserve"> </w:t>
      </w:r>
      <w:r>
        <w:t xml:space="preserve">He 2023, PMID 38186543.</w:t>
      </w:r>
    </w:p>
  </w:footnote>
  <w:footnote w:id="2718">
    <w:p>
      <w:pPr>
        <w:pStyle w:val="FootnoteText"/>
      </w:pPr>
      <w:r>
        <w:rPr>
          <w:rStyle w:val="FootnoteReference"/>
        </w:rPr>
        <w:footnoteRef/>
      </w:r>
      <w:r>
        <w:t xml:space="preserve"> </w:t>
      </w:r>
      <w:r>
        <w:t xml:space="preserve">Kraft 2026, PMID 42194666.</w:t>
      </w:r>
    </w:p>
  </w:footnote>
  <w:footnote w:id="2719">
    <w:p>
      <w:pPr>
        <w:pStyle w:val="FootnoteText"/>
      </w:pPr>
      <w:r>
        <w:rPr>
          <w:rStyle w:val="FootnoteReference"/>
        </w:rPr>
        <w:footnoteRef/>
      </w:r>
      <w:r>
        <w:t xml:space="preserve"> </w:t>
      </w:r>
      <w:r>
        <w:t xml:space="preserve">Trimmel 2024, PMID 39055722.</w:t>
      </w:r>
    </w:p>
  </w:footnote>
  <w:footnote w:id="2720">
    <w:p>
      <w:pPr>
        <w:pStyle w:val="FootnoteText"/>
      </w:pPr>
      <w:r>
        <w:rPr>
          <w:rStyle w:val="FootnoteReference"/>
        </w:rPr>
        <w:footnoteRef/>
      </w:r>
      <w:r>
        <w:t xml:space="preserve"> </w:t>
      </w:r>
      <w:r>
        <w:t xml:space="preserve">Röper 2004, PMID 15127162.</w:t>
      </w:r>
    </w:p>
  </w:footnote>
  <w:footnote w:id="2722">
    <w:p>
      <w:pPr>
        <w:pStyle w:val="FootnoteText"/>
      </w:pPr>
      <w:r>
        <w:rPr>
          <w:rStyle w:val="FootnoteReference"/>
        </w:rPr>
        <w:footnoteRef/>
      </w:r>
      <w:r>
        <w:t xml:space="preserve"> </w:t>
      </w:r>
      <w:r>
        <w:t xml:space="preserve">Lande 2007, PMID 17873860.</w:t>
      </w:r>
    </w:p>
  </w:footnote>
  <w:footnote w:id="2723">
    <w:p>
      <w:pPr>
        <w:pStyle w:val="FootnoteText"/>
      </w:pPr>
      <w:r>
        <w:rPr>
          <w:rStyle w:val="FootnoteReference"/>
        </w:rPr>
        <w:footnoteRef/>
      </w:r>
      <w:r>
        <w:t xml:space="preserve"> </w:t>
      </w:r>
      <w:r>
        <w:t xml:space="preserve">Lande 2014, PMID 25470744.</w:t>
      </w:r>
    </w:p>
  </w:footnote>
  <w:footnote w:id="2724">
    <w:p>
      <w:pPr>
        <w:pStyle w:val="FootnoteText"/>
      </w:pPr>
      <w:r>
        <w:rPr>
          <w:rStyle w:val="FootnoteReference"/>
        </w:rPr>
        <w:footnoteRef/>
      </w:r>
      <w:r>
        <w:t xml:space="preserve"> </w:t>
      </w:r>
      <w:r>
        <w:t xml:space="preserve">Dolkar 2018, PMID 29665030.</w:t>
      </w:r>
    </w:p>
  </w:footnote>
  <w:footnote w:id="2725">
    <w:p>
      <w:pPr>
        <w:pStyle w:val="FootnoteText"/>
      </w:pPr>
      <w:r>
        <w:rPr>
          <w:rStyle w:val="FootnoteReference"/>
        </w:rPr>
        <w:footnoteRef/>
      </w:r>
      <w:r>
        <w:t xml:space="preserve"> </w:t>
      </w:r>
      <w:r>
        <w:t xml:space="preserve">Gupta 2026, PMID 42930571.</w:t>
      </w:r>
    </w:p>
  </w:footnote>
  <w:footnote w:id="2727">
    <w:p>
      <w:pPr>
        <w:pStyle w:val="FootnoteText"/>
      </w:pPr>
      <w:r>
        <w:rPr>
          <w:rStyle w:val="FootnoteReference"/>
        </w:rPr>
        <w:footnoteRef/>
      </w:r>
      <w:r>
        <w:t xml:space="preserve"> </w:t>
      </w:r>
      <w:r>
        <w:t xml:space="preserve">De Groot 2023, PMID 37467878.</w:t>
      </w:r>
    </w:p>
  </w:footnote>
  <w:footnote w:id="2728">
    <w:p>
      <w:pPr>
        <w:pStyle w:val="FootnoteText"/>
      </w:pPr>
      <w:r>
        <w:rPr>
          <w:rStyle w:val="FootnoteReference"/>
        </w:rPr>
        <w:footnoteRef/>
      </w:r>
      <w:r>
        <w:t xml:space="preserve"> </w:t>
      </w:r>
      <w:r>
        <w:t xml:space="preserve">Mattei 2025, PMID 41445733.</w:t>
      </w:r>
    </w:p>
  </w:footnote>
  <w:footnote w:id="2729">
    <w:p>
      <w:pPr>
        <w:pStyle w:val="FootnoteText"/>
      </w:pPr>
      <w:r>
        <w:rPr>
          <w:rStyle w:val="FootnoteReference"/>
        </w:rPr>
        <w:footnoteRef/>
      </w:r>
      <w:r>
        <w:t xml:space="preserve"> </w:t>
      </w:r>
      <w:r>
        <w:t xml:space="preserve">Hach 2024, PMID 39379664.</w:t>
      </w:r>
    </w:p>
  </w:footnote>
  <w:footnote w:id="2730">
    <w:p>
      <w:pPr>
        <w:pStyle w:val="FootnoteText"/>
      </w:pPr>
      <w:r>
        <w:rPr>
          <w:rStyle w:val="FootnoteReference"/>
        </w:rPr>
        <w:footnoteRef/>
      </w:r>
      <w:r>
        <w:t xml:space="preserve"> </w:t>
      </w:r>
      <w:r>
        <w:t xml:space="preserve">Tang 2025, PMID 40398094.</w:t>
      </w:r>
    </w:p>
  </w:footnote>
  <w:footnote w:id="2731">
    <w:p>
      <w:pPr>
        <w:pStyle w:val="FootnoteText"/>
      </w:pPr>
      <w:r>
        <w:rPr>
          <w:rStyle w:val="FootnoteReference"/>
        </w:rPr>
        <w:footnoteRef/>
      </w:r>
      <w:r>
        <w:t xml:space="preserve"> </w:t>
      </w:r>
      <w:r>
        <w:t xml:space="preserve">Janvier 2018, PMID 28941153.</w:t>
      </w:r>
    </w:p>
  </w:footnote>
  <w:footnote w:id="2735">
    <w:p>
      <w:pPr>
        <w:pStyle w:val="FootnoteText"/>
      </w:pPr>
      <w:r>
        <w:rPr>
          <w:rStyle w:val="FootnoteReference"/>
        </w:rPr>
        <w:footnoteRef/>
      </w:r>
      <w:r>
        <w:t xml:space="preserve"> </w:t>
      </w:r>
      <w:r>
        <w:t xml:space="preserve">Vanhee 2015, PMID 26003685.</w:t>
      </w:r>
    </w:p>
  </w:footnote>
  <w:footnote w:id="2737">
    <w:p>
      <w:pPr>
        <w:pStyle w:val="FootnoteText"/>
      </w:pPr>
      <w:r>
        <w:rPr>
          <w:rStyle w:val="FootnoteReference"/>
        </w:rPr>
        <w:footnoteRef/>
      </w:r>
      <w:r>
        <w:t xml:space="preserve"> </w:t>
      </w:r>
      <w:r>
        <w:t xml:space="preserve">Høj 2021, PMID 33686802.</w:t>
      </w:r>
    </w:p>
  </w:footnote>
  <w:footnote w:id="2738">
    <w:p>
      <w:pPr>
        <w:pStyle w:val="FootnoteText"/>
      </w:pPr>
      <w:r>
        <w:rPr>
          <w:rStyle w:val="FootnoteReference"/>
        </w:rPr>
        <w:footnoteRef/>
      </w:r>
      <w:r>
        <w:t xml:space="preserve"> </w:t>
      </w:r>
      <w:r>
        <w:t xml:space="preserve">Venhuis 2016, PMID 26456392.</w:t>
      </w:r>
    </w:p>
  </w:footnote>
  <w:footnote w:id="2739">
    <w:p>
      <w:pPr>
        <w:pStyle w:val="FootnoteText"/>
      </w:pPr>
      <w:r>
        <w:rPr>
          <w:rStyle w:val="FootnoteReference"/>
        </w:rPr>
        <w:footnoteRef/>
      </w:r>
      <w:r>
        <w:t xml:space="preserve"> </w:t>
      </w:r>
      <w:r>
        <w:t xml:space="preserve">Vanhee 2017, PMID 27390261.</w:t>
      </w:r>
    </w:p>
  </w:footnote>
  <w:footnote w:id="2740">
    <w:p>
      <w:pPr>
        <w:pStyle w:val="FootnoteText"/>
      </w:pPr>
      <w:r>
        <w:rPr>
          <w:rStyle w:val="FootnoteReference"/>
        </w:rPr>
        <w:footnoteRef/>
      </w:r>
      <w:r>
        <w:t xml:space="preserve"> </w:t>
      </w:r>
      <w:r>
        <w:t xml:space="preserve">Delcourt 2023, PMID 36482504.</w:t>
      </w:r>
    </w:p>
  </w:footnote>
  <w:footnote w:id="2741">
    <w:p>
      <w:pPr>
        <w:pStyle w:val="FootnoteText"/>
      </w:pPr>
      <w:r>
        <w:rPr>
          <w:rStyle w:val="FootnoteReference"/>
        </w:rPr>
        <w:footnoteRef/>
      </w:r>
      <w:r>
        <w:t xml:space="preserve"> </w:t>
      </w:r>
      <w:r>
        <w:t xml:space="preserve">Van Wagoner 2017, PMID 29183075.</w:t>
      </w:r>
    </w:p>
  </w:footnote>
  <w:footnote w:id="2743">
    <w:p>
      <w:pPr>
        <w:pStyle w:val="FootnoteText"/>
      </w:pPr>
      <w:r>
        <w:rPr>
          <w:rStyle w:val="FootnoteReference"/>
        </w:rPr>
        <w:footnoteRef/>
      </w:r>
      <w:r>
        <w:t xml:space="preserve"> </w:t>
      </w:r>
      <w:r>
        <w:t xml:space="preserve">Van Wagoner 2017, PMID 29183075.</w:t>
      </w:r>
    </w:p>
  </w:footnote>
  <w:footnote w:id="2744">
    <w:p>
      <w:pPr>
        <w:pStyle w:val="FootnoteText"/>
      </w:pPr>
      <w:r>
        <w:rPr>
          <w:rStyle w:val="FootnoteReference"/>
        </w:rPr>
        <w:footnoteRef/>
      </w:r>
      <w:r>
        <w:t xml:space="preserve"> </w:t>
      </w:r>
      <w:r>
        <w:t xml:space="preserve">Fabresse 2021, PMID 33838562.</w:t>
      </w:r>
    </w:p>
  </w:footnote>
  <w:footnote w:id="2745">
    <w:p>
      <w:pPr>
        <w:pStyle w:val="FootnoteText"/>
      </w:pPr>
      <w:r>
        <w:rPr>
          <w:rStyle w:val="FootnoteReference"/>
        </w:rPr>
        <w:footnoteRef/>
      </w:r>
      <w:r>
        <w:t xml:space="preserve"> </w:t>
      </w:r>
      <w:r>
        <w:t xml:space="preserve">Barrios 2025, PMID 40551438.</w:t>
      </w:r>
    </w:p>
  </w:footnote>
  <w:footnote w:id="2747">
    <w:p>
      <w:pPr>
        <w:pStyle w:val="FootnoteText"/>
      </w:pPr>
      <w:r>
        <w:rPr>
          <w:rStyle w:val="FootnoteReference"/>
        </w:rPr>
        <w:footnoteRef/>
      </w:r>
      <w:r>
        <w:t xml:space="preserve"> </w:t>
      </w:r>
      <w:r>
        <w:t xml:space="preserve">Janvier 2018, PMID 30029448.</w:t>
      </w:r>
    </w:p>
  </w:footnote>
  <w:footnote w:id="2748">
    <w:p>
      <w:pPr>
        <w:pStyle w:val="FootnoteText"/>
      </w:pPr>
      <w:r>
        <w:rPr>
          <w:rStyle w:val="FootnoteReference"/>
        </w:rPr>
        <w:footnoteRef/>
      </w:r>
      <w:r>
        <w:t xml:space="preserve"> </w:t>
      </w:r>
      <w:r>
        <w:t xml:space="preserve">Mongongu 2021, PMID 33587816.</w:t>
      </w:r>
    </w:p>
  </w:footnote>
  <w:footnote w:id="2749">
    <w:p>
      <w:pPr>
        <w:pStyle w:val="FootnoteText"/>
      </w:pPr>
      <w:r>
        <w:rPr>
          <w:rStyle w:val="FootnoteReference"/>
        </w:rPr>
        <w:footnoteRef/>
      </w:r>
      <w:r>
        <w:t xml:space="preserve"> </w:t>
      </w:r>
      <w:r>
        <w:t xml:space="preserve">Deville 2024, PMID 39302005.</w:t>
      </w:r>
    </w:p>
  </w:footnote>
  <w:footnote w:id="2750">
    <w:p>
      <w:pPr>
        <w:pStyle w:val="FootnoteText"/>
      </w:pPr>
      <w:r>
        <w:rPr>
          <w:rStyle w:val="FootnoteReference"/>
        </w:rPr>
        <w:footnoteRef/>
      </w:r>
      <w:r>
        <w:t xml:space="preserve"> </w:t>
      </w:r>
      <w:r>
        <w:t xml:space="preserve">Gajda 2019, PMID 30136411.</w:t>
      </w:r>
    </w:p>
  </w:footnote>
  <w:footnote w:id="2752">
    <w:p>
      <w:pPr>
        <w:pStyle w:val="FootnoteText"/>
      </w:pPr>
      <w:r>
        <w:rPr>
          <w:rStyle w:val="FootnoteReference"/>
        </w:rPr>
        <w:footnoteRef/>
      </w:r>
      <w:r>
        <w:t xml:space="preserve"> </w:t>
      </w:r>
      <w:r>
        <w:t xml:space="preserve">Janvier 2018, PMID 30029448.</w:t>
      </w:r>
    </w:p>
  </w:footnote>
  <w:footnote w:id="2753">
    <w:p>
      <w:pPr>
        <w:pStyle w:val="FootnoteText"/>
      </w:pPr>
      <w:r>
        <w:rPr>
          <w:rStyle w:val="FootnoteReference"/>
        </w:rPr>
        <w:footnoteRef/>
      </w:r>
      <w:r>
        <w:t xml:space="preserve"> </w:t>
      </w:r>
      <w:r>
        <w:t xml:space="preserve">Janvier 2018, PMID 28941153.</w:t>
      </w:r>
    </w:p>
  </w:footnote>
  <w:footnote w:id="2754">
    <w:p>
      <w:pPr>
        <w:pStyle w:val="FootnoteText"/>
      </w:pPr>
      <w:r>
        <w:rPr>
          <w:rStyle w:val="FootnoteReference"/>
        </w:rPr>
        <w:footnoteRef/>
      </w:r>
      <w:r>
        <w:t xml:space="preserve"> </w:t>
      </w:r>
      <w:r>
        <w:t xml:space="preserve">Ashraf 2024, PMID 39509151.</w:t>
      </w:r>
    </w:p>
  </w:footnote>
  <w:footnote w:id="2757">
    <w:p>
      <w:pPr>
        <w:pStyle w:val="FootnoteText"/>
      </w:pPr>
      <w:r>
        <w:rPr>
          <w:rStyle w:val="FootnoteReference"/>
        </w:rPr>
        <w:footnoteRef/>
      </w:r>
      <w:r>
        <w:t xml:space="preserve"> </w:t>
      </w:r>
      <w:r>
        <w:t xml:space="preserve">Deconinck 2021, PMID 33453144.</w:t>
      </w:r>
    </w:p>
  </w:footnote>
  <w:footnote w:id="2758">
    <w:p>
      <w:pPr>
        <w:pStyle w:val="FootnoteText"/>
      </w:pPr>
      <w:r>
        <w:rPr>
          <w:rStyle w:val="FootnoteReference"/>
        </w:rPr>
        <w:footnoteRef/>
      </w:r>
      <w:r>
        <w:t xml:space="preserve"> </w:t>
      </w:r>
      <w:r>
        <w:t xml:space="preserve">Vanhee 2015, PMID 25535022.</w:t>
      </w:r>
    </w:p>
  </w:footnote>
  <w:footnote w:id="2759">
    <w:p>
      <w:pPr>
        <w:pStyle w:val="FootnoteText"/>
      </w:pPr>
      <w:r>
        <w:rPr>
          <w:rStyle w:val="FootnoteReference"/>
        </w:rPr>
        <w:footnoteRef/>
      </w:r>
      <w:r>
        <w:t xml:space="preserve"> </w:t>
      </w:r>
      <w:r>
        <w:t xml:space="preserve">Vanhee 2020, PMID 31667971.</w:t>
      </w:r>
    </w:p>
  </w:footnote>
  <w:footnote w:id="2760">
    <w:p>
      <w:pPr>
        <w:pStyle w:val="FootnoteText"/>
      </w:pPr>
      <w:r>
        <w:rPr>
          <w:rStyle w:val="FootnoteReference"/>
        </w:rPr>
        <w:footnoteRef/>
      </w:r>
      <w:r>
        <w:t xml:space="preserve"> </w:t>
      </w:r>
      <w:r>
        <w:t xml:space="preserve">White 2026, PMID 41480958.</w:t>
      </w:r>
    </w:p>
  </w:footnote>
  <w:footnote w:id="2761">
    <w:p>
      <w:pPr>
        <w:pStyle w:val="FootnoteText"/>
      </w:pPr>
      <w:r>
        <w:rPr>
          <w:rStyle w:val="FootnoteReference"/>
        </w:rPr>
        <w:footnoteRef/>
      </w:r>
      <w:r>
        <w:t xml:space="preserve"> </w:t>
      </w:r>
      <w:r>
        <w:t xml:space="preserve">Barrios 2025, PMID 40551438.</w:t>
      </w:r>
    </w:p>
  </w:footnote>
  <w:footnote w:id="2764">
    <w:p>
      <w:pPr>
        <w:pStyle w:val="FootnoteText"/>
      </w:pPr>
      <w:r>
        <w:rPr>
          <w:rStyle w:val="FootnoteReference"/>
        </w:rPr>
        <w:footnoteRef/>
      </w:r>
      <w:r>
        <w:t xml:space="preserve"> </w:t>
      </w:r>
      <w:r>
        <w:t xml:space="preserve">Gaw 2024, PMID 38421490.</w:t>
      </w:r>
    </w:p>
  </w:footnote>
  <w:footnote w:id="2765">
    <w:p>
      <w:pPr>
        <w:pStyle w:val="FootnoteText"/>
      </w:pPr>
      <w:r>
        <w:rPr>
          <w:rStyle w:val="FootnoteReference"/>
        </w:rPr>
        <w:footnoteRef/>
      </w:r>
      <w:r>
        <w:t xml:space="preserve"> </w:t>
      </w:r>
      <w:r>
        <w:t xml:space="preserve">Senthilkumar 2026, PMID 41784916.</w:t>
      </w:r>
    </w:p>
  </w:footnote>
  <w:footnote w:id="2766">
    <w:p>
      <w:pPr>
        <w:pStyle w:val="FootnoteText"/>
      </w:pPr>
      <w:r>
        <w:rPr>
          <w:rStyle w:val="FootnoteReference"/>
        </w:rPr>
        <w:footnoteRef/>
      </w:r>
      <w:r>
        <w:t xml:space="preserve"> </w:t>
      </w:r>
      <w:r>
        <w:t xml:space="preserve">Gaw 2024, PMID 38421490 ; Ho 2025, PMID 40371098.</w:t>
      </w:r>
    </w:p>
  </w:footnote>
  <w:footnote w:id="2767">
    <w:p>
      <w:pPr>
        <w:pStyle w:val="FootnoteText"/>
      </w:pPr>
      <w:r>
        <w:rPr>
          <w:rStyle w:val="FootnoteReference"/>
        </w:rPr>
        <w:footnoteRef/>
      </w:r>
      <w:r>
        <w:t xml:space="preserve"> </w:t>
      </w:r>
      <w:r>
        <w:t xml:space="preserve">Marshall 2024, PMID 38861153.</w:t>
      </w:r>
    </w:p>
  </w:footnote>
  <w:footnote w:id="2768">
    <w:p>
      <w:pPr>
        <w:pStyle w:val="FootnoteText"/>
      </w:pPr>
      <w:r>
        <w:rPr>
          <w:rStyle w:val="FootnoteReference"/>
        </w:rPr>
        <w:footnoteRef/>
      </w:r>
      <w:r>
        <w:t xml:space="preserve"> </w:t>
      </w:r>
      <w:r>
        <w:t xml:space="preserve">Ho 2025, PMID 40371098.</w:t>
      </w:r>
    </w:p>
  </w:footnote>
  <w:footnote w:id="2769">
    <w:p>
      <w:pPr>
        <w:pStyle w:val="FootnoteText"/>
      </w:pPr>
      <w:r>
        <w:rPr>
          <w:rStyle w:val="FootnoteReference"/>
        </w:rPr>
        <w:footnoteRef/>
      </w:r>
      <w:r>
        <w:t xml:space="preserve"> </w:t>
      </w:r>
      <w:r>
        <w:t xml:space="preserve">Gaw 2024, PMID 38421490 ; Senthilkumar 2026, PMID 41784916.</w:t>
      </w:r>
    </w:p>
  </w:footnote>
  <w:footnote w:id="2770">
    <w:p>
      <w:pPr>
        <w:pStyle w:val="FootnoteText"/>
      </w:pPr>
      <w:r>
        <w:rPr>
          <w:rStyle w:val="FootnoteReference"/>
        </w:rPr>
        <w:footnoteRef/>
      </w:r>
      <w:r>
        <w:t xml:space="preserve"> </w:t>
      </w:r>
      <w:r>
        <w:t xml:space="preserve">Muschler 2025, PMID 39803696.</w:t>
      </w:r>
    </w:p>
  </w:footnote>
  <w:footnote w:id="2771">
    <w:p>
      <w:pPr>
        <w:pStyle w:val="FootnoteText"/>
      </w:pPr>
      <w:r>
        <w:rPr>
          <w:rStyle w:val="FootnoteReference"/>
        </w:rPr>
        <w:footnoteRef/>
      </w:r>
      <w:r>
        <w:t xml:space="preserve"> </w:t>
      </w:r>
      <w:r>
        <w:t xml:space="preserve">Ho 2025, PMID 40371098.</w:t>
      </w:r>
    </w:p>
  </w:footnote>
  <w:footnote w:id="2772">
    <w:p>
      <w:pPr>
        <w:pStyle w:val="FootnoteText"/>
      </w:pPr>
      <w:r>
        <w:rPr>
          <w:rStyle w:val="FootnoteReference"/>
        </w:rPr>
        <w:footnoteRef/>
      </w:r>
      <w:r>
        <w:t xml:space="preserve"> </w:t>
      </w:r>
      <w:r>
        <w:t xml:space="preserve">Marshall 2024, PMID 38861153.</w:t>
      </w:r>
    </w:p>
  </w:footnote>
  <w:footnote w:id="2773">
    <w:p>
      <w:pPr>
        <w:pStyle w:val="FootnoteText"/>
      </w:pPr>
      <w:r>
        <w:rPr>
          <w:rStyle w:val="FootnoteReference"/>
        </w:rPr>
        <w:footnoteRef/>
      </w:r>
      <w:r>
        <w:t xml:space="preserve"> </w:t>
      </w:r>
      <w:r>
        <w:t xml:space="preserve">Kraft 2026, PMID 42194666.</w:t>
      </w:r>
    </w:p>
  </w:footnote>
  <w:footnote w:id="2774">
    <w:p>
      <w:pPr>
        <w:pStyle w:val="FootnoteText"/>
      </w:pPr>
      <w:r>
        <w:rPr>
          <w:rStyle w:val="FootnoteReference"/>
        </w:rPr>
        <w:footnoteRef/>
      </w:r>
      <w:r>
        <w:t xml:space="preserve"> </w:t>
      </w:r>
      <w:r>
        <w:t xml:space="preserve">Senthilkumar 2026, PMID 41784916.</w:t>
      </w:r>
    </w:p>
  </w:footnote>
  <w:footnote w:id="2779">
    <w:p>
      <w:pPr>
        <w:pStyle w:val="FootnoteText"/>
      </w:pPr>
      <w:r>
        <w:rPr>
          <w:rStyle w:val="FootnoteReference"/>
        </w:rPr>
        <w:footnoteRef/>
      </w:r>
      <w:r>
        <w:t xml:space="preserve"> </w:t>
      </w:r>
      <w:r>
        <w:t xml:space="preserve">Cesta 2024, PMID 38079178.</w:t>
      </w:r>
    </w:p>
  </w:footnote>
  <w:footnote w:id="2780">
    <w:p>
      <w:pPr>
        <w:pStyle w:val="FootnoteText"/>
      </w:pPr>
      <w:r>
        <w:rPr>
          <w:rStyle w:val="FootnoteReference"/>
        </w:rPr>
        <w:footnoteRef/>
      </w:r>
      <w:r>
        <w:t xml:space="preserve"> </w:t>
      </w:r>
      <w:r>
        <w:t xml:space="preserve">Dao 2024, PMID 38663923.</w:t>
      </w:r>
    </w:p>
  </w:footnote>
  <w:footnote w:id="2781">
    <w:p>
      <w:pPr>
        <w:pStyle w:val="FootnoteText"/>
      </w:pPr>
      <w:r>
        <w:rPr>
          <w:rStyle w:val="FootnoteReference"/>
        </w:rPr>
        <w:footnoteRef/>
      </w:r>
      <w:r>
        <w:t xml:space="preserve"> </w:t>
      </w:r>
      <w:r>
        <w:t xml:space="preserve">Brown 2026, PMID 42258827.</w:t>
      </w:r>
    </w:p>
  </w:footnote>
  <w:footnote w:id="2782">
    <w:p>
      <w:pPr>
        <w:pStyle w:val="FootnoteText"/>
      </w:pPr>
      <w:r>
        <w:rPr>
          <w:rStyle w:val="FootnoteReference"/>
        </w:rPr>
        <w:footnoteRef/>
      </w:r>
      <w:r>
        <w:t xml:space="preserve"> </w:t>
      </w:r>
      <w:r>
        <w:t xml:space="preserve">Uysal 2026, PMID 42420519.</w:t>
      </w:r>
    </w:p>
  </w:footnote>
  <w:footnote w:id="2783">
    <w:p>
      <w:pPr>
        <w:pStyle w:val="FootnoteText"/>
      </w:pPr>
      <w:r>
        <w:rPr>
          <w:rStyle w:val="FootnoteReference"/>
        </w:rPr>
        <w:footnoteRef/>
      </w:r>
      <w:r>
        <w:t xml:space="preserve"> </w:t>
      </w:r>
      <w:r>
        <w:t xml:space="preserve">NCT06867835.</w:t>
      </w:r>
    </w:p>
  </w:footnote>
  <w:footnote w:id="2785">
    <w:p>
      <w:pPr>
        <w:pStyle w:val="FootnoteText"/>
      </w:pPr>
      <w:r>
        <w:rPr>
          <w:rStyle w:val="FootnoteReference"/>
        </w:rPr>
        <w:footnoteRef/>
      </w:r>
      <w:r>
        <w:t xml:space="preserve"> </w:t>
      </w:r>
      <w:r>
        <w:t xml:space="preserve">Kapitza 2015, PMID 25475122.</w:t>
      </w:r>
    </w:p>
  </w:footnote>
  <w:footnote w:id="2786">
    <w:p>
      <w:pPr>
        <w:pStyle w:val="FootnoteText"/>
      </w:pPr>
      <w:r>
        <w:rPr>
          <w:rStyle w:val="FootnoteReference"/>
        </w:rPr>
        <w:footnoteRef/>
      </w:r>
      <w:r>
        <w:t xml:space="preserve"> </w:t>
      </w:r>
      <w:r>
        <w:t xml:space="preserve">Skelley 2024, PMID 37940101.</w:t>
      </w:r>
    </w:p>
  </w:footnote>
  <w:footnote w:id="2787">
    <w:p>
      <w:pPr>
        <w:pStyle w:val="FootnoteText"/>
      </w:pPr>
      <w:r>
        <w:rPr>
          <w:rStyle w:val="FootnoteReference"/>
        </w:rPr>
        <w:footnoteRef/>
      </w:r>
      <w:r>
        <w:t xml:space="preserve"> </w:t>
      </w:r>
      <w:r>
        <w:t xml:space="preserve">Clayton 2022, PMID 35147466.</w:t>
      </w:r>
    </w:p>
  </w:footnote>
  <w:footnote w:id="2788">
    <w:p>
      <w:pPr>
        <w:pStyle w:val="FootnoteText"/>
      </w:pPr>
      <w:r>
        <w:rPr>
          <w:rStyle w:val="FootnoteReference"/>
        </w:rPr>
        <w:footnoteRef/>
      </w:r>
      <w:r>
        <w:t xml:space="preserve"> </w:t>
      </w:r>
      <w:r>
        <w:t xml:space="preserve">Lissy 2021, PMID 32961034.</w:t>
      </w:r>
    </w:p>
  </w:footnote>
  <w:footnote w:id="2790">
    <w:p>
      <w:pPr>
        <w:pStyle w:val="FootnoteText"/>
      </w:pPr>
      <w:r>
        <w:rPr>
          <w:rStyle w:val="FootnoteReference"/>
        </w:rPr>
        <w:footnoteRef/>
      </w:r>
      <w:r>
        <w:t xml:space="preserve"> </w:t>
      </w:r>
      <w:r>
        <w:t xml:space="preserve">Baig 2025, PMID 39694296.</w:t>
      </w:r>
    </w:p>
  </w:footnote>
  <w:footnote w:id="2791">
    <w:p>
      <w:pPr>
        <w:pStyle w:val="FootnoteText"/>
      </w:pPr>
      <w:r>
        <w:rPr>
          <w:rStyle w:val="FootnoteReference"/>
        </w:rPr>
        <w:footnoteRef/>
      </w:r>
      <w:r>
        <w:t xml:space="preserve"> </w:t>
      </w:r>
      <w:r>
        <w:t xml:space="preserve">Vlaeminck 2026, PMID 41631344.</w:t>
      </w:r>
    </w:p>
  </w:footnote>
  <w:footnote w:id="2792">
    <w:p>
      <w:pPr>
        <w:pStyle w:val="FootnoteText"/>
      </w:pPr>
      <w:r>
        <w:rPr>
          <w:rStyle w:val="FootnoteReference"/>
        </w:rPr>
        <w:footnoteRef/>
      </w:r>
      <w:r>
        <w:t xml:space="preserve"> </w:t>
      </w:r>
      <w:r>
        <w:t xml:space="preserve">Wu 2026, PMID 40940281.</w:t>
      </w:r>
    </w:p>
  </w:footnote>
  <w:footnote w:id="2793">
    <w:p>
      <w:pPr>
        <w:pStyle w:val="FootnoteText"/>
      </w:pPr>
      <w:r>
        <w:rPr>
          <w:rStyle w:val="FootnoteReference"/>
        </w:rPr>
        <w:footnoteRef/>
      </w:r>
      <w:r>
        <w:t xml:space="preserve"> </w:t>
      </w:r>
      <w:r>
        <w:t xml:space="preserve">NCT07276763.</w:t>
      </w:r>
    </w:p>
  </w:footnote>
  <w:footnote w:id="2795">
    <w:p>
      <w:pPr>
        <w:pStyle w:val="FootnoteText"/>
      </w:pPr>
      <w:r>
        <w:rPr>
          <w:rStyle w:val="FootnoteReference"/>
        </w:rPr>
        <w:footnoteRef/>
      </w:r>
      <w:r>
        <w:t xml:space="preserve"> </w:t>
      </w:r>
      <w:r>
        <w:t xml:space="preserve">Kendall 2005, PMID 15855571.</w:t>
      </w:r>
    </w:p>
  </w:footnote>
  <w:footnote w:id="2796">
    <w:p>
      <w:pPr>
        <w:pStyle w:val="FootnoteText"/>
      </w:pPr>
      <w:r>
        <w:rPr>
          <w:rStyle w:val="FootnoteReference"/>
        </w:rPr>
        <w:footnoteRef/>
      </w:r>
      <w:r>
        <w:t xml:space="preserve"> </w:t>
      </w:r>
      <w:r>
        <w:t xml:space="preserve">Edelman 2006, PMID 17003291.</w:t>
      </w:r>
    </w:p>
  </w:footnote>
  <w:footnote w:id="2798">
    <w:p>
      <w:pPr>
        <w:pStyle w:val="FootnoteText"/>
      </w:pPr>
      <w:r>
        <w:rPr>
          <w:rStyle w:val="FootnoteReference"/>
        </w:rPr>
        <w:footnoteRef/>
      </w:r>
      <w:r>
        <w:t xml:space="preserve"> </w:t>
      </w:r>
      <w:r>
        <w:t xml:space="preserve">Kelly 2020, PMID 32233338.</w:t>
      </w:r>
    </w:p>
  </w:footnote>
  <w:footnote w:id="2799">
    <w:p>
      <w:pPr>
        <w:pStyle w:val="FootnoteText"/>
      </w:pPr>
      <w:r>
        <w:rPr>
          <w:rStyle w:val="FootnoteReference"/>
        </w:rPr>
        <w:footnoteRef/>
      </w:r>
      <w:r>
        <w:t xml:space="preserve"> </w:t>
      </w:r>
      <w:r>
        <w:t xml:space="preserve">Silva 2026, PMID 42115753.</w:t>
      </w:r>
    </w:p>
  </w:footnote>
  <w:footnote w:id="2800">
    <w:p>
      <w:pPr>
        <w:pStyle w:val="FootnoteText"/>
      </w:pPr>
      <w:r>
        <w:rPr>
          <w:rStyle w:val="FootnoteReference"/>
        </w:rPr>
        <w:footnoteRef/>
      </w:r>
      <w:r>
        <w:t xml:space="preserve"> </w:t>
      </w:r>
      <w:r>
        <w:t xml:space="preserve">Senthilkumar 2026, PMID 41784916.</w:t>
      </w:r>
    </w:p>
  </w:footnote>
  <w:footnote w:id="2801">
    <w:p>
      <w:pPr>
        <w:pStyle w:val="FootnoteText"/>
      </w:pPr>
      <w:r>
        <w:rPr>
          <w:rStyle w:val="FootnoteReference"/>
        </w:rPr>
        <w:footnoteRef/>
      </w:r>
      <w:r>
        <w:t xml:space="preserve"> </w:t>
      </w:r>
      <w:r>
        <w:t xml:space="preserve">Coutinho 2026, PMID 41880199.</w:t>
      </w:r>
    </w:p>
  </w:footnote>
  <w:footnote w:id="2803">
    <w:p>
      <w:pPr>
        <w:pStyle w:val="FootnoteText"/>
      </w:pPr>
      <w:r>
        <w:rPr>
          <w:rStyle w:val="FootnoteReference"/>
        </w:rPr>
        <w:footnoteRef/>
      </w:r>
      <w:r>
        <w:t xml:space="preserve"> </w:t>
      </w:r>
      <w:r>
        <w:t xml:space="preserve">Liu 2007, PMID 17227934.</w:t>
      </w:r>
    </w:p>
  </w:footnote>
  <w:footnote w:id="2804">
    <w:p>
      <w:pPr>
        <w:pStyle w:val="FootnoteText"/>
      </w:pPr>
      <w:r>
        <w:rPr>
          <w:rStyle w:val="FootnoteReference"/>
        </w:rPr>
        <w:footnoteRef/>
      </w:r>
      <w:r>
        <w:t xml:space="preserve"> </w:t>
      </w:r>
      <w:r>
        <w:t xml:space="preserve">Adunsky 2011, PMID 21067829.</w:t>
      </w:r>
    </w:p>
  </w:footnote>
  <w:footnote w:id="2806">
    <w:p>
      <w:pPr>
        <w:pStyle w:val="FootnoteText"/>
      </w:pPr>
      <w:r>
        <w:rPr>
          <w:rStyle w:val="FootnoteReference"/>
        </w:rPr>
        <w:footnoteRef/>
      </w:r>
      <w:r>
        <w:t xml:space="preserve"> </w:t>
      </w:r>
      <w:r>
        <w:t xml:space="preserve">Look 2025, PMID 39996356.</w:t>
      </w:r>
    </w:p>
  </w:footnote>
  <w:footnote w:id="2807">
    <w:p>
      <w:pPr>
        <w:pStyle w:val="FootnoteText"/>
      </w:pPr>
      <w:r>
        <w:rPr>
          <w:rStyle w:val="FootnoteReference"/>
        </w:rPr>
        <w:footnoteRef/>
      </w:r>
      <w:r>
        <w:t xml:space="preserve"> </w:t>
      </w:r>
      <w:r>
        <w:t xml:space="preserve">Karakasis 2025, PMID 39719170.</w:t>
      </w:r>
    </w:p>
  </w:footnote>
  <w:footnote w:id="2808">
    <w:p>
      <w:pPr>
        <w:pStyle w:val="FootnoteText"/>
      </w:pPr>
      <w:r>
        <w:rPr>
          <w:rStyle w:val="FootnoteReference"/>
        </w:rPr>
        <w:footnoteRef/>
      </w:r>
      <w:r>
        <w:t xml:space="preserve"> </w:t>
      </w:r>
      <w:r>
        <w:t xml:space="preserve">Batsis 2026, PMID 41996180.</w:t>
      </w:r>
    </w:p>
  </w:footnote>
  <w:footnote w:id="2809">
    <w:p>
      <w:pPr>
        <w:pStyle w:val="FootnoteText"/>
      </w:pPr>
      <w:r>
        <w:rPr>
          <w:rStyle w:val="FootnoteReference"/>
        </w:rPr>
        <w:footnoteRef/>
      </w:r>
      <w:r>
        <w:t xml:space="preserve"> </w:t>
      </w:r>
      <w:r>
        <w:t xml:space="preserve">Laverde 2026, PMID 42321502.</w:t>
      </w:r>
    </w:p>
  </w:footnote>
  <w:footnote w:id="2811">
    <w:p>
      <w:pPr>
        <w:pStyle w:val="FootnoteText"/>
      </w:pPr>
      <w:r>
        <w:rPr>
          <w:rStyle w:val="FootnoteReference"/>
        </w:rPr>
        <w:footnoteRef/>
      </w:r>
      <w:r>
        <w:t xml:space="preserve"> </w:t>
      </w:r>
      <w:r>
        <w:t xml:space="preserve">Guerdjikova 2024, PMID 38329147.</w:t>
      </w:r>
    </w:p>
  </w:footnote>
  <w:footnote w:id="2812">
    <w:p>
      <w:pPr>
        <w:pStyle w:val="FootnoteText"/>
      </w:pPr>
      <w:r>
        <w:rPr>
          <w:rStyle w:val="FootnoteReference"/>
        </w:rPr>
        <w:footnoteRef/>
      </w:r>
      <w:r>
        <w:t xml:space="preserve"> </w:t>
      </w:r>
      <w:r>
        <w:t xml:space="preserve">Peiper 2026, PMID 42340738.</w:t>
      </w:r>
    </w:p>
  </w:footnote>
  <w:footnote w:id="2813">
    <w:p>
      <w:pPr>
        <w:pStyle w:val="FootnoteText"/>
      </w:pPr>
      <w:r>
        <w:rPr>
          <w:rStyle w:val="FootnoteReference"/>
        </w:rPr>
        <w:footnoteRef/>
      </w:r>
      <w:r>
        <w:t xml:space="preserve"> </w:t>
      </w:r>
      <w:r>
        <w:t xml:space="preserve">Keshen 2026, PMID 42742590.</w:t>
      </w:r>
    </w:p>
  </w:footnote>
  <w:footnote w:id="2814">
    <w:p>
      <w:pPr>
        <w:pStyle w:val="FootnoteText"/>
      </w:pPr>
      <w:r>
        <w:rPr>
          <w:rStyle w:val="FootnoteReference"/>
        </w:rPr>
        <w:footnoteRef/>
      </w:r>
      <w:r>
        <w:t xml:space="preserve"> </w:t>
      </w:r>
      <w:r>
        <w:t xml:space="preserve">Keshen 2026, PMID 42742590.</w:t>
      </w:r>
    </w:p>
  </w:footnote>
  <w:footnote w:id="2816">
    <w:p>
      <w:pPr>
        <w:pStyle w:val="FootnoteText"/>
      </w:pPr>
      <w:r>
        <w:rPr>
          <w:rStyle w:val="FootnoteReference"/>
        </w:rPr>
        <w:footnoteRef/>
      </w:r>
      <w:r>
        <w:t xml:space="preserve"> </w:t>
      </w:r>
      <w:r>
        <w:t xml:space="preserve">Borschel 2026, PMID 42874322.</w:t>
      </w:r>
    </w:p>
  </w:footnote>
  <w:footnote w:id="2817">
    <w:p>
      <w:pPr>
        <w:pStyle w:val="FootnoteText"/>
      </w:pPr>
      <w:r>
        <w:rPr>
          <w:rStyle w:val="FootnoteReference"/>
        </w:rPr>
        <w:footnoteRef/>
      </w:r>
      <w:r>
        <w:t xml:space="preserve"> </w:t>
      </w:r>
      <w:r>
        <w:t xml:space="preserve">Barrios 2025, PMID 40551438.</w:t>
      </w:r>
    </w:p>
  </w:footnote>
  <w:footnote w:id="2818">
    <w:p>
      <w:pPr>
        <w:pStyle w:val="FootnoteText"/>
      </w:pPr>
      <w:r>
        <w:rPr>
          <w:rStyle w:val="FootnoteReference"/>
        </w:rPr>
        <w:footnoteRef/>
      </w:r>
      <w:r>
        <w:t xml:space="preserve"> </w:t>
      </w:r>
      <w:r>
        <w:t xml:space="preserve">Gajda 2019, PMID 30136411.</w:t>
      </w:r>
    </w:p>
  </w:footnote>
  <w:footnote w:id="2819">
    <w:p>
      <w:pPr>
        <w:pStyle w:val="FootnoteText"/>
      </w:pPr>
      <w:r>
        <w:rPr>
          <w:rStyle w:val="FootnoteReference"/>
        </w:rPr>
        <w:footnoteRef/>
      </w:r>
      <w:r>
        <w:t xml:space="preserve"> </w:t>
      </w:r>
      <w:r>
        <w:t xml:space="preserve">La Vignera 2026, PMID 42511463.</w:t>
      </w:r>
    </w:p>
  </w:footnote>
  <w:footnote w:id="2820">
    <w:p>
      <w:pPr>
        <w:pStyle w:val="FootnoteText"/>
      </w:pPr>
      <w:r>
        <w:rPr>
          <w:rStyle w:val="FootnoteReference"/>
        </w:rPr>
        <w:footnoteRef/>
      </w:r>
      <w:r>
        <w:t xml:space="preserve"> </w:t>
      </w:r>
      <w:r>
        <w:t xml:space="preserve">Villegas Meza 2026, PMID 42160466.</w:t>
      </w:r>
    </w:p>
  </w:footnote>
  <w:footnote w:id="2825">
    <w:p>
      <w:pPr>
        <w:pStyle w:val="FootnoteText"/>
      </w:pPr>
      <w:r>
        <w:rPr>
          <w:rStyle w:val="FootnoteReference"/>
        </w:rPr>
        <w:footnoteRef/>
      </w:r>
      <w:r>
        <w:t xml:space="preserve"> </w:t>
      </w:r>
      <w:r>
        <w:t xml:space="preserve">NCT07543458.</w:t>
      </w:r>
    </w:p>
  </w:footnote>
  <w:footnote w:id="2826">
    <w:p>
      <w:pPr>
        <w:pStyle w:val="FootnoteText"/>
      </w:pPr>
      <w:r>
        <w:rPr>
          <w:rStyle w:val="FootnoteReference"/>
        </w:rPr>
        <w:footnoteRef/>
      </w:r>
      <w:r>
        <w:t xml:space="preserve"> </w:t>
      </w:r>
      <w:r>
        <w:t xml:space="preserve">NCT04020055, NCT06904261.</w:t>
      </w:r>
    </w:p>
  </w:footnote>
  <w:footnote w:id="2828">
    <w:p>
      <w:pPr>
        <w:pStyle w:val="FootnoteText"/>
      </w:pPr>
      <w:r>
        <w:rPr>
          <w:rStyle w:val="FootnoteReference"/>
        </w:rPr>
        <w:footnoteRef/>
      </w:r>
      <w:r>
        <w:t xml:space="preserve"> </w:t>
      </w:r>
      <w:r>
        <w:t xml:space="preserve">NCT05086614.</w:t>
      </w:r>
    </w:p>
  </w:footnote>
  <w:footnote w:id="2829">
    <w:p>
      <w:pPr>
        <w:pStyle w:val="FootnoteText"/>
      </w:pPr>
      <w:r>
        <w:rPr>
          <w:rStyle w:val="FootnoteReference"/>
        </w:rPr>
        <w:footnoteRef/>
      </w:r>
      <w:r>
        <w:t xml:space="preserve"> </w:t>
      </w:r>
      <w:r>
        <w:t xml:space="preserve">NCT05555589.</w:t>
      </w:r>
    </w:p>
  </w:footnote>
  <w:footnote w:id="2830">
    <w:p>
      <w:pPr>
        <w:pStyle w:val="FootnoteText"/>
      </w:pPr>
      <w:r>
        <w:rPr>
          <w:rStyle w:val="FootnoteReference"/>
        </w:rPr>
        <w:footnoteRef/>
      </w:r>
      <w:r>
        <w:t xml:space="preserve"> </w:t>
      </w:r>
      <w:r>
        <w:t xml:space="preserve">NCT06373731.</w:t>
      </w:r>
    </w:p>
  </w:footnote>
  <w:footnote w:id="2831">
    <w:p>
      <w:pPr>
        <w:pStyle w:val="FootnoteText"/>
      </w:pPr>
      <w:r>
        <w:rPr>
          <w:rStyle w:val="FootnoteReference"/>
        </w:rPr>
        <w:footnoteRef/>
      </w:r>
      <w:r>
        <w:t xml:space="preserve"> </w:t>
      </w:r>
      <w:r>
        <w:t xml:space="preserve">NCT06109649.</w:t>
      </w:r>
    </w:p>
  </w:footnote>
  <w:footnote w:id="2832">
    <w:p>
      <w:pPr>
        <w:pStyle w:val="FootnoteText"/>
      </w:pPr>
      <w:r>
        <w:rPr>
          <w:rStyle w:val="FootnoteReference"/>
        </w:rPr>
        <w:footnoteRef/>
      </w:r>
      <w:r>
        <w:t xml:space="preserve"> </w:t>
      </w:r>
      <w:r>
        <w:t xml:space="preserve">NCT06948214.</w:t>
      </w:r>
    </w:p>
  </w:footnote>
  <w:footnote w:id="2833">
    <w:p>
      <w:pPr>
        <w:pStyle w:val="FootnoteText"/>
      </w:pPr>
      <w:r>
        <w:rPr>
          <w:rStyle w:val="FootnoteReference"/>
        </w:rPr>
        <w:footnoteRef/>
      </w:r>
      <w:r>
        <w:t xml:space="preserve"> </w:t>
      </w:r>
      <w:r>
        <w:t xml:space="preserve">NCT04903002.</w:t>
      </w:r>
    </w:p>
  </w:footnote>
  <w:footnote w:id="2834">
    <w:p>
      <w:pPr>
        <w:pStyle w:val="FootnoteText"/>
      </w:pPr>
      <w:r>
        <w:rPr>
          <w:rStyle w:val="FootnoteReference"/>
        </w:rPr>
        <w:footnoteRef/>
      </w:r>
      <w:r>
        <w:t xml:space="preserve"> </w:t>
      </w:r>
      <w:r>
        <w:t xml:space="preserve">NCT07675980.</w:t>
      </w:r>
    </w:p>
  </w:footnote>
  <w:footnote w:id="2837">
    <w:p>
      <w:pPr>
        <w:pStyle w:val="FootnoteText"/>
      </w:pPr>
      <w:r>
        <w:rPr>
          <w:rStyle w:val="FootnoteReference"/>
        </w:rPr>
        <w:footnoteRef/>
      </w:r>
      <w:r>
        <w:t xml:space="preserve"> </w:t>
      </w:r>
      <w:r>
        <w:t xml:space="preserve">NCT06662383.</w:t>
      </w:r>
    </w:p>
  </w:footnote>
  <w:footnote w:id="2838">
    <w:p>
      <w:pPr>
        <w:pStyle w:val="FootnoteText"/>
      </w:pPr>
      <w:r>
        <w:rPr>
          <w:rStyle w:val="FootnoteReference"/>
        </w:rPr>
        <w:footnoteRef/>
      </w:r>
      <w:r>
        <w:t xml:space="preserve"> </w:t>
      </w:r>
      <w:r>
        <w:t xml:space="preserve">NCT07889648.</w:t>
      </w:r>
    </w:p>
  </w:footnote>
  <w:footnote w:id="2839">
    <w:p>
      <w:pPr>
        <w:pStyle w:val="FootnoteText"/>
      </w:pPr>
      <w:r>
        <w:rPr>
          <w:rStyle w:val="FootnoteReference"/>
        </w:rPr>
        <w:footnoteRef/>
      </w:r>
      <w:r>
        <w:t xml:space="preserve"> </w:t>
      </w:r>
      <w:r>
        <w:t xml:space="preserve">NCT06780449.</w:t>
      </w:r>
    </w:p>
  </w:footnote>
  <w:footnote w:id="2840">
    <w:p>
      <w:pPr>
        <w:pStyle w:val="FootnoteText"/>
      </w:pPr>
      <w:r>
        <w:rPr>
          <w:rStyle w:val="FootnoteReference"/>
        </w:rPr>
        <w:footnoteRef/>
      </w:r>
      <w:r>
        <w:t xml:space="preserve"> </w:t>
      </w:r>
      <w:r>
        <w:t xml:space="preserve">NCT07575399.</w:t>
      </w:r>
    </w:p>
  </w:footnote>
  <w:footnote w:id="2841">
    <w:p>
      <w:pPr>
        <w:pStyle w:val="FootnoteText"/>
      </w:pPr>
      <w:r>
        <w:rPr>
          <w:rStyle w:val="FootnoteReference"/>
        </w:rPr>
        <w:footnoteRef/>
      </w:r>
      <w:r>
        <w:t xml:space="preserve"> </w:t>
      </w:r>
      <w:r>
        <w:t xml:space="preserve">NCT07845500.</w:t>
      </w:r>
    </w:p>
  </w:footnote>
  <w:footnote w:id="2842">
    <w:p>
      <w:pPr>
        <w:pStyle w:val="FootnoteText"/>
      </w:pPr>
      <w:r>
        <w:rPr>
          <w:rStyle w:val="FootnoteReference"/>
        </w:rPr>
        <w:footnoteRef/>
      </w:r>
      <w:r>
        <w:t xml:space="preserve"> </w:t>
      </w:r>
      <w:r>
        <w:t xml:space="preserve">Aronne 2024, PMID 38078870.</w:t>
      </w:r>
    </w:p>
  </w:footnote>
  <w:footnote w:id="2843">
    <w:p>
      <w:pPr>
        <w:pStyle w:val="FootnoteText"/>
      </w:pPr>
      <w:r>
        <w:rPr>
          <w:rStyle w:val="FootnoteReference"/>
        </w:rPr>
        <w:footnoteRef/>
      </w:r>
      <w:r>
        <w:t xml:space="preserve"> </w:t>
      </w:r>
      <w:r>
        <w:t xml:space="preserve">NCT06257966.</w:t>
      </w:r>
    </w:p>
  </w:footnote>
  <w:footnote w:id="2844">
    <w:p>
      <w:pPr>
        <w:pStyle w:val="FootnoteText"/>
      </w:pPr>
      <w:r>
        <w:rPr>
          <w:rStyle w:val="FootnoteReference"/>
        </w:rPr>
        <w:footnoteRef/>
      </w:r>
      <w:r>
        <w:t xml:space="preserve"> </w:t>
      </w:r>
      <w:r>
        <w:t xml:space="preserve">NCT06439277, NCT07817875.</w:t>
      </w:r>
    </w:p>
  </w:footnote>
  <w:footnote w:id="2845">
    <w:p>
      <w:pPr>
        <w:pStyle w:val="FootnoteText"/>
      </w:pPr>
      <w:r>
        <w:rPr>
          <w:rStyle w:val="FootnoteReference"/>
        </w:rPr>
        <w:footnoteRef/>
      </w:r>
      <w:r>
        <w:t xml:space="preserve"> </w:t>
      </w:r>
      <w:r>
        <w:t xml:space="preserve">NCT06672939.</w:t>
      </w:r>
    </w:p>
  </w:footnote>
  <w:footnote w:id="2847">
    <w:p>
      <w:pPr>
        <w:pStyle w:val="FootnoteText"/>
      </w:pPr>
      <w:r>
        <w:rPr>
          <w:rStyle w:val="FootnoteReference"/>
        </w:rPr>
        <w:footnoteRef/>
      </w:r>
      <w:r>
        <w:t xml:space="preserve"> </w:t>
      </w:r>
      <w:r>
        <w:t xml:space="preserve">Jastreboff 2023, PMID 37366315.</w:t>
      </w:r>
    </w:p>
  </w:footnote>
  <w:footnote w:id="2848">
    <w:p>
      <w:pPr>
        <w:pStyle w:val="FootnoteText"/>
      </w:pPr>
      <w:r>
        <w:rPr>
          <w:rStyle w:val="FootnoteReference"/>
        </w:rPr>
        <w:footnoteRef/>
      </w:r>
      <w:r>
        <w:t xml:space="preserve"> </w:t>
      </w:r>
      <w:r>
        <w:t xml:space="preserve">Jastreboff 2026, PMID 42814954.</w:t>
      </w:r>
    </w:p>
  </w:footnote>
  <w:footnote w:id="2849">
    <w:p>
      <w:pPr>
        <w:pStyle w:val="FootnoteText"/>
      </w:pPr>
      <w:r>
        <w:rPr>
          <w:rStyle w:val="FootnoteReference"/>
        </w:rPr>
        <w:footnoteRef/>
      </w:r>
      <w:r>
        <w:t xml:space="preserve"> </w:t>
      </w:r>
      <w:r>
        <w:t xml:space="preserve">NCT06383390.</w:t>
      </w:r>
    </w:p>
  </w:footnote>
  <w:footnote w:id="2851">
    <w:p>
      <w:pPr>
        <w:pStyle w:val="FootnoteText"/>
      </w:pPr>
      <w:r>
        <w:rPr>
          <w:rStyle w:val="FootnoteReference"/>
        </w:rPr>
        <w:footnoteRef/>
      </w:r>
      <w:r>
        <w:t xml:space="preserve"> </w:t>
      </w:r>
      <w:r>
        <w:t xml:space="preserve">Garvey 2025, PMID 40544433.</w:t>
      </w:r>
    </w:p>
  </w:footnote>
  <w:footnote w:id="2852">
    <w:p>
      <w:pPr>
        <w:pStyle w:val="FootnoteText"/>
      </w:pPr>
      <w:r>
        <w:rPr>
          <w:rStyle w:val="FootnoteReference"/>
        </w:rPr>
        <w:footnoteRef/>
      </w:r>
      <w:r>
        <w:t xml:space="preserve"> </w:t>
      </w:r>
      <w:r>
        <w:t xml:space="preserve">Dahl 2025, PMID 40550231.</w:t>
      </w:r>
    </w:p>
  </w:footnote>
  <w:footnote w:id="2853">
    <w:p>
      <w:pPr>
        <w:pStyle w:val="FootnoteText"/>
      </w:pPr>
      <w:r>
        <w:rPr>
          <w:rStyle w:val="FootnoteReference"/>
        </w:rPr>
        <w:footnoteRef/>
      </w:r>
      <w:r>
        <w:t xml:space="preserve"> </w:t>
      </w:r>
      <w:r>
        <w:t xml:space="preserve">Billings 2025, PMID 41207310.</w:t>
      </w:r>
    </w:p>
  </w:footnote>
  <w:footnote w:id="2854">
    <w:p>
      <w:pPr>
        <w:pStyle w:val="FootnoteText"/>
      </w:pPr>
      <w:r>
        <w:rPr>
          <w:rStyle w:val="FootnoteReference"/>
        </w:rPr>
        <w:footnoteRef/>
      </w:r>
      <w:r>
        <w:t xml:space="preserve"> </w:t>
      </w:r>
      <w:r>
        <w:t xml:space="preserve">Garvey 2026, PMID 42810355.</w:t>
      </w:r>
    </w:p>
  </w:footnote>
  <w:footnote w:id="2856">
    <w:p>
      <w:pPr>
        <w:pStyle w:val="FootnoteText"/>
      </w:pPr>
      <w:r>
        <w:rPr>
          <w:rStyle w:val="FootnoteReference"/>
        </w:rPr>
        <w:footnoteRef/>
      </w:r>
      <w:r>
        <w:t xml:space="preserve"> </w:t>
      </w:r>
      <w:r>
        <w:t xml:space="preserve">Yie 2026, PMID 42592044.</w:t>
      </w:r>
    </w:p>
  </w:footnote>
  <w:footnote w:id="2857">
    <w:p>
      <w:pPr>
        <w:pStyle w:val="FootnoteText"/>
      </w:pPr>
      <w:r>
        <w:rPr>
          <w:rStyle w:val="FootnoteReference"/>
        </w:rPr>
        <w:footnoteRef/>
      </w:r>
      <w:r>
        <w:t xml:space="preserve"> </w:t>
      </w:r>
      <w:r>
        <w:t xml:space="preserve">Jastreboff 2025, PMID 40549887.</w:t>
      </w:r>
    </w:p>
  </w:footnote>
  <w:footnote w:id="2859">
    <w:p>
      <w:pPr>
        <w:pStyle w:val="FootnoteText"/>
      </w:pPr>
      <w:r>
        <w:rPr>
          <w:rStyle w:val="FootnoteReference"/>
        </w:rPr>
        <w:footnoteRef/>
      </w:r>
      <w:r>
        <w:t xml:space="preserve"> </w:t>
      </w:r>
      <w:r>
        <w:t xml:space="preserve">Heymsfield 2021, PMID 33439265.</w:t>
      </w:r>
    </w:p>
  </w:footnote>
  <w:footnote w:id="2860">
    <w:p>
      <w:pPr>
        <w:pStyle w:val="FootnoteText"/>
      </w:pPr>
      <w:r>
        <w:rPr>
          <w:rStyle w:val="FootnoteReference"/>
        </w:rPr>
        <w:footnoteRef/>
      </w:r>
      <w:r>
        <w:t xml:space="preserve"> </w:t>
      </w:r>
      <w:r>
        <w:t xml:space="preserve">Heymsfield 2026, PMID 41772149.</w:t>
      </w:r>
    </w:p>
  </w:footnote>
  <w:footnote w:id="2861">
    <w:p>
      <w:pPr>
        <w:pStyle w:val="FootnoteText"/>
      </w:pPr>
      <w:r>
        <w:rPr>
          <w:rStyle w:val="FootnoteReference"/>
        </w:rPr>
        <w:footnoteRef/>
      </w:r>
      <w:r>
        <w:t xml:space="preserve"> </w:t>
      </w:r>
      <w:r>
        <w:t xml:space="preserve">NCT05933499.</w:t>
      </w:r>
    </w:p>
  </w:footnote>
  <w:footnote w:id="2867">
    <w:p>
      <w:pPr>
        <w:pStyle w:val="FootnoteText"/>
      </w:pPr>
      <w:r>
        <w:rPr>
          <w:rStyle w:val="FootnoteReference"/>
        </w:rPr>
        <w:footnoteRef/>
      </w:r>
      <w:r>
        <w:t xml:space="preserve"> </w:t>
      </w:r>
      <w:r>
        <w:t xml:space="preserve">Drucker 2020, PMID 31848464.</w:t>
      </w:r>
    </w:p>
  </w:footnote>
  <w:footnote w:id="2868">
    <w:p>
      <w:pPr>
        <w:pStyle w:val="FootnoteText"/>
      </w:pPr>
      <w:r>
        <w:rPr>
          <w:rStyle w:val="FootnoteReference"/>
        </w:rPr>
        <w:footnoteRef/>
      </w:r>
      <w:r>
        <w:t xml:space="preserve"> </w:t>
      </w:r>
      <w:r>
        <w:t xml:space="preserve">Vahora 2026, PMID 42687069.</w:t>
      </w:r>
    </w:p>
  </w:footnote>
  <w:footnote w:id="2870">
    <w:p>
      <w:pPr>
        <w:pStyle w:val="FootnoteText"/>
      </w:pPr>
      <w:r>
        <w:rPr>
          <w:rStyle w:val="FootnoteReference"/>
        </w:rPr>
        <w:footnoteRef/>
      </w:r>
      <w:r>
        <w:t xml:space="preserve"> </w:t>
      </w:r>
      <w:r>
        <w:t xml:space="preserve">Levi 2026, PMID 42437874.</w:t>
      </w:r>
    </w:p>
  </w:footnote>
  <w:footnote w:id="2872">
    <w:p>
      <w:pPr>
        <w:pStyle w:val="FootnoteText"/>
      </w:pPr>
      <w:r>
        <w:rPr>
          <w:rStyle w:val="FootnoteReference"/>
        </w:rPr>
        <w:footnoteRef/>
      </w:r>
      <w:r>
        <w:t xml:space="preserve"> </w:t>
      </w:r>
      <w:r>
        <w:t xml:space="preserve">McGuire 2025, PMID 40162642.</w:t>
      </w:r>
    </w:p>
  </w:footnote>
  <w:footnote w:id="2874">
    <w:p>
      <w:pPr>
        <w:pStyle w:val="FootnoteText"/>
      </w:pPr>
      <w:r>
        <w:rPr>
          <w:rStyle w:val="FootnoteReference"/>
        </w:rPr>
        <w:footnoteRef/>
      </w:r>
      <w:r>
        <w:t xml:space="preserve"> </w:t>
      </w:r>
      <w:r>
        <w:t xml:space="preserve">Mora 2026, PMID 42532079.</w:t>
      </w:r>
    </w:p>
  </w:footnote>
  <w:footnote w:id="2875">
    <w:p>
      <w:pPr>
        <w:pStyle w:val="FootnoteText"/>
      </w:pPr>
      <w:r>
        <w:rPr>
          <w:rStyle w:val="FootnoteReference"/>
        </w:rPr>
        <w:footnoteRef/>
      </w:r>
      <w:r>
        <w:t xml:space="preserve"> </w:t>
      </w:r>
      <w:r>
        <w:t xml:space="preserve">NCT07815067.</w:t>
      </w:r>
    </w:p>
  </w:footnote>
  <w:footnote w:id="2877">
    <w:p>
      <w:pPr>
        <w:pStyle w:val="FootnoteText"/>
      </w:pPr>
      <w:r>
        <w:rPr>
          <w:rStyle w:val="FootnoteReference"/>
        </w:rPr>
        <w:footnoteRef/>
      </w:r>
      <w:r>
        <w:t xml:space="preserve"> </w:t>
      </w:r>
      <w:r>
        <w:t xml:space="preserve">Johns 2023, PMID 37125593.</w:t>
      </w:r>
    </w:p>
  </w:footnote>
  <w:footnote w:id="2878">
    <w:p>
      <w:pPr>
        <w:pStyle w:val="FootnoteText"/>
      </w:pPr>
      <w:r>
        <w:rPr>
          <w:rStyle w:val="FootnoteReference"/>
        </w:rPr>
        <w:footnoteRef/>
      </w:r>
      <w:r>
        <w:t xml:space="preserve"> </w:t>
      </w:r>
      <w:r>
        <w:t xml:space="preserve">Navar 2026, PMID 41879224.</w:t>
      </w:r>
    </w:p>
  </w:footnote>
  <w:footnote w:id="2879">
    <w:p>
      <w:pPr>
        <w:pStyle w:val="FootnoteText"/>
      </w:pPr>
      <w:r>
        <w:rPr>
          <w:rStyle w:val="FootnoteReference"/>
        </w:rPr>
        <w:footnoteRef/>
      </w:r>
      <w:r>
        <w:t xml:space="preserve"> </w:t>
      </w:r>
      <w:r>
        <w:t xml:space="preserve">Bissonnette 2025, PMID 41191940.</w:t>
      </w:r>
    </w:p>
  </w:footnote>
  <w:footnote w:id="2880">
    <w:p>
      <w:pPr>
        <w:pStyle w:val="FootnoteText"/>
      </w:pPr>
      <w:r>
        <w:rPr>
          <w:rStyle w:val="FootnoteReference"/>
        </w:rPr>
        <w:footnoteRef/>
      </w:r>
      <w:r>
        <w:t xml:space="preserve"> </w:t>
      </w:r>
      <w:r>
        <w:t xml:space="preserve">Knight 2025, PMID 40629250.</w:t>
      </w:r>
    </w:p>
  </w:footnote>
  <w:footnote w:id="2883">
    <w:p>
      <w:pPr>
        <w:pStyle w:val="FootnoteText"/>
      </w:pPr>
      <w:r>
        <w:rPr>
          <w:rStyle w:val="FootnoteReference"/>
        </w:rPr>
        <w:footnoteRef/>
      </w:r>
      <w:r>
        <w:t xml:space="preserve"> </w:t>
      </w:r>
      <w:r>
        <w:t xml:space="preserve">Rosenstock 2026, PMID 41765029.</w:t>
      </w:r>
    </w:p>
  </w:footnote>
  <w:footnote w:id="2884">
    <w:p>
      <w:pPr>
        <w:pStyle w:val="FootnoteText"/>
      </w:pPr>
      <w:r>
        <w:rPr>
          <w:rStyle w:val="FootnoteReference"/>
        </w:rPr>
        <w:footnoteRef/>
      </w:r>
      <w:r>
        <w:t xml:space="preserve"> </w:t>
      </w:r>
      <w:r>
        <w:t xml:space="preserve">Wharton 2025, PMID 40960239.</w:t>
      </w:r>
    </w:p>
  </w:footnote>
  <w:footnote w:id="2885">
    <w:p>
      <w:pPr>
        <w:pStyle w:val="FootnoteText"/>
      </w:pPr>
      <w:r>
        <w:rPr>
          <w:rStyle w:val="FootnoteReference"/>
        </w:rPr>
        <w:footnoteRef/>
      </w:r>
      <w:r>
        <w:t xml:space="preserve"> </w:t>
      </w:r>
      <w:r>
        <w:t xml:space="preserve">Rosenstock 2026, PMID 41765029.</w:t>
      </w:r>
    </w:p>
  </w:footnote>
  <w:footnote w:id="2886">
    <w:p>
      <w:pPr>
        <w:pStyle w:val="FootnoteText"/>
      </w:pPr>
      <w:r>
        <w:rPr>
          <w:rStyle w:val="FootnoteReference"/>
        </w:rPr>
        <w:footnoteRef/>
      </w:r>
      <w:r>
        <w:t xml:space="preserve"> </w:t>
      </w:r>
      <w:r>
        <w:t xml:space="preserve">Aronne 2026, PMID 42120723.</w:t>
      </w:r>
    </w:p>
  </w:footnote>
  <w:footnote w:id="2887">
    <w:p>
      <w:pPr>
        <w:pStyle w:val="FootnoteText"/>
      </w:pPr>
      <w:r>
        <w:rPr>
          <w:rStyle w:val="FootnoteReference"/>
        </w:rPr>
        <w:footnoteRef/>
      </w:r>
      <w:r>
        <w:t xml:space="preserve"> </w:t>
      </w:r>
      <w:r>
        <w:t xml:space="preserve">Wharton 2026, PMID 42338042.</w:t>
      </w:r>
    </w:p>
  </w:footnote>
  <w:footnote w:id="2889">
    <w:p>
      <w:pPr>
        <w:pStyle w:val="FootnoteText"/>
      </w:pPr>
      <w:r>
        <w:rPr>
          <w:rStyle w:val="FootnoteReference"/>
        </w:rPr>
        <w:footnoteRef/>
      </w:r>
      <w:r>
        <w:t xml:space="preserve"> </w:t>
      </w:r>
      <w:r>
        <w:t xml:space="preserve">Buckeridge 2025, PMID 40539310.</w:t>
      </w:r>
    </w:p>
  </w:footnote>
  <w:footnote w:id="2892">
    <w:p>
      <w:pPr>
        <w:pStyle w:val="FootnoteText"/>
      </w:pPr>
      <w:r>
        <w:rPr>
          <w:rStyle w:val="FootnoteReference"/>
        </w:rPr>
        <w:footnoteRef/>
      </w:r>
      <w:r>
        <w:t xml:space="preserve"> </w:t>
      </w:r>
      <w:r>
        <w:t xml:space="preserve">Michalak 2026, PMID 42225305.</w:t>
      </w:r>
    </w:p>
  </w:footnote>
  <w:footnote w:id="2894">
    <w:p>
      <w:pPr>
        <w:pStyle w:val="FootnoteText"/>
      </w:pPr>
      <w:r>
        <w:rPr>
          <w:rStyle w:val="FootnoteReference"/>
        </w:rPr>
        <w:footnoteRef/>
      </w:r>
      <w:r>
        <w:t xml:space="preserve"> </w:t>
      </w:r>
      <w:r>
        <w:t xml:space="preserve">Vahora 2026, PMID 42687069.</w:t>
      </w:r>
    </w:p>
  </w:footnote>
  <w:footnote w:id="2895">
    <w:p>
      <w:pPr>
        <w:pStyle w:val="FootnoteText"/>
      </w:pPr>
      <w:r>
        <w:rPr>
          <w:rStyle w:val="FootnoteReference"/>
        </w:rPr>
        <w:footnoteRef/>
      </w:r>
      <w:r>
        <w:t xml:space="preserve"> </w:t>
      </w:r>
      <w:r>
        <w:t xml:space="preserve">NCT07241390.</w:t>
      </w:r>
    </w:p>
  </w:footnote>
  <w:footnote w:id="2896">
    <w:p>
      <w:pPr>
        <w:pStyle w:val="FootnoteText"/>
      </w:pPr>
      <w:r>
        <w:rPr>
          <w:rStyle w:val="FootnoteReference"/>
        </w:rPr>
        <w:footnoteRef/>
      </w:r>
      <w:r>
        <w:t xml:space="preserve"> </w:t>
      </w:r>
      <w:r>
        <w:t xml:space="preserve">Levi 2026, PMID 42437874.</w:t>
      </w:r>
    </w:p>
  </w:footnote>
  <w:footnote w:id="2897">
    <w:p>
      <w:pPr>
        <w:pStyle w:val="FootnoteText"/>
      </w:pPr>
      <w:r>
        <w:rPr>
          <w:rStyle w:val="FootnoteReference"/>
        </w:rPr>
        <w:footnoteRef/>
      </w:r>
      <w:r>
        <w:t xml:space="preserve"> </w:t>
      </w:r>
      <w:r>
        <w:t xml:space="preserve">Belcourt 2026, PMID 41689811.</w:t>
      </w:r>
    </w:p>
  </w:footnote>
  <w:footnote w:id="2898">
    <w:p>
      <w:pPr>
        <w:pStyle w:val="FootnoteText"/>
      </w:pPr>
      <w:r>
        <w:rPr>
          <w:rStyle w:val="FootnoteReference"/>
        </w:rPr>
        <w:footnoteRef/>
      </w:r>
      <w:r>
        <w:t xml:space="preserve"> </w:t>
      </w:r>
      <w:r>
        <w:t xml:space="preserve">Hach 2024, PMID 39379664.</w:t>
      </w:r>
    </w:p>
  </w:footnote>
  <w:footnote w:id="2903">
    <w:p>
      <w:pPr>
        <w:pStyle w:val="FootnoteText"/>
      </w:pPr>
      <w:r>
        <w:rPr>
          <w:rStyle w:val="FootnoteReference"/>
        </w:rPr>
        <w:footnoteRef/>
      </w:r>
      <w:r>
        <w:t xml:space="preserve"> </w:t>
      </w:r>
      <w:r>
        <w:t xml:space="preserve">Hach 2024, PMID 39379664.</w:t>
      </w:r>
    </w:p>
  </w:footnote>
  <w:footnote w:id="2905">
    <w:p>
      <w:pPr>
        <w:pStyle w:val="FootnoteText"/>
      </w:pPr>
      <w:r>
        <w:rPr>
          <w:rStyle w:val="FootnoteReference"/>
        </w:rPr>
        <w:footnoteRef/>
      </w:r>
      <w:r>
        <w:t xml:space="preserve"> </w:t>
      </w:r>
      <w:r>
        <w:t xml:space="preserve">Rubino 2022, PMID 35015037.</w:t>
      </w:r>
    </w:p>
  </w:footnote>
  <w:footnote w:id="2907">
    <w:p>
      <w:pPr>
        <w:pStyle w:val="FootnoteText"/>
      </w:pPr>
      <w:r>
        <w:rPr>
          <w:rStyle w:val="FootnoteReference"/>
        </w:rPr>
        <w:footnoteRef/>
      </w:r>
      <w:r>
        <w:t xml:space="preserve"> </w:t>
      </w:r>
      <w:r>
        <w:t xml:space="preserve">Levi 2026, PMID 42437874.</w:t>
      </w:r>
    </w:p>
  </w:footnote>
  <w:footnote w:id="2908">
    <w:p>
      <w:pPr>
        <w:pStyle w:val="FootnoteText"/>
      </w:pPr>
      <w:r>
        <w:rPr>
          <w:rStyle w:val="FootnoteReference"/>
        </w:rPr>
        <w:footnoteRef/>
      </w:r>
      <w:r>
        <w:t xml:space="preserve"> </w:t>
      </w:r>
      <w:r>
        <w:t xml:space="preserve">Mohan 2026, PMID 42747945.</w:t>
      </w:r>
    </w:p>
  </w:footnote>
  <w:footnote w:id="2909">
    <w:p>
      <w:pPr>
        <w:pStyle w:val="FootnoteText"/>
      </w:pPr>
      <w:r>
        <w:rPr>
          <w:rStyle w:val="FootnoteReference"/>
        </w:rPr>
        <w:footnoteRef/>
      </w:r>
      <w:r>
        <w:t xml:space="preserve"> </w:t>
      </w:r>
      <w:r>
        <w:t xml:space="preserve">Mani 2025, PMID 41358329.</w:t>
      </w:r>
    </w:p>
  </w:footnote>
  <w:footnote w:id="2910">
    <w:p>
      <w:pPr>
        <w:pStyle w:val="FootnoteText"/>
      </w:pPr>
      <w:r>
        <w:rPr>
          <w:rStyle w:val="FootnoteReference"/>
        </w:rPr>
        <w:footnoteRef/>
      </w:r>
      <w:r>
        <w:t xml:space="preserve"> </w:t>
      </w:r>
      <w:r>
        <w:t xml:space="preserve">Celletti 2026, PMID 41324410.</w:t>
      </w:r>
    </w:p>
  </w:footnote>
  <w:footnote w:id="2913">
    <w:p>
      <w:pPr>
        <w:pStyle w:val="FootnoteText"/>
      </w:pPr>
      <w:r>
        <w:rPr>
          <w:rStyle w:val="FootnoteReference"/>
        </w:rPr>
        <w:footnoteRef/>
      </w:r>
      <w:r>
        <w:t xml:space="preserve"> </w:t>
      </w:r>
      <w:r>
        <w:t xml:space="preserve">DiStefano 2025, PMID 39776466.</w:t>
      </w:r>
    </w:p>
  </w:footnote>
  <w:footnote w:id="2914">
    <w:p>
      <w:pPr>
        <w:pStyle w:val="FootnoteText"/>
      </w:pPr>
      <w:r>
        <w:rPr>
          <w:rStyle w:val="FootnoteReference"/>
        </w:rPr>
        <w:footnoteRef/>
      </w:r>
      <w:r>
        <w:t xml:space="preserve"> </w:t>
      </w:r>
      <w:r>
        <w:t xml:space="preserve">Belcourt 2026, PMID 41689811.</w:t>
      </w:r>
    </w:p>
  </w:footnote>
  <w:footnote w:id="2915">
    <w:p>
      <w:pPr>
        <w:pStyle w:val="FootnoteText"/>
      </w:pPr>
      <w:r>
        <w:rPr>
          <w:rStyle w:val="FootnoteReference"/>
        </w:rPr>
        <w:footnoteRef/>
      </w:r>
      <w:r>
        <w:t xml:space="preserve"> </w:t>
      </w:r>
      <w:r>
        <w:t xml:space="preserve">Jordan 2026, PMID 42010938.</w:t>
      </w:r>
    </w:p>
  </w:footnote>
  <w:footnote w:id="2917">
    <w:p>
      <w:pPr>
        <w:pStyle w:val="FootnoteText"/>
      </w:pPr>
      <w:r>
        <w:rPr>
          <w:rStyle w:val="FootnoteReference"/>
        </w:rPr>
        <w:footnoteRef/>
      </w:r>
      <w:r>
        <w:t xml:space="preserve"> </w:t>
      </w:r>
      <w:r>
        <w:t xml:space="preserve">Mailhac 2024, PMID 38685990.</w:t>
      </w:r>
    </w:p>
  </w:footnote>
  <w:footnote w:id="2918">
    <w:p>
      <w:pPr>
        <w:pStyle w:val="FootnoteText"/>
      </w:pPr>
      <w:r>
        <w:rPr>
          <w:rStyle w:val="FootnoteReference"/>
        </w:rPr>
        <w:footnoteRef/>
      </w:r>
      <w:r>
        <w:t xml:space="preserve"> </w:t>
      </w:r>
      <w:r>
        <w:t xml:space="preserve">Gasoyan 2025, PMID 41039650.</w:t>
      </w:r>
    </w:p>
  </w:footnote>
  <w:footnote w:id="2920">
    <w:p>
      <w:pPr>
        <w:pStyle w:val="FootnoteText"/>
      </w:pPr>
      <w:r>
        <w:rPr>
          <w:rStyle w:val="FootnoteReference"/>
        </w:rPr>
        <w:footnoteRef/>
      </w:r>
      <w:r>
        <w:t xml:space="preserve"> </w:t>
      </w:r>
      <w:r>
        <w:t xml:space="preserve">Hwang 2025, PMID 40085108.</w:t>
      </w:r>
    </w:p>
  </w:footnote>
  <w:footnote w:id="2921">
    <w:p>
      <w:pPr>
        <w:pStyle w:val="FootnoteText"/>
      </w:pPr>
      <w:r>
        <w:rPr>
          <w:rStyle w:val="FootnoteReference"/>
        </w:rPr>
        <w:footnoteRef/>
      </w:r>
      <w:r>
        <w:t xml:space="preserve"> </w:t>
      </w:r>
      <w:r>
        <w:t xml:space="preserve">Dhippayom 2026, PMID 41365841.</w:t>
      </w:r>
    </w:p>
  </w:footnote>
  <w:footnote w:id="2922">
    <w:p>
      <w:pPr>
        <w:pStyle w:val="FootnoteText"/>
      </w:pPr>
      <w:r>
        <w:rPr>
          <w:rStyle w:val="FootnoteReference"/>
        </w:rPr>
        <w:footnoteRef/>
      </w:r>
      <w:r>
        <w:t xml:space="preserve"> </w:t>
      </w:r>
      <w:r>
        <w:t xml:space="preserve">Hennessy 2026, PMID 41637062.</w:t>
      </w:r>
    </w:p>
  </w:footnote>
  <w:footnote w:id="2923">
    <w:p>
      <w:pPr>
        <w:pStyle w:val="FootnoteText"/>
      </w:pPr>
      <w:r>
        <w:rPr>
          <w:rStyle w:val="FootnoteReference"/>
        </w:rPr>
        <w:footnoteRef/>
      </w:r>
      <w:r>
        <w:t xml:space="preserve"> </w:t>
      </w:r>
      <w:r>
        <w:t xml:space="preserve">Scannell 2026, PMID 42640207.</w:t>
      </w:r>
    </w:p>
  </w:footnote>
  <w:footnote w:id="2926">
    <w:p>
      <w:pPr>
        <w:pStyle w:val="FootnoteText"/>
      </w:pPr>
      <w:r>
        <w:rPr>
          <w:rStyle w:val="FootnoteReference"/>
        </w:rPr>
        <w:footnoteRef/>
      </w:r>
      <w:r>
        <w:t xml:space="preserve"> </w:t>
      </w:r>
      <w:r>
        <w:t xml:space="preserve">Wilding 2022, PMID 35441470.</w:t>
      </w:r>
    </w:p>
  </w:footnote>
  <w:footnote w:id="2930">
    <w:p>
      <w:pPr>
        <w:pStyle w:val="FootnoteText"/>
      </w:pPr>
      <w:r>
        <w:rPr>
          <w:rStyle w:val="FootnoteReference"/>
        </w:rPr>
        <w:footnoteRef/>
      </w:r>
      <w:r>
        <w:t xml:space="preserve"> </w:t>
      </w:r>
      <w:r>
        <w:t xml:space="preserve">Cummings 2026, PMID 41865758.</w:t>
      </w:r>
    </w:p>
  </w:footnote>
  <w:footnote w:id="2931">
    <w:p>
      <w:pPr>
        <w:pStyle w:val="FootnoteText"/>
      </w:pPr>
      <w:r>
        <w:rPr>
          <w:rStyle w:val="FootnoteReference"/>
        </w:rPr>
        <w:footnoteRef/>
      </w:r>
      <w:r>
        <w:t xml:space="preserve"> </w:t>
      </w:r>
      <w:r>
        <w:t xml:space="preserve">Vijiaratnam 2025, PMID 39919773.</w:t>
      </w:r>
    </w:p>
  </w:footnote>
  <w:footnote w:id="2932">
    <w:p>
      <w:pPr>
        <w:pStyle w:val="FootnoteText"/>
      </w:pPr>
      <w:r>
        <w:rPr>
          <w:rStyle w:val="FootnoteReference"/>
        </w:rPr>
        <w:footnoteRef/>
      </w:r>
      <w:r>
        <w:t xml:space="preserve"> </w:t>
      </w:r>
      <w:r>
        <w:t xml:space="preserve">NCT05556512.</w:t>
      </w:r>
    </w:p>
  </w:footnote>
  <w:footnote w:id="2933">
    <w:p>
      <w:pPr>
        <w:pStyle w:val="FootnoteText"/>
      </w:pPr>
      <w:r>
        <w:rPr>
          <w:rStyle w:val="FootnoteReference"/>
        </w:rPr>
        <w:footnoteRef/>
      </w:r>
      <w:r>
        <w:t xml:space="preserve"> </w:t>
      </w:r>
      <w:r>
        <w:t xml:space="preserve">NCT05669755.</w:t>
      </w:r>
    </w:p>
  </w:footnote>
  <w:footnote w:id="2934">
    <w:p>
      <w:pPr>
        <w:pStyle w:val="FootnoteText"/>
      </w:pPr>
      <w:r>
        <w:rPr>
          <w:rStyle w:val="FootnoteReference"/>
        </w:rPr>
        <w:footnoteRef/>
      </w:r>
      <w:r>
        <w:t xml:space="preserve"> </w:t>
      </w:r>
      <w:r>
        <w:t xml:space="preserve">NCT06383390.</w:t>
      </w:r>
    </w:p>
  </w:footnote>
  <w:footnote w:id="2935">
    <w:p>
      <w:pPr>
        <w:pStyle w:val="FootnoteText"/>
      </w:pPr>
      <w:r>
        <w:rPr>
          <w:rStyle w:val="FootnoteReference"/>
        </w:rPr>
        <w:footnoteRef/>
      </w:r>
      <w:r>
        <w:t xml:space="preserve"> </w:t>
      </w:r>
      <w:r>
        <w:t xml:space="preserve">NCT06632457.</w:t>
      </w:r>
    </w:p>
  </w:footnote>
  <w:footnote w:id="2936">
    <w:p>
      <w:pPr>
        <w:pStyle w:val="FootnoteText"/>
      </w:pPr>
      <w:r>
        <w:rPr>
          <w:rStyle w:val="FootnoteReference"/>
        </w:rPr>
        <w:footnoteRef/>
      </w:r>
      <w:r>
        <w:t xml:space="preserve"> </w:t>
      </w:r>
      <w:r>
        <w:t xml:space="preserve">NCT07037433, NCT07037459.</w:t>
      </w:r>
    </w:p>
  </w:footnote>
  <w:footnote w:id="2937">
    <w:p>
      <w:pPr>
        <w:pStyle w:val="FootnoteText"/>
      </w:pPr>
      <w:r>
        <w:rPr>
          <w:rStyle w:val="FootnoteReference"/>
        </w:rPr>
        <w:footnoteRef/>
      </w:r>
      <w:r>
        <w:t xml:space="preserve"> </w:t>
      </w:r>
      <w:r>
        <w:t xml:space="preserve">NCT07861100.</w:t>
      </w:r>
    </w:p>
  </w:footnote>
  <w:footnote w:id="2938">
    <w:p>
      <w:pPr>
        <w:pStyle w:val="FootnoteText"/>
      </w:pPr>
      <w:r>
        <w:rPr>
          <w:rStyle w:val="FootnoteReference"/>
        </w:rPr>
        <w:footnoteRef/>
      </w:r>
      <w:r>
        <w:t xml:space="preserve"> </w:t>
      </w:r>
      <w:r>
        <w:t xml:space="preserve">NCT07241390.</w:t>
      </w:r>
    </w:p>
  </w:footnote>
  <w:footnote w:id="2939">
    <w:p>
      <w:pPr>
        <w:pStyle w:val="FootnoteText"/>
      </w:pPr>
      <w:r>
        <w:rPr>
          <w:rStyle w:val="FootnoteReference"/>
        </w:rPr>
        <w:footnoteRef/>
      </w:r>
      <w:r>
        <w:t xml:space="preserve"> </w:t>
      </w:r>
      <w:r>
        <w:t xml:space="preserve">NCT07165028.</w:t>
      </w:r>
    </w:p>
  </w:footnote>
  <w:footnote w:id="2940">
    <w:p>
      <w:pPr>
        <w:pStyle w:val="FootnoteText"/>
      </w:pPr>
      <w:r>
        <w:rPr>
          <w:rStyle w:val="FootnoteReference"/>
        </w:rPr>
        <w:footnoteRef/>
      </w:r>
      <w:r>
        <w:t xml:space="preserve"> </w:t>
      </w:r>
      <w:r>
        <w:t xml:space="preserve">Levi 2026, PMID 42437874.</w:t>
      </w:r>
    </w:p>
  </w:footnote>
  <w:footnote w:id="2942">
    <w:p>
      <w:pPr>
        <w:pStyle w:val="FootnoteText"/>
      </w:pPr>
      <w:r>
        <w:rPr>
          <w:rStyle w:val="FootnoteReference"/>
        </w:rPr>
        <w:footnoteRef/>
      </w:r>
      <w:r>
        <w:t xml:space="preserve"> </w:t>
      </w:r>
      <w:r>
        <w:t xml:space="preserve">NCT05086614.</w:t>
      </w:r>
    </w:p>
  </w:footnote>
  <w:footnote w:id="2943">
    <w:p>
      <w:pPr>
        <w:pStyle w:val="FootnoteText"/>
      </w:pPr>
      <w:r>
        <w:rPr>
          <w:rStyle w:val="FootnoteReference"/>
        </w:rPr>
        <w:footnoteRef/>
      </w:r>
      <w:r>
        <w:t xml:space="preserve"> </w:t>
      </w:r>
      <w:r>
        <w:t xml:space="preserve">NCT05555589.</w:t>
      </w:r>
    </w:p>
  </w:footnote>
  <w:footnote w:id="2945">
    <w:p>
      <w:pPr>
        <w:pStyle w:val="FootnoteText"/>
      </w:pPr>
      <w:r>
        <w:rPr>
          <w:rStyle w:val="FootnoteReference"/>
        </w:rPr>
        <w:footnoteRef/>
      </w:r>
      <w:r>
        <w:t xml:space="preserve"> </w:t>
      </w:r>
      <w:r>
        <w:t xml:space="preserve">NCT00903110.</w:t>
      </w:r>
    </w:p>
  </w:footnote>
  <w:footnote w:id="2947">
    <w:p>
      <w:pPr>
        <w:pStyle w:val="FootnoteText"/>
      </w:pPr>
      <w:r>
        <w:rPr>
          <w:rStyle w:val="FootnoteReference"/>
        </w:rPr>
        <w:footnoteRef/>
      </w:r>
      <w:r>
        <w:t xml:space="preserve"> </w:t>
      </w:r>
      <w:r>
        <w:t xml:space="preserve">NCT06373731.</w:t>
      </w:r>
    </w:p>
  </w:footnote>
  <w:footnote w:id="2948">
    <w:p>
      <w:pPr>
        <w:pStyle w:val="FootnoteText"/>
      </w:pPr>
      <w:r>
        <w:rPr>
          <w:rStyle w:val="FootnoteReference"/>
        </w:rPr>
        <w:footnoteRef/>
      </w:r>
      <w:r>
        <w:t xml:space="preserve"> </w:t>
      </w:r>
      <w:r>
        <w:t xml:space="preserve">NCT05755997.</w:t>
      </w:r>
    </w:p>
  </w:footnote>
  <w:footnote w:id="2949">
    <w:p>
      <w:pPr>
        <w:pStyle w:val="FootnoteText"/>
      </w:pPr>
      <w:r>
        <w:rPr>
          <w:rStyle w:val="FootnoteReference"/>
        </w:rPr>
        <w:footnoteRef/>
      </w:r>
      <w:r>
        <w:t xml:space="preserve"> </w:t>
      </w:r>
      <w:r>
        <w:t xml:space="preserve">NCT07888595.</w:t>
      </w:r>
    </w:p>
  </w:footnote>
  <w:footnote w:id="2951">
    <w:p>
      <w:pPr>
        <w:pStyle w:val="FootnoteText"/>
      </w:pPr>
      <w:r>
        <w:rPr>
          <w:rStyle w:val="FootnoteReference"/>
        </w:rPr>
        <w:footnoteRef/>
      </w:r>
      <w:r>
        <w:t xml:space="preserve"> </w:t>
      </w:r>
      <w:r>
        <w:t xml:space="preserve">NCT06109649.</w:t>
      </w:r>
    </w:p>
  </w:footnote>
  <w:footnote w:id="2954">
    <w:p>
      <w:pPr>
        <w:pStyle w:val="FootnoteText"/>
      </w:pPr>
      <w:r>
        <w:rPr>
          <w:rStyle w:val="FootnoteReference"/>
        </w:rPr>
        <w:footnoteRef/>
      </w:r>
      <w:r>
        <w:t xml:space="preserve"> </w:t>
      </w:r>
      <w:r>
        <w:t xml:space="preserve">Celletti 2026, PMID 41324410.</w:t>
      </w:r>
    </w:p>
  </w:footnote>
  <w:footnote w:id="2956">
    <w:p>
      <w:pPr>
        <w:pStyle w:val="FootnoteText"/>
      </w:pPr>
      <w:r>
        <w:rPr>
          <w:rStyle w:val="FootnoteReference"/>
        </w:rPr>
        <w:footnoteRef/>
      </w:r>
      <w:r>
        <w:t xml:space="preserve"> </w:t>
      </w:r>
      <w:r>
        <w:t xml:space="preserve">Wilding 2022, PMID 35441470.</w:t>
      </w:r>
    </w:p>
  </w:footnote>
  <w:footnote w:id="2957">
    <w:p>
      <w:pPr>
        <w:pStyle w:val="FootnoteText"/>
      </w:pPr>
      <w:r>
        <w:rPr>
          <w:rStyle w:val="FootnoteReference"/>
        </w:rPr>
        <w:footnoteRef/>
      </w:r>
      <w:r>
        <w:t xml:space="preserve"> </w:t>
      </w:r>
      <w:r>
        <w:t xml:space="preserve">Aronne 2024, PMID 38078870.</w:t>
      </w:r>
    </w:p>
  </w:footnote>
  <w:footnote w:id="2958">
    <w:p>
      <w:pPr>
        <w:pStyle w:val="FootnoteText"/>
      </w:pPr>
      <w:r>
        <w:rPr>
          <w:rStyle w:val="FootnoteReference"/>
        </w:rPr>
        <w:footnoteRef/>
      </w:r>
      <w:r>
        <w:t xml:space="preserve"> </w:t>
      </w:r>
      <w:r>
        <w:t xml:space="preserve">Aronne 2026, PMID 42120723.</w:t>
      </w:r>
    </w:p>
  </w:footnote>
  <w:footnote w:id="2959">
    <w:p>
      <w:pPr>
        <w:pStyle w:val="FootnoteText"/>
      </w:pPr>
      <w:r>
        <w:rPr>
          <w:rStyle w:val="FootnoteReference"/>
        </w:rPr>
        <w:footnoteRef/>
      </w:r>
      <w:r>
        <w:t xml:space="preserve"> </w:t>
      </w:r>
      <w:r>
        <w:t xml:space="preserve">Cengiz 2025, PMID 39950222.</w:t>
      </w:r>
    </w:p>
  </w:footnote>
  <w:footnote w:id="2961">
    <w:p>
      <w:pPr>
        <w:pStyle w:val="FootnoteText"/>
      </w:pPr>
      <w:r>
        <w:rPr>
          <w:rStyle w:val="FootnoteReference"/>
        </w:rPr>
        <w:footnoteRef/>
      </w:r>
      <w:r>
        <w:t xml:space="preserve"> </w:t>
      </w:r>
      <w:r>
        <w:t xml:space="preserve">Celletti 2026, PMID 41324410.</w:t>
      </w:r>
    </w:p>
  </w:footnote>
  <w:footnote w:id="2963">
    <w:p>
      <w:pPr>
        <w:pStyle w:val="FootnoteText"/>
      </w:pPr>
      <w:r>
        <w:rPr>
          <w:rStyle w:val="FootnoteReference"/>
        </w:rPr>
        <w:footnoteRef/>
      </w:r>
      <w:r>
        <w:t xml:space="preserve"> </w:t>
      </w:r>
      <w:r>
        <w:t xml:space="preserve">Rubin 2026, PMID 42853576.</w:t>
      </w:r>
    </w:p>
  </w:footnote>
  <w:footnote w:id="2964">
    <w:p>
      <w:pPr>
        <w:pStyle w:val="FootnoteText"/>
      </w:pPr>
      <w:r>
        <w:rPr>
          <w:rStyle w:val="FootnoteReference"/>
        </w:rPr>
        <w:footnoteRef/>
      </w:r>
      <w:r>
        <w:t xml:space="preserve"> </w:t>
      </w:r>
      <w:r>
        <w:t xml:space="preserve">Belcourt 2026, PMID 41689811.</w:t>
      </w:r>
    </w:p>
  </w:footnote>
  <w:footnote w:id="2965">
    <w:p>
      <w:pPr>
        <w:pStyle w:val="FootnoteText"/>
      </w:pPr>
      <w:r>
        <w:rPr>
          <w:rStyle w:val="FootnoteReference"/>
        </w:rPr>
        <w:footnoteRef/>
      </w:r>
      <w:r>
        <w:t xml:space="preserve"> </w:t>
      </w:r>
      <w:r>
        <w:t xml:space="preserve">Willis 2026, PMID 42752426.</w:t>
      </w:r>
    </w:p>
  </w:footnote>
  <w:footnote w:id="2967">
    <w:p>
      <w:pPr>
        <w:pStyle w:val="FootnoteText"/>
      </w:pPr>
      <w:r>
        <w:rPr>
          <w:rStyle w:val="FootnoteReference"/>
        </w:rPr>
        <w:footnoteRef/>
      </w:r>
      <w:r>
        <w:t xml:space="preserve"> </w:t>
      </w:r>
      <w:r>
        <w:t xml:space="preserve">Wei 2025, PMID 40787887.</w:t>
      </w:r>
    </w:p>
  </w:footnote>
  <w:footnote w:id="2968">
    <w:p>
      <w:pPr>
        <w:pStyle w:val="FootnoteText"/>
      </w:pPr>
      <w:r>
        <w:rPr>
          <w:rStyle w:val="FootnoteReference"/>
        </w:rPr>
        <w:footnoteRef/>
      </w:r>
      <w:r>
        <w:t xml:space="preserve"> </w:t>
      </w:r>
      <w:r>
        <w:t xml:space="preserve">Rettie 2025, PMID 40542165.</w:t>
      </w:r>
    </w:p>
  </w:footnote>
  <w:footnote w:id="2969">
    <w:p>
      <w:pPr>
        <w:pStyle w:val="FootnoteText"/>
      </w:pPr>
      <w:r>
        <w:rPr>
          <w:rStyle w:val="FootnoteReference"/>
        </w:rPr>
        <w:footnoteRef/>
      </w:r>
      <w:r>
        <w:t xml:space="preserve"> </w:t>
      </w:r>
      <w:r>
        <w:t xml:space="preserve">Wang 2025, PMID 39825096.</w:t>
      </w:r>
    </w:p>
  </w:footnote>
  <w:footnote w:id="2970">
    <w:p>
      <w:pPr>
        <w:pStyle w:val="FootnoteText"/>
      </w:pPr>
      <w:r>
        <w:rPr>
          <w:rStyle w:val="FootnoteReference"/>
        </w:rPr>
        <w:footnoteRef/>
      </w:r>
      <w:r>
        <w:t xml:space="preserve"> </w:t>
      </w:r>
      <w:r>
        <w:t xml:space="preserve">Johns 2023, PMID 37125593 ; NCT06008756.</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58 peptides, du sémaglutide au BPC-157 : ce que montrent réellement les études chez l’humain, les risques connus, le cadre juridique et l’avenir de la recherche.</dc:description>
  <dc:language>fr-FR</dc:language>
  <dc:subject/>
  <cp:keywords/>
  <dcterms:created xsi:type="dcterms:W3CDTF">2026-10-29T19:06:30Z</dcterms:created>
  <dcterms:modified xsi:type="dcterms:W3CDTF">2026-10-29T19:06:30Z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
  </property>
  <property fmtid="{D5CDD505-2E9C-101B-9397-08002B2CF9AE}" pid="3" name="date">
    <vt:lpwstr>2026-11</vt:lpwstr>
  </property>
  <property fmtid="{D5CDD505-2E9C-101B-9397-08002B2CF9AE}" pid="4" name="rights">
    <vt:lpwstr>© 2026 Josef Gallab. Tous droits réservés.</vt:lpwstr>
  </property>
  <property fmtid="{D5CDD505-2E9C-101B-9397-08002B2CF9AE}" pid="5" name="toc-title">
    <vt:lpwstr>Table des matières</vt:lpwstr>
  </property>
</Properties>
</file>